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745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二十四日</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二十四日</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872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7769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540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36736;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石家庄市藁城区自然资源和规划局</w:t>
      </w:r>
    </w:p>
    <w:p>
      <w:pPr>
        <w:snapToGrid w:val="0"/>
        <w:jc w:val="center"/>
        <w:rPr>
          <w:rFonts w:hint="eastAsia" w:ascii="黑体" w:hAnsi="黑体" w:eastAsia="楷体_GB2312" w:cs="黑体"/>
          <w:sz w:val="56"/>
          <w:szCs w:val="72"/>
          <w:lang w:eastAsia="zh-CN"/>
        </w:rPr>
        <w:sectPr>
          <w:headerReference r:id="rId7" w:type="first"/>
          <w:footerReference r:id="rId9" w:type="first"/>
          <w:headerReference r:id="rId6" w:type="default"/>
          <w:footerReference r:id="rId8"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二十四日</w:t>
      </w: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1" w:type="first"/>
          <w:footerReference r:id="rId13" w:type="first"/>
          <w:headerReference r:id="rId10" w:type="default"/>
          <w:footerReference r:id="rId12"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75449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75449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29"/>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一、加紧对全区农村宅基地和农村集体建设用地的调查、确权及数据入库工作。</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二、完成2万亩高标准基本农田建设任务，提高耕地质量等级增加产能，满足占补平衡的需要。</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三、按省厅、市局要求的时限上报、盯办，为项目的早日开工建设提供保障。</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四、编制2019年土地收储计划，严格按计划收储土地，盘活城区存量土地，促进城市健康发展。</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五、科学编制2019年供地计划，加快国有建设用地供地力度。</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六、对违法用地，严格按照“六个到位”的要求，坚决查处到位。</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七、力争做到卫片执法监督检查“零约谈”、“零问责”的目标。</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八、严格执行关于维稳工作的各项规定，确保不发生各类非正常信访案件。</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九、严格规划管理，提高规划刚性。一是划定城市生态红线和开发边界，突出生态优先的城市发展底线，优化城乡空间资源要素配置，保护好城市生态安全格局，加强边界管控，合理控制城市发展规模。二是总规完成后启动控规的前期评估梳理和编制，与总规做到无缝衔接。</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十、加强规划指导，提升县城建设水平。进一步加强对规划执行情况的督导检查。加强对城乡规划法定程序、强制性内容执行情况的检查，强化城乡规划违法建设治理，完善违法建设查处长效机制，对新增城乡规划违法建设“零容忍”。</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十一、负责林业及其生态环境建设、森林资源保护、国土绿化和林业产业发展的规定和方法，并组织实施监督和检查。</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十二、负责组织指导全市林业及其生态建设的科技创新和技术示范推广，为林业生态发展和林产品生产提供公共支撑。</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十三、负责苗木的标准化生产和基地建设。</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十四、负责林业政务管理，依法依规履行机关日常管理工作。</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 xml:space="preserve">从决算编报单位构成看，纳入2019 年度本部门决算汇编范围的独立核算单位（以下简称“单位”）共 </w:t>
      </w:r>
      <w:r>
        <w:rPr>
          <w:rFonts w:hint="eastAsia" w:ascii="仿宋_GB2312" w:hAnsi="Calibri" w:eastAsia="仿宋_GB2312" w:cs="ArialUnicodeMS"/>
          <w:kern w:val="0"/>
          <w:sz w:val="32"/>
          <w:szCs w:val="32"/>
          <w:lang w:val="en-US" w:eastAsia="zh-CN"/>
        </w:rPr>
        <w:t>9</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hAnsi="Calibri" w:eastAsia="仿宋_GB2312" w:cs="ArialUnicodeMS"/>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hAnsi="Calibri" w:eastAsia="仿宋_GB2312" w:cs="ArialUnicodeMS"/>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hAnsi="Calibri" w:eastAsia="仿宋_GB2312" w:cs="ArialUnicodeMS"/>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hAnsi="Calibri" w:eastAsia="仿宋_GB2312" w:cs="ArialUnicodeMS"/>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vAlign w:val="top"/>
          </w:tcPr>
          <w:p>
            <w:pPr>
              <w:spacing w:after="0" w:line="560" w:lineRule="exact"/>
              <w:jc w:val="center"/>
              <w:rPr>
                <w:rFonts w:ascii="仿宋_GB2312" w:hAnsi="Calibri" w:eastAsia="仿宋_GB2312" w:cs="ArialUnicodeMS"/>
                <w:kern w:val="0"/>
                <w:sz w:val="28"/>
                <w:szCs w:val="28"/>
              </w:rPr>
            </w:pPr>
            <w:r>
              <w:rPr>
                <w:rFonts w:hint="eastAsia" w:ascii="仿宋_GB2312" w:eastAsia="仿宋_GB2312" w:cs="ArialUnicodeMS" w:hAnsiTheme="minorHAnsi"/>
                <w:kern w:val="0"/>
                <w:sz w:val="28"/>
                <w:szCs w:val="28"/>
              </w:rPr>
              <w:t>1</w:t>
            </w:r>
          </w:p>
        </w:tc>
        <w:tc>
          <w:tcPr>
            <w:tcW w:w="3485" w:type="dxa"/>
            <w:vAlign w:val="top"/>
          </w:tcPr>
          <w:p>
            <w:pPr>
              <w:spacing w:after="0" w:line="560" w:lineRule="exact"/>
              <w:jc w:val="center"/>
              <w:rPr>
                <w:rFonts w:ascii="仿宋_GB2312" w:hAnsi="Calibri" w:eastAsia="仿宋_GB2312" w:cs="ArialUnicodeMS"/>
                <w:kern w:val="0"/>
                <w:sz w:val="28"/>
                <w:szCs w:val="28"/>
              </w:rPr>
            </w:pPr>
            <w:r>
              <w:rPr>
                <w:rFonts w:hint="eastAsia" w:ascii="仿宋" w:hAnsi="仿宋" w:eastAsia="仿宋" w:cs="仿宋"/>
                <w:b w:val="0"/>
                <w:bCs w:val="0"/>
                <w:kern w:val="0"/>
                <w:sz w:val="24"/>
                <w:szCs w:val="24"/>
              </w:rPr>
              <w:t>石家庄市藁城区国土资源局</w:t>
            </w:r>
          </w:p>
        </w:tc>
        <w:tc>
          <w:tcPr>
            <w:tcW w:w="2445" w:type="dxa"/>
            <w:vAlign w:val="top"/>
          </w:tcPr>
          <w:p>
            <w:pPr>
              <w:spacing w:after="0" w:line="560" w:lineRule="exact"/>
              <w:jc w:val="center"/>
              <w:rPr>
                <w:rFonts w:ascii="仿宋_GB2312" w:hAnsi="Calibri" w:eastAsia="仿宋_GB2312" w:cs="ArialUnicodeMS"/>
                <w:kern w:val="0"/>
                <w:sz w:val="28"/>
                <w:szCs w:val="28"/>
              </w:rPr>
            </w:pPr>
            <w:r>
              <w:rPr>
                <w:rFonts w:hint="eastAsia" w:ascii="仿宋" w:hAnsi="仿宋" w:eastAsia="仿宋" w:cs="仿宋"/>
                <w:b w:val="0"/>
                <w:bCs w:val="0"/>
                <w:kern w:val="0"/>
                <w:sz w:val="24"/>
                <w:szCs w:val="24"/>
                <w:lang w:eastAsia="zh-CN"/>
              </w:rPr>
              <w:t>行政单位</w:t>
            </w:r>
          </w:p>
        </w:tc>
        <w:tc>
          <w:tcPr>
            <w:tcW w:w="2665" w:type="dxa"/>
            <w:vAlign w:val="top"/>
          </w:tcPr>
          <w:p>
            <w:pPr>
              <w:spacing w:after="0" w:line="560" w:lineRule="exact"/>
              <w:jc w:val="center"/>
              <w:rPr>
                <w:rFonts w:ascii="仿宋_GB2312" w:hAnsi="Calibri" w:eastAsia="仿宋_GB2312" w:cs="ArialUnicodeMS"/>
                <w:kern w:val="0"/>
                <w:sz w:val="28"/>
                <w:szCs w:val="28"/>
              </w:rPr>
            </w:pPr>
            <w:r>
              <w:rPr>
                <w:rFonts w:hint="eastAsia" w:ascii="仿宋" w:hAnsi="仿宋" w:eastAsia="仿宋" w:cs="仿宋"/>
                <w:b w:val="0"/>
                <w:bCs w:val="0"/>
                <w:kern w:val="0"/>
                <w:sz w:val="24"/>
                <w:szCs w:val="24"/>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vAlign w:val="top"/>
          </w:tcPr>
          <w:p>
            <w:pPr>
              <w:spacing w:after="0" w:line="560" w:lineRule="exact"/>
              <w:jc w:val="center"/>
              <w:rPr>
                <w:rFonts w:ascii="仿宋_GB2312" w:hAnsi="Calibri" w:eastAsia="仿宋_GB2312" w:cs="ArialUnicodeMS"/>
                <w:kern w:val="0"/>
                <w:sz w:val="28"/>
                <w:szCs w:val="28"/>
              </w:rPr>
            </w:pPr>
            <w:r>
              <w:rPr>
                <w:rFonts w:hint="eastAsia" w:ascii="仿宋_GB2312" w:eastAsia="仿宋_GB2312" w:cs="ArialUnicodeMS" w:hAnsiTheme="minorHAnsi"/>
                <w:kern w:val="0"/>
                <w:sz w:val="28"/>
                <w:szCs w:val="28"/>
              </w:rPr>
              <w:t>2</w:t>
            </w:r>
          </w:p>
        </w:tc>
        <w:tc>
          <w:tcPr>
            <w:tcW w:w="3485" w:type="dxa"/>
            <w:vAlign w:val="center"/>
          </w:tcPr>
          <w:p>
            <w:pPr>
              <w:spacing w:after="0" w:line="560" w:lineRule="exact"/>
              <w:jc w:val="center"/>
              <w:rPr>
                <w:rFonts w:ascii="仿宋_GB2312" w:hAnsi="Calibri" w:eastAsia="仿宋_GB2312" w:cs="ArialUnicodeMS"/>
                <w:kern w:val="0"/>
                <w:sz w:val="28"/>
                <w:szCs w:val="28"/>
              </w:rPr>
            </w:pPr>
            <w:r>
              <w:rPr>
                <w:rFonts w:hint="eastAsia" w:ascii="仿宋" w:hAnsi="仿宋" w:eastAsia="仿宋" w:cs="仿宋"/>
                <w:b w:val="0"/>
                <w:bCs w:val="0"/>
                <w:kern w:val="0"/>
                <w:sz w:val="24"/>
                <w:szCs w:val="24"/>
              </w:rPr>
              <w:t>石家庄市藁城区不动产登记中心</w:t>
            </w:r>
          </w:p>
        </w:tc>
        <w:tc>
          <w:tcPr>
            <w:tcW w:w="2445" w:type="dxa"/>
            <w:vAlign w:val="center"/>
          </w:tcPr>
          <w:p>
            <w:pPr>
              <w:spacing w:after="0" w:line="560" w:lineRule="exact"/>
              <w:jc w:val="center"/>
              <w:rPr>
                <w:rFonts w:ascii="仿宋_GB2312" w:hAnsi="Calibri" w:eastAsia="仿宋_GB2312" w:cs="ArialUnicodeMS"/>
                <w:kern w:val="0"/>
                <w:sz w:val="28"/>
                <w:szCs w:val="28"/>
              </w:rPr>
            </w:pPr>
            <w:r>
              <w:rPr>
                <w:rFonts w:hint="eastAsia" w:ascii="仿宋" w:hAnsi="仿宋" w:eastAsia="仿宋" w:cs="仿宋"/>
                <w:b w:val="0"/>
                <w:bCs w:val="0"/>
                <w:kern w:val="0"/>
                <w:sz w:val="24"/>
                <w:szCs w:val="24"/>
                <w:lang w:eastAsia="zh-CN"/>
              </w:rPr>
              <w:t>财政补助</w:t>
            </w:r>
            <w:r>
              <w:rPr>
                <w:rFonts w:hint="eastAsia" w:ascii="仿宋" w:hAnsi="仿宋" w:eastAsia="仿宋" w:cs="仿宋"/>
                <w:b w:val="0"/>
                <w:bCs w:val="0"/>
                <w:kern w:val="0"/>
                <w:sz w:val="24"/>
                <w:szCs w:val="24"/>
              </w:rPr>
              <w:t>事业</w:t>
            </w:r>
            <w:r>
              <w:rPr>
                <w:rFonts w:hint="eastAsia" w:ascii="仿宋" w:hAnsi="仿宋" w:eastAsia="仿宋" w:cs="仿宋"/>
                <w:b w:val="0"/>
                <w:bCs w:val="0"/>
                <w:kern w:val="0"/>
                <w:sz w:val="24"/>
                <w:szCs w:val="24"/>
                <w:lang w:eastAsia="zh-CN"/>
              </w:rPr>
              <w:t>单位</w:t>
            </w:r>
          </w:p>
        </w:tc>
        <w:tc>
          <w:tcPr>
            <w:tcW w:w="2665" w:type="dxa"/>
            <w:vAlign w:val="center"/>
          </w:tcPr>
          <w:p>
            <w:pPr>
              <w:spacing w:after="0" w:line="560" w:lineRule="exact"/>
              <w:jc w:val="center"/>
              <w:rPr>
                <w:rFonts w:ascii="仿宋_GB2312" w:hAnsi="Calibri" w:eastAsia="仿宋_GB2312" w:cs="ArialUnicodeMS"/>
                <w:kern w:val="0"/>
                <w:sz w:val="28"/>
                <w:szCs w:val="28"/>
              </w:rPr>
            </w:pPr>
            <w:r>
              <w:rPr>
                <w:rFonts w:hint="eastAsia" w:ascii="仿宋" w:hAnsi="仿宋" w:eastAsia="仿宋" w:cs="仿宋"/>
                <w:b w:val="0"/>
                <w:bCs w:val="0"/>
                <w:kern w:val="0"/>
                <w:sz w:val="24"/>
                <w:szCs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vAlign w:val="top"/>
          </w:tcPr>
          <w:p>
            <w:pPr>
              <w:spacing w:after="0" w:line="560" w:lineRule="exact"/>
              <w:jc w:val="center"/>
              <w:rPr>
                <w:rFonts w:ascii="仿宋_GB2312" w:hAnsi="Calibri" w:eastAsia="仿宋_GB2312" w:cs="ArialUnicodeMS"/>
                <w:kern w:val="0"/>
                <w:sz w:val="28"/>
                <w:szCs w:val="28"/>
              </w:rPr>
            </w:pPr>
            <w:r>
              <w:rPr>
                <w:rFonts w:hint="eastAsia" w:ascii="仿宋_GB2312" w:eastAsia="仿宋_GB2312" w:cs="ArialUnicodeMS" w:hAnsiTheme="minorHAnsi"/>
                <w:kern w:val="0"/>
                <w:sz w:val="28"/>
                <w:szCs w:val="28"/>
              </w:rPr>
              <w:t>3</w:t>
            </w:r>
          </w:p>
        </w:tc>
        <w:tc>
          <w:tcPr>
            <w:tcW w:w="3485" w:type="dxa"/>
            <w:vAlign w:val="center"/>
          </w:tcPr>
          <w:p>
            <w:pPr>
              <w:spacing w:after="0" w:line="560" w:lineRule="exact"/>
              <w:jc w:val="center"/>
              <w:rPr>
                <w:rFonts w:ascii="仿宋_GB2312" w:hAnsi="Calibri" w:eastAsia="仿宋_GB2312" w:cs="ArialUnicodeMS"/>
                <w:kern w:val="0"/>
                <w:sz w:val="28"/>
                <w:szCs w:val="28"/>
              </w:rPr>
            </w:pPr>
            <w:r>
              <w:rPr>
                <w:rFonts w:hint="eastAsia" w:ascii="仿宋" w:hAnsi="仿宋" w:eastAsia="仿宋" w:cs="仿宋"/>
                <w:b w:val="0"/>
                <w:bCs w:val="0"/>
                <w:kern w:val="0"/>
                <w:sz w:val="24"/>
                <w:szCs w:val="24"/>
              </w:rPr>
              <w:t>石家庄市藁城区建设用地服务中心</w:t>
            </w:r>
          </w:p>
        </w:tc>
        <w:tc>
          <w:tcPr>
            <w:tcW w:w="2445" w:type="dxa"/>
            <w:vAlign w:val="center"/>
          </w:tcPr>
          <w:p>
            <w:pPr>
              <w:spacing w:after="0" w:line="560" w:lineRule="exact"/>
              <w:jc w:val="center"/>
              <w:rPr>
                <w:rFonts w:ascii="仿宋_GB2312" w:hAnsi="Calibri" w:eastAsia="仿宋_GB2312" w:cs="ArialUnicodeMS"/>
                <w:kern w:val="0"/>
                <w:sz w:val="28"/>
                <w:szCs w:val="28"/>
              </w:rPr>
            </w:pPr>
            <w:r>
              <w:rPr>
                <w:rFonts w:hint="eastAsia" w:ascii="仿宋" w:hAnsi="仿宋" w:eastAsia="仿宋" w:cs="仿宋"/>
                <w:b w:val="0"/>
                <w:bCs w:val="0"/>
                <w:kern w:val="0"/>
                <w:sz w:val="24"/>
                <w:szCs w:val="24"/>
                <w:lang w:eastAsia="zh-CN"/>
              </w:rPr>
              <w:t>财政补助</w:t>
            </w:r>
            <w:r>
              <w:rPr>
                <w:rFonts w:hint="eastAsia" w:ascii="仿宋" w:hAnsi="仿宋" w:eastAsia="仿宋" w:cs="仿宋"/>
                <w:b w:val="0"/>
                <w:bCs w:val="0"/>
                <w:kern w:val="0"/>
                <w:sz w:val="24"/>
                <w:szCs w:val="24"/>
              </w:rPr>
              <w:t>事业</w:t>
            </w:r>
            <w:r>
              <w:rPr>
                <w:rFonts w:hint="eastAsia" w:ascii="仿宋" w:hAnsi="仿宋" w:eastAsia="仿宋" w:cs="仿宋"/>
                <w:b w:val="0"/>
                <w:bCs w:val="0"/>
                <w:kern w:val="0"/>
                <w:sz w:val="24"/>
                <w:szCs w:val="24"/>
                <w:lang w:eastAsia="zh-CN"/>
              </w:rPr>
              <w:t>单位</w:t>
            </w:r>
          </w:p>
        </w:tc>
        <w:tc>
          <w:tcPr>
            <w:tcW w:w="2665" w:type="dxa"/>
            <w:vAlign w:val="center"/>
          </w:tcPr>
          <w:p>
            <w:pPr>
              <w:spacing w:after="0" w:line="560" w:lineRule="exact"/>
              <w:jc w:val="center"/>
              <w:rPr>
                <w:rFonts w:ascii="仿宋_GB2312" w:hAnsi="Calibri" w:eastAsia="仿宋_GB2312" w:cs="ArialUnicodeMS"/>
                <w:kern w:val="0"/>
                <w:sz w:val="28"/>
                <w:szCs w:val="28"/>
              </w:rPr>
            </w:pPr>
            <w:r>
              <w:rPr>
                <w:rFonts w:hint="eastAsia" w:ascii="仿宋" w:hAnsi="仿宋" w:eastAsia="仿宋" w:cs="仿宋"/>
                <w:b w:val="0"/>
                <w:bCs w:val="0"/>
                <w:kern w:val="0"/>
                <w:sz w:val="24"/>
                <w:szCs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vAlign w:val="top"/>
          </w:tcPr>
          <w:p>
            <w:pPr>
              <w:spacing w:after="0" w:line="560" w:lineRule="exact"/>
              <w:jc w:val="center"/>
              <w:rPr>
                <w:rFonts w:hint="eastAsia" w:ascii="仿宋_GB2312" w:eastAsia="仿宋_GB2312" w:cs="ArialUnicodeMS" w:hAnsiTheme="minorHAnsi"/>
                <w:kern w:val="0"/>
                <w:sz w:val="28"/>
                <w:szCs w:val="28"/>
              </w:rPr>
            </w:pPr>
            <w:r>
              <w:rPr>
                <w:rFonts w:hint="eastAsia" w:ascii="仿宋_GB2312" w:eastAsia="仿宋_GB2312" w:cs="ArialUnicodeMS"/>
                <w:kern w:val="0"/>
                <w:sz w:val="28"/>
                <w:szCs w:val="28"/>
                <w:lang w:val="en-US" w:eastAsia="zh-CN"/>
              </w:rPr>
              <w:t>4</w:t>
            </w:r>
          </w:p>
        </w:tc>
        <w:tc>
          <w:tcPr>
            <w:tcW w:w="3485" w:type="dxa"/>
            <w:vAlign w:val="center"/>
          </w:tcPr>
          <w:p>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lang w:eastAsia="zh-CN"/>
              </w:rPr>
              <w:t>石家庄市藁城区林业工作站</w:t>
            </w:r>
          </w:p>
        </w:tc>
        <w:tc>
          <w:tcPr>
            <w:tcW w:w="2445" w:type="dxa"/>
            <w:vAlign w:val="center"/>
          </w:tcPr>
          <w:p>
            <w:pPr>
              <w:spacing w:after="0" w:line="560" w:lineRule="exact"/>
              <w:jc w:val="center"/>
              <w:rPr>
                <w:rFonts w:hint="eastAsia" w:ascii="仿宋" w:hAnsi="仿宋" w:eastAsia="仿宋" w:cs="仿宋"/>
                <w:b w:val="0"/>
                <w:bCs w:val="0"/>
                <w:kern w:val="0"/>
                <w:sz w:val="24"/>
                <w:szCs w:val="24"/>
                <w:lang w:eastAsia="zh-CN"/>
              </w:rPr>
            </w:pPr>
            <w:r>
              <w:rPr>
                <w:rFonts w:hint="eastAsia" w:ascii="仿宋" w:hAnsi="仿宋" w:eastAsia="仿宋" w:cs="仿宋"/>
                <w:b w:val="0"/>
                <w:bCs w:val="0"/>
                <w:kern w:val="0"/>
                <w:sz w:val="24"/>
                <w:szCs w:val="24"/>
                <w:lang w:eastAsia="zh-CN"/>
              </w:rPr>
              <w:t>财政补助</w:t>
            </w:r>
            <w:r>
              <w:rPr>
                <w:rFonts w:hint="eastAsia" w:ascii="仿宋" w:hAnsi="仿宋" w:eastAsia="仿宋" w:cs="仿宋"/>
                <w:b w:val="0"/>
                <w:bCs w:val="0"/>
                <w:kern w:val="0"/>
                <w:sz w:val="24"/>
                <w:szCs w:val="24"/>
              </w:rPr>
              <w:t>事业</w:t>
            </w:r>
            <w:r>
              <w:rPr>
                <w:rFonts w:hint="eastAsia" w:ascii="仿宋" w:hAnsi="仿宋" w:eastAsia="仿宋" w:cs="仿宋"/>
                <w:b w:val="0"/>
                <w:bCs w:val="0"/>
                <w:kern w:val="0"/>
                <w:sz w:val="24"/>
                <w:szCs w:val="24"/>
                <w:lang w:eastAsia="zh-CN"/>
              </w:rPr>
              <w:t>单位</w:t>
            </w:r>
          </w:p>
        </w:tc>
        <w:tc>
          <w:tcPr>
            <w:tcW w:w="2665" w:type="dxa"/>
            <w:vAlign w:val="center"/>
          </w:tcPr>
          <w:p>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vAlign w:val="top"/>
          </w:tcPr>
          <w:p>
            <w:pPr>
              <w:spacing w:after="0"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lang w:val="en-US" w:eastAsia="zh-CN"/>
              </w:rPr>
              <w:t>5</w:t>
            </w:r>
          </w:p>
        </w:tc>
        <w:tc>
          <w:tcPr>
            <w:tcW w:w="3485" w:type="dxa"/>
            <w:tcBorders>
              <w:bottom w:val="single" w:color="auto" w:sz="4" w:space="0"/>
            </w:tcBorders>
            <w:vAlign w:val="center"/>
          </w:tcPr>
          <w:p>
            <w:pPr>
              <w:spacing w:after="0" w:line="560" w:lineRule="exact"/>
              <w:jc w:val="center"/>
              <w:rPr>
                <w:rFonts w:ascii="仿宋_GB2312" w:hAnsi="Calibri" w:eastAsia="仿宋_GB2312" w:cs="ArialUnicodeMS"/>
                <w:kern w:val="0"/>
                <w:sz w:val="28"/>
                <w:szCs w:val="28"/>
              </w:rPr>
            </w:pPr>
            <w:r>
              <w:rPr>
                <w:rFonts w:hint="eastAsia" w:ascii="仿宋" w:hAnsi="仿宋" w:eastAsia="仿宋" w:cs="仿宋"/>
                <w:b w:val="0"/>
                <w:bCs w:val="0"/>
                <w:kern w:val="0"/>
                <w:sz w:val="24"/>
                <w:szCs w:val="24"/>
              </w:rPr>
              <w:t>石家庄市藁城区土地储备中心</w:t>
            </w:r>
          </w:p>
        </w:tc>
        <w:tc>
          <w:tcPr>
            <w:tcW w:w="2445" w:type="dxa"/>
            <w:tcBorders>
              <w:bottom w:val="single" w:color="auto" w:sz="4" w:space="0"/>
            </w:tcBorders>
            <w:vAlign w:val="center"/>
          </w:tcPr>
          <w:p>
            <w:pPr>
              <w:spacing w:after="0" w:line="560" w:lineRule="exact"/>
              <w:jc w:val="center"/>
              <w:rPr>
                <w:rFonts w:ascii="仿宋_GB2312" w:hAnsi="Calibri" w:eastAsia="仿宋_GB2312" w:cs="ArialUnicodeMS"/>
                <w:kern w:val="0"/>
                <w:sz w:val="28"/>
                <w:szCs w:val="28"/>
              </w:rPr>
            </w:pPr>
            <w:r>
              <w:rPr>
                <w:rFonts w:hint="eastAsia" w:ascii="仿宋" w:hAnsi="仿宋" w:eastAsia="仿宋" w:cs="仿宋"/>
                <w:b w:val="0"/>
                <w:bCs w:val="0"/>
                <w:kern w:val="0"/>
                <w:sz w:val="24"/>
                <w:szCs w:val="24"/>
                <w:lang w:eastAsia="zh-CN"/>
              </w:rPr>
              <w:t>经费自理</w:t>
            </w:r>
            <w:r>
              <w:rPr>
                <w:rFonts w:hint="eastAsia" w:ascii="仿宋" w:hAnsi="仿宋" w:eastAsia="仿宋" w:cs="仿宋"/>
                <w:b w:val="0"/>
                <w:bCs w:val="0"/>
                <w:kern w:val="0"/>
                <w:sz w:val="24"/>
                <w:szCs w:val="24"/>
              </w:rPr>
              <w:t>事业</w:t>
            </w:r>
            <w:r>
              <w:rPr>
                <w:rFonts w:hint="eastAsia" w:ascii="仿宋" w:hAnsi="仿宋" w:eastAsia="仿宋" w:cs="仿宋"/>
                <w:b w:val="0"/>
                <w:bCs w:val="0"/>
                <w:kern w:val="0"/>
                <w:sz w:val="24"/>
                <w:szCs w:val="24"/>
                <w:lang w:eastAsia="zh-CN"/>
              </w:rPr>
              <w:t>单位</w:t>
            </w:r>
          </w:p>
        </w:tc>
        <w:tc>
          <w:tcPr>
            <w:tcW w:w="2665" w:type="dxa"/>
            <w:tcBorders>
              <w:bottom w:val="single" w:color="auto" w:sz="4" w:space="0"/>
            </w:tcBorders>
            <w:vAlign w:val="center"/>
          </w:tcPr>
          <w:p>
            <w:pPr>
              <w:spacing w:after="0" w:line="560" w:lineRule="exact"/>
              <w:jc w:val="center"/>
              <w:rPr>
                <w:rFonts w:ascii="仿宋_GB2312" w:hAnsi="Calibri" w:eastAsia="仿宋_GB2312" w:cs="ArialUnicodeMS"/>
                <w:kern w:val="0"/>
                <w:sz w:val="28"/>
                <w:szCs w:val="28"/>
              </w:rPr>
            </w:pPr>
            <w:r>
              <w:rPr>
                <w:rFonts w:hint="eastAsia" w:ascii="仿宋" w:hAnsi="仿宋" w:eastAsia="仿宋" w:cs="仿宋"/>
                <w:b w:val="0"/>
                <w:bCs w:val="0"/>
                <w:kern w:val="0"/>
                <w:sz w:val="24"/>
                <w:szCs w:val="24"/>
              </w:rPr>
              <w:t>财政性资金零补助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vAlign w:val="top"/>
          </w:tcPr>
          <w:p>
            <w:pPr>
              <w:spacing w:after="0" w:line="560" w:lineRule="exact"/>
              <w:jc w:val="center"/>
              <w:rPr>
                <w:rFonts w:hint="default" w:ascii="仿宋_GB2312" w:eastAsia="仿宋_GB2312" w:cs="ArialUnicodeMS" w:hAnsiTheme="minorHAnsi"/>
                <w:kern w:val="0"/>
                <w:sz w:val="28"/>
                <w:szCs w:val="28"/>
                <w:lang w:val="en-US" w:eastAsia="zh-CN"/>
              </w:rPr>
            </w:pPr>
            <w:r>
              <w:rPr>
                <w:rFonts w:hint="eastAsia" w:ascii="仿宋_GB2312" w:eastAsia="仿宋_GB2312" w:cs="ArialUnicodeMS"/>
                <w:kern w:val="0"/>
                <w:sz w:val="28"/>
                <w:szCs w:val="28"/>
                <w:lang w:val="en-US" w:eastAsia="zh-CN"/>
              </w:rPr>
              <w:t>6</w:t>
            </w:r>
          </w:p>
        </w:tc>
        <w:tc>
          <w:tcPr>
            <w:tcW w:w="3485" w:type="dxa"/>
            <w:tcBorders>
              <w:bottom w:val="single" w:color="auto" w:sz="4" w:space="0"/>
            </w:tcBorders>
            <w:vAlign w:val="center"/>
          </w:tcPr>
          <w:p>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rPr>
              <w:t>藁城区土地整理中心</w:t>
            </w:r>
          </w:p>
        </w:tc>
        <w:tc>
          <w:tcPr>
            <w:tcW w:w="2445" w:type="dxa"/>
            <w:tcBorders>
              <w:bottom w:val="single" w:color="auto" w:sz="4" w:space="0"/>
            </w:tcBorders>
            <w:vAlign w:val="center"/>
          </w:tcPr>
          <w:p>
            <w:pPr>
              <w:spacing w:after="0" w:line="560" w:lineRule="exact"/>
              <w:jc w:val="center"/>
              <w:rPr>
                <w:rFonts w:hint="eastAsia" w:ascii="仿宋" w:hAnsi="仿宋" w:eastAsia="仿宋" w:cs="仿宋"/>
                <w:b w:val="0"/>
                <w:bCs w:val="0"/>
                <w:kern w:val="0"/>
                <w:sz w:val="24"/>
                <w:szCs w:val="24"/>
                <w:lang w:eastAsia="zh-CN"/>
              </w:rPr>
            </w:pPr>
            <w:r>
              <w:rPr>
                <w:rFonts w:hint="eastAsia" w:ascii="仿宋" w:hAnsi="仿宋" w:eastAsia="仿宋" w:cs="仿宋"/>
                <w:b w:val="0"/>
                <w:bCs w:val="0"/>
                <w:kern w:val="0"/>
                <w:sz w:val="24"/>
                <w:szCs w:val="24"/>
                <w:lang w:eastAsia="zh-CN"/>
              </w:rPr>
              <w:t>经费自理</w:t>
            </w:r>
            <w:r>
              <w:rPr>
                <w:rFonts w:hint="eastAsia" w:ascii="仿宋" w:hAnsi="仿宋" w:eastAsia="仿宋" w:cs="仿宋"/>
                <w:b w:val="0"/>
                <w:bCs w:val="0"/>
                <w:kern w:val="0"/>
                <w:sz w:val="24"/>
                <w:szCs w:val="24"/>
              </w:rPr>
              <w:t>事业</w:t>
            </w:r>
            <w:r>
              <w:rPr>
                <w:rFonts w:hint="eastAsia" w:ascii="仿宋" w:hAnsi="仿宋" w:eastAsia="仿宋" w:cs="仿宋"/>
                <w:b w:val="0"/>
                <w:bCs w:val="0"/>
                <w:kern w:val="0"/>
                <w:sz w:val="24"/>
                <w:szCs w:val="24"/>
                <w:lang w:eastAsia="zh-CN"/>
              </w:rPr>
              <w:t>单位</w:t>
            </w:r>
          </w:p>
        </w:tc>
        <w:tc>
          <w:tcPr>
            <w:tcW w:w="2665" w:type="dxa"/>
            <w:tcBorders>
              <w:bottom w:val="single" w:color="auto" w:sz="4" w:space="0"/>
            </w:tcBorders>
            <w:vAlign w:val="center"/>
          </w:tcPr>
          <w:p>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rPr>
              <w:t>财政性资金零补助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vAlign w:val="top"/>
          </w:tcPr>
          <w:p>
            <w:pPr>
              <w:spacing w:after="0" w:line="560" w:lineRule="exact"/>
              <w:jc w:val="center"/>
              <w:rPr>
                <w:rFonts w:hint="default" w:ascii="仿宋_GB2312" w:eastAsia="仿宋_GB2312" w:cs="ArialUnicodeMS" w:hAnsiTheme="minorHAnsi"/>
                <w:kern w:val="0"/>
                <w:sz w:val="28"/>
                <w:szCs w:val="28"/>
                <w:lang w:val="en-US" w:eastAsia="zh-CN"/>
              </w:rPr>
            </w:pPr>
            <w:r>
              <w:rPr>
                <w:rFonts w:hint="eastAsia" w:ascii="仿宋_GB2312" w:eastAsia="仿宋_GB2312" w:cs="ArialUnicodeMS"/>
                <w:kern w:val="0"/>
                <w:sz w:val="28"/>
                <w:szCs w:val="28"/>
                <w:lang w:val="en-US" w:eastAsia="zh-CN"/>
              </w:rPr>
              <w:t>7</w:t>
            </w:r>
          </w:p>
        </w:tc>
        <w:tc>
          <w:tcPr>
            <w:tcW w:w="3485" w:type="dxa"/>
            <w:tcBorders>
              <w:bottom w:val="single" w:color="auto" w:sz="4" w:space="0"/>
            </w:tcBorders>
            <w:vAlign w:val="center"/>
          </w:tcPr>
          <w:p>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rPr>
              <w:t>石家庄市藁城区国土资源所</w:t>
            </w:r>
          </w:p>
        </w:tc>
        <w:tc>
          <w:tcPr>
            <w:tcW w:w="2445" w:type="dxa"/>
            <w:tcBorders>
              <w:bottom w:val="single" w:color="auto" w:sz="4" w:space="0"/>
            </w:tcBorders>
            <w:vAlign w:val="center"/>
          </w:tcPr>
          <w:p>
            <w:pPr>
              <w:spacing w:after="0" w:line="560" w:lineRule="exact"/>
              <w:jc w:val="center"/>
              <w:rPr>
                <w:rFonts w:hint="eastAsia" w:ascii="仿宋" w:hAnsi="仿宋" w:eastAsia="仿宋" w:cs="仿宋"/>
                <w:b w:val="0"/>
                <w:bCs w:val="0"/>
                <w:kern w:val="0"/>
                <w:sz w:val="24"/>
                <w:szCs w:val="24"/>
                <w:lang w:eastAsia="zh-CN"/>
              </w:rPr>
            </w:pPr>
            <w:r>
              <w:rPr>
                <w:rFonts w:hint="eastAsia" w:ascii="仿宋" w:hAnsi="仿宋" w:eastAsia="仿宋" w:cs="仿宋"/>
                <w:b w:val="0"/>
                <w:bCs w:val="0"/>
                <w:kern w:val="0"/>
                <w:sz w:val="24"/>
                <w:szCs w:val="24"/>
                <w:lang w:eastAsia="zh-CN"/>
              </w:rPr>
              <w:t>经费自理</w:t>
            </w:r>
            <w:r>
              <w:rPr>
                <w:rFonts w:hint="eastAsia" w:ascii="仿宋" w:hAnsi="仿宋" w:eastAsia="仿宋" w:cs="仿宋"/>
                <w:b w:val="0"/>
                <w:bCs w:val="0"/>
                <w:kern w:val="0"/>
                <w:sz w:val="24"/>
                <w:szCs w:val="24"/>
              </w:rPr>
              <w:t>事业</w:t>
            </w:r>
            <w:r>
              <w:rPr>
                <w:rFonts w:hint="eastAsia" w:ascii="仿宋" w:hAnsi="仿宋" w:eastAsia="仿宋" w:cs="仿宋"/>
                <w:b w:val="0"/>
                <w:bCs w:val="0"/>
                <w:kern w:val="0"/>
                <w:sz w:val="24"/>
                <w:szCs w:val="24"/>
                <w:lang w:eastAsia="zh-CN"/>
              </w:rPr>
              <w:t>单位</w:t>
            </w:r>
          </w:p>
        </w:tc>
        <w:tc>
          <w:tcPr>
            <w:tcW w:w="2665" w:type="dxa"/>
            <w:tcBorders>
              <w:bottom w:val="single" w:color="auto" w:sz="4" w:space="0"/>
            </w:tcBorders>
            <w:vAlign w:val="center"/>
          </w:tcPr>
          <w:p>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rPr>
              <w:t>财政性资金零补助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vAlign w:val="top"/>
          </w:tcPr>
          <w:p>
            <w:pPr>
              <w:spacing w:after="0" w:line="560" w:lineRule="exact"/>
              <w:jc w:val="center"/>
              <w:rPr>
                <w:rFonts w:hint="default" w:ascii="仿宋_GB2312" w:eastAsia="仿宋_GB2312" w:cs="ArialUnicodeMS" w:hAnsiTheme="minorHAnsi"/>
                <w:kern w:val="0"/>
                <w:sz w:val="28"/>
                <w:szCs w:val="28"/>
                <w:lang w:val="en-US" w:eastAsia="zh-CN"/>
              </w:rPr>
            </w:pPr>
            <w:r>
              <w:rPr>
                <w:rFonts w:hint="eastAsia" w:ascii="仿宋_GB2312" w:eastAsia="仿宋_GB2312" w:cs="ArialUnicodeMS"/>
                <w:kern w:val="0"/>
                <w:sz w:val="28"/>
                <w:szCs w:val="28"/>
                <w:lang w:val="en-US" w:eastAsia="zh-CN"/>
              </w:rPr>
              <w:t>8</w:t>
            </w:r>
          </w:p>
        </w:tc>
        <w:tc>
          <w:tcPr>
            <w:tcW w:w="3485" w:type="dxa"/>
            <w:tcBorders>
              <w:bottom w:val="single" w:color="auto" w:sz="4" w:space="0"/>
            </w:tcBorders>
            <w:vAlign w:val="center"/>
          </w:tcPr>
          <w:p>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rPr>
              <w:t>藁城市矿产资源管理所</w:t>
            </w:r>
          </w:p>
        </w:tc>
        <w:tc>
          <w:tcPr>
            <w:tcW w:w="2445" w:type="dxa"/>
            <w:tcBorders>
              <w:bottom w:val="single" w:color="auto" w:sz="4" w:space="0"/>
            </w:tcBorders>
            <w:vAlign w:val="center"/>
          </w:tcPr>
          <w:p>
            <w:pPr>
              <w:spacing w:after="0" w:line="560" w:lineRule="exact"/>
              <w:jc w:val="center"/>
              <w:rPr>
                <w:rFonts w:hint="eastAsia" w:ascii="仿宋" w:hAnsi="仿宋" w:eastAsia="仿宋" w:cs="仿宋"/>
                <w:b w:val="0"/>
                <w:bCs w:val="0"/>
                <w:kern w:val="0"/>
                <w:sz w:val="24"/>
                <w:szCs w:val="24"/>
                <w:lang w:eastAsia="zh-CN"/>
              </w:rPr>
            </w:pPr>
            <w:r>
              <w:rPr>
                <w:rFonts w:hint="eastAsia" w:ascii="仿宋" w:hAnsi="仿宋" w:eastAsia="仿宋" w:cs="仿宋"/>
                <w:b w:val="0"/>
                <w:bCs w:val="0"/>
                <w:kern w:val="0"/>
                <w:sz w:val="24"/>
                <w:szCs w:val="24"/>
                <w:lang w:eastAsia="zh-CN"/>
              </w:rPr>
              <w:t>经费自理</w:t>
            </w:r>
            <w:r>
              <w:rPr>
                <w:rFonts w:hint="eastAsia" w:ascii="仿宋" w:hAnsi="仿宋" w:eastAsia="仿宋" w:cs="仿宋"/>
                <w:b w:val="0"/>
                <w:bCs w:val="0"/>
                <w:kern w:val="0"/>
                <w:sz w:val="24"/>
                <w:szCs w:val="24"/>
              </w:rPr>
              <w:t>事业</w:t>
            </w:r>
            <w:r>
              <w:rPr>
                <w:rFonts w:hint="eastAsia" w:ascii="仿宋" w:hAnsi="仿宋" w:eastAsia="仿宋" w:cs="仿宋"/>
                <w:b w:val="0"/>
                <w:bCs w:val="0"/>
                <w:kern w:val="0"/>
                <w:sz w:val="24"/>
                <w:szCs w:val="24"/>
                <w:lang w:eastAsia="zh-CN"/>
              </w:rPr>
              <w:t>单位</w:t>
            </w:r>
          </w:p>
        </w:tc>
        <w:tc>
          <w:tcPr>
            <w:tcW w:w="2665" w:type="dxa"/>
            <w:tcBorders>
              <w:bottom w:val="single" w:color="auto" w:sz="4" w:space="0"/>
            </w:tcBorders>
            <w:vAlign w:val="center"/>
          </w:tcPr>
          <w:p>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rPr>
              <w:t>财政性资金零补助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vAlign w:val="top"/>
          </w:tcPr>
          <w:p>
            <w:pPr>
              <w:spacing w:after="0" w:line="560" w:lineRule="exact"/>
              <w:jc w:val="center"/>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9</w:t>
            </w:r>
          </w:p>
        </w:tc>
        <w:tc>
          <w:tcPr>
            <w:tcW w:w="3485" w:type="dxa"/>
            <w:tcBorders>
              <w:bottom w:val="single" w:color="auto" w:sz="4" w:space="0"/>
            </w:tcBorders>
            <w:vAlign w:val="center"/>
          </w:tcPr>
          <w:p>
            <w:pPr>
              <w:spacing w:after="0" w:line="560" w:lineRule="exact"/>
              <w:jc w:val="center"/>
              <w:rPr>
                <w:rFonts w:hint="eastAsia" w:ascii="仿宋" w:hAnsi="仿宋" w:eastAsia="仿宋" w:cs="仿宋"/>
                <w:b w:val="0"/>
                <w:bCs w:val="0"/>
                <w:kern w:val="0"/>
                <w:sz w:val="24"/>
                <w:szCs w:val="24"/>
                <w:lang w:eastAsia="zh-CN"/>
              </w:rPr>
            </w:pPr>
            <w:r>
              <w:rPr>
                <w:rFonts w:hint="eastAsia" w:ascii="仿宋" w:hAnsi="仿宋" w:eastAsia="仿宋" w:cs="仿宋"/>
                <w:b w:val="0"/>
                <w:bCs w:val="0"/>
                <w:kern w:val="0"/>
                <w:sz w:val="24"/>
                <w:szCs w:val="24"/>
                <w:lang w:eastAsia="zh-CN"/>
              </w:rPr>
              <w:t>藁城区苗圃场</w:t>
            </w:r>
          </w:p>
        </w:tc>
        <w:tc>
          <w:tcPr>
            <w:tcW w:w="2445" w:type="dxa"/>
            <w:tcBorders>
              <w:bottom w:val="single" w:color="auto" w:sz="4" w:space="0"/>
            </w:tcBorders>
            <w:vAlign w:val="center"/>
          </w:tcPr>
          <w:p>
            <w:pPr>
              <w:spacing w:after="0" w:line="560" w:lineRule="exact"/>
              <w:jc w:val="center"/>
              <w:rPr>
                <w:rFonts w:hint="eastAsia" w:ascii="仿宋" w:hAnsi="仿宋" w:eastAsia="仿宋" w:cs="仿宋"/>
                <w:b w:val="0"/>
                <w:bCs w:val="0"/>
                <w:kern w:val="0"/>
                <w:sz w:val="24"/>
                <w:szCs w:val="24"/>
                <w:lang w:eastAsia="zh-CN"/>
              </w:rPr>
            </w:pPr>
            <w:r>
              <w:rPr>
                <w:rFonts w:hint="eastAsia" w:ascii="仿宋" w:hAnsi="仿宋" w:eastAsia="仿宋" w:cs="仿宋"/>
                <w:b w:val="0"/>
                <w:bCs w:val="0"/>
                <w:kern w:val="0"/>
                <w:sz w:val="24"/>
                <w:szCs w:val="24"/>
                <w:lang w:eastAsia="zh-CN"/>
              </w:rPr>
              <w:t>经费自理</w:t>
            </w:r>
            <w:r>
              <w:rPr>
                <w:rFonts w:hint="eastAsia" w:ascii="仿宋" w:hAnsi="仿宋" w:eastAsia="仿宋" w:cs="仿宋"/>
                <w:b w:val="0"/>
                <w:bCs w:val="0"/>
                <w:kern w:val="0"/>
                <w:sz w:val="24"/>
                <w:szCs w:val="24"/>
              </w:rPr>
              <w:t>事业</w:t>
            </w:r>
            <w:r>
              <w:rPr>
                <w:rFonts w:hint="eastAsia" w:ascii="仿宋" w:hAnsi="仿宋" w:eastAsia="仿宋" w:cs="仿宋"/>
                <w:b w:val="0"/>
                <w:bCs w:val="0"/>
                <w:kern w:val="0"/>
                <w:sz w:val="24"/>
                <w:szCs w:val="24"/>
                <w:lang w:eastAsia="zh-CN"/>
              </w:rPr>
              <w:t>单位</w:t>
            </w:r>
          </w:p>
        </w:tc>
        <w:tc>
          <w:tcPr>
            <w:tcW w:w="2665" w:type="dxa"/>
            <w:tcBorders>
              <w:bottom w:val="single" w:color="auto" w:sz="4" w:space="0"/>
            </w:tcBorders>
            <w:vAlign w:val="center"/>
          </w:tcPr>
          <w:p>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rPr>
              <w:t>财政性资金零补助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6" w:type="first"/>
          <w:headerReference r:id="rId14" w:type="default"/>
          <w:footerReference r:id="rId15"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rPr>
          <w:rFonts w:ascii="Times New Roman" w:hAnsi="Times New Roman" w:eastAsia="黑体" w:cs="Times New Roman"/>
          <w:sz w:val="32"/>
          <w:szCs w:val="32"/>
        </w:rPr>
        <w:sectPr>
          <w:headerReference r:id="rId17"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8528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8528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43727974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43727974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29"/>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highlight w:val="none"/>
          <w:lang w:val="en-US" w:eastAsia="zh-CN"/>
        </w:rPr>
        <w:t>79725.32</w:t>
      </w:r>
      <w:r>
        <w:rPr>
          <w:rFonts w:hint="eastAsia" w:ascii="仿宋_GB2312" w:hAnsi="Times New Roman" w:eastAsia="仿宋_GB2312" w:cs="DengXian-Regular"/>
          <w:sz w:val="32"/>
          <w:szCs w:val="32"/>
        </w:rPr>
        <w:t>万元。与2018年度决算相比，收支各增加</w:t>
      </w:r>
      <w:r>
        <w:rPr>
          <w:rFonts w:hint="eastAsia" w:ascii="仿宋_GB2312" w:hAnsi="Times New Roman" w:eastAsia="仿宋_GB2312" w:cs="DengXian-Regular"/>
          <w:sz w:val="32"/>
          <w:szCs w:val="32"/>
          <w:lang w:val="en-US" w:eastAsia="zh-CN"/>
        </w:rPr>
        <w:t>29806.84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74.77</w:t>
      </w:r>
      <w:r>
        <w:rPr>
          <w:rFonts w:hint="eastAsia" w:ascii="仿宋_GB2312" w:hAnsi="Times New Roman" w:eastAsia="仿宋_GB2312" w:cs="DengXian-Regular"/>
          <w:sz w:val="32"/>
          <w:szCs w:val="32"/>
        </w:rPr>
        <w:t>%，主要原因是</w:t>
      </w:r>
      <w:r>
        <w:rPr>
          <w:rFonts w:hint="eastAsia" w:ascii="仿宋" w:hAnsi="仿宋" w:eastAsia="仿宋"/>
          <w:sz w:val="32"/>
          <w:szCs w:val="32"/>
          <w:highlight w:val="none"/>
          <w:lang w:eastAsia="zh-CN"/>
        </w:rPr>
        <w:t>机构改革单位合并，</w:t>
      </w:r>
      <w:r>
        <w:rPr>
          <w:rFonts w:hint="eastAsia" w:ascii="仿宋" w:hAnsi="仿宋" w:eastAsia="仿宋"/>
          <w:sz w:val="32"/>
          <w:szCs w:val="32"/>
          <w:highlight w:val="none"/>
        </w:rPr>
        <w:t>人员经费支出</w:t>
      </w:r>
      <w:r>
        <w:rPr>
          <w:rFonts w:hint="eastAsia" w:ascii="仿宋" w:hAnsi="仿宋" w:eastAsia="仿宋"/>
          <w:sz w:val="32"/>
          <w:szCs w:val="32"/>
          <w:highlight w:val="none"/>
          <w:lang w:eastAsia="zh-CN"/>
        </w:rPr>
        <w:t>增加；土地补偿金、占补平衡指标费支出增加</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default" w:ascii="黑体" w:hAnsi="Calibri" w:eastAsia="黑体" w:cs="Times New Roman"/>
          <w:b/>
          <w:bCs/>
          <w:sz w:val="32"/>
          <w:szCs w:val="32"/>
          <w:lang w:val="en-US"/>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37496.18</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37496.18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39834.98</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764.22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1.92</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39070.76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98.08</w:t>
      </w:r>
      <w:r>
        <w:rPr>
          <w:rFonts w:hint="eastAsia" w:ascii="仿宋_GB2312" w:hAnsi="Times New Roman" w:eastAsia="仿宋_GB2312" w:cs="DengXian-Regular"/>
          <w:sz w:val="32"/>
          <w:szCs w:val="32"/>
        </w:rPr>
        <w:t>%。如图所示：</w:t>
      </w:r>
    </w:p>
    <w:p>
      <w:pPr>
        <w:adjustRightInd w:val="0"/>
        <w:snapToGrid w:val="0"/>
        <w:spacing w:line="580" w:lineRule="exact"/>
        <w:ind w:firstLine="1920" w:firstLineChars="600"/>
        <w:rPr>
          <w:rFonts w:ascii="黑体" w:hAnsi="Calibri" w:eastAsia="黑体" w:cs="Times New Roman"/>
          <w:b/>
          <w:bCs/>
          <w:sz w:val="32"/>
          <w:szCs w:val="32"/>
        </w:rPr>
      </w:pPr>
      <w:r>
        <w:rPr>
          <w:rFonts w:hint="eastAsia" w:ascii="仿宋_GB2312" w:hAnsi="Times New Roman" w:eastAsia="仿宋_GB2312" w:cs="DengXian-Regular"/>
          <w:sz w:val="32"/>
          <w:szCs w:val="32"/>
          <w:lang w:eastAsia="zh-CN"/>
        </w:rPr>
        <w:drawing>
          <wp:anchor distT="0" distB="0" distL="114300" distR="114300" simplePos="0" relativeHeight="437283840" behindDoc="0" locked="0" layoutInCell="1" allowOverlap="1">
            <wp:simplePos x="0" y="0"/>
            <wp:positionH relativeFrom="column">
              <wp:posOffset>1006475</wp:posOffset>
            </wp:positionH>
            <wp:positionV relativeFrom="paragraph">
              <wp:posOffset>454025</wp:posOffset>
            </wp:positionV>
            <wp:extent cx="3872865" cy="2656840"/>
            <wp:effectExtent l="4445" t="4445" r="8890" b="5715"/>
            <wp:wrapTopAndBottom/>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37496.18</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29121.05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77.66</w:t>
      </w:r>
      <w:r>
        <w:rPr>
          <w:rFonts w:hint="eastAsia" w:ascii="仿宋_GB2312" w:hAnsi="Times New Roman" w:eastAsia="仿宋_GB2312" w:cs="DengXian-Regular"/>
          <w:sz w:val="32"/>
          <w:szCs w:val="32"/>
        </w:rPr>
        <w:t>%，主要是</w:t>
      </w:r>
      <w:r>
        <w:rPr>
          <w:rFonts w:hint="eastAsia" w:ascii="仿宋" w:hAnsi="仿宋" w:eastAsia="仿宋"/>
          <w:sz w:val="32"/>
          <w:szCs w:val="32"/>
          <w:highlight w:val="none"/>
          <w:lang w:eastAsia="zh-CN"/>
        </w:rPr>
        <w:t>改革单位合并，</w:t>
      </w:r>
      <w:r>
        <w:rPr>
          <w:rFonts w:hint="eastAsia" w:ascii="仿宋" w:hAnsi="仿宋" w:eastAsia="仿宋"/>
          <w:sz w:val="32"/>
          <w:szCs w:val="32"/>
          <w:highlight w:val="none"/>
        </w:rPr>
        <w:t>人员经费支出</w:t>
      </w:r>
      <w:r>
        <w:rPr>
          <w:rFonts w:hint="eastAsia" w:ascii="仿宋" w:hAnsi="仿宋" w:eastAsia="仿宋"/>
          <w:sz w:val="32"/>
          <w:szCs w:val="32"/>
          <w:highlight w:val="none"/>
          <w:lang w:eastAsia="zh-CN"/>
        </w:rPr>
        <w:t>增加；土地补偿金、占补平衡指标费支出增加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39834.98</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31329.43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78.65</w:t>
      </w:r>
      <w:r>
        <w:rPr>
          <w:rFonts w:hint="eastAsia" w:ascii="仿宋_GB2312" w:hAnsi="Times New Roman" w:eastAsia="仿宋_GB2312" w:cs="DengXian-Regular"/>
          <w:sz w:val="32"/>
          <w:szCs w:val="32"/>
        </w:rPr>
        <w:t>%，主要是</w:t>
      </w:r>
      <w:r>
        <w:rPr>
          <w:rFonts w:hint="eastAsia" w:ascii="仿宋" w:hAnsi="仿宋" w:eastAsia="仿宋"/>
          <w:sz w:val="32"/>
          <w:szCs w:val="32"/>
          <w:highlight w:val="none"/>
          <w:lang w:eastAsia="zh-CN"/>
        </w:rPr>
        <w:t>机构改革单位合并，</w:t>
      </w:r>
      <w:r>
        <w:rPr>
          <w:rFonts w:hint="eastAsia" w:ascii="仿宋" w:hAnsi="仿宋" w:eastAsia="仿宋"/>
          <w:sz w:val="32"/>
          <w:szCs w:val="32"/>
          <w:highlight w:val="none"/>
        </w:rPr>
        <w:t>人员经费支出</w:t>
      </w:r>
      <w:r>
        <w:rPr>
          <w:rFonts w:hint="eastAsia" w:ascii="仿宋" w:hAnsi="仿宋" w:eastAsia="仿宋"/>
          <w:sz w:val="32"/>
          <w:szCs w:val="32"/>
          <w:highlight w:val="none"/>
          <w:lang w:eastAsia="zh-CN"/>
        </w:rPr>
        <w:t>增加；土地补偿金、占补平衡指标费支出增加</w:t>
      </w:r>
      <w:r>
        <w:rPr>
          <w:rFonts w:hint="eastAsia" w:ascii="仿宋_GB2312" w:hAnsi="Times New Roman" w:eastAsia="仿宋_GB2312" w:cs="DengXian-Regular"/>
          <w:sz w:val="32"/>
          <w:szCs w:val="32"/>
        </w:rPr>
        <w:t>。具体情况如下：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hint="eastAsia" w:ascii="仿宋_GB2312" w:hAnsi="Times New Roman" w:eastAsia="仿宋_GB2312" w:cs="DengXian-Regular"/>
          <w:sz w:val="32"/>
          <w:szCs w:val="32"/>
          <w:lang w:val="en-US" w:eastAsia="zh-CN"/>
        </w:rPr>
        <w:t>8408.07</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6261.18</w:t>
      </w:r>
      <w:r>
        <w:rPr>
          <w:rFonts w:hint="eastAsia" w:ascii="仿宋_GB2312" w:hAnsi="Times New Roman" w:eastAsia="仿宋_GB2312" w:cs="DengXian-Regular"/>
          <w:sz w:val="32"/>
          <w:szCs w:val="32"/>
        </w:rPr>
        <w:t>万元；主要是</w:t>
      </w:r>
      <w:r>
        <w:rPr>
          <w:rFonts w:hint="eastAsia" w:ascii="仿宋" w:hAnsi="仿宋" w:eastAsia="仿宋"/>
          <w:sz w:val="32"/>
          <w:szCs w:val="32"/>
          <w:highlight w:val="none"/>
          <w:lang w:eastAsia="zh-CN"/>
        </w:rPr>
        <w:t>改革单位合并，</w:t>
      </w:r>
      <w:r>
        <w:rPr>
          <w:rFonts w:hint="eastAsia" w:ascii="仿宋" w:hAnsi="仿宋" w:eastAsia="仿宋"/>
          <w:sz w:val="32"/>
          <w:szCs w:val="32"/>
          <w:highlight w:val="none"/>
        </w:rPr>
        <w:t>人员经费支出</w:t>
      </w:r>
      <w:r>
        <w:rPr>
          <w:rFonts w:hint="eastAsia" w:ascii="仿宋" w:hAnsi="仿宋" w:eastAsia="仿宋"/>
          <w:sz w:val="32"/>
          <w:szCs w:val="32"/>
          <w:highlight w:val="none"/>
          <w:lang w:eastAsia="zh-CN"/>
        </w:rPr>
        <w:t>增加；土地补偿金、占补平衡指标费支出增加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10746.87</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8932.73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83.11</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，主要是</w:t>
      </w:r>
      <w:r>
        <w:rPr>
          <w:rFonts w:hint="eastAsia" w:ascii="仿宋" w:hAnsi="仿宋" w:eastAsia="仿宋"/>
          <w:sz w:val="32"/>
          <w:szCs w:val="32"/>
          <w:highlight w:val="none"/>
        </w:rPr>
        <w:t>人员经费支出</w:t>
      </w:r>
      <w:r>
        <w:rPr>
          <w:rFonts w:hint="eastAsia" w:ascii="仿宋" w:hAnsi="仿宋" w:eastAsia="仿宋"/>
          <w:sz w:val="32"/>
          <w:szCs w:val="32"/>
          <w:highlight w:val="none"/>
          <w:lang w:eastAsia="zh-CN"/>
        </w:rPr>
        <w:t>增加；土地补偿金、占补平衡指标费支出增加。</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w:t>
      </w:r>
      <w:r>
        <w:rPr>
          <w:rFonts w:hint="eastAsia" w:ascii="仿宋_GB2312" w:hAnsi="Times New Roman" w:eastAsia="仿宋_GB2312" w:cs="DengXian-Regular"/>
          <w:sz w:val="32"/>
          <w:szCs w:val="32"/>
          <w:lang w:val="en-US" w:eastAsia="zh-CN"/>
        </w:rPr>
        <w:t>29088.11</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22859.88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78.59</w:t>
      </w:r>
      <w:r>
        <w:rPr>
          <w:rFonts w:hint="eastAsia" w:ascii="仿宋_GB2312" w:hAnsi="Times New Roman" w:eastAsia="仿宋_GB2312" w:cs="DengXian-Regular"/>
          <w:sz w:val="32"/>
          <w:szCs w:val="32"/>
        </w:rPr>
        <w:t>%，主要原因是</w:t>
      </w:r>
      <w:r>
        <w:rPr>
          <w:rFonts w:hint="eastAsia" w:ascii="仿宋" w:hAnsi="仿宋" w:eastAsia="仿宋"/>
          <w:sz w:val="32"/>
          <w:szCs w:val="32"/>
          <w:highlight w:val="none"/>
          <w:lang w:eastAsia="zh-CN"/>
        </w:rPr>
        <w:t>改革单位合并，</w:t>
      </w:r>
      <w:r>
        <w:rPr>
          <w:rFonts w:hint="eastAsia" w:ascii="仿宋" w:hAnsi="仿宋" w:eastAsia="仿宋"/>
          <w:sz w:val="32"/>
          <w:szCs w:val="32"/>
          <w:highlight w:val="none"/>
        </w:rPr>
        <w:t>人员经费支出</w:t>
      </w:r>
      <w:r>
        <w:rPr>
          <w:rFonts w:hint="eastAsia" w:ascii="仿宋" w:hAnsi="仿宋" w:eastAsia="仿宋"/>
          <w:sz w:val="32"/>
          <w:szCs w:val="32"/>
          <w:highlight w:val="none"/>
          <w:lang w:eastAsia="zh-CN"/>
        </w:rPr>
        <w:t>增加；土地补偿金、占补平衡指标费支出增加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29088.11</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22396.69</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77</w:t>
      </w:r>
      <w:r>
        <w:rPr>
          <w:rFonts w:hint="eastAsia" w:ascii="仿宋_GB2312" w:hAnsi="Times New Roman" w:eastAsia="仿宋_GB2312" w:cs="DengXian-Regular"/>
          <w:sz w:val="32"/>
          <w:szCs w:val="32"/>
        </w:rPr>
        <w:t>%，主要是</w:t>
      </w:r>
      <w:r>
        <w:rPr>
          <w:rFonts w:hint="eastAsia" w:ascii="仿宋" w:hAnsi="仿宋" w:eastAsia="仿宋"/>
          <w:sz w:val="32"/>
          <w:szCs w:val="32"/>
          <w:highlight w:val="none"/>
          <w:lang w:eastAsia="zh-CN"/>
        </w:rPr>
        <w:t>机构改革单位合并，</w:t>
      </w:r>
      <w:r>
        <w:rPr>
          <w:rFonts w:hint="eastAsia" w:ascii="仿宋" w:hAnsi="仿宋" w:eastAsia="仿宋"/>
          <w:sz w:val="32"/>
          <w:szCs w:val="32"/>
          <w:highlight w:val="none"/>
        </w:rPr>
        <w:t>人员经费支出</w:t>
      </w:r>
      <w:r>
        <w:rPr>
          <w:rFonts w:hint="eastAsia" w:ascii="仿宋" w:hAnsi="仿宋" w:eastAsia="仿宋"/>
          <w:sz w:val="32"/>
          <w:szCs w:val="32"/>
          <w:highlight w:val="none"/>
          <w:lang w:eastAsia="zh-CN"/>
        </w:rPr>
        <w:t>增加；土地补偿金、占补平衡指标费支出增加</w:t>
      </w:r>
      <w:r>
        <w:rPr>
          <w:rFonts w:hint="eastAsia" w:ascii="仿宋_GB2312" w:hAnsi="Times New Roman" w:eastAsia="仿宋_GB2312" w:cs="DengXian-Regular"/>
          <w:sz w:val="32"/>
          <w:szCs w:val="32"/>
        </w:rPr>
        <w:t>。</w:t>
      </w: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lang w:eastAsia="zh-CN"/>
        </w:rPr>
        <w:drawing>
          <wp:anchor distT="0" distB="0" distL="114300" distR="114300" simplePos="0" relativeHeight="437284864" behindDoc="0" locked="0" layoutInCell="1" allowOverlap="1">
            <wp:simplePos x="0" y="0"/>
            <wp:positionH relativeFrom="column">
              <wp:posOffset>-35560</wp:posOffset>
            </wp:positionH>
            <wp:positionV relativeFrom="paragraph">
              <wp:posOffset>97155</wp:posOffset>
            </wp:positionV>
            <wp:extent cx="4971415" cy="2853690"/>
            <wp:effectExtent l="4445" t="4445" r="7620" b="6985"/>
            <wp:wrapTopAndBottom/>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snapToGrid w:val="0"/>
        <w:spacing w:line="580" w:lineRule="exact"/>
        <w:ind w:firstLine="643" w:firstLineChars="200"/>
        <w:rPr>
          <w:rFonts w:hint="eastAsia" w:ascii="楷体_GB2312" w:hAnsi="Times New Roman" w:eastAsia="楷体_GB2312" w:cs="DengXian-Bold"/>
          <w:b/>
          <w:bCs/>
          <w:sz w:val="32"/>
          <w:szCs w:val="32"/>
          <w:lang w:eastAsia="zh-CN"/>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37496.18</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240.99</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21936.67</w:t>
      </w:r>
      <w:r>
        <w:rPr>
          <w:rFonts w:hint="eastAsia" w:ascii="仿宋_GB2312" w:hAnsi="Times New Roman" w:eastAsia="仿宋_GB2312" w:cs="DengXian-Regular"/>
          <w:sz w:val="32"/>
          <w:szCs w:val="32"/>
        </w:rPr>
        <w:t>万元，决算数大于预算数主要原因是</w:t>
      </w:r>
      <w:r>
        <w:rPr>
          <w:rFonts w:hint="eastAsia" w:ascii="仿宋" w:hAnsi="仿宋" w:eastAsia="仿宋"/>
          <w:sz w:val="32"/>
          <w:szCs w:val="32"/>
          <w:highlight w:val="none"/>
          <w:lang w:eastAsia="zh-CN"/>
        </w:rPr>
        <w:t>改革单位合并，</w:t>
      </w:r>
      <w:r>
        <w:rPr>
          <w:rFonts w:hint="eastAsia" w:ascii="仿宋" w:hAnsi="仿宋" w:eastAsia="仿宋"/>
          <w:sz w:val="32"/>
          <w:szCs w:val="32"/>
          <w:highlight w:val="none"/>
        </w:rPr>
        <w:t>人员经费支出</w:t>
      </w:r>
      <w:r>
        <w:rPr>
          <w:rFonts w:hint="eastAsia" w:ascii="仿宋" w:hAnsi="仿宋" w:eastAsia="仿宋"/>
          <w:sz w:val="32"/>
          <w:szCs w:val="32"/>
          <w:highlight w:val="none"/>
          <w:lang w:eastAsia="zh-CN"/>
        </w:rPr>
        <w:t>增加；土地补偿金、占补平衡指标费支出增加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39834.98</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256.02</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24275.47</w:t>
      </w:r>
      <w:r>
        <w:rPr>
          <w:rFonts w:hint="eastAsia" w:ascii="仿宋_GB2312" w:hAnsi="Times New Roman" w:eastAsia="仿宋_GB2312" w:cs="DengXian-Regular"/>
          <w:sz w:val="32"/>
          <w:szCs w:val="32"/>
        </w:rPr>
        <w:t>万元，决算数大于（小于）预算数主要原因是</w:t>
      </w:r>
      <w:r>
        <w:rPr>
          <w:rFonts w:hint="eastAsia" w:ascii="仿宋" w:hAnsi="仿宋" w:eastAsia="仿宋"/>
          <w:sz w:val="32"/>
          <w:szCs w:val="32"/>
          <w:highlight w:val="none"/>
          <w:lang w:eastAsia="zh-CN"/>
        </w:rPr>
        <w:t>机构改革单位合并，</w:t>
      </w:r>
      <w:r>
        <w:rPr>
          <w:rFonts w:hint="eastAsia" w:ascii="仿宋" w:hAnsi="仿宋" w:eastAsia="仿宋"/>
          <w:sz w:val="32"/>
          <w:szCs w:val="32"/>
          <w:highlight w:val="none"/>
        </w:rPr>
        <w:t>人员经费支出</w:t>
      </w:r>
      <w:r>
        <w:rPr>
          <w:rFonts w:hint="eastAsia" w:ascii="仿宋" w:hAnsi="仿宋" w:eastAsia="仿宋"/>
          <w:sz w:val="32"/>
          <w:szCs w:val="32"/>
          <w:highlight w:val="none"/>
          <w:lang w:eastAsia="zh-CN"/>
        </w:rPr>
        <w:t>增加；土地补偿金、占补平衡指标费支出增加</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85.47</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1429.12</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highlight w:val="none"/>
          <w:lang w:eastAsia="zh-CN"/>
        </w:rPr>
        <w:t>滹沱河二期工程实施造成经济林及环城林带面积的减少</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109.25</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909.68</w:t>
      </w:r>
      <w:r>
        <w:rPr>
          <w:rFonts w:hint="eastAsia" w:ascii="仿宋_GB2312" w:hAnsi="Times New Roman" w:eastAsia="仿宋_GB2312" w:cs="DengXian-Regular"/>
          <w:sz w:val="32"/>
          <w:szCs w:val="32"/>
        </w:rPr>
        <w:t>万元，主要是</w:t>
      </w:r>
      <w:r>
        <w:rPr>
          <w:rFonts w:hint="eastAsia" w:ascii="仿宋" w:hAnsi="仿宋" w:eastAsia="仿宋"/>
          <w:sz w:val="32"/>
          <w:szCs w:val="32"/>
          <w:highlight w:val="none"/>
          <w:lang w:eastAsia="zh-CN"/>
        </w:rPr>
        <w:t>机构改革单位合并，</w:t>
      </w:r>
      <w:r>
        <w:rPr>
          <w:rFonts w:hint="eastAsia" w:ascii="仿宋" w:hAnsi="仿宋" w:eastAsia="仿宋"/>
          <w:sz w:val="32"/>
          <w:szCs w:val="32"/>
          <w:highlight w:val="none"/>
        </w:rPr>
        <w:t>人员经费支出</w:t>
      </w:r>
      <w:r>
        <w:rPr>
          <w:rFonts w:hint="eastAsia" w:ascii="仿宋" w:hAnsi="仿宋" w:eastAsia="仿宋"/>
          <w:sz w:val="32"/>
          <w:szCs w:val="32"/>
          <w:highlight w:val="none"/>
          <w:lang w:eastAsia="zh-CN"/>
        </w:rPr>
        <w:t>和林业补助资金增加</w:t>
      </w:r>
      <w:r>
        <w:rPr>
          <w:rFonts w:hint="eastAsia" w:ascii="仿宋_GB2312" w:hAnsi="Times New Roman" w:eastAsia="仿宋_GB2312" w:cs="DengXian-Regular"/>
          <w:sz w:val="32"/>
          <w:szCs w:val="32"/>
        </w:rPr>
        <w:t>。</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w:t>
      </w:r>
      <w:r>
        <w:rPr>
          <w:rFonts w:hint="eastAsia" w:ascii="仿宋_GB2312" w:hAnsi="Times New Roman" w:eastAsia="仿宋_GB2312" w:cs="DengXian-Regular"/>
          <w:sz w:val="32"/>
          <w:szCs w:val="32"/>
          <w:lang w:val="en-US" w:eastAsia="zh-CN"/>
        </w:rPr>
        <w:t>508.33</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23365.79</w:t>
      </w:r>
      <w:r>
        <w:rPr>
          <w:rFonts w:hint="eastAsia" w:ascii="仿宋_GB2312" w:hAnsi="Times New Roman" w:eastAsia="仿宋_GB2312" w:cs="DengXian-Regular"/>
          <w:sz w:val="32"/>
          <w:szCs w:val="32"/>
        </w:rPr>
        <w:t>万元，主要是</w:t>
      </w:r>
      <w:r>
        <w:rPr>
          <w:rFonts w:hint="eastAsia" w:ascii="仿宋" w:hAnsi="仿宋" w:eastAsia="仿宋"/>
          <w:sz w:val="32"/>
          <w:szCs w:val="32"/>
          <w:highlight w:val="none"/>
        </w:rPr>
        <w:t>人员经费支出</w:t>
      </w:r>
      <w:r>
        <w:rPr>
          <w:rFonts w:hint="eastAsia" w:ascii="仿宋" w:hAnsi="仿宋" w:eastAsia="仿宋"/>
          <w:sz w:val="32"/>
          <w:szCs w:val="32"/>
          <w:highlight w:val="none"/>
          <w:lang w:eastAsia="zh-CN"/>
        </w:rPr>
        <w:t>增加；土地补偿金、占补平衡指标费支出增加</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508.33</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23365.79</w:t>
      </w:r>
      <w:r>
        <w:rPr>
          <w:rFonts w:hint="eastAsia" w:ascii="仿宋_GB2312" w:hAnsi="Times New Roman" w:eastAsia="仿宋_GB2312" w:cs="DengXian-Regular"/>
          <w:sz w:val="32"/>
          <w:szCs w:val="32"/>
        </w:rPr>
        <w:t>万元，主要是</w:t>
      </w:r>
      <w:r>
        <w:rPr>
          <w:rFonts w:hint="eastAsia" w:ascii="仿宋" w:hAnsi="仿宋" w:eastAsia="仿宋"/>
          <w:sz w:val="32"/>
          <w:szCs w:val="32"/>
          <w:highlight w:val="none"/>
          <w:lang w:eastAsia="zh-CN"/>
        </w:rPr>
        <w:t>机构改革单位合并，</w:t>
      </w:r>
      <w:r>
        <w:rPr>
          <w:rFonts w:hint="eastAsia" w:ascii="仿宋" w:hAnsi="仿宋" w:eastAsia="仿宋"/>
          <w:sz w:val="32"/>
          <w:szCs w:val="32"/>
          <w:highlight w:val="none"/>
        </w:rPr>
        <w:t>人员经费支出</w:t>
      </w:r>
      <w:r>
        <w:rPr>
          <w:rFonts w:hint="eastAsia" w:ascii="仿宋" w:hAnsi="仿宋" w:eastAsia="仿宋"/>
          <w:sz w:val="32"/>
          <w:szCs w:val="32"/>
          <w:highlight w:val="none"/>
          <w:lang w:eastAsia="zh-CN"/>
        </w:rPr>
        <w:t>增加；土地补偿金、占补平衡指标费支出增加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highlight w:val="yellow"/>
          <w:lang w:eastAsia="zh-CN"/>
        </w:rPr>
        <w:drawing>
          <wp:anchor distT="0" distB="0" distL="114300" distR="114300" simplePos="0" relativeHeight="437285888" behindDoc="0" locked="0" layoutInCell="1" allowOverlap="1">
            <wp:simplePos x="0" y="0"/>
            <wp:positionH relativeFrom="column">
              <wp:posOffset>182245</wp:posOffset>
            </wp:positionH>
            <wp:positionV relativeFrom="paragraph">
              <wp:posOffset>332105</wp:posOffset>
            </wp:positionV>
            <wp:extent cx="5036820" cy="3549015"/>
            <wp:effectExtent l="5080" t="4445" r="17780" b="12700"/>
            <wp:wrapTopAndBottom/>
            <wp:docPr id="33" name="图表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39834.98</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城乡社区</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29088.11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73.02</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农林水</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8898.69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22.34</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自然资源海洋气象等</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1848.19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4.64</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adjustRightInd w:val="0"/>
        <w:snapToGrid w:val="0"/>
        <w:spacing w:line="580" w:lineRule="exac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lang w:eastAsia="zh-CN"/>
        </w:rPr>
        <w:drawing>
          <wp:anchor distT="0" distB="0" distL="114300" distR="114300" simplePos="0" relativeHeight="437286912" behindDoc="0" locked="0" layoutInCell="1" allowOverlap="1">
            <wp:simplePos x="0" y="0"/>
            <wp:positionH relativeFrom="column">
              <wp:posOffset>179070</wp:posOffset>
            </wp:positionH>
            <wp:positionV relativeFrom="paragraph">
              <wp:posOffset>366395</wp:posOffset>
            </wp:positionV>
            <wp:extent cx="5133975" cy="3244850"/>
            <wp:effectExtent l="4445" t="4445" r="12700" b="12065"/>
            <wp:wrapTopAndBottom/>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764.23</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711.55</w:t>
      </w:r>
      <w:r>
        <w:rPr>
          <w:rFonts w:hint="eastAsia" w:ascii="仿宋_GB2312" w:hAnsi="Times New Roman" w:eastAsia="仿宋_GB2312" w:cs="DengXian-Regular"/>
          <w:sz w:val="32"/>
          <w:szCs w:val="32"/>
        </w:rPr>
        <w:t>万元，主要包括基本工资、津贴补贴、奖金、绩效工资、机关事业单位基本养老保险缴费、职业年金缴费、职工基本医疗保险缴费、住房公积金、其他社会保障缴费、其他工资福利支出、生活补助；公用经费</w:t>
      </w:r>
      <w:r>
        <w:rPr>
          <w:rFonts w:hint="eastAsia" w:ascii="仿宋_GB2312" w:hAnsi="Times New Roman" w:eastAsia="仿宋_GB2312" w:cs="DengXian-Regular"/>
          <w:sz w:val="32"/>
          <w:szCs w:val="32"/>
          <w:lang w:val="en-US" w:eastAsia="zh-CN"/>
        </w:rPr>
        <w:t>52.68</w:t>
      </w:r>
      <w:r>
        <w:rPr>
          <w:rFonts w:hint="eastAsia" w:ascii="仿宋_GB2312" w:hAnsi="Times New Roman" w:eastAsia="仿宋_GB2312" w:cs="DengXian-Regular"/>
          <w:sz w:val="32"/>
          <w:szCs w:val="32"/>
        </w:rPr>
        <w:t>万元，主要包括办公费、水费、电费、邮电费</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工会经费、福利费、其他交通费用、其他商品和服务支出。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none"/>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10.48</w:t>
      </w:r>
      <w:r>
        <w:rPr>
          <w:rFonts w:hint="eastAsia" w:ascii="仿宋_GB2312" w:hAnsi="Times New Roman" w:eastAsia="仿宋_GB2312" w:cs="DengXian-Regular"/>
          <w:sz w:val="32"/>
          <w:szCs w:val="32"/>
        </w:rPr>
        <w:t>万元，完成</w:t>
      </w:r>
      <w:r>
        <w:rPr>
          <w:rFonts w:hint="eastAsia" w:ascii="仿宋_GB2312" w:hAnsi="Times New Roman" w:eastAsia="仿宋_GB2312" w:cs="DengXian-Regular"/>
          <w:sz w:val="32"/>
          <w:szCs w:val="32"/>
          <w:highlight w:val="none"/>
        </w:rPr>
        <w:t>预算的</w:t>
      </w:r>
      <w:r>
        <w:rPr>
          <w:rFonts w:hint="eastAsia" w:ascii="仿宋_GB2312" w:hAnsi="Times New Roman" w:eastAsia="仿宋_GB2312" w:cs="DengXian-Regular"/>
          <w:sz w:val="32"/>
          <w:szCs w:val="32"/>
          <w:highlight w:val="none"/>
          <w:lang w:val="en-US" w:eastAsia="zh-CN"/>
        </w:rPr>
        <w:t>59.55</w:t>
      </w:r>
      <w:r>
        <w:rPr>
          <w:rFonts w:hint="eastAsia" w:ascii="仿宋_GB2312" w:hAnsi="Times New Roman" w:eastAsia="仿宋_GB2312" w:cs="DengXian-Regular"/>
          <w:sz w:val="32"/>
          <w:szCs w:val="32"/>
          <w:highlight w:val="none"/>
        </w:rPr>
        <w:t>%,较预算减少</w:t>
      </w:r>
      <w:r>
        <w:rPr>
          <w:rFonts w:hint="eastAsia" w:ascii="仿宋_GB2312" w:hAnsi="Times New Roman" w:eastAsia="仿宋_GB2312" w:cs="DengXian-Regular"/>
          <w:sz w:val="32"/>
          <w:szCs w:val="32"/>
          <w:highlight w:val="none"/>
          <w:lang w:val="en-US" w:eastAsia="zh-CN"/>
        </w:rPr>
        <w:t>7.12</w:t>
      </w:r>
      <w:r>
        <w:rPr>
          <w:rFonts w:hint="eastAsia" w:ascii="仿宋_GB2312" w:hAnsi="Times New Roman" w:eastAsia="仿宋_GB2312" w:cs="DengXian-Regular"/>
          <w:sz w:val="32"/>
          <w:szCs w:val="32"/>
          <w:highlight w:val="none"/>
        </w:rPr>
        <w:t>万元，降低</w:t>
      </w:r>
      <w:r>
        <w:rPr>
          <w:rFonts w:hint="eastAsia" w:ascii="仿宋_GB2312" w:hAnsi="Times New Roman" w:eastAsia="仿宋_GB2312" w:cs="DengXian-Regular"/>
          <w:sz w:val="32"/>
          <w:szCs w:val="32"/>
          <w:highlight w:val="none"/>
          <w:lang w:val="en-US" w:eastAsia="zh-CN"/>
        </w:rPr>
        <w:t>40.45</w:t>
      </w:r>
      <w:r>
        <w:rPr>
          <w:rFonts w:hint="eastAsia" w:ascii="仿宋_GB2312" w:hAnsi="Times New Roman" w:eastAsia="仿宋_GB2312" w:cs="DengXian-Regular"/>
          <w:sz w:val="32"/>
          <w:szCs w:val="32"/>
          <w:highlight w:val="none"/>
        </w:rPr>
        <w:t>%，主要是</w:t>
      </w:r>
      <w:r>
        <w:rPr>
          <w:rFonts w:hint="eastAsia" w:ascii="仿宋_GB2312" w:hAnsi="Times New Roman" w:eastAsia="仿宋_GB2312" w:cs="DengXian-Regular"/>
          <w:sz w:val="32"/>
          <w:szCs w:val="32"/>
          <w:highlight w:val="none"/>
          <w:lang w:eastAsia="zh-CN"/>
        </w:rPr>
        <w:t>公车改革</w:t>
      </w:r>
      <w:r>
        <w:rPr>
          <w:rFonts w:hint="eastAsia" w:ascii="仿宋_GB2312" w:hAnsi="Times New Roman" w:eastAsia="仿宋_GB2312" w:cs="DengXian-Regular"/>
          <w:sz w:val="32"/>
          <w:szCs w:val="32"/>
          <w:highlight w:val="none"/>
          <w:lang w:val="en-US" w:eastAsia="zh-CN"/>
        </w:rPr>
        <w:t>车辆减少</w:t>
      </w:r>
      <w:r>
        <w:rPr>
          <w:rFonts w:hint="eastAsia" w:ascii="仿宋_GB2312" w:hAnsi="Times New Roman" w:eastAsia="仿宋_GB2312" w:cs="DengXian-Regular"/>
          <w:sz w:val="32"/>
          <w:szCs w:val="32"/>
          <w:highlight w:val="none"/>
          <w:lang w:eastAsia="zh-CN"/>
        </w:rPr>
        <w:t>，</w:t>
      </w:r>
      <w:r>
        <w:rPr>
          <w:rFonts w:hint="eastAsia" w:ascii="仿宋_GB2312" w:hAnsi="Times New Roman" w:eastAsia="仿宋_GB2312" w:cs="DengXian-Regular"/>
          <w:sz w:val="32"/>
          <w:szCs w:val="32"/>
          <w:highlight w:val="none"/>
        </w:rPr>
        <w:t>；较2018年度增加</w:t>
      </w:r>
      <w:r>
        <w:rPr>
          <w:rFonts w:hint="eastAsia" w:ascii="仿宋_GB2312" w:hAnsi="Times New Roman" w:eastAsia="仿宋_GB2312" w:cs="DengXian-Regular"/>
          <w:sz w:val="32"/>
          <w:szCs w:val="32"/>
          <w:highlight w:val="none"/>
          <w:lang w:val="en-US" w:eastAsia="zh-CN"/>
        </w:rPr>
        <w:t>0.43</w:t>
      </w:r>
      <w:r>
        <w:rPr>
          <w:rFonts w:hint="eastAsia" w:ascii="仿宋_GB2312" w:hAnsi="Times New Roman" w:eastAsia="仿宋_GB2312" w:cs="DengXian-Regular"/>
          <w:sz w:val="32"/>
          <w:szCs w:val="32"/>
          <w:highlight w:val="none"/>
        </w:rPr>
        <w:t>万元，增长</w:t>
      </w:r>
      <w:r>
        <w:rPr>
          <w:rFonts w:hint="eastAsia" w:ascii="仿宋_GB2312" w:hAnsi="Times New Roman" w:eastAsia="仿宋_GB2312" w:cs="DengXian-Regular"/>
          <w:sz w:val="32"/>
          <w:szCs w:val="32"/>
          <w:highlight w:val="none"/>
          <w:lang w:val="en-US" w:eastAsia="zh-CN"/>
        </w:rPr>
        <w:t>4.28</w:t>
      </w:r>
      <w:r>
        <w:rPr>
          <w:rFonts w:hint="eastAsia" w:ascii="仿宋_GB2312" w:hAnsi="Times New Roman" w:eastAsia="仿宋_GB2312" w:cs="DengXian-Regular"/>
          <w:sz w:val="32"/>
          <w:szCs w:val="32"/>
          <w:highlight w:val="none"/>
        </w:rPr>
        <w:t>%，主要是</w:t>
      </w:r>
      <w:r>
        <w:rPr>
          <w:rFonts w:hint="eastAsia" w:ascii="仿宋_GB2312" w:hAnsi="Times New Roman" w:eastAsia="仿宋_GB2312" w:cs="DengXian-Regular"/>
          <w:sz w:val="32"/>
          <w:szCs w:val="32"/>
          <w:highlight w:val="none"/>
          <w:lang w:eastAsia="zh-CN"/>
        </w:rPr>
        <w:t>机构改革合并单位，车辆增加</w:t>
      </w:r>
      <w:r>
        <w:rPr>
          <w:rFonts w:hint="eastAsia" w:ascii="仿宋_GB2312" w:hAnsi="Times New Roman" w:eastAsia="仿宋_GB2312" w:cs="DengXian-Regular"/>
          <w:sz w:val="32"/>
          <w:szCs w:val="32"/>
          <w:highlight w:val="none"/>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未发生因公出国（境）费</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未发生因公出国（境）费</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w:t>
      </w:r>
      <w:r>
        <w:rPr>
          <w:rFonts w:hint="eastAsia" w:ascii="楷体_GB2312" w:hAnsi="Times New Roman" w:eastAsia="楷体_GB2312" w:cs="DengXian-Bold"/>
          <w:b/>
          <w:bCs/>
          <w:sz w:val="32"/>
          <w:szCs w:val="32"/>
          <w:highlight w:val="none"/>
        </w:rPr>
        <w:t>公务用车购置及运行维护费支出</w:t>
      </w:r>
      <w:r>
        <w:rPr>
          <w:rFonts w:hint="eastAsia" w:ascii="楷体_GB2312" w:hAnsi="Times New Roman" w:eastAsia="楷体_GB2312" w:cs="DengXian-Bold"/>
          <w:b/>
          <w:bCs/>
          <w:sz w:val="32"/>
          <w:szCs w:val="32"/>
          <w:highlight w:val="none"/>
          <w:lang w:val="en-US" w:eastAsia="zh-CN"/>
        </w:rPr>
        <w:t>10.48</w:t>
      </w:r>
      <w:r>
        <w:rPr>
          <w:rFonts w:hint="eastAsia" w:ascii="楷体_GB2312" w:hAnsi="Times New Roman" w:eastAsia="楷体_GB2312" w:cs="DengXian-Bold"/>
          <w:b/>
          <w:bCs/>
          <w:sz w:val="32"/>
          <w:szCs w:val="32"/>
          <w:highlight w:val="none"/>
        </w:rPr>
        <w:t>万元。</w:t>
      </w:r>
      <w:r>
        <w:rPr>
          <w:rFonts w:hint="eastAsia" w:ascii="仿宋_GB2312" w:hAnsi="Times New Roman" w:eastAsia="仿宋_GB2312" w:cs="DengXian-Regular"/>
          <w:sz w:val="32"/>
          <w:szCs w:val="32"/>
          <w:highlight w:val="none"/>
        </w:rPr>
        <w:t>本部门2019年度公务用车购置及运行维护费较预算减少</w:t>
      </w:r>
      <w:r>
        <w:rPr>
          <w:rFonts w:hint="eastAsia" w:ascii="仿宋_GB2312" w:hAnsi="Times New Roman" w:eastAsia="仿宋_GB2312" w:cs="DengXian-Regular"/>
          <w:sz w:val="32"/>
          <w:szCs w:val="32"/>
          <w:highlight w:val="none"/>
          <w:lang w:val="en-US" w:eastAsia="zh-CN"/>
        </w:rPr>
        <w:t>7.12</w:t>
      </w:r>
      <w:r>
        <w:rPr>
          <w:rFonts w:hint="eastAsia" w:ascii="仿宋_GB2312" w:hAnsi="Times New Roman" w:eastAsia="仿宋_GB2312" w:cs="DengXian-Regular"/>
          <w:sz w:val="32"/>
          <w:szCs w:val="32"/>
          <w:highlight w:val="none"/>
        </w:rPr>
        <w:t>万元，降低</w:t>
      </w:r>
      <w:r>
        <w:rPr>
          <w:rFonts w:hint="eastAsia" w:ascii="仿宋_GB2312" w:hAnsi="Times New Roman" w:eastAsia="仿宋_GB2312" w:cs="DengXian-Regular"/>
          <w:sz w:val="32"/>
          <w:szCs w:val="32"/>
          <w:highlight w:val="none"/>
          <w:lang w:val="en-US" w:eastAsia="zh-CN"/>
        </w:rPr>
        <w:t>40.45</w:t>
      </w:r>
      <w:r>
        <w:rPr>
          <w:rFonts w:hint="eastAsia" w:ascii="仿宋_GB2312" w:hAnsi="Times New Roman" w:eastAsia="仿宋_GB2312" w:cs="DengXian-Regular"/>
          <w:sz w:val="32"/>
          <w:szCs w:val="32"/>
          <w:highlight w:val="none"/>
        </w:rPr>
        <w:t>%,主要是</w:t>
      </w:r>
      <w:r>
        <w:rPr>
          <w:rFonts w:hint="eastAsia" w:ascii="仿宋_GB2312" w:hAnsi="Times New Roman" w:eastAsia="仿宋_GB2312" w:cs="DengXian-Regular"/>
          <w:sz w:val="32"/>
          <w:szCs w:val="32"/>
          <w:highlight w:val="none"/>
          <w:lang w:eastAsia="zh-CN"/>
        </w:rPr>
        <w:t>公车改革</w:t>
      </w:r>
      <w:r>
        <w:rPr>
          <w:rFonts w:hint="eastAsia" w:ascii="仿宋_GB2312" w:hAnsi="Times New Roman" w:eastAsia="仿宋_GB2312" w:cs="DengXian-Regular"/>
          <w:sz w:val="32"/>
          <w:szCs w:val="32"/>
          <w:highlight w:val="none"/>
          <w:lang w:val="en-US" w:eastAsia="zh-CN"/>
        </w:rPr>
        <w:t>车辆减少</w:t>
      </w:r>
      <w:r>
        <w:rPr>
          <w:rFonts w:hint="eastAsia" w:ascii="仿宋_GB2312" w:hAnsi="Times New Roman" w:eastAsia="仿宋_GB2312" w:cs="DengXian-Regular"/>
          <w:sz w:val="32"/>
          <w:szCs w:val="32"/>
          <w:highlight w:val="none"/>
        </w:rPr>
        <w:t>；</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0.43</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4.28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机构改革、合并单位、车辆增加</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未发生公务用车购置费</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未发生公务用车购置费</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8</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7.12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40.45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highlight w:val="none"/>
          <w:lang w:eastAsia="zh-CN"/>
        </w:rPr>
        <w:t>公车改革</w:t>
      </w:r>
      <w:r>
        <w:rPr>
          <w:rFonts w:hint="eastAsia" w:ascii="仿宋_GB2312" w:hAnsi="Times New Roman" w:eastAsia="仿宋_GB2312" w:cs="DengXian-Regular"/>
          <w:sz w:val="32"/>
          <w:szCs w:val="32"/>
          <w:highlight w:val="none"/>
          <w:lang w:val="en-US" w:eastAsia="zh-CN"/>
        </w:rPr>
        <w:t>车辆减少</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0.43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4.28</w:t>
      </w:r>
      <w:r>
        <w:rPr>
          <w:rFonts w:hint="eastAsia" w:ascii="仿宋_GB2312" w:hAnsi="Times New Roman" w:eastAsia="仿宋_GB2312" w:cs="DengXian-Regular"/>
          <w:sz w:val="32"/>
          <w:szCs w:val="32"/>
        </w:rPr>
        <w:t>%，</w:t>
      </w:r>
      <w:bookmarkStart w:id="0" w:name="_GoBack"/>
      <w:bookmarkEnd w:id="0"/>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机构改革、合并单位、车辆增加</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未发生公务接待费</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未发生公务接待费</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9611.18</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。组织对2019年度</w:t>
      </w:r>
      <w:r>
        <w:rPr>
          <w:rFonts w:hint="eastAsia" w:ascii="仿宋_GB2312" w:hAnsi="仿宋_GB2312" w:eastAsia="仿宋_GB2312" w:cs="仿宋_GB2312"/>
          <w:sz w:val="32"/>
          <w:szCs w:val="32"/>
          <w:lang w:val="en-US" w:eastAsia="zh-CN"/>
        </w:rPr>
        <w:t>藁城一体化综合咨询规划项目</w:t>
      </w:r>
      <w:r>
        <w:rPr>
          <w:rFonts w:hint="eastAsia" w:ascii="仿宋_GB2312" w:hAnsi="仿宋_GB2312" w:eastAsia="仿宋_GB2312" w:cs="仿宋_GB2312"/>
          <w:sz w:val="32"/>
          <w:szCs w:val="32"/>
          <w:lang w:eastAsia="zh-CN"/>
        </w:rPr>
        <w:t>、藁城区土地利用总体规划调整资金（</w:t>
      </w:r>
      <w:r>
        <w:rPr>
          <w:rFonts w:hint="eastAsia" w:ascii="仿宋_GB2312" w:hAnsi="仿宋_GB2312" w:eastAsia="仿宋_GB2312" w:cs="仿宋_GB2312"/>
          <w:sz w:val="32"/>
          <w:szCs w:val="32"/>
          <w:lang w:val="en-US" w:eastAsia="zh-CN"/>
        </w:rPr>
        <w:t>2010-2020年</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等</w:t>
      </w:r>
      <w:r>
        <w:rPr>
          <w:rFonts w:hint="eastAsia" w:ascii="仿宋_GB2312" w:hAnsi="仿宋_GB2312" w:eastAsia="仿宋_GB2312" w:cs="仿宋_GB2312"/>
          <w:b w:val="0"/>
          <w:bCs w:val="0"/>
          <w:sz w:val="32"/>
          <w:szCs w:val="32"/>
          <w:highlight w:val="none"/>
          <w:lang w:val="en-US" w:eastAsia="zh-CN"/>
        </w:rPr>
        <w:t>28</w:t>
      </w:r>
      <w:r>
        <w:rPr>
          <w:rFonts w:hint="eastAsia" w:ascii="仿宋_GB2312" w:hAnsi="仿宋_GB2312" w:eastAsia="仿宋_GB2312" w:cs="仿宋_GB2312"/>
          <w:sz w:val="32"/>
          <w:szCs w:val="32"/>
        </w:rPr>
        <w:t>个政府性基金预算项目支出开展绩效自评，共涉及资金</w:t>
      </w:r>
      <w:r>
        <w:rPr>
          <w:rFonts w:hint="eastAsia" w:ascii="楷体" w:hAnsi="楷体" w:eastAsia="楷体" w:cs="楷体"/>
          <w:sz w:val="32"/>
          <w:szCs w:val="32"/>
          <w:lang w:val="en-US" w:eastAsia="zh-CN"/>
        </w:rPr>
        <w:t>29049.23</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val="en-US" w:eastAsia="zh-CN"/>
        </w:rPr>
        <w:t>东方热电有限公司国有土地收购补偿金</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市属高校园区占补平衡费</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个项目开展了部门评价，</w:t>
      </w:r>
      <w:r>
        <w:rPr>
          <w:rFonts w:hint="eastAsia" w:ascii="仿宋_GB2312" w:hAnsi="仿宋_GB2312" w:eastAsia="仿宋_GB2312" w:cs="仿宋_GB2312"/>
          <w:sz w:val="32"/>
          <w:szCs w:val="32"/>
          <w:lang w:eastAsia="zh-CN"/>
        </w:rPr>
        <w:t>均为</w:t>
      </w:r>
      <w:r>
        <w:rPr>
          <w:rFonts w:hint="eastAsia" w:ascii="仿宋_GB2312" w:hAnsi="仿宋_GB2312" w:eastAsia="仿宋_GB2312" w:cs="仿宋_GB2312"/>
          <w:sz w:val="32"/>
          <w:szCs w:val="32"/>
        </w:rPr>
        <w:t>政府性基金预算支出</w:t>
      </w:r>
      <w:r>
        <w:rPr>
          <w:rFonts w:hint="eastAsia" w:ascii="仿宋_GB2312" w:hAnsi="仿宋_GB2312" w:eastAsia="仿宋_GB2312" w:cs="仿宋_GB2312"/>
          <w:sz w:val="32"/>
          <w:szCs w:val="32"/>
          <w:lang w:val="en-US" w:eastAsia="zh-CN"/>
        </w:rPr>
        <w:t>24073.81</w:t>
      </w:r>
      <w:r>
        <w:rPr>
          <w:rFonts w:hint="eastAsia" w:ascii="仿宋_GB2312" w:hAnsi="仿宋_GB2312" w:eastAsia="仿宋_GB2312" w:cs="仿宋_GB2312"/>
          <w:sz w:val="32"/>
          <w:szCs w:val="32"/>
        </w:rPr>
        <w:t>万元。从评价情况来看，</w:t>
      </w:r>
      <w:r>
        <w:rPr>
          <w:rFonts w:hint="eastAsia" w:ascii="仿宋_GB2312" w:hAnsi="仿宋_GB2312" w:eastAsia="仿宋_GB2312" w:cs="仿宋_GB2312"/>
          <w:sz w:val="32"/>
          <w:szCs w:val="32"/>
          <w:lang w:val="en-US" w:eastAsia="zh-CN"/>
        </w:rPr>
        <w:t>均已完成年初预算绩效目标，项目资金做到专款专用、支出进度达到年初计划</w:t>
      </w:r>
      <w:r>
        <w:rPr>
          <w:rFonts w:hint="eastAsia" w:ascii="仿宋_GB2312" w:hAnsi="仿宋_GB2312" w:eastAsia="仿宋_GB2312" w:cs="仿宋_GB2312"/>
          <w:sz w:val="32"/>
          <w:szCs w:val="32"/>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val="en-US" w:eastAsia="zh-CN"/>
        </w:rPr>
        <w:t>藁城一体化综合咨询规划项目、2018年京港澳高速公路两侧绿化带即环城林带建设项目2018年占地补、市属高校园区占补平衡费项目3</w:t>
      </w:r>
      <w:r>
        <w:rPr>
          <w:rFonts w:hint="eastAsia" w:ascii="仿宋_GB2312" w:hAnsi="仿宋_GB2312" w:eastAsia="仿宋_GB2312" w:cs="仿宋_GB2312"/>
          <w:sz w:val="32"/>
          <w:szCs w:val="32"/>
        </w:rPr>
        <w:t>个项目绩效自评结果。</w:t>
      </w:r>
    </w:p>
    <w:p>
      <w:pPr>
        <w:numPr>
          <w:ilvl w:val="0"/>
          <w:numId w:val="4"/>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藁城一体化综合咨询规划</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该项目</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180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179.58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已编制完成藁城区的一体化综合咨询规划初步成果，和市规划院及中规院项目组正在对接，把藁城区的发展设想纳入到石家庄市国土空间规划中落实实施。发现的主要问题及原因：藁城区一体化综合咨询规划为跨年度项目，共需资金598.6万元。本年度已安排180万元，剩余资金于2021年进行安排。</w:t>
      </w:r>
    </w:p>
    <w:tbl>
      <w:tblPr>
        <w:tblStyle w:val="6"/>
        <w:tblW w:w="885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24"/>
        <w:gridCol w:w="1218"/>
        <w:gridCol w:w="889"/>
        <w:gridCol w:w="1239"/>
        <w:gridCol w:w="1161"/>
        <w:gridCol w:w="1310"/>
        <w:gridCol w:w="1148"/>
        <w:gridCol w:w="86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40" w:hRule="atLeast"/>
        </w:trPr>
        <w:tc>
          <w:tcPr>
            <w:tcW w:w="8858" w:type="dxa"/>
            <w:gridSpan w:val="8"/>
            <w:vMerge w:val="restart"/>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40" w:hRule="atLeast"/>
        </w:trPr>
        <w:tc>
          <w:tcPr>
            <w:tcW w:w="8858" w:type="dxa"/>
            <w:gridSpan w:val="8"/>
            <w:vMerge w:val="continue"/>
            <w:tcBorders>
              <w:top w:val="nil"/>
              <w:left w:val="nil"/>
              <w:bottom w:val="nil"/>
              <w:right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8858" w:type="dxa"/>
            <w:gridSpan w:val="8"/>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40" w:hRule="atLeast"/>
        </w:trPr>
        <w:tc>
          <w:tcPr>
            <w:tcW w:w="1024"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3346" w:type="dxa"/>
            <w:gridSpan w:val="3"/>
            <w:tcBorders>
              <w:top w:val="nil"/>
              <w:left w:val="nil"/>
              <w:bottom w:val="single" w:color="000000" w:sz="4" w:space="0"/>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石家庄市自然资源和规划局藁城分局</w:t>
            </w:r>
          </w:p>
        </w:tc>
        <w:tc>
          <w:tcPr>
            <w:tcW w:w="1161"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310"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2017"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60" w:hRule="atLeast"/>
        </w:trPr>
        <w:tc>
          <w:tcPr>
            <w:tcW w:w="10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218"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128" w:type="dxa"/>
            <w:gridSpan w:val="2"/>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藁城区一体化综合咨询规划项目</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27"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石家庄市自然资源和规划局藁城分局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0" w:hRule="atLeast"/>
        </w:trPr>
        <w:tc>
          <w:tcPr>
            <w:tcW w:w="102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107"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45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99" w:hRule="atLeast"/>
        </w:trPr>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180</w:t>
            </w:r>
          </w:p>
        </w:tc>
        <w:tc>
          <w:tcPr>
            <w:tcW w:w="12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179.58</w:t>
            </w:r>
          </w:p>
        </w:tc>
        <w:tc>
          <w:tcPr>
            <w:tcW w:w="13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179.58</w:t>
            </w:r>
          </w:p>
        </w:tc>
        <w:tc>
          <w:tcPr>
            <w:tcW w:w="86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00" w:hRule="atLeast"/>
        </w:trPr>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180</w:t>
            </w:r>
          </w:p>
        </w:tc>
        <w:tc>
          <w:tcPr>
            <w:tcW w:w="12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179.58</w:t>
            </w:r>
          </w:p>
        </w:tc>
        <w:tc>
          <w:tcPr>
            <w:tcW w:w="13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179.58</w:t>
            </w:r>
          </w:p>
        </w:tc>
        <w:tc>
          <w:tcPr>
            <w:tcW w:w="8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9" w:hRule="atLeast"/>
        </w:trPr>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16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3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8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9" w:hRule="atLeast"/>
        </w:trPr>
        <w:tc>
          <w:tcPr>
            <w:tcW w:w="102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346"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3619"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460" w:hRule="atLeast"/>
        </w:trPr>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3346"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编制藁城区的一体化综合咨询规划，和市规划院及中规院项目组全面对接，把藁城区的发展设想纳入到石家庄市总体层面的决定规划中落实实施。</w:t>
            </w:r>
          </w:p>
        </w:tc>
        <w:tc>
          <w:tcPr>
            <w:tcW w:w="3619"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已编制完成藁城区的一体化综合咨询规划初步成果，和市规划院及中规院项目组正在对接，把藁城区的发展设想纳入到石家庄市国土空间规划中落实实施。</w:t>
            </w: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0" w:hRule="atLeast"/>
        </w:trPr>
        <w:tc>
          <w:tcPr>
            <w:tcW w:w="102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21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3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180" w:hRule="atLeast"/>
        </w:trPr>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21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889" w:type="dxa"/>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藁城区一体化综合咨询规划按照相关制作标准提交成果</w:t>
            </w:r>
          </w:p>
        </w:tc>
        <w:tc>
          <w:tcPr>
            <w:tcW w:w="13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制定的规划符合相关标准</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形成的过渡期规划符合相关标准</w:t>
            </w: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380" w:hRule="atLeast"/>
        </w:trPr>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2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8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合同约定时限</w:t>
            </w:r>
          </w:p>
        </w:tc>
        <w:tc>
          <w:tcPr>
            <w:tcW w:w="13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按照合同规定时间2020年6月前完成规划初步成果</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已完成规划初步成果</w:t>
            </w: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80" w:hRule="atLeast"/>
        </w:trPr>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21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预算执行率指标（20分）</w:t>
            </w:r>
          </w:p>
        </w:tc>
        <w:tc>
          <w:tcPr>
            <w:tcW w:w="8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预算资金实际到账金额与计划安排金额的百分比</w:t>
            </w:r>
          </w:p>
        </w:tc>
        <w:tc>
          <w:tcPr>
            <w:tcW w:w="13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80" w:hRule="atLeast"/>
        </w:trPr>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21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（60分）</w:t>
            </w:r>
          </w:p>
        </w:tc>
        <w:tc>
          <w:tcPr>
            <w:tcW w:w="8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优化土地利用格局、提高土地利用率</w:t>
            </w:r>
          </w:p>
        </w:tc>
        <w:tc>
          <w:tcPr>
            <w:tcW w:w="13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提高土地利用率</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提高了我区的土地利用率</w:t>
            </w: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560" w:hRule="atLeast"/>
        </w:trPr>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2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8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对藁城区土地资源合理利用的持续影响</w:t>
            </w:r>
          </w:p>
        </w:tc>
        <w:tc>
          <w:tcPr>
            <w:tcW w:w="131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对藁城区的土地资源利用有较为科学的持续性影响</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规划指导了我区的土地资源，得到更加合理的利用</w:t>
            </w: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9" w:hRule="atLeast"/>
        </w:trPr>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6965" w:type="dxa"/>
            <w:gridSpan w:val="6"/>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500" w:hRule="atLeast"/>
        </w:trPr>
        <w:tc>
          <w:tcPr>
            <w:tcW w:w="10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834"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藁城区一体化综合咨询规划为跨年度项目，共需资金598.6万元。本年度已安排180万元，剩余资金于2021年进行安排。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40" w:hRule="atLeast"/>
        </w:trPr>
        <w:tc>
          <w:tcPr>
            <w:tcW w:w="1024"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218"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王璇</w:t>
            </w:r>
          </w:p>
        </w:tc>
        <w:tc>
          <w:tcPr>
            <w:tcW w:w="889"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239"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161"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310"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88115129</w:t>
            </w:r>
          </w:p>
        </w:tc>
        <w:tc>
          <w:tcPr>
            <w:tcW w:w="1148"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869"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r>
    </w:tbl>
    <w:p>
      <w:pPr>
        <w:numPr>
          <w:ilvl w:val="0"/>
          <w:numId w:val="0"/>
        </w:numPr>
        <w:adjustRightInd w:val="0"/>
        <w:snapToGrid w:val="0"/>
        <w:spacing w:line="580" w:lineRule="exact"/>
        <w:rPr>
          <w:rFonts w:ascii="仿宋_GB2312" w:hAnsi="仿宋_GB2312" w:eastAsia="仿宋_GB2312" w:cs="仿宋_GB2312"/>
          <w:sz w:val="32"/>
          <w:szCs w:val="32"/>
        </w:rPr>
      </w:pPr>
    </w:p>
    <w:p>
      <w:pPr>
        <w:numPr>
          <w:ilvl w:val="0"/>
          <w:numId w:val="4"/>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2018年京港澳高速公路两侧绿化带即环城林带建设项目2018年占地补</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该项目</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960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960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。项目绩效目标完成情况：2019年四季度拨付960万元，兑现2018年京港澳高速两侧绿化带即环城林带建设项目2018年造林补贴16000亩</w:t>
      </w:r>
      <w:r>
        <w:rPr>
          <w:rFonts w:hint="eastAsia" w:ascii="仿宋_GB2312" w:hAnsi="仿宋_GB2312" w:eastAsia="仿宋_GB2312" w:cs="仿宋_GB2312"/>
          <w:sz w:val="32"/>
          <w:szCs w:val="32"/>
          <w:lang w:eastAsia="zh-CN"/>
        </w:rPr>
        <w:t>。</w:t>
      </w:r>
    </w:p>
    <w:tbl>
      <w:tblPr>
        <w:tblStyle w:val="6"/>
        <w:tblW w:w="881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92"/>
        <w:gridCol w:w="772"/>
        <w:gridCol w:w="1183"/>
        <w:gridCol w:w="1045"/>
        <w:gridCol w:w="1337"/>
        <w:gridCol w:w="1183"/>
        <w:gridCol w:w="892"/>
        <w:gridCol w:w="111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40" w:hRule="atLeast"/>
        </w:trPr>
        <w:tc>
          <w:tcPr>
            <w:tcW w:w="8818" w:type="dxa"/>
            <w:gridSpan w:val="8"/>
            <w:vMerge w:val="restart"/>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40" w:hRule="atLeast"/>
        </w:trPr>
        <w:tc>
          <w:tcPr>
            <w:tcW w:w="8818" w:type="dxa"/>
            <w:gridSpan w:val="8"/>
            <w:vMerge w:val="continue"/>
            <w:tcBorders>
              <w:top w:val="nil"/>
              <w:left w:val="nil"/>
              <w:bottom w:val="nil"/>
              <w:right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8818" w:type="dxa"/>
            <w:gridSpan w:val="8"/>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40" w:hRule="atLeast"/>
        </w:trPr>
        <w:tc>
          <w:tcPr>
            <w:tcW w:w="1292"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填报单位：石家庄市自然资源和规划局藁城分局</w:t>
            </w:r>
          </w:p>
        </w:tc>
        <w:tc>
          <w:tcPr>
            <w:tcW w:w="772"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183"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045"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337"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183"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2006"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80" w:hRule="atLeast"/>
        </w:trPr>
        <w:tc>
          <w:tcPr>
            <w:tcW w:w="12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7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22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2018年京港澳高速两侧绿化带即环城林带建设项目2018年占地补（专项资金）</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189"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石家庄市自然资源和规划局藁城分局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80" w:hRule="atLeast"/>
        </w:trPr>
        <w:tc>
          <w:tcPr>
            <w:tcW w:w="129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195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38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7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1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83"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960</w:t>
            </w:r>
          </w:p>
        </w:tc>
        <w:tc>
          <w:tcPr>
            <w:tcW w:w="10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960</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960</w:t>
            </w:r>
          </w:p>
        </w:tc>
        <w:tc>
          <w:tcPr>
            <w:tcW w:w="111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960</w:t>
            </w:r>
          </w:p>
        </w:tc>
        <w:tc>
          <w:tcPr>
            <w:tcW w:w="10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960</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960</w:t>
            </w: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40"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0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29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000"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3412"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1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180"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3000"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2019年拨付960万元，用于兑现2018年京港澳高速两侧绿化带即环城林带建设项目2018年造林补贴16000亩</w:t>
            </w:r>
          </w:p>
        </w:tc>
        <w:tc>
          <w:tcPr>
            <w:tcW w:w="3412"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2019年四季度拨付960万元，兑现2018年京港澳高速两侧绿化带即环城林带建设项目2018年造林补贴16000亩</w:t>
            </w:r>
          </w:p>
        </w:tc>
        <w:tc>
          <w:tcPr>
            <w:tcW w:w="11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60" w:hRule="atLeast"/>
        </w:trPr>
        <w:tc>
          <w:tcPr>
            <w:tcW w:w="129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7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38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1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00"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7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38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2019年兑现造林补贴16000亩</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兑现造林补贴16000亩</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兑现造林补贴16000亩</w:t>
            </w:r>
          </w:p>
        </w:tc>
        <w:tc>
          <w:tcPr>
            <w:tcW w:w="11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38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造林合格率</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造林合格率95%以上</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实际造林合格率96%以上</w:t>
            </w:r>
          </w:p>
        </w:tc>
        <w:tc>
          <w:tcPr>
            <w:tcW w:w="11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820"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38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2019年12月31日前完成任务</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2019年12月31日前完成任务</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2019年12月31日前完成任务</w:t>
            </w:r>
          </w:p>
        </w:tc>
        <w:tc>
          <w:tcPr>
            <w:tcW w:w="11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40"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38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区财政给予占地补贴600元/亩</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区财政给予占地补贴600元/亩</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区财政给予占地补贴600元/亩</w:t>
            </w:r>
          </w:p>
        </w:tc>
        <w:tc>
          <w:tcPr>
            <w:tcW w:w="11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60"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38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执行数/预算数</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72" w:type="dxa"/>
            <w:vMerge w:val="restart"/>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38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项目占地涉及农户发放占地补贴覆盖率</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全覆盖</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全覆盖</w:t>
            </w:r>
          </w:p>
        </w:tc>
        <w:tc>
          <w:tcPr>
            <w:tcW w:w="11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72"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38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森林覆盖率</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森林覆盖率提升0.4%</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实际提升0.4%</w:t>
            </w:r>
          </w:p>
        </w:tc>
        <w:tc>
          <w:tcPr>
            <w:tcW w:w="11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0"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72"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183"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生态效益指标</w:t>
            </w:r>
          </w:p>
        </w:tc>
        <w:tc>
          <w:tcPr>
            <w:tcW w:w="238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实现生态效益是否明显</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明显</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明显</w:t>
            </w:r>
          </w:p>
        </w:tc>
        <w:tc>
          <w:tcPr>
            <w:tcW w:w="11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72"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38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造林推进林业可持续发展</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明显</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明显</w:t>
            </w:r>
          </w:p>
        </w:tc>
        <w:tc>
          <w:tcPr>
            <w:tcW w:w="11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00"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7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38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项目区收益群众对项目建设的满意程度</w:t>
            </w:r>
          </w:p>
        </w:tc>
        <w:tc>
          <w:tcPr>
            <w:tcW w:w="11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40"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6412" w:type="dxa"/>
            <w:gridSpan w:val="6"/>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1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04" w:hRule="atLeast"/>
        </w:trPr>
        <w:tc>
          <w:tcPr>
            <w:tcW w:w="12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526"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40" w:hRule="atLeast"/>
        </w:trPr>
        <w:tc>
          <w:tcPr>
            <w:tcW w:w="1292"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填报人：王军英</w:t>
            </w:r>
          </w:p>
        </w:tc>
        <w:tc>
          <w:tcPr>
            <w:tcW w:w="772"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183"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045"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337"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183"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88048355</w:t>
            </w:r>
          </w:p>
        </w:tc>
        <w:tc>
          <w:tcPr>
            <w:tcW w:w="892"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114"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r>
    </w:tbl>
    <w:p>
      <w:pPr>
        <w:numPr>
          <w:ilvl w:val="0"/>
          <w:numId w:val="0"/>
        </w:numPr>
        <w:adjustRightInd w:val="0"/>
        <w:snapToGrid w:val="0"/>
        <w:spacing w:line="580" w:lineRule="exact"/>
        <w:rPr>
          <w:rFonts w:ascii="仿宋_GB2312" w:hAnsi="仿宋_GB2312" w:eastAsia="仿宋_GB2312" w:cs="仿宋_GB2312"/>
          <w:sz w:val="32"/>
          <w:szCs w:val="32"/>
        </w:rPr>
      </w:pPr>
    </w:p>
    <w:p>
      <w:pPr>
        <w:numPr>
          <w:ilvl w:val="0"/>
          <w:numId w:val="4"/>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市属高校园区占补平衡费项目</w:t>
      </w:r>
      <w:r>
        <w:rPr>
          <w:rFonts w:hint="eastAsia" w:ascii="仿宋_GB2312" w:hAnsi="仿宋_GB2312" w:eastAsia="仿宋_GB2312" w:cs="仿宋_GB2312"/>
          <w:sz w:val="32"/>
          <w:szCs w:val="32"/>
        </w:rPr>
        <w:t>自评综述：根据年初设定的绩效目标</w:t>
      </w:r>
      <w:r>
        <w:rPr>
          <w:rFonts w:hint="eastAsia" w:ascii="仿宋_GB2312" w:hAnsi="仿宋_GB2312" w:eastAsia="仿宋_GB2312" w:cs="仿宋_GB2312"/>
          <w:sz w:val="32"/>
          <w:szCs w:val="32"/>
          <w:lang w:val="en-US" w:eastAsia="zh-CN"/>
        </w:rPr>
        <w:t>该项目</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13239.81</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13239.81</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。项目绩效目标完成情况：完成市属高校园区第一期农田地专用征收，使后续组卷报批等各项工作顺利开展。</w:t>
      </w:r>
    </w:p>
    <w:tbl>
      <w:tblPr>
        <w:tblStyle w:val="6"/>
        <w:tblW w:w="89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24"/>
        <w:gridCol w:w="1104"/>
        <w:gridCol w:w="1332"/>
        <w:gridCol w:w="1012"/>
        <w:gridCol w:w="1056"/>
        <w:gridCol w:w="1272"/>
        <w:gridCol w:w="1148"/>
        <w:gridCol w:w="95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40" w:hRule="atLeast"/>
        </w:trPr>
        <w:tc>
          <w:tcPr>
            <w:tcW w:w="8900" w:type="dxa"/>
            <w:gridSpan w:val="8"/>
            <w:vMerge w:val="restart"/>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40" w:hRule="atLeast"/>
        </w:trPr>
        <w:tc>
          <w:tcPr>
            <w:tcW w:w="8900" w:type="dxa"/>
            <w:gridSpan w:val="8"/>
            <w:vMerge w:val="continue"/>
            <w:tcBorders>
              <w:top w:val="nil"/>
              <w:left w:val="nil"/>
              <w:bottom w:val="nil"/>
              <w:right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8900" w:type="dxa"/>
            <w:gridSpan w:val="8"/>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40" w:hRule="atLeast"/>
        </w:trPr>
        <w:tc>
          <w:tcPr>
            <w:tcW w:w="1024"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104"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332"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012"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056"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272"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2100" w:type="dxa"/>
            <w:gridSpan w:val="2"/>
            <w:tcBorders>
              <w:top w:val="nil"/>
              <w:left w:val="nil"/>
              <w:bottom w:val="single" w:color="000000" w:sz="4" w:space="0"/>
              <w:right w:val="nil"/>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0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344"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市属高校园区占补平衡费</w:t>
            </w:r>
          </w:p>
        </w:tc>
        <w:tc>
          <w:tcPr>
            <w:tcW w:w="10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72"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石家庄市自然资源和规划局藁城分局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80" w:hRule="atLeast"/>
        </w:trPr>
        <w:tc>
          <w:tcPr>
            <w:tcW w:w="102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436"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06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42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9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40" w:hRule="atLeast"/>
        </w:trPr>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3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1.3239.81</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1.323981</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1.323981</w:t>
            </w:r>
          </w:p>
        </w:tc>
        <w:tc>
          <w:tcPr>
            <w:tcW w:w="95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20" w:hRule="atLeast"/>
        </w:trPr>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3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1.323981</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1.323981</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1.323981</w:t>
            </w:r>
          </w:p>
        </w:tc>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40" w:hRule="atLeast"/>
        </w:trPr>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3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5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9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00" w:hRule="atLeast"/>
        </w:trPr>
        <w:tc>
          <w:tcPr>
            <w:tcW w:w="102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448"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3476"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9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80" w:hRule="atLeast"/>
        </w:trPr>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3448"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完成市属高校园区第一期农田地专用征收，使后续组卷报批等各项工作顺利开展。</w:t>
            </w:r>
          </w:p>
        </w:tc>
        <w:tc>
          <w:tcPr>
            <w:tcW w:w="3476"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指标费支付1.323981万元已到位。</w:t>
            </w:r>
          </w:p>
        </w:tc>
        <w:tc>
          <w:tcPr>
            <w:tcW w:w="9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00" w:hRule="atLeast"/>
        </w:trPr>
        <w:tc>
          <w:tcPr>
            <w:tcW w:w="102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3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06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9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95" w:hRule="atLeast"/>
        </w:trPr>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10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（60分）</w:t>
            </w:r>
          </w:p>
        </w:tc>
        <w:tc>
          <w:tcPr>
            <w:tcW w:w="133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06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占补平衡实测面积166.66亩</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占补平衡实测面积166.66亩</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166.66亩</w:t>
            </w:r>
          </w:p>
        </w:tc>
        <w:tc>
          <w:tcPr>
            <w:tcW w:w="9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60" w:hRule="atLeast"/>
        </w:trPr>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10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3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206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占补平衡指标费</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12万元/亩</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2000万元</w:t>
            </w:r>
          </w:p>
        </w:tc>
        <w:tc>
          <w:tcPr>
            <w:tcW w:w="9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00" w:hRule="atLeast"/>
        </w:trPr>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10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3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06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征地组卷报批及时性</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按省厅要求组卷上报</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第一期省厅已批复</w:t>
            </w:r>
          </w:p>
        </w:tc>
        <w:tc>
          <w:tcPr>
            <w:tcW w:w="9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20" w:hRule="atLeast"/>
        </w:trPr>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预算执行率指标（20分）</w:t>
            </w:r>
          </w:p>
        </w:tc>
        <w:tc>
          <w:tcPr>
            <w:tcW w:w="13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06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执行数/预算数</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880" w:hRule="atLeast"/>
        </w:trPr>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效益指标（20）</w:t>
            </w:r>
          </w:p>
        </w:tc>
        <w:tc>
          <w:tcPr>
            <w:tcW w:w="133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06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加强耕地保护，调动补充耕地积极性</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为我区经济社会发展、城市建设以及区政府确定的重大项目提供保障</w:t>
            </w:r>
          </w:p>
        </w:tc>
        <w:tc>
          <w:tcPr>
            <w:tcW w:w="114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第一期省厅已批复</w:t>
            </w:r>
          </w:p>
        </w:tc>
        <w:tc>
          <w:tcPr>
            <w:tcW w:w="9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20" w:hRule="atLeast"/>
        </w:trPr>
        <w:tc>
          <w:tcPr>
            <w:tcW w:w="10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rPr>
            </w:pPr>
          </w:p>
        </w:tc>
        <w:tc>
          <w:tcPr>
            <w:tcW w:w="6924" w:type="dxa"/>
            <w:gridSpan w:val="6"/>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95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840" w:hRule="atLeast"/>
        </w:trPr>
        <w:tc>
          <w:tcPr>
            <w:tcW w:w="102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876"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40" w:hRule="atLeast"/>
        </w:trPr>
        <w:tc>
          <w:tcPr>
            <w:tcW w:w="1024"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104"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刘红潇</w:t>
            </w:r>
          </w:p>
        </w:tc>
        <w:tc>
          <w:tcPr>
            <w:tcW w:w="1332"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012"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1056"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272" w:type="dxa"/>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88166807</w:t>
            </w:r>
          </w:p>
        </w:tc>
        <w:tc>
          <w:tcPr>
            <w:tcW w:w="1148"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c>
          <w:tcPr>
            <w:tcW w:w="952" w:type="dxa"/>
            <w:tcBorders>
              <w:top w:val="nil"/>
              <w:left w:val="nil"/>
              <w:bottom w:val="nil"/>
              <w:right w:val="nil"/>
            </w:tcBorders>
            <w:shd w:val="clear" w:color="auto" w:fill="auto"/>
            <w:noWrap/>
            <w:tcMar>
              <w:top w:w="12" w:type="dxa"/>
              <w:left w:w="12" w:type="dxa"/>
              <w:right w:w="12" w:type="dxa"/>
            </w:tcMar>
            <w:vAlign w:val="center"/>
          </w:tcPr>
          <w:p>
            <w:pPr>
              <w:rPr>
                <w:rFonts w:hint="eastAsia" w:ascii="宋体" w:hAnsi="宋体" w:eastAsia="宋体" w:cs="宋体"/>
                <w:i w:val="0"/>
                <w:color w:val="000000"/>
                <w:sz w:val="20"/>
                <w:szCs w:val="20"/>
                <w:u w:val="none"/>
              </w:rPr>
            </w:pPr>
          </w:p>
        </w:tc>
      </w:tr>
    </w:tbl>
    <w:p>
      <w:pPr>
        <w:keepNext/>
        <w:keepLines/>
        <w:snapToGrid w:val="0"/>
        <w:spacing w:line="580" w:lineRule="exact"/>
        <w:ind w:firstLine="643" w:firstLineChars="200"/>
        <w:outlineLvl w:val="1"/>
        <w:rPr>
          <w:rFonts w:hint="eastAsia" w:ascii="仿宋_GB2312" w:hAnsi="仿宋_GB2312" w:eastAsia="仿宋_GB2312" w:cs="仿宋_GB2312"/>
          <w:b/>
          <w:bCs/>
          <w:sz w:val="32"/>
          <w:szCs w:val="32"/>
          <w:lang w:val="en-US" w:eastAsia="zh-CN"/>
        </w:rPr>
      </w:pPr>
    </w:p>
    <w:p>
      <w:pPr>
        <w:keepNext/>
        <w:keepLines/>
        <w:numPr>
          <w:ilvl w:val="0"/>
          <w:numId w:val="2"/>
        </w:numPr>
        <w:snapToGrid w:val="0"/>
        <w:spacing w:line="580" w:lineRule="exact"/>
        <w:ind w:left="0" w:leftChars="0" w:firstLine="643" w:firstLineChars="200"/>
        <w:outlineLvl w:val="1"/>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r>
        <w:rPr>
          <w:rFonts w:hint="eastAsia" w:ascii="仿宋_GB2312" w:hAnsi="仿宋_GB2312" w:eastAsia="仿宋_GB2312" w:cs="仿宋_GB2312"/>
          <w:b/>
          <w:bCs/>
          <w:sz w:val="32"/>
          <w:szCs w:val="32"/>
          <w:lang w:eastAsia="zh-CN"/>
        </w:rPr>
        <w:t>：无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10.48</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0.43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4.28</w:t>
      </w:r>
      <w:r>
        <w:rPr>
          <w:rFonts w:hint="eastAsia" w:ascii="仿宋_GB2312" w:hAnsi="Times New Roman" w:eastAsia="仿宋_GB2312" w:cs="DengXian-Regular"/>
          <w:sz w:val="32"/>
          <w:szCs w:val="32"/>
        </w:rPr>
        <w:t>%。</w:t>
      </w:r>
      <w:r>
        <w:rPr>
          <w:rFonts w:hint="eastAsia" w:ascii="仿宋" w:hAnsi="仿宋" w:eastAsia="仿宋"/>
          <w:sz w:val="32"/>
          <w:szCs w:val="32"/>
          <w:highlight w:val="none"/>
          <w:lang w:eastAsia="zh-CN"/>
        </w:rPr>
        <w:t>机构改革单位合并，</w:t>
      </w:r>
      <w:r>
        <w:rPr>
          <w:rFonts w:hint="eastAsia" w:ascii="仿宋" w:hAnsi="仿宋" w:eastAsia="仿宋"/>
          <w:sz w:val="32"/>
          <w:szCs w:val="32"/>
          <w:highlight w:val="none"/>
        </w:rPr>
        <w:t>人员经费支出</w:t>
      </w:r>
      <w:r>
        <w:rPr>
          <w:rFonts w:hint="eastAsia" w:ascii="仿宋" w:hAnsi="仿宋" w:eastAsia="仿宋"/>
          <w:sz w:val="32"/>
          <w:szCs w:val="32"/>
          <w:highlight w:val="none"/>
          <w:lang w:eastAsia="zh-CN"/>
        </w:rPr>
        <w:t>增加</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750.17</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750.17</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662.97</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88</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87.2</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12</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8</w:t>
      </w:r>
      <w:r>
        <w:rPr>
          <w:rFonts w:hint="eastAsia" w:ascii="仿宋_GB2312" w:hAnsi="Times New Roman" w:eastAsia="仿宋_GB2312" w:cs="DengXian-Regular"/>
          <w:sz w:val="32"/>
          <w:szCs w:val="32"/>
        </w:rPr>
        <w:t>辆，比上年增减少</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eastAsia="zh-CN"/>
        </w:rPr>
        <w:t>机构改革单位合并车辆增加</w:t>
      </w:r>
      <w:r>
        <w:rPr>
          <w:rFonts w:hint="eastAsia" w:ascii="仿宋_GB2312" w:hAnsi="Times New Roman" w:eastAsia="仿宋_GB2312" w:cs="DengXian-Regular"/>
          <w:sz w:val="32"/>
          <w:szCs w:val="32"/>
          <w:lang w:val="en-US" w:eastAsia="zh-CN"/>
        </w:rPr>
        <w:t>3辆，事业单位车辆改革减少6辆。</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辆，特种专业技术用车辆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val="en-US" w:eastAsia="zh-CN"/>
        </w:rPr>
        <w:t>；</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本部门2019年度国有资本经营预算财政拨款支出决算表无收支及结转结余情况，故国有资本经营预算财政拨款支出决算表表以空表列示。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9" w:type="first"/>
          <w:footerReference r:id="rId21" w:type="first"/>
          <w:headerReference r:id="rId18" w:type="default"/>
          <w:footerReference r:id="rId20" w:type="default"/>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43728076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43728076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29"/>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2"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4"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437281792"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43728179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29"/>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jc w:val="left"/>
        <w:rPr>
          <w:rFonts w:hint="eastAsia" w:ascii="仿宋" w:hAnsi="仿宋" w:eastAsia="仿宋" w:cs="仿宋"/>
          <w:sz w:val="36"/>
          <w:szCs w:val="36"/>
          <w:lang w:eastAsia="zh-CN"/>
        </w:rPr>
      </w:pPr>
      <w:r>
        <w:rPr>
          <w:rFonts w:hint="eastAsia" w:ascii="仿宋" w:hAnsi="仿宋" w:eastAsia="仿宋" w:cs="仿宋"/>
          <w:sz w:val="36"/>
          <w:szCs w:val="36"/>
          <w:lang w:eastAsia="zh-CN"/>
        </w:rPr>
        <w:t>见附表：</w:t>
      </w:r>
    </w:p>
    <w:p>
      <w:pPr>
        <w:jc w:val="left"/>
        <w:rPr>
          <w:rFonts w:hint="eastAsia" w:ascii="仿宋" w:hAnsi="仿宋" w:eastAsia="仿宋" w:cs="仿宋"/>
          <w:sz w:val="36"/>
          <w:szCs w:val="36"/>
          <w:lang w:eastAsia="zh-CN"/>
        </w:rPr>
      </w:pPr>
    </w:p>
    <w:p>
      <w:pPr>
        <w:jc w:val="left"/>
        <w:rPr>
          <w:rFonts w:hint="eastAsia" w:ascii="仿宋" w:hAnsi="仿宋" w:eastAsia="仿宋" w:cs="仿宋"/>
          <w:sz w:val="36"/>
          <w:szCs w:val="36"/>
          <w:lang w:eastAsia="zh-CN"/>
        </w:rPr>
      </w:pPr>
    </w:p>
    <w:p>
      <w:pPr>
        <w:jc w:val="left"/>
        <w:rPr>
          <w:rFonts w:hint="eastAsia" w:ascii="仿宋" w:hAnsi="仿宋" w:eastAsia="仿宋" w:cs="仿宋"/>
          <w:sz w:val="36"/>
          <w:szCs w:val="36"/>
          <w:lang w:eastAsia="zh-CN"/>
        </w:rPr>
      </w:pPr>
    </w:p>
    <w:p>
      <w:pPr>
        <w:jc w:val="left"/>
        <w:rPr>
          <w:rFonts w:hint="eastAsia" w:ascii="仿宋" w:hAnsi="仿宋" w:eastAsia="仿宋" w:cs="仿宋"/>
          <w:sz w:val="36"/>
          <w:szCs w:val="36"/>
          <w:lang w:eastAsia="zh-CN"/>
        </w:rPr>
      </w:pPr>
    </w:p>
    <w:p>
      <w:pPr>
        <w:jc w:val="left"/>
        <w:rPr>
          <w:rFonts w:hint="eastAsia" w:ascii="仿宋" w:hAnsi="仿宋" w:eastAsia="仿宋" w:cs="仿宋"/>
          <w:sz w:val="36"/>
          <w:szCs w:val="36"/>
          <w:lang w:eastAsia="zh-CN"/>
        </w:rPr>
      </w:pPr>
    </w:p>
    <w:p>
      <w:pPr>
        <w:jc w:val="left"/>
        <w:rPr>
          <w:rFonts w:hint="eastAsia" w:ascii="仿宋" w:hAnsi="仿宋" w:eastAsia="仿宋" w:cs="仿宋"/>
          <w:sz w:val="36"/>
          <w:szCs w:val="36"/>
          <w:lang w:eastAsia="zh-CN"/>
        </w:rPr>
      </w:pPr>
    </w:p>
    <w:p>
      <w:pPr>
        <w:jc w:val="left"/>
        <w:rPr>
          <w:rFonts w:hint="eastAsia" w:ascii="仿宋" w:hAnsi="仿宋" w:eastAsia="仿宋" w:cs="仿宋"/>
          <w:sz w:val="36"/>
          <w:szCs w:val="36"/>
          <w:lang w:eastAsia="zh-CN"/>
        </w:rPr>
      </w:pPr>
    </w:p>
    <w:p>
      <w:pPr>
        <w:jc w:val="left"/>
        <w:rPr>
          <w:rFonts w:hint="eastAsia" w:ascii="仿宋" w:hAnsi="仿宋" w:eastAsia="仿宋" w:cs="仿宋"/>
          <w:sz w:val="36"/>
          <w:szCs w:val="36"/>
          <w:lang w:eastAsia="zh-CN"/>
        </w:rPr>
      </w:pPr>
    </w:p>
    <w:p>
      <w:pPr>
        <w:jc w:val="left"/>
        <w:rPr>
          <w:rFonts w:hint="eastAsia" w:ascii="仿宋" w:hAnsi="仿宋" w:eastAsia="仿宋" w:cs="仿宋"/>
          <w:sz w:val="36"/>
          <w:szCs w:val="36"/>
          <w:lang w:eastAsia="zh-CN"/>
        </w:rPr>
      </w:pPr>
    </w:p>
    <w:p>
      <w:pPr>
        <w:jc w:val="left"/>
        <w:rPr>
          <w:rFonts w:hint="eastAsia" w:ascii="仿宋" w:hAnsi="仿宋" w:eastAsia="仿宋" w:cs="仿宋"/>
          <w:sz w:val="36"/>
          <w:szCs w:val="36"/>
          <w:lang w:eastAsia="zh-CN"/>
        </w:rPr>
      </w:pPr>
    </w:p>
    <w:p>
      <w:pPr>
        <w:jc w:val="left"/>
        <w:rPr>
          <w:rFonts w:hint="eastAsia" w:ascii="仿宋" w:hAnsi="仿宋" w:eastAsia="仿宋" w:cs="仿宋"/>
          <w:sz w:val="36"/>
          <w:szCs w:val="36"/>
          <w:lang w:eastAsia="zh-CN"/>
        </w:rPr>
      </w:pPr>
    </w:p>
    <w:p>
      <w:pPr>
        <w:jc w:val="left"/>
        <w:rPr>
          <w:rFonts w:hint="eastAsia" w:ascii="仿宋" w:hAnsi="仿宋" w:eastAsia="仿宋" w:cs="仿宋"/>
          <w:sz w:val="36"/>
          <w:szCs w:val="36"/>
          <w:lang w:eastAsia="zh-CN"/>
        </w:rPr>
      </w:pPr>
    </w:p>
    <w:p>
      <w:pPr>
        <w:jc w:val="left"/>
        <w:rPr>
          <w:rFonts w:hint="eastAsia" w:ascii="仿宋" w:hAnsi="仿宋" w:eastAsia="仿宋" w:cs="仿宋"/>
          <w:sz w:val="36"/>
          <w:szCs w:val="36"/>
          <w:lang w:eastAsia="zh-CN"/>
        </w:rPr>
      </w:pPr>
    </w:p>
    <w:p>
      <w:pPr>
        <w:jc w:val="left"/>
        <w:rPr>
          <w:rFonts w:hint="eastAsia" w:ascii="仿宋" w:hAnsi="仿宋" w:eastAsia="仿宋" w:cs="仿宋"/>
          <w:sz w:val="36"/>
          <w:szCs w:val="36"/>
          <w:lang w:eastAsia="zh-CN"/>
        </w:rPr>
      </w:pPr>
    </w:p>
    <w:p>
      <w:pPr>
        <w:jc w:val="left"/>
        <w:rPr>
          <w:rFonts w:hint="eastAsia" w:ascii="仿宋" w:hAnsi="仿宋" w:eastAsia="仿宋" w:cs="仿宋"/>
          <w:sz w:val="36"/>
          <w:szCs w:val="36"/>
          <w:lang w:eastAsia="zh-CN"/>
        </w:rPr>
      </w:pPr>
    </w:p>
    <w:p>
      <w:pPr>
        <w:jc w:val="left"/>
        <w:rPr>
          <w:rFonts w:hint="eastAsia" w:ascii="仿宋" w:hAnsi="仿宋" w:eastAsia="仿宋" w:cs="仿宋"/>
          <w:sz w:val="36"/>
          <w:szCs w:val="36"/>
          <w:lang w:eastAsia="zh-CN"/>
        </w:rPr>
      </w:pPr>
    </w:p>
    <w:p>
      <w:pPr>
        <w:jc w:val="left"/>
        <w:rPr>
          <w:rFonts w:hint="eastAsia" w:ascii="仿宋" w:hAnsi="仿宋" w:eastAsia="仿宋" w:cs="仿宋"/>
          <w:sz w:val="36"/>
          <w:szCs w:val="36"/>
          <w:lang w:eastAsia="zh-CN"/>
        </w:rPr>
      </w:pPr>
    </w:p>
    <w:p>
      <w:pPr>
        <w:jc w:val="left"/>
        <w:rPr>
          <w:rFonts w:hint="eastAsia" w:ascii="仿宋" w:hAnsi="仿宋" w:eastAsia="仿宋" w:cs="仿宋"/>
          <w:sz w:val="36"/>
          <w:szCs w:val="36"/>
          <w:lang w:eastAsia="zh-CN"/>
        </w:rPr>
      </w:pPr>
    </w:p>
    <w:p>
      <w:pPr>
        <w:jc w:val="left"/>
        <w:rPr>
          <w:rFonts w:hint="eastAsia" w:ascii="仿宋" w:hAnsi="仿宋" w:eastAsia="仿宋" w:cs="仿宋"/>
          <w:sz w:val="36"/>
          <w:szCs w:val="36"/>
          <w:lang w:eastAsia="zh-CN"/>
        </w:rPr>
      </w:pPr>
    </w:p>
    <w:p/>
    <w:p/>
    <w:p>
      <w:r>
        <mc:AlternateContent>
          <mc:Choice Requires="wps">
            <w:drawing>
              <wp:anchor distT="0" distB="0" distL="114300" distR="114300" simplePos="0" relativeHeight="437282816" behindDoc="0" locked="0" layoutInCell="1" allowOverlap="1">
                <wp:simplePos x="0" y="0"/>
                <wp:positionH relativeFrom="column">
                  <wp:posOffset>-884555</wp:posOffset>
                </wp:positionH>
                <wp:positionV relativeFrom="paragraph">
                  <wp:posOffset>-1099820</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69.65pt;margin-top:-86.6pt;height:841.15pt;width:595.1pt;z-index:437282816;v-text-anchor:middle;mso-width-relative:page;mso-height-relative:page;" fillcolor="#FFC000" filled="t" stroked="f" coordsize="21600,21600" o:gfxdata="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ERHCMdwAAAAPAQAADwAAAAAAAAABACAAAAAiAAAAZHJzL2Rvd25yZXYueG1sUEsBAhQAFAAA&#10;AAgAh07iQCWapStdAgAAjAQAAA4AAAAAAAAAAQAgAAAAKwEAAGRycy9lMm9Eb2MueG1sUEsFBgAA&#10;AAAGAAYAWQEAAPoFAAAAAA==&#10;">
                <v:fill on="t" focussize="0,0"/>
                <v:stroke on="f" weight="1pt" miterlimit="8" joinstyle="miter"/>
                <v:imagedata o:title=""/>
                <o:lock v:ext="edit" aspectratio="f"/>
              </v:rect>
            </w:pict>
          </mc:Fallback>
        </mc:AlternateContent>
      </w:r>
    </w:p>
    <w:p/>
    <w:sectPr>
      <w:headerReference r:id="rId26" w:type="first"/>
      <w:headerReference r:id="rId25" w:type="default"/>
      <w:footerReference r:id="rId27"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00000" w:csb1="00000000"/>
  </w:font>
  <w:font w:name="楷体_GB2312">
    <w:altName w:val="楷体"/>
    <w:panose1 w:val="02010609030101010101"/>
    <w:charset w:val="86"/>
    <w:family w:val="modern"/>
    <w:pitch w:val="default"/>
    <w:sig w:usb0="00000000" w:usb1="00000000" w:usb2="00000000" w:usb3="00000000" w:csb0="0000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auto"/>
    <w:pitch w:val="default"/>
    <w:sig w:usb0="800002BF" w:usb1="38CF7CFA" w:usb2="00000016"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481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283481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2836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855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8855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865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8865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5F222FFA"/>
    <w:multiLevelType w:val="singleLevel"/>
    <w:tmpl w:val="5F222FFA"/>
    <w:lvl w:ilvl="0" w:tentative="0">
      <w:start w:val="1"/>
      <w:numFmt w:val="decimal"/>
      <w:suff w:val="nothing"/>
      <w:lvlText w:val="（%1）"/>
      <w:lvlJc w:val="left"/>
    </w:lvl>
  </w:abstractNum>
  <w:abstractNum w:abstractNumId="3">
    <w:nsid w:val="78C1413D"/>
    <w:multiLevelType w:val="singleLevel"/>
    <w:tmpl w:val="78C1413D"/>
    <w:lvl w:ilvl="0" w:tentative="0">
      <w:start w:val="1"/>
      <w:numFmt w:val="decimal"/>
      <w:suff w:val="space"/>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bordersDoNotSurroundHeader w:val="0"/>
  <w:bordersDoNotSurroundFooter w:val="0"/>
  <w:attachedTemplate r:id="rId1"/>
  <w:documentProtection w:edit="trackedChange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B47B5"/>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29A7667"/>
    <w:rsid w:val="02E2080F"/>
    <w:rsid w:val="044248EE"/>
    <w:rsid w:val="05B00A30"/>
    <w:rsid w:val="074B374E"/>
    <w:rsid w:val="08BB678F"/>
    <w:rsid w:val="0B011416"/>
    <w:rsid w:val="0B0B5D05"/>
    <w:rsid w:val="0FFC5528"/>
    <w:rsid w:val="16CE5C69"/>
    <w:rsid w:val="19883570"/>
    <w:rsid w:val="1CF87E1F"/>
    <w:rsid w:val="236A234A"/>
    <w:rsid w:val="2AE050C7"/>
    <w:rsid w:val="2CBE5C01"/>
    <w:rsid w:val="2DB247DE"/>
    <w:rsid w:val="2E7526C1"/>
    <w:rsid w:val="2FA84E0F"/>
    <w:rsid w:val="31C2036A"/>
    <w:rsid w:val="320D02A5"/>
    <w:rsid w:val="348E566F"/>
    <w:rsid w:val="36195B14"/>
    <w:rsid w:val="3A226944"/>
    <w:rsid w:val="3AEE6A48"/>
    <w:rsid w:val="3C1620AA"/>
    <w:rsid w:val="3D8F080F"/>
    <w:rsid w:val="41A52852"/>
    <w:rsid w:val="441B66E9"/>
    <w:rsid w:val="445D6475"/>
    <w:rsid w:val="44CE1FA4"/>
    <w:rsid w:val="47E170F8"/>
    <w:rsid w:val="487F73ED"/>
    <w:rsid w:val="4A347EAE"/>
    <w:rsid w:val="4A943C22"/>
    <w:rsid w:val="4C4B4BFD"/>
    <w:rsid w:val="50562F6A"/>
    <w:rsid w:val="52600405"/>
    <w:rsid w:val="529B4319"/>
    <w:rsid w:val="54DF7D7D"/>
    <w:rsid w:val="555731F8"/>
    <w:rsid w:val="57773DD6"/>
    <w:rsid w:val="578B79AB"/>
    <w:rsid w:val="57D02711"/>
    <w:rsid w:val="58700F11"/>
    <w:rsid w:val="5BC57D41"/>
    <w:rsid w:val="5C12461E"/>
    <w:rsid w:val="5CCD3FD5"/>
    <w:rsid w:val="5EAA734C"/>
    <w:rsid w:val="600C3285"/>
    <w:rsid w:val="61002F53"/>
    <w:rsid w:val="61C60249"/>
    <w:rsid w:val="61FA5F9D"/>
    <w:rsid w:val="62D031C3"/>
    <w:rsid w:val="649445BC"/>
    <w:rsid w:val="64CD6910"/>
    <w:rsid w:val="65BB03DB"/>
    <w:rsid w:val="6789158D"/>
    <w:rsid w:val="67D81BA4"/>
    <w:rsid w:val="69967031"/>
    <w:rsid w:val="6AAF1C96"/>
    <w:rsid w:val="6AEB0BDF"/>
    <w:rsid w:val="6D45370B"/>
    <w:rsid w:val="6D6B0AB3"/>
    <w:rsid w:val="6EB81BF1"/>
    <w:rsid w:val="6F6C78CD"/>
    <w:rsid w:val="70A431F1"/>
    <w:rsid w:val="7247043A"/>
    <w:rsid w:val="73763887"/>
    <w:rsid w:val="73DC3B06"/>
    <w:rsid w:val="75681757"/>
    <w:rsid w:val="75A346A8"/>
    <w:rsid w:val="7671242A"/>
    <w:rsid w:val="79224159"/>
    <w:rsid w:val="79B9382C"/>
    <w:rsid w:val="79D37FBC"/>
    <w:rsid w:val="7A6A538F"/>
    <w:rsid w:val="7B043B76"/>
    <w:rsid w:val="7C041A6A"/>
    <w:rsid w:val="7E327570"/>
    <w:rsid w:val="7E8775FF"/>
    <w:rsid w:val="7FF84E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uiPriority w:val="1"/>
  </w:style>
  <w:style w:type="table" w:default="1" w:styleId="6">
    <w:name w:val="Normal Table"/>
    <w:semiHidden/>
    <w:unhideWhenUsed/>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2">
    <w:name w:val="font21"/>
    <w:basedOn w:val="8"/>
    <w:qFormat/>
    <w:uiPriority w:val="0"/>
    <w:rPr>
      <w:rFonts w:hint="eastAsia" w:ascii="宋体" w:hAnsi="宋体" w:eastAsia="宋体" w:cs="宋体"/>
      <w:color w:val="000000"/>
      <w:sz w:val="20"/>
      <w:szCs w:val="20"/>
      <w:u w:val="none"/>
    </w:rPr>
  </w:style>
  <w:style w:type="character" w:customStyle="1" w:styleId="13">
    <w:name w:val="font31"/>
    <w:basedOn w:val="8"/>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7" Type="http://schemas.openxmlformats.org/officeDocument/2006/relationships/fontTable" Target="fontTable.xml"/><Relationship Id="rId36" Type="http://schemas.openxmlformats.org/officeDocument/2006/relationships/customXml" Target="../customXml/item2.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chart" Target="charts/chart4.xml"/><Relationship Id="rId32" Type="http://schemas.openxmlformats.org/officeDocument/2006/relationships/chart" Target="charts/chart3.xml"/><Relationship Id="rId31" Type="http://schemas.openxmlformats.org/officeDocument/2006/relationships/chart" Target="charts/chart2.xml"/><Relationship Id="rId30" Type="http://schemas.openxmlformats.org/officeDocument/2006/relationships/chart" Target="charts/chart1.xml"/><Relationship Id="rId3" Type="http://schemas.openxmlformats.org/officeDocument/2006/relationships/header" Target="header1.xml"/><Relationship Id="rId29" Type="http://schemas.openxmlformats.org/officeDocument/2006/relationships/image" Target="media/image2.bmp"/><Relationship Id="rId28" Type="http://schemas.openxmlformats.org/officeDocument/2006/relationships/theme" Target="theme/theme1.xml"/><Relationship Id="rId27" Type="http://schemas.openxmlformats.org/officeDocument/2006/relationships/footer" Target="footer10.xml"/><Relationship Id="rId26" Type="http://schemas.openxmlformats.org/officeDocument/2006/relationships/header" Target="header15.xml"/><Relationship Id="rId25" Type="http://schemas.openxmlformats.org/officeDocument/2006/relationships/header" Target="header14.xml"/><Relationship Id="rId24" Type="http://schemas.openxmlformats.org/officeDocument/2006/relationships/header" Target="header13.xml"/><Relationship Id="rId23" Type="http://schemas.openxmlformats.org/officeDocument/2006/relationships/header" Target="header12.xml"/><Relationship Id="rId22" Type="http://schemas.openxmlformats.org/officeDocument/2006/relationships/header" Target="header11.xml"/><Relationship Id="rId21" Type="http://schemas.openxmlformats.org/officeDocument/2006/relationships/footer" Target="footer9.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header" Target="header9.xml"/><Relationship Id="rId17" Type="http://schemas.openxmlformats.org/officeDocument/2006/relationships/header" Target="header8.xml"/><Relationship Id="rId16" Type="http://schemas.openxmlformats.org/officeDocument/2006/relationships/footer" Target="footer7.xml"/><Relationship Id="rId15" Type="http://schemas.openxmlformats.org/officeDocument/2006/relationships/footer" Target="footer6.xml"/><Relationship Id="rId14" Type="http://schemas.openxmlformats.org/officeDocument/2006/relationships/header" Target="header7.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1</a:t>
            </a:r>
            <a:r>
              <a:rPr altLang="en-US"/>
              <a:t>：支出构成情况（按支出性质）</a:t>
            </a:r>
            <a:endParaRPr altLang="en-US"/>
          </a:p>
        </c:rich>
      </c:tx>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pie3DChart>
        <c:varyColors val="1"/>
        <c:ser>
          <c:idx val="0"/>
          <c:order val="0"/>
          <c:tx>
            <c:strRef>
              <c:f>Sheet1!$B$1</c:f>
              <c:strCache>
                <c:ptCount val="1"/>
                <c:pt idx="0">
                  <c:v>占本年支出比例</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Lbls>
            <c:dLbl>
              <c:idx val="0"/>
              <c:layout>
                <c:manualLayout>
                  <c:x val="-0.0129706990063225"/>
                  <c:y val="-0.0280439403382542"/>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0.0192</c:v>
                </c:pt>
                <c:pt idx="1">
                  <c:v>0.9808</c:v>
                </c:pt>
              </c:numCache>
            </c:numRef>
          </c:val>
        </c:ser>
        <c:dLbls>
          <c:showLegendKey val="0"/>
          <c:showVal val="1"/>
          <c:showCatName val="0"/>
          <c:showSerName val="0"/>
          <c:showPercent val="0"/>
          <c:showBubbleSize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2019</a:t>
            </a:r>
            <a:r>
              <a:rPr altLang="en-US"/>
              <a:t>年决算与</a:t>
            </a:r>
            <a:r>
              <a:rPr lang="en-US" altLang="zh-CN"/>
              <a:t>2018</a:t>
            </a:r>
            <a:r>
              <a:rPr altLang="en-US"/>
              <a:t>年决算对比图</a:t>
            </a:r>
            <a:endParaRPr altLang="en-US"/>
          </a:p>
        </c:rich>
      </c:tx>
      <c:layout/>
      <c:overlay val="0"/>
      <c:spPr>
        <a:noFill/>
        <a:ln>
          <a:noFill/>
        </a:ln>
        <a:effectLst/>
      </c:spPr>
    </c:title>
    <c:autoTitleDeleted val="0"/>
    <c:plotArea>
      <c:layout>
        <c:manualLayout>
          <c:layoutTarget val="inner"/>
          <c:xMode val="edge"/>
          <c:yMode val="edge"/>
          <c:x val="0.0977902669561885"/>
          <c:y val="0.175567423230975"/>
          <c:w val="0.707804317281901"/>
          <c:h val="0.741299510458389"/>
        </c:manualLayout>
      </c:layout>
      <c:barChart>
        <c:barDir val="col"/>
        <c:grouping val="clustered"/>
        <c:varyColors val="0"/>
        <c:ser>
          <c:idx val="0"/>
          <c:order val="0"/>
          <c:tx>
            <c:strRef>
              <c:f>Sheet1!$B$1</c:f>
              <c:strCache>
                <c:ptCount val="1"/>
                <c:pt idx="0">
                  <c:v>2019年决算</c:v>
                </c:pt>
              </c:strCache>
            </c:strRef>
          </c:tx>
          <c:spPr>
            <a:solidFill>
              <a:schemeClr val="accent1"/>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37496.18</c:v>
                </c:pt>
                <c:pt idx="1">
                  <c:v>39834.98</c:v>
                </c:pt>
              </c:numCache>
            </c:numRef>
          </c:val>
        </c:ser>
        <c:ser>
          <c:idx val="1"/>
          <c:order val="1"/>
          <c:tx>
            <c:strRef>
              <c:f>Sheet1!$C$1</c:f>
              <c:strCache>
                <c:ptCount val="1"/>
                <c:pt idx="0">
                  <c:v>2018年决算</c:v>
                </c:pt>
              </c:strCache>
            </c:strRef>
          </c:tx>
          <c:spPr>
            <a:solidFill>
              <a:schemeClr val="accent2"/>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8375.13</c:v>
                </c:pt>
                <c:pt idx="1">
                  <c:v>8505.55</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Sheet1!$A$2:$A$3</c:f>
              <c:strCache>
                <c:ptCount val="2"/>
                <c:pt idx="0">
                  <c:v>收入</c:v>
                </c:pt>
                <c:pt idx="1">
                  <c:v>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150"/>
        <c:overlap val="0"/>
        <c:axId val="963970824"/>
        <c:axId val="865755835"/>
      </c:barChart>
      <c:catAx>
        <c:axId val="96397082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65755835"/>
        <c:crosses val="autoZero"/>
        <c:auto val="1"/>
        <c:lblAlgn val="ctr"/>
        <c:lblOffset val="100"/>
        <c:noMultiLvlLbl val="0"/>
      </c:catAx>
      <c:valAx>
        <c:axId val="8657558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63970824"/>
        <c:crosses val="autoZero"/>
        <c:crossBetween val="between"/>
      </c:valAx>
      <c:spPr>
        <a:noFill/>
        <a:ln>
          <a:noFill/>
        </a:ln>
        <a:effectLst/>
      </c:spPr>
    </c:plotArea>
    <c:legend>
      <c:legendPos val="r"/>
      <c:legendEntry>
        <c:idx val="2"/>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2019</a:t>
            </a:r>
            <a:r>
              <a:rPr altLang="en-US"/>
              <a:t>年决算与</a:t>
            </a:r>
            <a:r>
              <a:rPr lang="en-US" altLang="zh-CN"/>
              <a:t>2019</a:t>
            </a:r>
            <a:r>
              <a:rPr altLang="en-US"/>
              <a:t>年预算对比图</a:t>
            </a:r>
            <a:endParaRPr altLang="en-US"/>
          </a:p>
        </c:rich>
      </c:tx>
      <c:layout/>
      <c:overlay val="0"/>
      <c:spPr>
        <a:noFill/>
        <a:ln>
          <a:noFill/>
        </a:ln>
        <a:effectLst/>
      </c:spPr>
    </c:title>
    <c:autoTitleDeleted val="0"/>
    <c:plotArea>
      <c:layout>
        <c:manualLayout>
          <c:layoutTarget val="inner"/>
          <c:xMode val="edge"/>
          <c:yMode val="edge"/>
          <c:x val="0.0957"/>
          <c:y val="0.131583333333333"/>
          <c:w val="0.656175"/>
          <c:h val="0.639483333333333"/>
        </c:manualLayout>
      </c:layout>
      <c:barChart>
        <c:barDir val="col"/>
        <c:grouping val="clustered"/>
        <c:varyColors val="0"/>
        <c:ser>
          <c:idx val="0"/>
          <c:order val="0"/>
          <c:tx>
            <c:strRef>
              <c:f>Sheet1!$B$1</c:f>
              <c:strCache>
                <c:ptCount val="1"/>
                <c:pt idx="0">
                  <c:v>2019年决算</c:v>
                </c:pt>
              </c:strCache>
            </c:strRef>
          </c:tx>
          <c:spPr>
            <a:solidFill>
              <a:schemeClr val="accent1"/>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37496.18</c:v>
                </c:pt>
                <c:pt idx="1">
                  <c:v>39834.98</c:v>
                </c:pt>
              </c:numCache>
            </c:numRef>
          </c:val>
        </c:ser>
        <c:ser>
          <c:idx val="1"/>
          <c:order val="1"/>
          <c:tx>
            <c:strRef>
              <c:f>Sheet1!$C$1</c:f>
              <c:strCache>
                <c:ptCount val="1"/>
                <c:pt idx="0">
                  <c:v>2019年预算</c:v>
                </c:pt>
              </c:strCache>
            </c:strRef>
          </c:tx>
          <c:spPr>
            <a:solidFill>
              <a:schemeClr val="accent2"/>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15559.51</c:v>
                </c:pt>
                <c:pt idx="1">
                  <c:v>15559.51</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Sheet1!$A$2:$A$3</c:f>
              <c:strCache>
                <c:ptCount val="2"/>
                <c:pt idx="0">
                  <c:v>收入</c:v>
                </c:pt>
                <c:pt idx="1">
                  <c:v>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150"/>
        <c:overlap val="0"/>
        <c:axId val="330412762"/>
        <c:axId val="251159480"/>
      </c:barChart>
      <c:catAx>
        <c:axId val="33041276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51159480"/>
        <c:crosses val="autoZero"/>
        <c:auto val="1"/>
        <c:lblAlgn val="ctr"/>
        <c:lblOffset val="100"/>
        <c:noMultiLvlLbl val="0"/>
      </c:catAx>
      <c:valAx>
        <c:axId val="251159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30412762"/>
        <c:crosses val="autoZero"/>
        <c:crossBetween val="between"/>
      </c:valAx>
      <c:spPr>
        <a:noFill/>
        <a:ln>
          <a:noFill/>
        </a:ln>
        <a:effectLst/>
      </c:spPr>
    </c:plotArea>
    <c:legend>
      <c:legendPos val="r"/>
      <c:legendEntry>
        <c:idx val="2"/>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9875"/>
          <c:y val="0.8"/>
        </c:manualLayout>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29625"/>
          <c:y val="0.0788333333333333"/>
          <c:w val="0.945"/>
          <c:h val="0.7535"/>
        </c:manualLayout>
      </c:layout>
      <c:pie3DChart>
        <c:varyColors val="1"/>
        <c:ser>
          <c:idx val="0"/>
          <c:order val="0"/>
          <c:tx>
            <c:strRef>
              <c:f>Sheet1!$B$1</c:f>
              <c:strCache>
                <c:ptCount val="1"/>
                <c:pt idx="0">
                  <c:v>支出决算结构</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Lbls>
            <c:dLbl>
              <c:idx val="0"/>
              <c:layout>
                <c:manualLayout>
                  <c:x val="0.00938166029115359"/>
                  <c:y val="-0.0137274343069995"/>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032758484348149"/>
                  <c:y val="-0.00457507266739829"/>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159300032473636"/>
                  <c:y val="-0.014257192803597"/>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城乡社区支出</c:v>
                </c:pt>
                <c:pt idx="1">
                  <c:v>农林水支出</c:v>
                </c:pt>
                <c:pt idx="2">
                  <c:v>自然资源海洋气象等支出</c:v>
                </c:pt>
              </c:strCache>
            </c:strRef>
          </c:cat>
          <c:val>
            <c:numRef>
              <c:f>Sheet1!$B$2:$B$4</c:f>
              <c:numCache>
                <c:formatCode>0.00%</c:formatCode>
                <c:ptCount val="3"/>
                <c:pt idx="0">
                  <c:v>0.7302</c:v>
                </c:pt>
                <c:pt idx="1">
                  <c:v>0.2234</c:v>
                </c:pt>
                <c:pt idx="2">
                  <c:v>0.0464</c:v>
                </c:pt>
              </c:numCache>
            </c:numRef>
          </c:val>
        </c:ser>
        <c:dLbls>
          <c:showLegendKey val="0"/>
          <c:showVal val="0"/>
          <c:showCatName val="1"/>
          <c:showSerName val="0"/>
          <c:showPercent val="0"/>
          <c:showBubbleSize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1</TotalTime>
  <ScaleCrop>false</ScaleCrop>
  <LinksUpToDate>false</LinksUpToDate>
  <CharactersWithSpaces>11119</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1</cp:lastModifiedBy>
  <cp:lastPrinted>2020-07-30T02:37:00Z</cp:lastPrinted>
  <dcterms:modified xsi:type="dcterms:W3CDTF">2024-02-23T03:41:42Z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