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仿宋" w:hAnsi="仿宋" w:eastAsia="仿宋" w:cs="Times New Roman"/>
          <w:bCs/>
          <w:sz w:val="44"/>
          <w:szCs w:val="44"/>
        </w:rPr>
      </w:pPr>
      <w:r>
        <w:rPr>
          <w:rFonts w:hint="eastAsia" w:ascii="仿宋" w:hAnsi="仿宋" w:eastAsia="仿宋" w:cs="Times New Roman"/>
          <w:bCs/>
          <w:sz w:val="44"/>
          <w:szCs w:val="44"/>
        </w:rPr>
        <w:t>中共石家庄市藁城区委网络安全和信息化委员会办公室2020年部门预算信息公开情况说明</w:t>
      </w:r>
    </w:p>
    <w:p>
      <w:pPr>
        <w:ind w:firstLine="640"/>
        <w:rPr>
          <w:rFonts w:ascii="仿宋" w:hAnsi="仿宋" w:eastAsia="仿宋" w:cs="Times New Roman"/>
          <w:sz w:val="32"/>
          <w:szCs w:val="32"/>
        </w:rPr>
      </w:pP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按照《</w:t>
      </w:r>
      <w:r>
        <w:rPr>
          <w:rFonts w:hint="eastAsia" w:ascii="仿宋" w:hAnsi="仿宋" w:eastAsia="仿宋" w:cs="仿宋_GB2312"/>
          <w:sz w:val="32"/>
          <w:szCs w:val="32"/>
          <w:lang w:val="en-US" w:eastAsia="zh-CN"/>
        </w:rPr>
        <w:t>中华人民共和国</w:t>
      </w:r>
      <w:r>
        <w:rPr>
          <w:rFonts w:hint="eastAsia" w:ascii="仿宋" w:hAnsi="仿宋" w:eastAsia="仿宋" w:cs="仿宋_GB2312"/>
          <w:sz w:val="32"/>
          <w:szCs w:val="32"/>
        </w:rPr>
        <w:t>预算法》、《地方预决算公开操作规程》和《河北省省级预算公开办法》规定，现将中共石家庄市藁城区委网络安全和信息化委员会办公室2020年部门预算公开如下：</w:t>
      </w:r>
    </w:p>
    <w:p>
      <w:pPr>
        <w:numPr>
          <w:ilvl w:val="0"/>
          <w:numId w:val="1"/>
        </w:numPr>
        <w:ind w:firstLine="640"/>
        <w:rPr>
          <w:rFonts w:ascii="仿宋" w:hAnsi="仿宋" w:eastAsia="仿宋" w:cs="Times New Roman"/>
          <w:sz w:val="32"/>
          <w:szCs w:val="32"/>
        </w:rPr>
      </w:pPr>
      <w:r>
        <w:rPr>
          <w:rFonts w:hint="eastAsia" w:ascii="仿宋" w:hAnsi="仿宋" w:eastAsia="仿宋" w:cs="Times New Roman"/>
          <w:sz w:val="32"/>
          <w:szCs w:val="32"/>
        </w:rPr>
        <w:t>部门职责及机构设置情况</w:t>
      </w:r>
    </w:p>
    <w:p>
      <w:pPr>
        <w:autoSpaceDE w:val="0"/>
        <w:autoSpaceDN w:val="0"/>
        <w:adjustRightInd w:val="0"/>
        <w:ind w:firstLine="643" w:firstLineChars="200"/>
        <w:jc w:val="left"/>
        <w:rPr>
          <w:rFonts w:ascii="仿宋" w:hAnsi="仿宋" w:eastAsia="仿宋" w:cs="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_GB2312"/>
          <w:sz w:val="32"/>
          <w:szCs w:val="32"/>
        </w:rPr>
        <w:t>根据《中共石家庄市藁城区委网络安全和信息化委员会办公室职能配置、内设机构和人员编制规定》，中共石家庄市藁城区委网络安全和信息化委员会办公室的主要职责是：</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负责互联网信息内容、网络舆情信息管理工作，组织协调互联网宣传和舆论引导工作，推动网络阵地和网络文明建设工作。</w:t>
      </w:r>
    </w:p>
    <w:p>
      <w:pPr>
        <w:autoSpaceDE w:val="0"/>
        <w:autoSpaceDN w:val="0"/>
        <w:adjustRightInd w:val="0"/>
        <w:ind w:left="198" w:firstLine="640" w:firstLineChars="200"/>
        <w:jc w:val="left"/>
        <w:rPr>
          <w:rFonts w:ascii="仿宋" w:hAnsi="仿宋" w:eastAsia="仿宋" w:cs="仿宋_GB2312"/>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24"/>
        </w:rPr>
      </w:pPr>
      <w:r>
        <w:rPr>
          <w:rFonts w:ascii="仿宋" w:hAnsi="仿宋" w:eastAsia="仿宋" w:cs="Times New Roman"/>
          <w:sz w:val="32"/>
          <w:szCs w:val="24"/>
        </w:rPr>
        <w:t>部门</w:t>
      </w:r>
      <w:r>
        <w:rPr>
          <w:rFonts w:hint="eastAsia" w:ascii="仿宋" w:hAnsi="仿宋" w:eastAsia="仿宋"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单位名称</w:t>
            </w:r>
          </w:p>
        </w:tc>
        <w:tc>
          <w:tcPr>
            <w:tcW w:w="1134" w:type="dxa"/>
            <w:vMerge w:val="restart"/>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单位性质</w:t>
            </w:r>
          </w:p>
        </w:tc>
        <w:tc>
          <w:tcPr>
            <w:tcW w:w="1276" w:type="dxa"/>
            <w:vMerge w:val="restart"/>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单位规格</w:t>
            </w:r>
          </w:p>
        </w:tc>
        <w:tc>
          <w:tcPr>
            <w:tcW w:w="2902" w:type="dxa"/>
            <w:vMerge w:val="restart"/>
            <w:vAlign w:val="center"/>
          </w:tcPr>
          <w:p>
            <w:pPr>
              <w:spacing w:line="300" w:lineRule="exact"/>
              <w:jc w:val="center"/>
              <w:rPr>
                <w:rFonts w:ascii="仿宋" w:hAnsi="仿宋" w:eastAsia="仿宋" w:cs="Times New Roman"/>
                <w:b/>
                <w:szCs w:val="24"/>
              </w:rPr>
            </w:pPr>
            <w:r>
              <w:rPr>
                <w:rFonts w:ascii="仿宋" w:hAnsi="仿宋" w:eastAsia="仿宋"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 w:hAnsi="仿宋" w:eastAsia="仿宋" w:cs="Times New Roman"/>
                <w:szCs w:val="24"/>
              </w:rPr>
            </w:pPr>
          </w:p>
        </w:tc>
        <w:tc>
          <w:tcPr>
            <w:tcW w:w="1134" w:type="dxa"/>
            <w:vMerge w:val="continue"/>
            <w:vAlign w:val="center"/>
          </w:tcPr>
          <w:p>
            <w:pPr>
              <w:spacing w:line="300" w:lineRule="exact"/>
              <w:jc w:val="left"/>
              <w:outlineLvl w:val="0"/>
              <w:rPr>
                <w:rFonts w:ascii="仿宋" w:hAnsi="仿宋" w:eastAsia="仿宋" w:cs="Times New Roman"/>
                <w:szCs w:val="24"/>
              </w:rPr>
            </w:pPr>
          </w:p>
        </w:tc>
        <w:tc>
          <w:tcPr>
            <w:tcW w:w="1276" w:type="dxa"/>
            <w:vMerge w:val="continue"/>
            <w:vAlign w:val="center"/>
          </w:tcPr>
          <w:p>
            <w:pPr>
              <w:spacing w:line="300" w:lineRule="exact"/>
              <w:jc w:val="left"/>
              <w:outlineLvl w:val="0"/>
              <w:rPr>
                <w:rFonts w:ascii="仿宋" w:hAnsi="仿宋" w:eastAsia="仿宋" w:cs="Times New Roman"/>
                <w:szCs w:val="24"/>
              </w:rPr>
            </w:pPr>
          </w:p>
        </w:tc>
        <w:tc>
          <w:tcPr>
            <w:tcW w:w="2902" w:type="dxa"/>
            <w:vMerge w:val="continue"/>
            <w:vAlign w:val="center"/>
          </w:tcPr>
          <w:p>
            <w:pPr>
              <w:spacing w:line="300" w:lineRule="exact"/>
              <w:jc w:val="left"/>
              <w:outlineLvl w:val="0"/>
              <w:rPr>
                <w:rFonts w:ascii="仿宋" w:hAnsi="仿宋" w:eastAsia="仿宋"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rPr>
                <w:rFonts w:ascii="仿宋" w:hAnsi="仿宋" w:eastAsia="仿宋" w:cs="Times New Roman"/>
                <w:szCs w:val="24"/>
              </w:rPr>
            </w:pPr>
            <w:r>
              <w:rPr>
                <w:rFonts w:hint="eastAsia" w:ascii="仿宋" w:hAnsi="仿宋" w:eastAsia="仿宋"/>
              </w:rPr>
              <w:t>中共石家庄市藁城区委网络安全和信息化委员会办公室</w:t>
            </w:r>
          </w:p>
        </w:tc>
        <w:tc>
          <w:tcPr>
            <w:tcW w:w="1134" w:type="dxa"/>
            <w:vAlign w:val="center"/>
          </w:tcPr>
          <w:p>
            <w:pPr>
              <w:spacing w:line="300" w:lineRule="exact"/>
              <w:jc w:val="center"/>
              <w:rPr>
                <w:rFonts w:ascii="仿宋" w:hAnsi="仿宋" w:eastAsia="仿宋" w:cs="Times New Roman"/>
                <w:szCs w:val="24"/>
              </w:rPr>
            </w:pPr>
            <w:r>
              <w:rPr>
                <w:rFonts w:hint="eastAsia" w:ascii="仿宋" w:hAnsi="仿宋" w:eastAsia="仿宋"/>
              </w:rPr>
              <w:t>行政</w:t>
            </w:r>
          </w:p>
        </w:tc>
        <w:tc>
          <w:tcPr>
            <w:tcW w:w="1276" w:type="dxa"/>
            <w:vAlign w:val="center"/>
          </w:tcPr>
          <w:p>
            <w:pPr>
              <w:spacing w:line="300" w:lineRule="exact"/>
              <w:jc w:val="center"/>
              <w:rPr>
                <w:rFonts w:ascii="仿宋" w:hAnsi="仿宋" w:eastAsia="仿宋" w:cs="Times New Roman"/>
                <w:szCs w:val="24"/>
              </w:rPr>
            </w:pPr>
            <w:r>
              <w:rPr>
                <w:rFonts w:hint="eastAsia" w:ascii="仿宋" w:hAnsi="仿宋" w:eastAsia="仿宋"/>
              </w:rPr>
              <w:t>正科级</w:t>
            </w:r>
          </w:p>
        </w:tc>
        <w:tc>
          <w:tcPr>
            <w:tcW w:w="2902" w:type="dxa"/>
            <w:vAlign w:val="center"/>
          </w:tcPr>
          <w:p>
            <w:pPr>
              <w:spacing w:line="300" w:lineRule="exact"/>
              <w:jc w:val="center"/>
              <w:rPr>
                <w:rFonts w:ascii="仿宋" w:hAnsi="仿宋" w:eastAsia="仿宋" w:cs="Times New Roman"/>
                <w:szCs w:val="24"/>
              </w:rPr>
            </w:pPr>
            <w:r>
              <w:rPr>
                <w:rFonts w:hint="eastAsia" w:ascii="仿宋" w:hAnsi="仿宋" w:eastAsia="仿宋"/>
              </w:rPr>
              <w:t>财政拨款</w:t>
            </w:r>
          </w:p>
        </w:tc>
      </w:tr>
    </w:tbl>
    <w:p>
      <w:pPr>
        <w:rPr>
          <w:rFonts w:ascii="仿宋" w:hAnsi="仿宋" w:eastAsia="仿宋"/>
        </w:rPr>
      </w:pPr>
    </w:p>
    <w:p>
      <w:pPr>
        <w:ind w:firstLine="640"/>
        <w:rPr>
          <w:rFonts w:ascii="仿宋" w:hAnsi="仿宋" w:eastAsia="仿宋" w:cs="Times New Roman"/>
          <w:sz w:val="32"/>
          <w:szCs w:val="32"/>
        </w:rPr>
      </w:pPr>
      <w:r>
        <w:rPr>
          <w:rFonts w:hint="eastAsia" w:ascii="仿宋" w:hAnsi="仿宋" w:eastAsia="仿宋" w:cs="Times New Roman"/>
          <w:sz w:val="32"/>
          <w:szCs w:val="32"/>
        </w:rPr>
        <w:t>二、部门预算安排的总体情况</w:t>
      </w: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cs="仿宋_GB2312"/>
          <w:sz w:val="32"/>
          <w:szCs w:val="32"/>
        </w:rPr>
        <w:t>按照预算管理有关规定，目前我部门预算的编制实行综合预算管理，即全部收入和支出都反映的预算中。藁城区委网信办机关及所属事业单位的收支包含在部门预算中。</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1、收入说明</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反映本部门当年全部收入。2020年预算收入202.36万元，其中：一般公共预算收入202.36万元，基金预算收入0万元，财政专户核拨收入0万元，其他来源收入0万元。</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2、支出说明</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收支预算总表支出栏、基本支出表、项目支出表按经济分类和支出功能分类科目编制，反映藁城区委网信办预算中支出预算的总体情况。2020年部门支出预算为202.36万元，其中基本支出152.96万元，包括人员经费141.05万元和日常公用经费11.91万元；项目支出49.4万元，主要为互联网管理经费、网络舆情导控技术平台和网络安全态势感知平台运行服务维护费等。</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3、比上年增减情况</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2020年部门预算收支安排202.36万元，较2019年增加132.61万元，其中：基本支出增加89.21万元，主要是人员增加，相应增加人员经费和日常公用经费；项目支出增加43.4万元，主要是增加网络舆情导控技术平台和网络安全态势感知平台运行服务维护费等；其他支出无增减变化。</w:t>
      </w:r>
    </w:p>
    <w:p>
      <w:pPr>
        <w:autoSpaceDE w:val="0"/>
        <w:autoSpaceDN w:val="0"/>
        <w:adjustRightInd w:val="0"/>
        <w:ind w:firstLine="960" w:firstLineChars="300"/>
        <w:jc w:val="left"/>
        <w:rPr>
          <w:rFonts w:ascii="仿宋" w:hAnsi="仿宋" w:eastAsia="仿宋" w:cs="Times New Roman"/>
          <w:sz w:val="32"/>
          <w:szCs w:val="32"/>
        </w:rPr>
      </w:pPr>
      <w:r>
        <w:rPr>
          <w:rFonts w:hint="eastAsia" w:ascii="仿宋" w:hAnsi="仿宋" w:eastAsia="仿宋" w:cs="Times New Roman"/>
          <w:sz w:val="32"/>
          <w:szCs w:val="32"/>
        </w:rPr>
        <w:t>三、机关运行经费安排情况</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2020年，我部门机关运行经费共计安排11.91万元，主要用于保证机关正常运转的办公及印刷费、邮电费、差旅费、会议费、福利费等支出。</w:t>
      </w:r>
    </w:p>
    <w:p>
      <w:pPr>
        <w:autoSpaceDE w:val="0"/>
        <w:autoSpaceDN w:val="0"/>
        <w:adjustRightInd w:val="0"/>
        <w:ind w:left="198" w:firstLine="640" w:firstLineChars="200"/>
        <w:jc w:val="left"/>
        <w:rPr>
          <w:rFonts w:ascii="仿宋" w:hAnsi="仿宋" w:eastAsia="仿宋" w:cs="Times New Roman"/>
          <w:sz w:val="32"/>
          <w:szCs w:val="32"/>
        </w:rPr>
      </w:pPr>
    </w:p>
    <w:p>
      <w:pPr>
        <w:autoSpaceDE w:val="0"/>
        <w:autoSpaceDN w:val="0"/>
        <w:adjustRightInd w:val="0"/>
        <w:ind w:left="198" w:firstLine="640" w:firstLineChars="200"/>
        <w:jc w:val="left"/>
        <w:rPr>
          <w:rFonts w:ascii="仿宋" w:hAnsi="仿宋" w:eastAsia="仿宋" w:cs="Times New Roman"/>
          <w:sz w:val="32"/>
          <w:szCs w:val="32"/>
        </w:rPr>
      </w:pPr>
      <w:r>
        <w:rPr>
          <w:rFonts w:hint="eastAsia" w:ascii="仿宋" w:hAnsi="仿宋" w:eastAsia="仿宋" w:cs="Times New Roman"/>
          <w:sz w:val="32"/>
          <w:szCs w:val="32"/>
        </w:rPr>
        <w:t>四、财政拨款</w:t>
      </w:r>
      <w:r>
        <w:rPr>
          <w:rFonts w:ascii="仿宋" w:hAnsi="仿宋" w:eastAsia="仿宋" w:cs="Times New Roman"/>
          <w:sz w:val="32"/>
          <w:szCs w:val="32"/>
        </w:rPr>
        <w:t>“</w:t>
      </w:r>
      <w:r>
        <w:rPr>
          <w:rFonts w:hint="eastAsia" w:ascii="仿宋" w:hAnsi="仿宋" w:eastAsia="仿宋" w:cs="Times New Roman"/>
          <w:sz w:val="32"/>
          <w:szCs w:val="32"/>
        </w:rPr>
        <w:t>三公</w:t>
      </w:r>
      <w:r>
        <w:rPr>
          <w:rFonts w:ascii="仿宋" w:hAnsi="仿宋" w:eastAsia="仿宋" w:cs="Times New Roman"/>
          <w:sz w:val="32"/>
          <w:szCs w:val="32"/>
        </w:rPr>
        <w:t>”</w:t>
      </w:r>
      <w:r>
        <w:rPr>
          <w:rFonts w:hint="eastAsia" w:ascii="仿宋" w:hAnsi="仿宋" w:eastAsia="仿宋" w:cs="Times New Roman"/>
          <w:sz w:val="32"/>
          <w:szCs w:val="32"/>
        </w:rPr>
        <w:t>经费预算情况及增减变化原因</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2020年，</w:t>
      </w:r>
      <w:r>
        <w:rPr>
          <w:rFonts w:hint="eastAsia" w:ascii="仿宋" w:hAnsi="仿宋" w:eastAsia="仿宋" w:cs="Times New Roman"/>
          <w:sz w:val="32"/>
          <w:szCs w:val="32"/>
        </w:rPr>
        <w:t>我部门财政拨款“三公”经费预算安排0万元</w:t>
      </w:r>
      <w:bookmarkStart w:id="0" w:name="_Hlk72766690"/>
      <w:r>
        <w:rPr>
          <w:rFonts w:hint="eastAsia" w:ascii="仿宋" w:hAnsi="仿宋" w:eastAsia="仿宋" w:cs="Times New Roman"/>
          <w:sz w:val="32"/>
          <w:szCs w:val="32"/>
        </w:rPr>
        <w:t>，与上年持平，无增减变化</w:t>
      </w:r>
      <w:bookmarkEnd w:id="0"/>
      <w:r>
        <w:rPr>
          <w:rFonts w:hint="eastAsia" w:ascii="仿宋" w:hAnsi="仿宋" w:eastAsia="仿宋" w:cs="Times New Roman"/>
          <w:sz w:val="32"/>
          <w:szCs w:val="32"/>
        </w:rPr>
        <w:t>。其中：因公出国（境）费0万元，与上年持平，无增减变化；公务用车购置及运维费0万元，与上年持平，无增减变化（其中：公务用车购置费0万元，，与上年持平，无增减变化；公务用车运行维护费0万元，与上年持平，无增减变化)；公务接待费0万元，与上年持平，无增减变化。</w:t>
      </w:r>
    </w:p>
    <w:p>
      <w:pPr>
        <w:autoSpaceDE w:val="0"/>
        <w:autoSpaceDN w:val="0"/>
        <w:adjustRightInd w:val="0"/>
        <w:ind w:left="198" w:firstLine="640" w:firstLineChars="200"/>
        <w:jc w:val="left"/>
        <w:rPr>
          <w:rFonts w:ascii="仿宋" w:hAnsi="仿宋" w:eastAsia="仿宋" w:cs="Times New Roman"/>
          <w:sz w:val="32"/>
          <w:szCs w:val="32"/>
        </w:rPr>
      </w:pPr>
      <w:r>
        <w:rPr>
          <w:rFonts w:hint="eastAsia" w:ascii="仿宋" w:hAnsi="仿宋" w:eastAsia="仿宋" w:cs="Times New Roman"/>
          <w:sz w:val="32"/>
          <w:szCs w:val="32"/>
        </w:rPr>
        <w:t>五、预算绩效信息</w:t>
      </w:r>
    </w:p>
    <w:p>
      <w:pPr>
        <w:ind w:firstLine="843" w:firstLineChars="300"/>
        <w:jc w:val="left"/>
        <w:rPr>
          <w:rFonts w:ascii="仿宋" w:hAnsi="仿宋" w:eastAsia="仿宋" w:cs="Times New Roman"/>
          <w:sz w:val="28"/>
          <w:szCs w:val="28"/>
        </w:rPr>
      </w:pPr>
      <w:bookmarkStart w:id="1" w:name="_Toc471398463"/>
      <w:r>
        <w:rPr>
          <w:rFonts w:hint="eastAsia" w:ascii="仿宋" w:hAnsi="仿宋" w:eastAsia="仿宋" w:cs="Times New Roman"/>
          <w:b/>
          <w:sz w:val="28"/>
          <w:szCs w:val="28"/>
        </w:rPr>
        <w:t>第一部分  部门整体绩效目标</w:t>
      </w:r>
    </w:p>
    <w:p>
      <w:pPr>
        <w:autoSpaceDE w:val="0"/>
        <w:autoSpaceDN w:val="0"/>
        <w:adjustRightInd w:val="0"/>
        <w:ind w:firstLine="640" w:firstLineChars="200"/>
        <w:jc w:val="left"/>
        <w:rPr>
          <w:rFonts w:ascii="仿宋" w:hAnsi="仿宋" w:eastAsia="仿宋"/>
          <w:bCs/>
          <w:sz w:val="32"/>
          <w:szCs w:val="32"/>
        </w:rPr>
      </w:pPr>
      <w:r>
        <w:rPr>
          <w:rFonts w:hint="eastAsia" w:ascii="仿宋" w:hAnsi="仿宋" w:eastAsia="仿宋"/>
          <w:bCs/>
          <w:sz w:val="32"/>
          <w:szCs w:val="32"/>
        </w:rPr>
        <w:t>（一）总体绩效目标</w:t>
      </w:r>
      <w:r>
        <w:rPr>
          <w:rFonts w:hint="eastAsia" w:ascii="仿宋" w:hAnsi="仿宋" w:eastAsia="仿宋"/>
          <w:bCs/>
          <w:sz w:val="32"/>
          <w:szCs w:val="32"/>
        </w:rPr>
        <w:fldChar w:fldCharType="begin"/>
      </w:r>
      <w:r>
        <w:rPr>
          <w:rFonts w:hint="eastAsia" w:ascii="仿宋" w:hAnsi="仿宋" w:eastAsia="仿宋"/>
          <w:bCs/>
          <w:sz w:val="32"/>
          <w:szCs w:val="32"/>
        </w:rPr>
        <w:instrText xml:space="preserve"> TC </w:instrText>
      </w:r>
      <w:bookmarkStart w:id="2" w:name="_Toc29484628"/>
      <w:r>
        <w:rPr>
          <w:rFonts w:hint="eastAsia" w:ascii="仿宋" w:hAnsi="仿宋" w:eastAsia="仿宋"/>
          <w:bCs/>
          <w:sz w:val="32"/>
          <w:szCs w:val="32"/>
        </w:rPr>
        <w:instrText xml:space="preserve">总体绩效目标</w:instrText>
      </w:r>
      <w:bookmarkEnd w:id="2"/>
      <w:r>
        <w:rPr>
          <w:rFonts w:hint="eastAsia" w:ascii="仿宋" w:hAnsi="仿宋" w:eastAsia="仿宋"/>
          <w:bCs/>
          <w:sz w:val="32"/>
          <w:szCs w:val="32"/>
        </w:rPr>
        <w:instrText xml:space="preserve"> \f A \l 1 </w:instrText>
      </w:r>
      <w:r>
        <w:rPr>
          <w:rFonts w:hint="eastAsia" w:ascii="仿宋" w:hAnsi="仿宋" w:eastAsia="仿宋"/>
          <w:bCs/>
          <w:sz w:val="32"/>
          <w:szCs w:val="32"/>
        </w:rPr>
        <w:fldChar w:fldCharType="end"/>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坚持以习近平新时代中国特色社会主义思想为指导，深入贯彻落实习近平总书记关于建设网络强国的重要论述，习近平总书记关于意识形态的重要论述，强力推进我区互联网信息内容建设和管理、网络安全和信息化工作，立足网信工作新的目标定位，扎实做好网络安全周、网络文化作品创作两项重点工作，从六方面下功夫即互联网宣传、互联网管理、网络舆情监控、网络安全和信息化工作、网络社会工作和学习培训工作，以坚定的政治站位、务实的工作措施，不断提升工作品质、效率、效能，打造网信藁城新形象，擦亮网信藁城名片，为新时代建设经济强区、魅力藁城营造良好网络氛围。</w:t>
      </w:r>
    </w:p>
    <w:p>
      <w:pPr>
        <w:autoSpaceDE w:val="0"/>
        <w:autoSpaceDN w:val="0"/>
        <w:adjustRightInd w:val="0"/>
        <w:ind w:firstLine="640" w:firstLineChars="200"/>
        <w:jc w:val="left"/>
        <w:rPr>
          <w:rFonts w:ascii="仿宋" w:hAnsi="仿宋" w:eastAsia="仿宋"/>
          <w:bCs/>
          <w:sz w:val="32"/>
          <w:szCs w:val="32"/>
        </w:rPr>
      </w:pPr>
      <w:r>
        <w:rPr>
          <w:rFonts w:hint="eastAsia" w:ascii="仿宋" w:hAnsi="仿宋" w:eastAsia="仿宋"/>
          <w:bCs/>
          <w:sz w:val="32"/>
          <w:szCs w:val="32"/>
        </w:rPr>
        <w:t>（二）分项绩效目标</w:t>
      </w:r>
      <w:r>
        <w:rPr>
          <w:rFonts w:hint="eastAsia" w:ascii="仿宋" w:hAnsi="仿宋" w:eastAsia="仿宋"/>
          <w:bCs/>
          <w:sz w:val="32"/>
          <w:szCs w:val="32"/>
        </w:rPr>
        <w:fldChar w:fldCharType="begin"/>
      </w:r>
      <w:r>
        <w:rPr>
          <w:rFonts w:hint="eastAsia" w:ascii="仿宋" w:hAnsi="仿宋" w:eastAsia="仿宋"/>
          <w:bCs/>
          <w:sz w:val="32"/>
          <w:szCs w:val="32"/>
        </w:rPr>
        <w:instrText xml:space="preserve"> TC </w:instrText>
      </w:r>
      <w:bookmarkStart w:id="3" w:name="_Toc29484629"/>
      <w:r>
        <w:rPr>
          <w:rFonts w:hint="eastAsia" w:ascii="仿宋" w:hAnsi="仿宋" w:eastAsia="仿宋"/>
          <w:bCs/>
          <w:sz w:val="32"/>
          <w:szCs w:val="32"/>
        </w:rPr>
        <w:instrText xml:space="preserve">分项绩效目标</w:instrText>
      </w:r>
      <w:bookmarkEnd w:id="3"/>
      <w:r>
        <w:rPr>
          <w:rFonts w:hint="eastAsia" w:ascii="仿宋" w:hAnsi="仿宋" w:eastAsia="仿宋"/>
          <w:bCs/>
          <w:sz w:val="32"/>
          <w:szCs w:val="32"/>
        </w:rPr>
        <w:instrText xml:space="preserve"> \f A \l 1 </w:instrText>
      </w:r>
      <w:r>
        <w:rPr>
          <w:rFonts w:hint="eastAsia" w:ascii="仿宋" w:hAnsi="仿宋" w:eastAsia="仿宋"/>
          <w:bCs/>
          <w:sz w:val="32"/>
          <w:szCs w:val="32"/>
        </w:rPr>
        <w:fldChar w:fldCharType="end"/>
      </w:r>
    </w:p>
    <w:p>
      <w:pPr>
        <w:spacing w:before="156" w:beforeLines="50" w:after="156" w:afterLines="50" w:line="580" w:lineRule="exact"/>
        <w:ind w:firstLine="643" w:firstLineChars="200"/>
        <w:rPr>
          <w:rFonts w:ascii="仿宋" w:hAnsi="仿宋" w:eastAsia="仿宋" w:cs="仿宋_GB2312"/>
          <w:b/>
          <w:bCs/>
          <w:sz w:val="32"/>
          <w:szCs w:val="32"/>
        </w:rPr>
      </w:pPr>
      <w:r>
        <w:rPr>
          <w:rFonts w:hint="eastAsia" w:ascii="仿宋" w:hAnsi="仿宋" w:eastAsia="仿宋" w:cs="仿宋_GB2312"/>
          <w:b/>
          <w:bCs/>
          <w:sz w:val="32"/>
          <w:szCs w:val="32"/>
        </w:rPr>
        <w:t>1.互联网管理经费</w:t>
      </w:r>
    </w:p>
    <w:p>
      <w:pPr>
        <w:spacing w:before="156" w:beforeLines="50" w:after="156" w:afterLines="50" w:line="580" w:lineRule="exact"/>
        <w:ind w:firstLine="643" w:firstLineChars="200"/>
        <w:rPr>
          <w:rFonts w:ascii="仿宋" w:hAnsi="仿宋" w:eastAsia="仿宋" w:cs="仿宋_GB2312"/>
          <w:sz w:val="32"/>
          <w:szCs w:val="32"/>
        </w:rPr>
      </w:pPr>
      <w:r>
        <w:rPr>
          <w:rFonts w:hint="eastAsia" w:ascii="仿宋" w:hAnsi="仿宋" w:eastAsia="仿宋" w:cs="仿宋_GB2312"/>
          <w:b/>
          <w:bCs/>
          <w:sz w:val="32"/>
          <w:szCs w:val="32"/>
        </w:rPr>
        <w:t>绩效目标:</w:t>
      </w:r>
      <w:r>
        <w:rPr>
          <w:rFonts w:hint="eastAsia" w:ascii="仿宋" w:hAnsi="仿宋" w:eastAsia="仿宋" w:cs="仿宋_GB2312"/>
          <w:sz w:val="32"/>
          <w:szCs w:val="32"/>
        </w:rPr>
        <w:t>统筹互联网信息内容管理，加强互联网宣传管理和</w:t>
      </w:r>
      <w:r>
        <w:rPr>
          <w:rFonts w:hint="eastAsia" w:ascii="仿宋" w:hAnsi="仿宋" w:eastAsia="仿宋" w:cs="仿宋_GB2312"/>
          <w:sz w:val="32"/>
          <w:szCs w:val="32"/>
          <w:lang w:val="en-US" w:eastAsia="zh-CN"/>
        </w:rPr>
        <w:t>舆</w:t>
      </w:r>
      <w:bookmarkStart w:id="6" w:name="_GoBack"/>
      <w:bookmarkEnd w:id="6"/>
      <w:r>
        <w:rPr>
          <w:rFonts w:hint="eastAsia" w:ascii="仿宋" w:hAnsi="仿宋" w:eastAsia="仿宋" w:cs="仿宋_GB2312"/>
          <w:sz w:val="32"/>
          <w:szCs w:val="32"/>
        </w:rPr>
        <w:t>论引导工作。</w:t>
      </w:r>
    </w:p>
    <w:p>
      <w:pPr>
        <w:spacing w:before="156" w:beforeLines="50" w:after="156" w:afterLines="50" w:line="580" w:lineRule="exact"/>
        <w:ind w:firstLine="643" w:firstLineChars="200"/>
        <w:rPr>
          <w:rFonts w:ascii="仿宋" w:hAnsi="仿宋" w:eastAsia="仿宋" w:cs="仿宋_GB2312"/>
          <w:sz w:val="32"/>
          <w:szCs w:val="32"/>
        </w:rPr>
      </w:pPr>
      <w:r>
        <w:rPr>
          <w:rFonts w:hint="eastAsia" w:ascii="仿宋" w:hAnsi="仿宋" w:eastAsia="仿宋" w:cs="仿宋_GB2312"/>
          <w:b/>
          <w:bCs/>
          <w:sz w:val="32"/>
          <w:szCs w:val="32"/>
        </w:rPr>
        <w:t>绩效指标:</w:t>
      </w:r>
      <w:r>
        <w:rPr>
          <w:rFonts w:hint="eastAsia" w:ascii="仿宋" w:hAnsi="仿宋" w:eastAsia="仿宋" w:cs="仿宋_GB2312"/>
          <w:sz w:val="32"/>
          <w:szCs w:val="32"/>
        </w:rPr>
        <w:t>开展网上正面宣传，建设并运营“网信藁城”新媒体账号，正面推送消息12条以上;围绕全面建成小康社会以及我区经济社会发展成果，组织网络文化作品创作，选出优秀作品2副以上；系列文化活动参与者满意人数占参与人数的比例达到60％以上。</w:t>
      </w:r>
    </w:p>
    <w:p>
      <w:pPr>
        <w:spacing w:before="156" w:beforeLines="50" w:after="156" w:afterLines="50"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其他分项绩效目标因部门内容涉密不予公开。</w:t>
      </w:r>
    </w:p>
    <w:p>
      <w:pPr>
        <w:autoSpaceDE w:val="0"/>
        <w:autoSpaceDN w:val="0"/>
        <w:adjustRightInd w:val="0"/>
        <w:ind w:firstLine="640" w:firstLineChars="200"/>
        <w:jc w:val="left"/>
        <w:rPr>
          <w:rFonts w:ascii="仿宋" w:hAnsi="仿宋" w:eastAsia="仿宋"/>
          <w:bCs/>
          <w:sz w:val="32"/>
          <w:szCs w:val="32"/>
        </w:rPr>
      </w:pPr>
      <w:r>
        <w:rPr>
          <w:rFonts w:hint="eastAsia" w:ascii="仿宋" w:hAnsi="仿宋" w:eastAsia="仿宋"/>
          <w:bCs/>
          <w:sz w:val="32"/>
          <w:szCs w:val="32"/>
        </w:rPr>
        <w:t>（三）工作保障措施</w:t>
      </w:r>
    </w:p>
    <w:p>
      <w:pPr>
        <w:spacing w:line="560" w:lineRule="exact"/>
        <w:ind w:firstLine="643" w:firstLineChars="200"/>
        <w:rPr>
          <w:rFonts w:ascii="仿宋" w:hAnsi="仿宋" w:eastAsia="仿宋" w:cs="仿宋_GB2312"/>
          <w:sz w:val="32"/>
          <w:szCs w:val="32"/>
        </w:rPr>
      </w:pPr>
      <w:r>
        <w:rPr>
          <w:rFonts w:hint="eastAsia" w:ascii="仿宋" w:hAnsi="仿宋" w:eastAsia="仿宋" w:cs="仿宋_GB2312"/>
          <w:b/>
          <w:bCs/>
          <w:sz w:val="32"/>
          <w:szCs w:val="32"/>
        </w:rPr>
        <w:t>1.加强支出管理，确保网信工作顺利实施。</w:t>
      </w:r>
      <w:r>
        <w:rPr>
          <w:rFonts w:hint="eastAsia" w:ascii="仿宋" w:hAnsi="仿宋" w:eastAsia="仿宋" w:cs="仿宋_GB2312"/>
          <w:sz w:val="32"/>
          <w:szCs w:val="32"/>
        </w:rPr>
        <w:t>以网信项目预算绩效为依据，优化支出结构预算编制做细做实，支出执行有章可循。严格履行政府采购手续， 资金支出安排科学合理，为项目实施保驾护航。</w:t>
      </w:r>
    </w:p>
    <w:p>
      <w:pPr>
        <w:spacing w:line="560" w:lineRule="exact"/>
        <w:ind w:firstLine="643" w:firstLineChars="200"/>
        <w:rPr>
          <w:rFonts w:ascii="仿宋" w:hAnsi="仿宋" w:eastAsia="仿宋" w:cs="仿宋_GB2312"/>
          <w:sz w:val="32"/>
          <w:szCs w:val="32"/>
        </w:rPr>
      </w:pPr>
      <w:r>
        <w:rPr>
          <w:rFonts w:hint="eastAsia" w:ascii="仿宋" w:hAnsi="仿宋" w:eastAsia="仿宋" w:cs="仿宋_GB2312"/>
          <w:b/>
          <w:bCs/>
          <w:sz w:val="32"/>
          <w:szCs w:val="32"/>
        </w:rPr>
        <w:t>2.做好绩效自评，促进网信项目成功实施。</w:t>
      </w:r>
      <w:r>
        <w:rPr>
          <w:rFonts w:hint="eastAsia" w:ascii="仿宋" w:hAnsi="仿宋" w:eastAsia="仿宋" w:cs="仿宋_GB2312"/>
          <w:sz w:val="32"/>
          <w:szCs w:val="32"/>
        </w:rPr>
        <w:t>积极开展年度部门预算绩效自评工作，在自评中发现问题并及时整改解决，提高财政资金使用效益。</w:t>
      </w:r>
    </w:p>
    <w:p>
      <w:pPr>
        <w:spacing w:line="560" w:lineRule="exact"/>
        <w:ind w:firstLine="643" w:firstLineChars="200"/>
        <w:rPr>
          <w:rFonts w:ascii="仿宋" w:hAnsi="仿宋" w:eastAsia="仿宋" w:cs="Times New Roman"/>
          <w:sz w:val="32"/>
          <w:szCs w:val="32"/>
        </w:rPr>
      </w:pPr>
      <w:r>
        <w:rPr>
          <w:rFonts w:hint="eastAsia" w:ascii="仿宋" w:hAnsi="仿宋" w:eastAsia="仿宋" w:cs="仿宋_GB2312"/>
          <w:b/>
          <w:bCs/>
          <w:sz w:val="32"/>
          <w:szCs w:val="32"/>
        </w:rPr>
        <w:t>3.规范资产管理。</w:t>
      </w:r>
      <w:r>
        <w:rPr>
          <w:rFonts w:hint="eastAsia" w:ascii="仿宋" w:hAnsi="仿宋" w:eastAsia="仿宋" w:cs="仿宋_GB2312"/>
          <w:sz w:val="32"/>
          <w:szCs w:val="32"/>
        </w:rPr>
        <w:t>加强会计核算工作，严格执行网信办财务资产管理相关制度，确保账面数字真实、完整，依照政府采购目录进行政府采购，加强网信办固定资产登记、使用和报废处置管理，做到支出合理，物尽其用。</w:t>
      </w:r>
    </w:p>
    <w:p>
      <w:pPr>
        <w:autoSpaceDE w:val="0"/>
        <w:autoSpaceDN w:val="0"/>
        <w:adjustRightInd w:val="0"/>
        <w:ind w:left="198" w:firstLine="640" w:firstLineChars="200"/>
        <w:jc w:val="left"/>
        <w:rPr>
          <w:rFonts w:ascii="仿宋" w:hAnsi="仿宋" w:eastAsia="仿宋"/>
          <w:bCs/>
          <w:sz w:val="32"/>
          <w:szCs w:val="32"/>
        </w:rPr>
      </w:pPr>
    </w:p>
    <w:p>
      <w:pPr>
        <w:autoSpaceDE w:val="0"/>
        <w:autoSpaceDN w:val="0"/>
        <w:adjustRightInd w:val="0"/>
        <w:ind w:left="198" w:firstLine="640" w:firstLineChars="200"/>
        <w:jc w:val="left"/>
        <w:rPr>
          <w:rFonts w:ascii="仿宋" w:hAnsi="仿宋" w:eastAsia="仿宋"/>
          <w:bCs/>
          <w:sz w:val="32"/>
          <w:szCs w:val="32"/>
        </w:rPr>
      </w:pPr>
    </w:p>
    <w:p>
      <w:pPr>
        <w:autoSpaceDE w:val="0"/>
        <w:autoSpaceDN w:val="0"/>
        <w:adjustRightInd w:val="0"/>
        <w:ind w:left="198" w:firstLine="640" w:firstLineChars="200"/>
        <w:jc w:val="left"/>
        <w:rPr>
          <w:rFonts w:ascii="仿宋" w:hAnsi="仿宋" w:eastAsia="仿宋"/>
          <w:bCs/>
          <w:sz w:val="32"/>
          <w:szCs w:val="32"/>
        </w:rPr>
      </w:pPr>
      <w:r>
        <w:rPr>
          <w:rFonts w:hint="eastAsia" w:ascii="仿宋" w:hAnsi="仿宋" w:eastAsia="仿宋"/>
          <w:bCs/>
          <w:sz w:val="32"/>
          <w:szCs w:val="32"/>
        </w:rPr>
        <w:t>第二部分  预算项目绩效目标</w:t>
      </w:r>
    </w:p>
    <w:p>
      <w:pPr>
        <w:spacing w:line="580" w:lineRule="exact"/>
        <w:rPr>
          <w:rFonts w:ascii="仿宋" w:hAnsi="仿宋" w:eastAsia="仿宋"/>
          <w:b/>
          <w:sz w:val="28"/>
        </w:rPr>
      </w:pPr>
      <w:r>
        <w:rPr>
          <w:rFonts w:hint="eastAsia" w:ascii="仿宋" w:hAnsi="仿宋" w:eastAsia="仿宋"/>
          <w:b/>
          <w:sz w:val="28"/>
        </w:rPr>
        <w:t xml:space="preserve">  1.</w:t>
      </w:r>
      <w:r>
        <w:rPr>
          <w:rFonts w:hint="eastAsia" w:ascii="仿宋" w:hAnsi="仿宋" w:eastAsia="仿宋"/>
          <w:b/>
          <w:bCs/>
          <w:sz w:val="24"/>
          <w:szCs w:val="24"/>
        </w:rPr>
        <w:t>互联网管理经费</w:t>
      </w:r>
      <w:r>
        <w:rPr>
          <w:rFonts w:ascii="仿宋" w:hAnsi="仿宋" w:eastAsia="仿宋"/>
          <w:b/>
          <w:bCs/>
          <w:sz w:val="24"/>
          <w:szCs w:val="24"/>
        </w:rPr>
        <w:t>资金绩效表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仿宋" w:hAnsi="仿宋" w:eastAsia="仿宋"/>
              </w:rPr>
            </w:pPr>
            <w:r>
              <w:rPr>
                <w:rFonts w:hint="eastAsia" w:ascii="仿宋" w:hAnsi="仿宋" w:eastAsia="仿宋"/>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rPr>
            </w:pPr>
            <w:r>
              <w:rPr>
                <w:rFonts w:hint="eastAsia" w:ascii="仿宋" w:hAnsi="仿宋" w:eastAsia="仿宋"/>
                <w:b/>
              </w:rPr>
              <w:t>绩效目标</w:t>
            </w:r>
          </w:p>
        </w:tc>
        <w:tc>
          <w:tcPr>
            <w:tcW w:w="8278" w:type="dxa"/>
            <w:gridSpan w:val="2"/>
            <w:tcBorders>
              <w:bottom w:val="nil"/>
            </w:tcBorders>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、统筹互联网宣传管理工作，维护互联网网络意识形态安全</w:t>
            </w:r>
            <w:r>
              <w:rPr>
                <w:rFonts w:hint="eastAsia" w:ascii="仿宋" w:hAnsi="仿宋" w:eastAsia="仿宋" w:cs="宋体"/>
                <w:color w:val="000000"/>
                <w:sz w:val="16"/>
                <w:szCs w:val="16"/>
              </w:rPr>
              <w:t>。</w:t>
            </w:r>
          </w:p>
          <w:p>
            <w:pPr>
              <w:spacing w:line="300" w:lineRule="exact"/>
              <w:jc w:val="left"/>
              <w:rPr>
                <w:rFonts w:ascii="仿宋" w:hAnsi="仿宋" w:eastAsia="仿宋"/>
              </w:rPr>
            </w:pPr>
            <w:r>
              <w:rPr>
                <w:rFonts w:ascii="仿宋" w:hAnsi="仿宋" w:eastAsia="仿宋"/>
              </w:rPr>
              <w:t>2</w:t>
            </w:r>
            <w:r>
              <w:rPr>
                <w:rFonts w:hint="eastAsia" w:ascii="仿宋" w:hAnsi="仿宋" w:eastAsia="仿宋"/>
              </w:rPr>
              <w:t>、完善互联网信息内容监督管理执法，组织开展网络舆论生态治理。</w:t>
            </w:r>
          </w:p>
        </w:tc>
      </w:tr>
    </w:tbl>
    <w:p>
      <w:pPr>
        <w:spacing w:line="14" w:lineRule="exact"/>
        <w:ind w:firstLine="420" w:firstLineChars="200"/>
        <w:jc w:val="center"/>
        <w:rPr>
          <w:rFonts w:ascii="仿宋" w:hAnsi="仿宋" w:eastAsia="仿宋"/>
        </w:rPr>
      </w:pPr>
      <w:r>
        <w:rPr>
          <w:rFonts w:ascii="仿宋" w:hAnsi="仿宋" w:eastAsia="仿宋"/>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rPr>
            </w:pPr>
            <w:r>
              <w:rPr>
                <w:rFonts w:hint="eastAsia" w:ascii="仿宋" w:hAnsi="仿宋" w:eastAsia="仿宋"/>
                <w:b/>
              </w:rPr>
              <w:t>一级指标</w:t>
            </w:r>
          </w:p>
        </w:tc>
        <w:tc>
          <w:tcPr>
            <w:tcW w:w="1134" w:type="dxa"/>
            <w:vAlign w:val="center"/>
          </w:tcPr>
          <w:p>
            <w:pPr>
              <w:spacing w:line="300" w:lineRule="exact"/>
              <w:jc w:val="center"/>
              <w:rPr>
                <w:rFonts w:ascii="仿宋" w:hAnsi="仿宋" w:eastAsia="仿宋"/>
                <w:b/>
              </w:rPr>
            </w:pPr>
            <w:r>
              <w:rPr>
                <w:rFonts w:hint="eastAsia" w:ascii="仿宋" w:hAnsi="仿宋" w:eastAsia="仿宋"/>
                <w:b/>
              </w:rPr>
              <w:t>二级指标</w:t>
            </w:r>
          </w:p>
        </w:tc>
        <w:tc>
          <w:tcPr>
            <w:tcW w:w="1276" w:type="dxa"/>
            <w:vAlign w:val="center"/>
          </w:tcPr>
          <w:p>
            <w:pPr>
              <w:spacing w:line="300" w:lineRule="exact"/>
              <w:jc w:val="center"/>
              <w:rPr>
                <w:rFonts w:ascii="仿宋" w:hAnsi="仿宋" w:eastAsia="仿宋"/>
                <w:b/>
              </w:rPr>
            </w:pPr>
            <w:r>
              <w:rPr>
                <w:rFonts w:hint="eastAsia" w:ascii="仿宋" w:hAnsi="仿宋" w:eastAsia="仿宋"/>
                <w:b/>
              </w:rPr>
              <w:t>三级指标</w:t>
            </w:r>
          </w:p>
        </w:tc>
        <w:tc>
          <w:tcPr>
            <w:tcW w:w="2891" w:type="dxa"/>
            <w:vAlign w:val="center"/>
          </w:tcPr>
          <w:p>
            <w:pPr>
              <w:spacing w:line="300" w:lineRule="exact"/>
              <w:jc w:val="center"/>
              <w:rPr>
                <w:rFonts w:ascii="仿宋" w:hAnsi="仿宋" w:eastAsia="仿宋"/>
                <w:b/>
              </w:rPr>
            </w:pPr>
            <w:r>
              <w:rPr>
                <w:rFonts w:hint="eastAsia" w:ascii="仿宋" w:hAnsi="仿宋" w:eastAsia="仿宋"/>
                <w:b/>
              </w:rPr>
              <w:t>绩效指标描述</w:t>
            </w:r>
          </w:p>
        </w:tc>
        <w:tc>
          <w:tcPr>
            <w:tcW w:w="1276" w:type="dxa"/>
            <w:vAlign w:val="center"/>
          </w:tcPr>
          <w:p>
            <w:pPr>
              <w:spacing w:line="300" w:lineRule="exact"/>
              <w:jc w:val="center"/>
              <w:rPr>
                <w:rFonts w:ascii="仿宋" w:hAnsi="仿宋" w:eastAsia="仿宋"/>
                <w:b/>
              </w:rPr>
            </w:pPr>
            <w:r>
              <w:rPr>
                <w:rFonts w:hint="eastAsia" w:ascii="仿宋" w:hAnsi="仿宋" w:eastAsia="仿宋"/>
                <w:b/>
              </w:rPr>
              <w:t>指标值</w:t>
            </w:r>
          </w:p>
        </w:tc>
        <w:tc>
          <w:tcPr>
            <w:tcW w:w="1701" w:type="dxa"/>
            <w:vAlign w:val="center"/>
          </w:tcPr>
          <w:p>
            <w:pPr>
              <w:spacing w:line="300" w:lineRule="exact"/>
              <w:jc w:val="center"/>
              <w:rPr>
                <w:rFonts w:ascii="仿宋" w:hAnsi="仿宋" w:eastAsia="仿宋"/>
                <w:b/>
              </w:rPr>
            </w:pPr>
            <w:r>
              <w:rPr>
                <w:rFonts w:hint="eastAsia" w:ascii="仿宋" w:hAnsi="仿宋" w:eastAsia="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rPr>
            </w:pPr>
            <w:r>
              <w:rPr>
                <w:rFonts w:hint="eastAsia" w:ascii="仿宋" w:hAnsi="仿宋" w:eastAsia="仿宋"/>
              </w:rPr>
              <w:t>产出指标</w:t>
            </w:r>
          </w:p>
        </w:tc>
        <w:tc>
          <w:tcPr>
            <w:tcW w:w="1134" w:type="dxa"/>
            <w:vAlign w:val="center"/>
          </w:tcPr>
          <w:p>
            <w:pPr>
              <w:spacing w:line="300" w:lineRule="exact"/>
              <w:jc w:val="left"/>
              <w:rPr>
                <w:rFonts w:ascii="仿宋" w:hAnsi="仿宋" w:eastAsia="仿宋"/>
              </w:rPr>
            </w:pPr>
            <w:r>
              <w:rPr>
                <w:rFonts w:hint="eastAsia" w:ascii="仿宋" w:hAnsi="仿宋" w:eastAsia="仿宋"/>
              </w:rPr>
              <w:t>数量指标</w:t>
            </w:r>
          </w:p>
        </w:tc>
        <w:tc>
          <w:tcPr>
            <w:tcW w:w="1276" w:type="dxa"/>
            <w:vAlign w:val="center"/>
          </w:tcPr>
          <w:p>
            <w:pPr>
              <w:spacing w:line="300" w:lineRule="exact"/>
              <w:jc w:val="left"/>
              <w:rPr>
                <w:rFonts w:ascii="仿宋" w:hAnsi="仿宋" w:eastAsia="仿宋"/>
              </w:rPr>
            </w:pPr>
            <w:r>
              <w:rPr>
                <w:rFonts w:hint="eastAsia" w:ascii="仿宋" w:hAnsi="仿宋" w:eastAsia="仿宋"/>
              </w:rPr>
              <w:t>开展网上正面宣传</w:t>
            </w:r>
            <w:r>
              <w:rPr>
                <w:rFonts w:hint="eastAsia" w:ascii="仿宋" w:hAnsi="仿宋" w:eastAsia="仿宋"/>
              </w:rPr>
              <w:tab/>
            </w:r>
          </w:p>
        </w:tc>
        <w:tc>
          <w:tcPr>
            <w:tcW w:w="2891" w:type="dxa"/>
            <w:vAlign w:val="center"/>
          </w:tcPr>
          <w:p>
            <w:pPr>
              <w:spacing w:line="300" w:lineRule="exact"/>
              <w:jc w:val="left"/>
              <w:rPr>
                <w:rFonts w:ascii="仿宋" w:hAnsi="仿宋" w:eastAsia="仿宋"/>
              </w:rPr>
            </w:pPr>
            <w:r>
              <w:rPr>
                <w:rFonts w:hint="eastAsia" w:ascii="仿宋" w:hAnsi="仿宋" w:eastAsia="仿宋"/>
              </w:rPr>
              <w:t>反映开展网上正面宣传活动信息</w:t>
            </w:r>
            <w:r>
              <w:rPr>
                <w:rFonts w:hint="eastAsia" w:ascii="仿宋" w:hAnsi="仿宋" w:eastAsia="仿宋"/>
              </w:rPr>
              <w:tab/>
            </w:r>
          </w:p>
        </w:tc>
        <w:tc>
          <w:tcPr>
            <w:tcW w:w="1276" w:type="dxa"/>
            <w:vAlign w:val="center"/>
          </w:tcPr>
          <w:p>
            <w:pPr>
              <w:spacing w:line="300" w:lineRule="exact"/>
              <w:jc w:val="left"/>
              <w:rPr>
                <w:rFonts w:ascii="仿宋" w:hAnsi="仿宋" w:eastAsia="仿宋"/>
              </w:rPr>
            </w:pPr>
            <w:r>
              <w:rPr>
                <w:rFonts w:hint="eastAsia" w:ascii="仿宋" w:hAnsi="仿宋" w:eastAsia="仿宋"/>
              </w:rPr>
              <w:t>≥12条</w:t>
            </w:r>
            <w:r>
              <w:rPr>
                <w:rFonts w:hint="eastAsia" w:ascii="仿宋" w:hAnsi="仿宋" w:eastAsia="仿宋"/>
              </w:rPr>
              <w:tab/>
            </w:r>
          </w:p>
        </w:tc>
        <w:tc>
          <w:tcPr>
            <w:tcW w:w="1701" w:type="dxa"/>
            <w:vAlign w:val="center"/>
          </w:tcPr>
          <w:p>
            <w:pPr>
              <w:spacing w:line="300" w:lineRule="exact"/>
              <w:jc w:val="left"/>
              <w:rPr>
                <w:rFonts w:ascii="仿宋" w:hAnsi="仿宋" w:eastAsia="仿宋"/>
              </w:rPr>
            </w:pPr>
            <w:r>
              <w:rPr>
                <w:rFonts w:hint="eastAsia" w:ascii="仿宋" w:hAnsi="仿宋" w:eastAsia="仿宋"/>
              </w:rPr>
              <w:t>年度统计结果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rPr>
            </w:pPr>
          </w:p>
        </w:tc>
        <w:tc>
          <w:tcPr>
            <w:tcW w:w="1134" w:type="dxa"/>
            <w:vAlign w:val="center"/>
          </w:tcPr>
          <w:p>
            <w:pPr>
              <w:spacing w:line="300" w:lineRule="exact"/>
              <w:jc w:val="left"/>
              <w:rPr>
                <w:rFonts w:ascii="仿宋" w:hAnsi="仿宋" w:eastAsia="仿宋"/>
              </w:rPr>
            </w:pPr>
            <w:r>
              <w:rPr>
                <w:rFonts w:hint="eastAsia" w:ascii="仿宋" w:hAnsi="仿宋" w:eastAsia="仿宋"/>
              </w:rPr>
              <w:t>数量指标</w:t>
            </w:r>
          </w:p>
        </w:tc>
        <w:tc>
          <w:tcPr>
            <w:tcW w:w="1276" w:type="dxa"/>
            <w:vAlign w:val="center"/>
          </w:tcPr>
          <w:p>
            <w:pPr>
              <w:spacing w:line="300" w:lineRule="exact"/>
              <w:jc w:val="left"/>
              <w:rPr>
                <w:rFonts w:ascii="仿宋" w:hAnsi="仿宋" w:eastAsia="仿宋"/>
              </w:rPr>
            </w:pPr>
            <w:r>
              <w:rPr>
                <w:rFonts w:hint="eastAsia" w:ascii="仿宋" w:hAnsi="仿宋" w:eastAsia="仿宋"/>
              </w:rPr>
              <w:t>产生重要影响的作品数量</w:t>
            </w:r>
          </w:p>
        </w:tc>
        <w:tc>
          <w:tcPr>
            <w:tcW w:w="2891" w:type="dxa"/>
            <w:vAlign w:val="center"/>
          </w:tcPr>
          <w:p>
            <w:pPr>
              <w:spacing w:line="300" w:lineRule="exact"/>
              <w:jc w:val="left"/>
              <w:rPr>
                <w:rFonts w:ascii="仿宋" w:hAnsi="仿宋" w:eastAsia="仿宋"/>
              </w:rPr>
            </w:pPr>
            <w:r>
              <w:rPr>
                <w:rFonts w:hint="eastAsia" w:ascii="仿宋" w:hAnsi="仿宋" w:eastAsia="仿宋"/>
              </w:rPr>
              <w:t>在权威新媒体展播、展示的作品数量</w:t>
            </w:r>
          </w:p>
        </w:tc>
        <w:tc>
          <w:tcPr>
            <w:tcW w:w="1276" w:type="dxa"/>
            <w:vAlign w:val="center"/>
          </w:tcPr>
          <w:p>
            <w:pPr>
              <w:spacing w:line="300" w:lineRule="exact"/>
              <w:jc w:val="left"/>
              <w:rPr>
                <w:rFonts w:ascii="仿宋" w:hAnsi="仿宋" w:eastAsia="仿宋"/>
              </w:rPr>
            </w:pPr>
            <w:r>
              <w:rPr>
                <w:rFonts w:hint="eastAsia" w:ascii="仿宋" w:hAnsi="仿宋" w:eastAsia="仿宋"/>
              </w:rPr>
              <w:t>≥2幅</w:t>
            </w:r>
          </w:p>
        </w:tc>
        <w:tc>
          <w:tcPr>
            <w:tcW w:w="1701" w:type="dxa"/>
            <w:vAlign w:val="center"/>
          </w:tcPr>
          <w:p>
            <w:pPr>
              <w:spacing w:line="300" w:lineRule="exact"/>
              <w:jc w:val="left"/>
              <w:rPr>
                <w:rFonts w:ascii="仿宋" w:hAnsi="仿宋" w:eastAsia="仿宋"/>
              </w:rPr>
            </w:pPr>
            <w:r>
              <w:rPr>
                <w:rFonts w:hint="eastAsia" w:ascii="仿宋" w:hAnsi="仿宋" w:eastAsia="仿宋"/>
              </w:rPr>
              <w:t>部门职责活动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rPr>
            </w:pPr>
            <w:r>
              <w:rPr>
                <w:rFonts w:hint="eastAsia" w:ascii="仿宋" w:hAnsi="仿宋" w:eastAsia="仿宋"/>
              </w:rPr>
              <w:t>满意度指标</w:t>
            </w:r>
          </w:p>
        </w:tc>
        <w:tc>
          <w:tcPr>
            <w:tcW w:w="1134" w:type="dxa"/>
            <w:vAlign w:val="center"/>
          </w:tcPr>
          <w:p>
            <w:pPr>
              <w:spacing w:line="300" w:lineRule="exact"/>
              <w:jc w:val="left"/>
              <w:rPr>
                <w:rFonts w:ascii="仿宋" w:hAnsi="仿宋" w:eastAsia="仿宋"/>
              </w:rPr>
            </w:pPr>
            <w:r>
              <w:rPr>
                <w:rFonts w:hint="eastAsia" w:ascii="仿宋" w:hAnsi="仿宋" w:eastAsia="仿宋"/>
              </w:rPr>
              <w:t>服务对象满意度指标</w:t>
            </w:r>
          </w:p>
        </w:tc>
        <w:tc>
          <w:tcPr>
            <w:tcW w:w="1276" w:type="dxa"/>
            <w:vAlign w:val="center"/>
          </w:tcPr>
          <w:p>
            <w:pPr>
              <w:spacing w:line="300" w:lineRule="exact"/>
              <w:jc w:val="left"/>
              <w:rPr>
                <w:rFonts w:ascii="仿宋" w:hAnsi="仿宋" w:eastAsia="仿宋"/>
              </w:rPr>
            </w:pPr>
            <w:r>
              <w:rPr>
                <w:rFonts w:hint="eastAsia" w:ascii="仿宋" w:hAnsi="仿宋" w:eastAsia="仿宋"/>
              </w:rPr>
              <w:t>系列文化活动参与者满意度</w:t>
            </w:r>
          </w:p>
        </w:tc>
        <w:tc>
          <w:tcPr>
            <w:tcW w:w="2891" w:type="dxa"/>
            <w:vAlign w:val="center"/>
          </w:tcPr>
          <w:p>
            <w:pPr>
              <w:spacing w:line="300" w:lineRule="exact"/>
              <w:jc w:val="left"/>
              <w:rPr>
                <w:rFonts w:ascii="仿宋" w:hAnsi="仿宋" w:eastAsia="仿宋"/>
              </w:rPr>
            </w:pPr>
            <w:r>
              <w:rPr>
                <w:rFonts w:hint="eastAsia" w:ascii="仿宋" w:hAnsi="仿宋" w:eastAsia="仿宋"/>
              </w:rPr>
              <w:t>系列文化活动参与者满意度占参与者的比例</w:t>
            </w:r>
          </w:p>
        </w:tc>
        <w:tc>
          <w:tcPr>
            <w:tcW w:w="1276" w:type="dxa"/>
            <w:vAlign w:val="center"/>
          </w:tcPr>
          <w:p>
            <w:pPr>
              <w:spacing w:line="300" w:lineRule="exact"/>
              <w:jc w:val="left"/>
              <w:rPr>
                <w:rFonts w:ascii="仿宋" w:hAnsi="仿宋" w:eastAsia="仿宋"/>
              </w:rPr>
            </w:pPr>
            <w:r>
              <w:rPr>
                <w:rFonts w:hint="eastAsia" w:ascii="仿宋" w:hAnsi="仿宋" w:eastAsia="仿宋"/>
              </w:rPr>
              <w:t>≥60%</w:t>
            </w:r>
          </w:p>
        </w:tc>
        <w:tc>
          <w:tcPr>
            <w:tcW w:w="1701" w:type="dxa"/>
            <w:vAlign w:val="center"/>
          </w:tcPr>
          <w:p>
            <w:pPr>
              <w:spacing w:line="300" w:lineRule="exact"/>
              <w:jc w:val="left"/>
              <w:rPr>
                <w:rFonts w:ascii="仿宋" w:hAnsi="仿宋" w:eastAsia="仿宋"/>
              </w:rPr>
            </w:pPr>
            <w:r>
              <w:rPr>
                <w:rFonts w:hint="eastAsia" w:ascii="仿宋" w:hAnsi="仿宋" w:eastAsia="仿宋"/>
              </w:rPr>
              <w:t>参与群众认可度</w:t>
            </w:r>
          </w:p>
        </w:tc>
      </w:tr>
    </w:tbl>
    <w:p>
      <w:pPr>
        <w:spacing w:line="300" w:lineRule="exact"/>
        <w:ind w:firstLine="420" w:firstLineChars="200"/>
        <w:jc w:val="left"/>
        <w:rPr>
          <w:rFonts w:ascii="仿宋" w:hAnsi="仿宋" w:eastAsia="仿宋"/>
        </w:rPr>
      </w:pPr>
    </w:p>
    <w:p>
      <w:pPr>
        <w:spacing w:line="560" w:lineRule="exact"/>
        <w:ind w:firstLine="640" w:firstLineChars="200"/>
        <w:rPr>
          <w:rFonts w:ascii="仿宋" w:hAnsi="仿宋" w:eastAsia="仿宋" w:cs="仿宋_GB2312"/>
          <w:sz w:val="32"/>
          <w:szCs w:val="32"/>
        </w:rPr>
        <w:sectPr>
          <w:footerReference r:id="rId3" w:type="default"/>
          <w:pgSz w:w="11907" w:h="16839" w:orient="landscape"/>
          <w:pgMar w:top="1984" w:right="1304" w:bottom="1134" w:left="1304" w:header="851" w:footer="992" w:gutter="0"/>
          <w:cols w:space="720" w:num="1"/>
          <w:docGrid w:type="lines" w:linePitch="312" w:charSpace="0"/>
        </w:sectPr>
      </w:pPr>
      <w:r>
        <w:rPr>
          <w:rFonts w:hint="eastAsia" w:ascii="仿宋" w:hAnsi="仿宋" w:eastAsia="仿宋" w:cs="仿宋_GB2312"/>
          <w:sz w:val="32"/>
          <w:szCs w:val="32"/>
        </w:rPr>
        <w:t>其他项目因部门内容涉密不予公开。</w:t>
      </w:r>
    </w:p>
    <w:bookmarkEnd w:id="1"/>
    <w:p>
      <w:pPr>
        <w:autoSpaceDE w:val="0"/>
        <w:autoSpaceDN w:val="0"/>
        <w:adjustRightInd w:val="0"/>
        <w:ind w:firstLine="960" w:firstLineChars="300"/>
        <w:jc w:val="left"/>
        <w:rPr>
          <w:rFonts w:ascii="仿宋" w:hAnsi="仿宋" w:eastAsia="仿宋" w:cs="Times New Roman"/>
          <w:sz w:val="32"/>
          <w:szCs w:val="32"/>
        </w:rPr>
      </w:pPr>
      <w:r>
        <w:rPr>
          <w:rFonts w:hint="eastAsia" w:ascii="仿宋" w:hAnsi="仿宋" w:eastAsia="仿宋" w:cs="Times New Roman"/>
          <w:sz w:val="32"/>
          <w:szCs w:val="32"/>
        </w:rPr>
        <w:t>六、政府采购预算情况</w:t>
      </w:r>
    </w:p>
    <w:p>
      <w:pPr>
        <w:ind w:firstLine="640" w:firstLineChars="200"/>
        <w:outlineLvl w:val="0"/>
        <w:rPr>
          <w:rFonts w:ascii="仿宋" w:hAnsi="仿宋" w:eastAsia="仿宋" w:cs="Times New Roman"/>
          <w:sz w:val="32"/>
          <w:szCs w:val="24"/>
        </w:rPr>
      </w:pPr>
      <w:bookmarkStart w:id="4" w:name="_Toc471398468"/>
      <w:r>
        <w:rPr>
          <w:rFonts w:ascii="仿宋" w:hAnsi="仿宋" w:eastAsia="仿宋" w:cs="Times New Roman"/>
          <w:sz w:val="32"/>
          <w:szCs w:val="24"/>
        </w:rPr>
        <w:t xml:space="preserve"> </w:t>
      </w:r>
      <w:r>
        <w:rPr>
          <w:rFonts w:hint="eastAsia" w:ascii="仿宋" w:hAnsi="仿宋" w:eastAsia="仿宋" w:cs="仿宋_GB2312"/>
          <w:sz w:val="32"/>
          <w:szCs w:val="24"/>
        </w:rPr>
        <w:t>2020年，我部门安排政府采购预算40万元。具体内容见下表。</w:t>
      </w:r>
      <w:bookmarkEnd w:id="4"/>
    </w:p>
    <w:p>
      <w:pPr>
        <w:ind w:firstLine="640" w:firstLineChars="200"/>
        <w:jc w:val="center"/>
        <w:outlineLvl w:val="0"/>
        <w:rPr>
          <w:rFonts w:ascii="仿宋" w:hAnsi="仿宋" w:eastAsia="仿宋"/>
          <w:sz w:val="32"/>
        </w:rPr>
      </w:pPr>
      <w:r>
        <w:rPr>
          <w:rFonts w:hint="eastAsia" w:ascii="仿宋" w:hAnsi="仿宋" w:eastAsia="仿宋"/>
          <w:sz w:val="32"/>
        </w:rPr>
        <w:t>部门政府采购预算</w:t>
      </w:r>
      <w:r>
        <w:rPr>
          <w:rFonts w:ascii="仿宋" w:hAnsi="仿宋" w:eastAsia="仿宋"/>
        </w:rPr>
        <w:fldChar w:fldCharType="begin"/>
      </w:r>
      <w:r>
        <w:rPr>
          <w:rFonts w:ascii="仿宋" w:hAnsi="仿宋" w:eastAsia="仿宋"/>
          <w:sz w:val="32"/>
        </w:rPr>
        <w:instrText xml:space="preserve"> </w:instrText>
      </w:r>
      <w:r>
        <w:rPr>
          <w:rFonts w:hint="eastAsia" w:ascii="仿宋" w:hAnsi="仿宋" w:eastAsia="仿宋"/>
          <w:sz w:val="32"/>
        </w:rPr>
        <w:instrText xml:space="preserve">TC </w:instrText>
      </w:r>
      <w:bookmarkStart w:id="5" w:name="_Toc28848395"/>
      <w:r>
        <w:rPr>
          <w:rFonts w:hint="eastAsia" w:ascii="仿宋" w:hAnsi="仿宋" w:eastAsia="仿宋"/>
          <w:sz w:val="32"/>
        </w:rPr>
        <w:instrText xml:space="preserve">部门政府采购预算</w:instrText>
      </w:r>
      <w:bookmarkEnd w:id="5"/>
      <w:r>
        <w:rPr>
          <w:rFonts w:hint="eastAsia" w:ascii="仿宋" w:hAnsi="仿宋" w:eastAsia="仿宋"/>
          <w:sz w:val="32"/>
        </w:rPr>
        <w:instrText xml:space="preserve"> \f A \l 1</w:instrText>
      </w:r>
      <w:r>
        <w:rPr>
          <w:rFonts w:ascii="仿宋" w:hAnsi="仿宋" w:eastAsia="仿宋"/>
          <w:sz w:val="32"/>
        </w:rPr>
        <w:instrText xml:space="preserve"> </w:instrText>
      </w:r>
      <w:r>
        <w:rPr>
          <w:rFonts w:ascii="仿宋" w:hAnsi="仿宋" w:eastAsia="仿宋"/>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sz w:val="24"/>
              </w:rPr>
            </w:pPr>
            <w:r>
              <w:rPr>
                <w:rFonts w:hint="eastAsia" w:ascii="仿宋" w:hAnsi="仿宋" w:eastAsia="仿宋"/>
                <w:sz w:val="24"/>
              </w:rPr>
              <w:t>224中共石家庄市藁城区委网络安全和信息化委员会办公室</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24"/>
              </w:rPr>
            </w:pPr>
            <w:r>
              <w:rPr>
                <w:rFonts w:hint="eastAsia" w:ascii="仿宋" w:hAnsi="仿宋" w:eastAsia="仿宋"/>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仿宋" w:hAnsi="仿宋" w:eastAsia="仿宋"/>
                <w:b/>
              </w:rPr>
            </w:pPr>
            <w:r>
              <w:rPr>
                <w:rFonts w:hint="eastAsia" w:ascii="仿宋" w:hAnsi="仿宋" w:eastAsia="仿宋"/>
                <w:b/>
              </w:rPr>
              <w:t>政府采购项目来源</w:t>
            </w:r>
          </w:p>
        </w:tc>
        <w:tc>
          <w:tcPr>
            <w:tcW w:w="1559" w:type="dxa"/>
            <w:vMerge w:val="restart"/>
            <w:vAlign w:val="center"/>
          </w:tcPr>
          <w:p>
            <w:pPr>
              <w:spacing w:line="300" w:lineRule="exact"/>
              <w:jc w:val="center"/>
              <w:rPr>
                <w:rFonts w:ascii="仿宋" w:hAnsi="仿宋" w:eastAsia="仿宋"/>
                <w:b/>
              </w:rPr>
            </w:pPr>
            <w:r>
              <w:rPr>
                <w:rFonts w:hint="eastAsia" w:ascii="仿宋" w:hAnsi="仿宋" w:eastAsia="仿宋"/>
                <w:b/>
              </w:rPr>
              <w:t>采购物品名称</w:t>
            </w:r>
          </w:p>
        </w:tc>
        <w:tc>
          <w:tcPr>
            <w:tcW w:w="1417" w:type="dxa"/>
            <w:vMerge w:val="restart"/>
            <w:vAlign w:val="center"/>
          </w:tcPr>
          <w:p>
            <w:pPr>
              <w:spacing w:line="300" w:lineRule="exact"/>
              <w:jc w:val="center"/>
              <w:rPr>
                <w:rFonts w:ascii="仿宋" w:hAnsi="仿宋" w:eastAsia="仿宋"/>
                <w:b/>
              </w:rPr>
            </w:pPr>
            <w:r>
              <w:rPr>
                <w:rFonts w:hint="eastAsia" w:ascii="仿宋" w:hAnsi="仿宋" w:eastAsia="仿宋"/>
                <w:b/>
              </w:rPr>
              <w:t>政府采购目录序号</w:t>
            </w:r>
          </w:p>
        </w:tc>
        <w:tc>
          <w:tcPr>
            <w:tcW w:w="709" w:type="dxa"/>
            <w:vMerge w:val="restart"/>
            <w:vAlign w:val="center"/>
          </w:tcPr>
          <w:p>
            <w:pPr>
              <w:spacing w:line="300" w:lineRule="exact"/>
              <w:jc w:val="center"/>
              <w:rPr>
                <w:rFonts w:ascii="仿宋" w:hAnsi="仿宋" w:eastAsia="仿宋"/>
                <w:b/>
              </w:rPr>
            </w:pPr>
            <w:r>
              <w:rPr>
                <w:rFonts w:hint="eastAsia" w:ascii="仿宋" w:hAnsi="仿宋" w:eastAsia="仿宋"/>
                <w:b/>
              </w:rPr>
              <w:t>计量  单位</w:t>
            </w:r>
          </w:p>
        </w:tc>
        <w:tc>
          <w:tcPr>
            <w:tcW w:w="851" w:type="dxa"/>
            <w:vMerge w:val="restart"/>
            <w:vAlign w:val="center"/>
          </w:tcPr>
          <w:p>
            <w:pPr>
              <w:spacing w:line="300" w:lineRule="exact"/>
              <w:jc w:val="center"/>
              <w:rPr>
                <w:rFonts w:ascii="仿宋" w:hAnsi="仿宋" w:eastAsia="仿宋"/>
                <w:b/>
              </w:rPr>
            </w:pPr>
            <w:r>
              <w:rPr>
                <w:rFonts w:hint="eastAsia" w:ascii="仿宋" w:hAnsi="仿宋" w:eastAsia="仿宋"/>
                <w:b/>
              </w:rPr>
              <w:t>数量</w:t>
            </w:r>
          </w:p>
        </w:tc>
        <w:tc>
          <w:tcPr>
            <w:tcW w:w="992" w:type="dxa"/>
            <w:vMerge w:val="restart"/>
            <w:vAlign w:val="center"/>
          </w:tcPr>
          <w:p>
            <w:pPr>
              <w:spacing w:line="300" w:lineRule="exact"/>
              <w:jc w:val="center"/>
              <w:rPr>
                <w:rFonts w:ascii="仿宋" w:hAnsi="仿宋" w:eastAsia="仿宋"/>
                <w:b/>
              </w:rPr>
            </w:pPr>
            <w:r>
              <w:rPr>
                <w:rFonts w:hint="eastAsia" w:ascii="仿宋" w:hAnsi="仿宋" w:eastAsia="仿宋"/>
                <w:b/>
              </w:rPr>
              <w:t>单价</w:t>
            </w:r>
          </w:p>
        </w:tc>
        <w:tc>
          <w:tcPr>
            <w:tcW w:w="5854" w:type="dxa"/>
            <w:gridSpan w:val="6"/>
            <w:vAlign w:val="center"/>
          </w:tcPr>
          <w:p>
            <w:pPr>
              <w:spacing w:line="300" w:lineRule="exact"/>
              <w:jc w:val="center"/>
              <w:rPr>
                <w:rFonts w:ascii="仿宋" w:hAnsi="仿宋" w:eastAsia="仿宋"/>
                <w:b/>
              </w:rPr>
            </w:pPr>
            <w:r>
              <w:rPr>
                <w:rFonts w:hint="eastAsia" w:ascii="仿宋" w:hAnsi="仿宋" w:eastAsia="仿宋"/>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仿宋" w:hAnsi="仿宋" w:eastAsia="仿宋"/>
                <w:b/>
              </w:rPr>
            </w:pPr>
            <w:r>
              <w:rPr>
                <w:rFonts w:hint="eastAsia" w:ascii="仿宋" w:hAnsi="仿宋" w:eastAsia="仿宋"/>
                <w:b/>
              </w:rPr>
              <w:t>项目名称</w:t>
            </w:r>
          </w:p>
        </w:tc>
        <w:tc>
          <w:tcPr>
            <w:tcW w:w="1134" w:type="dxa"/>
            <w:vAlign w:val="center"/>
          </w:tcPr>
          <w:p>
            <w:pPr>
              <w:spacing w:line="300" w:lineRule="exact"/>
              <w:jc w:val="center"/>
              <w:rPr>
                <w:rFonts w:ascii="仿宋" w:hAnsi="仿宋" w:eastAsia="仿宋"/>
                <w:b/>
              </w:rPr>
            </w:pPr>
            <w:r>
              <w:rPr>
                <w:rFonts w:hint="eastAsia" w:ascii="仿宋" w:hAnsi="仿宋" w:eastAsia="仿宋"/>
                <w:b/>
              </w:rPr>
              <w:t>预算资金</w:t>
            </w:r>
          </w:p>
        </w:tc>
        <w:tc>
          <w:tcPr>
            <w:tcW w:w="1559" w:type="dxa"/>
            <w:vMerge w:val="continue"/>
            <w:vAlign w:val="center"/>
          </w:tcPr>
          <w:p>
            <w:pPr>
              <w:spacing w:line="300" w:lineRule="exact"/>
              <w:jc w:val="left"/>
              <w:outlineLvl w:val="0"/>
              <w:rPr>
                <w:rFonts w:ascii="仿宋" w:hAnsi="仿宋" w:eastAsia="仿宋"/>
                <w:sz w:val="28"/>
              </w:rPr>
            </w:pPr>
          </w:p>
        </w:tc>
        <w:tc>
          <w:tcPr>
            <w:tcW w:w="1417" w:type="dxa"/>
            <w:vMerge w:val="continue"/>
            <w:vAlign w:val="center"/>
          </w:tcPr>
          <w:p>
            <w:pPr>
              <w:spacing w:line="300" w:lineRule="exact"/>
              <w:jc w:val="left"/>
              <w:outlineLvl w:val="0"/>
              <w:rPr>
                <w:rFonts w:ascii="仿宋" w:hAnsi="仿宋" w:eastAsia="仿宋"/>
                <w:sz w:val="28"/>
              </w:rPr>
            </w:pPr>
          </w:p>
        </w:tc>
        <w:tc>
          <w:tcPr>
            <w:tcW w:w="709" w:type="dxa"/>
            <w:vMerge w:val="continue"/>
            <w:vAlign w:val="center"/>
          </w:tcPr>
          <w:p>
            <w:pPr>
              <w:spacing w:line="300" w:lineRule="exact"/>
              <w:jc w:val="left"/>
              <w:outlineLvl w:val="0"/>
              <w:rPr>
                <w:rFonts w:ascii="仿宋" w:hAnsi="仿宋" w:eastAsia="仿宋"/>
                <w:sz w:val="28"/>
              </w:rPr>
            </w:pPr>
          </w:p>
        </w:tc>
        <w:tc>
          <w:tcPr>
            <w:tcW w:w="851" w:type="dxa"/>
            <w:vMerge w:val="continue"/>
            <w:vAlign w:val="center"/>
          </w:tcPr>
          <w:p>
            <w:pPr>
              <w:spacing w:line="300" w:lineRule="exact"/>
              <w:jc w:val="left"/>
              <w:outlineLvl w:val="0"/>
              <w:rPr>
                <w:rFonts w:ascii="仿宋" w:hAnsi="仿宋" w:eastAsia="仿宋"/>
                <w:sz w:val="28"/>
              </w:rPr>
            </w:pPr>
          </w:p>
        </w:tc>
        <w:tc>
          <w:tcPr>
            <w:tcW w:w="992" w:type="dxa"/>
            <w:vMerge w:val="continue"/>
            <w:vAlign w:val="center"/>
          </w:tcPr>
          <w:p>
            <w:pPr>
              <w:spacing w:line="300" w:lineRule="exact"/>
              <w:jc w:val="left"/>
              <w:outlineLvl w:val="0"/>
              <w:rPr>
                <w:rFonts w:ascii="仿宋" w:hAnsi="仿宋" w:eastAsia="仿宋"/>
                <w:sz w:val="28"/>
              </w:rPr>
            </w:pPr>
          </w:p>
        </w:tc>
        <w:tc>
          <w:tcPr>
            <w:tcW w:w="992" w:type="dxa"/>
            <w:vAlign w:val="center"/>
          </w:tcPr>
          <w:p>
            <w:pPr>
              <w:spacing w:line="300" w:lineRule="exact"/>
              <w:jc w:val="center"/>
              <w:rPr>
                <w:rFonts w:ascii="仿宋" w:hAnsi="仿宋" w:eastAsia="仿宋"/>
                <w:b/>
              </w:rPr>
            </w:pPr>
            <w:r>
              <w:rPr>
                <w:rFonts w:hint="eastAsia" w:ascii="仿宋" w:hAnsi="仿宋" w:eastAsia="仿宋"/>
                <w:b/>
              </w:rPr>
              <w:t>合计</w:t>
            </w:r>
          </w:p>
        </w:tc>
        <w:tc>
          <w:tcPr>
            <w:tcW w:w="992" w:type="dxa"/>
            <w:vAlign w:val="center"/>
          </w:tcPr>
          <w:p>
            <w:pPr>
              <w:spacing w:line="300" w:lineRule="exact"/>
              <w:jc w:val="center"/>
              <w:rPr>
                <w:rFonts w:ascii="仿宋" w:hAnsi="仿宋" w:eastAsia="仿宋"/>
                <w:b/>
              </w:rPr>
            </w:pPr>
            <w:r>
              <w:rPr>
                <w:rFonts w:hint="eastAsia" w:ascii="仿宋" w:hAnsi="仿宋" w:eastAsia="仿宋"/>
                <w:b/>
              </w:rPr>
              <w:t>一般公共预算拨款</w:t>
            </w:r>
          </w:p>
        </w:tc>
        <w:tc>
          <w:tcPr>
            <w:tcW w:w="993" w:type="dxa"/>
            <w:vAlign w:val="center"/>
          </w:tcPr>
          <w:p>
            <w:pPr>
              <w:spacing w:line="300" w:lineRule="exact"/>
              <w:jc w:val="center"/>
              <w:rPr>
                <w:rFonts w:ascii="仿宋" w:hAnsi="仿宋" w:eastAsia="仿宋"/>
                <w:b/>
              </w:rPr>
            </w:pPr>
            <w:r>
              <w:rPr>
                <w:rFonts w:hint="eastAsia" w:ascii="仿宋" w:hAnsi="仿宋" w:eastAsia="仿宋"/>
                <w:b/>
              </w:rPr>
              <w:t>基金预算拨款</w:t>
            </w:r>
          </w:p>
        </w:tc>
        <w:tc>
          <w:tcPr>
            <w:tcW w:w="1134" w:type="dxa"/>
            <w:vAlign w:val="center"/>
          </w:tcPr>
          <w:p>
            <w:pPr>
              <w:spacing w:line="300" w:lineRule="exact"/>
              <w:jc w:val="center"/>
              <w:rPr>
                <w:rFonts w:ascii="仿宋" w:hAnsi="仿宋" w:eastAsia="仿宋"/>
                <w:b/>
              </w:rPr>
            </w:pPr>
            <w:r>
              <w:rPr>
                <w:rFonts w:hint="eastAsia" w:ascii="仿宋" w:hAnsi="仿宋" w:eastAsia="仿宋"/>
                <w:b/>
              </w:rPr>
              <w:t>国有资本经营预算拨款</w:t>
            </w:r>
          </w:p>
        </w:tc>
        <w:tc>
          <w:tcPr>
            <w:tcW w:w="850" w:type="dxa"/>
            <w:vAlign w:val="center"/>
          </w:tcPr>
          <w:p>
            <w:pPr>
              <w:spacing w:line="300" w:lineRule="exact"/>
              <w:jc w:val="center"/>
              <w:rPr>
                <w:rFonts w:ascii="仿宋" w:hAnsi="仿宋" w:eastAsia="仿宋"/>
                <w:b/>
              </w:rPr>
            </w:pPr>
            <w:r>
              <w:rPr>
                <w:rFonts w:hint="eastAsia" w:ascii="仿宋" w:hAnsi="仿宋" w:eastAsia="仿宋"/>
                <w:b/>
              </w:rPr>
              <w:t>财政专户核拨</w:t>
            </w:r>
          </w:p>
        </w:tc>
        <w:tc>
          <w:tcPr>
            <w:tcW w:w="893" w:type="dxa"/>
            <w:vAlign w:val="center"/>
          </w:tcPr>
          <w:p>
            <w:pPr>
              <w:spacing w:line="300" w:lineRule="exact"/>
              <w:jc w:val="center"/>
              <w:rPr>
                <w:rFonts w:ascii="仿宋" w:hAnsi="仿宋" w:eastAsia="仿宋"/>
                <w:b/>
              </w:rPr>
            </w:pPr>
            <w:r>
              <w:rPr>
                <w:rFonts w:hint="eastAsia" w:ascii="仿宋" w:hAnsi="仿宋" w:eastAsia="仿宋"/>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仿宋" w:hAnsi="仿宋" w:eastAsia="仿宋"/>
                <w:b/>
              </w:rPr>
            </w:pPr>
            <w:r>
              <w:rPr>
                <w:rFonts w:hint="eastAsia" w:ascii="仿宋" w:hAnsi="仿宋" w:eastAsia="仿宋"/>
                <w:b/>
              </w:rPr>
              <w:t>合　计</w:t>
            </w:r>
          </w:p>
        </w:tc>
        <w:tc>
          <w:tcPr>
            <w:tcW w:w="1134" w:type="dxa"/>
            <w:vAlign w:val="center"/>
          </w:tcPr>
          <w:p>
            <w:pPr>
              <w:spacing w:line="300" w:lineRule="exact"/>
              <w:jc w:val="right"/>
              <w:rPr>
                <w:rFonts w:ascii="仿宋" w:hAnsi="仿宋" w:eastAsia="仿宋"/>
                <w:b/>
              </w:rPr>
            </w:pPr>
          </w:p>
        </w:tc>
        <w:tc>
          <w:tcPr>
            <w:tcW w:w="1559" w:type="dxa"/>
            <w:vAlign w:val="center"/>
          </w:tcPr>
          <w:p>
            <w:pPr>
              <w:spacing w:line="300" w:lineRule="exact"/>
              <w:jc w:val="left"/>
              <w:rPr>
                <w:rFonts w:ascii="仿宋" w:hAnsi="仿宋" w:eastAsia="仿宋"/>
                <w:b/>
              </w:rPr>
            </w:pPr>
          </w:p>
        </w:tc>
        <w:tc>
          <w:tcPr>
            <w:tcW w:w="1417" w:type="dxa"/>
            <w:vAlign w:val="center"/>
          </w:tcPr>
          <w:p>
            <w:pPr>
              <w:spacing w:line="300" w:lineRule="exact"/>
              <w:jc w:val="left"/>
              <w:rPr>
                <w:rFonts w:ascii="仿宋" w:hAnsi="仿宋" w:eastAsia="仿宋"/>
                <w:b/>
              </w:rPr>
            </w:pPr>
          </w:p>
        </w:tc>
        <w:tc>
          <w:tcPr>
            <w:tcW w:w="709" w:type="dxa"/>
            <w:vAlign w:val="center"/>
          </w:tcPr>
          <w:p>
            <w:pPr>
              <w:spacing w:line="300" w:lineRule="exact"/>
              <w:jc w:val="left"/>
              <w:rPr>
                <w:rFonts w:ascii="仿宋" w:hAnsi="仿宋" w:eastAsia="仿宋"/>
                <w:b/>
              </w:rPr>
            </w:pPr>
          </w:p>
        </w:tc>
        <w:tc>
          <w:tcPr>
            <w:tcW w:w="851" w:type="dxa"/>
            <w:vAlign w:val="center"/>
          </w:tcPr>
          <w:p>
            <w:pPr>
              <w:spacing w:line="300" w:lineRule="exact"/>
              <w:jc w:val="right"/>
              <w:rPr>
                <w:rFonts w:ascii="仿宋" w:hAnsi="仿宋" w:eastAsia="仿宋"/>
                <w:b/>
              </w:rPr>
            </w:pPr>
          </w:p>
        </w:tc>
        <w:tc>
          <w:tcPr>
            <w:tcW w:w="992" w:type="dxa"/>
            <w:vAlign w:val="center"/>
          </w:tcPr>
          <w:p>
            <w:pPr>
              <w:spacing w:line="300" w:lineRule="exact"/>
              <w:jc w:val="right"/>
              <w:rPr>
                <w:rFonts w:ascii="仿宋" w:hAnsi="仿宋" w:eastAsia="仿宋"/>
                <w:b/>
              </w:rPr>
            </w:pPr>
          </w:p>
        </w:tc>
        <w:tc>
          <w:tcPr>
            <w:tcW w:w="992" w:type="dxa"/>
            <w:vAlign w:val="center"/>
          </w:tcPr>
          <w:p>
            <w:pPr>
              <w:adjustRightInd w:val="0"/>
              <w:snapToGrid w:val="0"/>
              <w:jc w:val="right"/>
              <w:rPr>
                <w:rFonts w:ascii="仿宋" w:hAnsi="仿宋" w:eastAsia="仿宋" w:cs="宋体"/>
                <w:b/>
                <w:bCs/>
                <w:color w:val="000000"/>
                <w:szCs w:val="21"/>
              </w:rPr>
            </w:pPr>
            <w:r>
              <w:rPr>
                <w:rFonts w:hint="eastAsia" w:ascii="仿宋" w:hAnsi="仿宋" w:eastAsia="仿宋"/>
                <w:b/>
                <w:bCs/>
                <w:color w:val="000000"/>
                <w:szCs w:val="21"/>
              </w:rPr>
              <w:t>40.00</w:t>
            </w:r>
          </w:p>
        </w:tc>
        <w:tc>
          <w:tcPr>
            <w:tcW w:w="992" w:type="dxa"/>
            <w:vAlign w:val="center"/>
          </w:tcPr>
          <w:p>
            <w:pPr>
              <w:adjustRightInd w:val="0"/>
              <w:snapToGrid w:val="0"/>
              <w:jc w:val="right"/>
              <w:rPr>
                <w:rFonts w:ascii="仿宋" w:hAnsi="仿宋" w:eastAsia="仿宋" w:cs="宋体"/>
                <w:b/>
                <w:bCs/>
                <w:color w:val="000000"/>
                <w:szCs w:val="21"/>
              </w:rPr>
            </w:pPr>
            <w:r>
              <w:rPr>
                <w:rFonts w:hint="eastAsia" w:ascii="仿宋" w:hAnsi="仿宋" w:eastAsia="仿宋" w:cs="宋体"/>
                <w:b/>
                <w:bCs/>
                <w:color w:val="000000"/>
                <w:szCs w:val="21"/>
              </w:rPr>
              <w:t>40.00</w:t>
            </w:r>
          </w:p>
        </w:tc>
        <w:tc>
          <w:tcPr>
            <w:tcW w:w="993" w:type="dxa"/>
            <w:vAlign w:val="center"/>
          </w:tcPr>
          <w:p>
            <w:pPr>
              <w:spacing w:line="300" w:lineRule="exact"/>
              <w:jc w:val="right"/>
              <w:rPr>
                <w:rFonts w:ascii="仿宋" w:hAnsi="仿宋" w:eastAsia="仿宋"/>
                <w:b/>
              </w:rPr>
            </w:pPr>
          </w:p>
        </w:tc>
        <w:tc>
          <w:tcPr>
            <w:tcW w:w="1134" w:type="dxa"/>
            <w:vAlign w:val="center"/>
          </w:tcPr>
          <w:p>
            <w:pPr>
              <w:spacing w:line="300" w:lineRule="exact"/>
              <w:jc w:val="right"/>
              <w:rPr>
                <w:rFonts w:ascii="仿宋" w:hAnsi="仿宋" w:eastAsia="仿宋"/>
                <w:b/>
              </w:rPr>
            </w:pPr>
          </w:p>
        </w:tc>
        <w:tc>
          <w:tcPr>
            <w:tcW w:w="850" w:type="dxa"/>
            <w:vAlign w:val="center"/>
          </w:tcPr>
          <w:p>
            <w:pPr>
              <w:spacing w:line="300" w:lineRule="exact"/>
              <w:jc w:val="right"/>
              <w:rPr>
                <w:rFonts w:ascii="仿宋" w:hAnsi="仿宋" w:eastAsia="仿宋"/>
                <w:b/>
              </w:rPr>
            </w:pPr>
          </w:p>
        </w:tc>
        <w:tc>
          <w:tcPr>
            <w:tcW w:w="893" w:type="dxa"/>
            <w:vAlign w:val="center"/>
          </w:tcPr>
          <w:p>
            <w:pPr>
              <w:spacing w:line="300" w:lineRule="exact"/>
              <w:jc w:val="right"/>
              <w:rPr>
                <w:rFonts w:ascii="仿宋" w:hAnsi="仿宋" w:eastAsia="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仿宋" w:hAnsi="仿宋" w:eastAsia="仿宋"/>
                <w:b/>
              </w:rPr>
            </w:pPr>
            <w:r>
              <w:rPr>
                <w:rFonts w:hint="eastAsia" w:ascii="仿宋" w:hAnsi="仿宋" w:eastAsia="仿宋"/>
                <w:sz w:val="24"/>
              </w:rPr>
              <w:t>中共石家庄市藁城区委网络安全和信息化委员会办公室</w:t>
            </w:r>
            <w:r>
              <w:rPr>
                <w:rFonts w:hint="eastAsia" w:ascii="仿宋" w:hAnsi="仿宋" w:eastAsia="仿宋"/>
                <w:b/>
              </w:rPr>
              <w:t>小计</w:t>
            </w:r>
          </w:p>
        </w:tc>
        <w:tc>
          <w:tcPr>
            <w:tcW w:w="1134" w:type="dxa"/>
            <w:vAlign w:val="center"/>
          </w:tcPr>
          <w:p>
            <w:pPr>
              <w:spacing w:line="300" w:lineRule="exact"/>
              <w:jc w:val="right"/>
              <w:rPr>
                <w:rFonts w:ascii="仿宋" w:hAnsi="仿宋" w:eastAsia="仿宋"/>
                <w:b/>
              </w:rPr>
            </w:pPr>
          </w:p>
        </w:tc>
        <w:tc>
          <w:tcPr>
            <w:tcW w:w="1559" w:type="dxa"/>
            <w:vAlign w:val="center"/>
          </w:tcPr>
          <w:p>
            <w:pPr>
              <w:spacing w:line="300" w:lineRule="exact"/>
              <w:jc w:val="left"/>
              <w:rPr>
                <w:rFonts w:ascii="仿宋" w:hAnsi="仿宋" w:eastAsia="仿宋"/>
                <w:b/>
              </w:rPr>
            </w:pPr>
          </w:p>
        </w:tc>
        <w:tc>
          <w:tcPr>
            <w:tcW w:w="1417" w:type="dxa"/>
            <w:vAlign w:val="center"/>
          </w:tcPr>
          <w:p>
            <w:pPr>
              <w:spacing w:line="300" w:lineRule="exact"/>
              <w:jc w:val="left"/>
              <w:rPr>
                <w:rFonts w:ascii="仿宋" w:hAnsi="仿宋" w:eastAsia="仿宋"/>
                <w:b/>
              </w:rPr>
            </w:pPr>
          </w:p>
        </w:tc>
        <w:tc>
          <w:tcPr>
            <w:tcW w:w="709" w:type="dxa"/>
            <w:vAlign w:val="center"/>
          </w:tcPr>
          <w:p>
            <w:pPr>
              <w:spacing w:line="300" w:lineRule="exact"/>
              <w:jc w:val="left"/>
              <w:rPr>
                <w:rFonts w:ascii="仿宋" w:hAnsi="仿宋" w:eastAsia="仿宋"/>
                <w:b/>
              </w:rPr>
            </w:pPr>
          </w:p>
        </w:tc>
        <w:tc>
          <w:tcPr>
            <w:tcW w:w="851" w:type="dxa"/>
            <w:vAlign w:val="center"/>
          </w:tcPr>
          <w:p>
            <w:pPr>
              <w:spacing w:line="300" w:lineRule="exact"/>
              <w:jc w:val="right"/>
              <w:rPr>
                <w:rFonts w:ascii="仿宋" w:hAnsi="仿宋" w:eastAsia="仿宋"/>
                <w:b/>
              </w:rPr>
            </w:pPr>
          </w:p>
        </w:tc>
        <w:tc>
          <w:tcPr>
            <w:tcW w:w="992" w:type="dxa"/>
            <w:vAlign w:val="center"/>
          </w:tcPr>
          <w:p>
            <w:pPr>
              <w:spacing w:line="300" w:lineRule="exact"/>
              <w:jc w:val="right"/>
              <w:rPr>
                <w:rFonts w:ascii="仿宋" w:hAnsi="仿宋" w:eastAsia="仿宋"/>
                <w:b/>
              </w:rPr>
            </w:pPr>
          </w:p>
        </w:tc>
        <w:tc>
          <w:tcPr>
            <w:tcW w:w="992" w:type="dxa"/>
            <w:vAlign w:val="center"/>
          </w:tcPr>
          <w:p>
            <w:pPr>
              <w:adjustRightInd w:val="0"/>
              <w:snapToGrid w:val="0"/>
              <w:jc w:val="right"/>
              <w:rPr>
                <w:rFonts w:ascii="仿宋" w:hAnsi="仿宋" w:eastAsia="仿宋" w:cs="宋体"/>
                <w:b/>
                <w:bCs/>
                <w:color w:val="000000"/>
                <w:szCs w:val="21"/>
              </w:rPr>
            </w:pPr>
            <w:r>
              <w:rPr>
                <w:rFonts w:hint="eastAsia" w:ascii="仿宋" w:hAnsi="仿宋" w:eastAsia="仿宋"/>
                <w:b/>
                <w:bCs/>
                <w:color w:val="000000"/>
                <w:szCs w:val="21"/>
              </w:rPr>
              <w:t>40.00</w:t>
            </w:r>
          </w:p>
        </w:tc>
        <w:tc>
          <w:tcPr>
            <w:tcW w:w="992" w:type="dxa"/>
            <w:vAlign w:val="center"/>
          </w:tcPr>
          <w:p>
            <w:pPr>
              <w:adjustRightInd w:val="0"/>
              <w:snapToGrid w:val="0"/>
              <w:jc w:val="right"/>
              <w:rPr>
                <w:rFonts w:ascii="仿宋" w:hAnsi="仿宋" w:eastAsia="仿宋" w:cs="宋体"/>
                <w:b/>
                <w:bCs/>
                <w:color w:val="000000"/>
                <w:szCs w:val="21"/>
              </w:rPr>
            </w:pPr>
            <w:r>
              <w:rPr>
                <w:rFonts w:hint="eastAsia" w:ascii="仿宋" w:hAnsi="仿宋" w:eastAsia="仿宋" w:cs="宋体"/>
                <w:b/>
                <w:bCs/>
                <w:color w:val="000000"/>
                <w:szCs w:val="21"/>
              </w:rPr>
              <w:t>40.00</w:t>
            </w:r>
          </w:p>
        </w:tc>
        <w:tc>
          <w:tcPr>
            <w:tcW w:w="993" w:type="dxa"/>
            <w:vAlign w:val="center"/>
          </w:tcPr>
          <w:p>
            <w:pPr>
              <w:spacing w:line="300" w:lineRule="exact"/>
              <w:jc w:val="right"/>
              <w:rPr>
                <w:rFonts w:ascii="仿宋" w:hAnsi="仿宋" w:eastAsia="仿宋"/>
                <w:b/>
              </w:rPr>
            </w:pPr>
          </w:p>
        </w:tc>
        <w:tc>
          <w:tcPr>
            <w:tcW w:w="1134" w:type="dxa"/>
            <w:vAlign w:val="center"/>
          </w:tcPr>
          <w:p>
            <w:pPr>
              <w:spacing w:line="300" w:lineRule="exact"/>
              <w:jc w:val="right"/>
              <w:rPr>
                <w:rFonts w:ascii="仿宋" w:hAnsi="仿宋" w:eastAsia="仿宋"/>
                <w:b/>
              </w:rPr>
            </w:pPr>
          </w:p>
        </w:tc>
        <w:tc>
          <w:tcPr>
            <w:tcW w:w="850" w:type="dxa"/>
            <w:vAlign w:val="center"/>
          </w:tcPr>
          <w:p>
            <w:pPr>
              <w:spacing w:line="300" w:lineRule="exact"/>
              <w:jc w:val="right"/>
              <w:rPr>
                <w:rFonts w:ascii="仿宋" w:hAnsi="仿宋" w:eastAsia="仿宋"/>
                <w:b/>
              </w:rPr>
            </w:pPr>
          </w:p>
        </w:tc>
        <w:tc>
          <w:tcPr>
            <w:tcW w:w="893" w:type="dxa"/>
            <w:vAlign w:val="center"/>
          </w:tcPr>
          <w:p>
            <w:pPr>
              <w:spacing w:line="300" w:lineRule="exact"/>
              <w:jc w:val="right"/>
              <w:rPr>
                <w:rFonts w:ascii="仿宋" w:hAnsi="仿宋" w:eastAsia="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rPr>
            </w:pPr>
            <w:r>
              <w:rPr>
                <w:rFonts w:hint="eastAsia" w:ascii="仿宋" w:hAnsi="仿宋" w:eastAsia="仿宋"/>
              </w:rPr>
              <w:t>网络舆情导控技术平台运行服务费</w:t>
            </w:r>
          </w:p>
        </w:tc>
        <w:tc>
          <w:tcPr>
            <w:tcW w:w="1134" w:type="dxa"/>
            <w:vAlign w:val="center"/>
          </w:tcPr>
          <w:p>
            <w:pPr>
              <w:spacing w:line="300" w:lineRule="exact"/>
              <w:jc w:val="right"/>
              <w:rPr>
                <w:rFonts w:ascii="仿宋" w:hAnsi="仿宋" w:eastAsia="仿宋"/>
              </w:rPr>
            </w:pPr>
            <w:r>
              <w:rPr>
                <w:rFonts w:hint="eastAsia" w:ascii="仿宋" w:hAnsi="仿宋" w:eastAsia="仿宋"/>
              </w:rPr>
              <w:t>20.00</w:t>
            </w:r>
          </w:p>
        </w:tc>
        <w:tc>
          <w:tcPr>
            <w:tcW w:w="1559" w:type="dxa"/>
            <w:vAlign w:val="center"/>
          </w:tcPr>
          <w:p>
            <w:pPr>
              <w:spacing w:line="300" w:lineRule="exact"/>
              <w:jc w:val="left"/>
              <w:rPr>
                <w:rFonts w:ascii="仿宋" w:hAnsi="仿宋" w:eastAsia="仿宋"/>
              </w:rPr>
            </w:pPr>
            <w:r>
              <w:rPr>
                <w:rFonts w:hint="eastAsia" w:ascii="仿宋" w:hAnsi="仿宋" w:eastAsia="仿宋"/>
              </w:rPr>
              <w:t>平台运营服务</w:t>
            </w:r>
          </w:p>
        </w:tc>
        <w:tc>
          <w:tcPr>
            <w:tcW w:w="1417" w:type="dxa"/>
            <w:vAlign w:val="center"/>
          </w:tcPr>
          <w:p>
            <w:pPr>
              <w:spacing w:line="300" w:lineRule="exact"/>
              <w:jc w:val="left"/>
              <w:rPr>
                <w:rFonts w:ascii="仿宋" w:hAnsi="仿宋" w:eastAsia="仿宋"/>
              </w:rPr>
            </w:pPr>
            <w:r>
              <w:rPr>
                <w:rFonts w:ascii="仿宋" w:hAnsi="仿宋" w:eastAsia="仿宋"/>
              </w:rPr>
              <w:t>C</w:t>
            </w:r>
            <w:r>
              <w:rPr>
                <w:rFonts w:hint="eastAsia" w:ascii="仿宋" w:hAnsi="仿宋" w:eastAsia="仿宋"/>
              </w:rPr>
              <w:t>020702</w:t>
            </w:r>
          </w:p>
        </w:tc>
        <w:tc>
          <w:tcPr>
            <w:tcW w:w="709" w:type="dxa"/>
            <w:vAlign w:val="center"/>
          </w:tcPr>
          <w:p>
            <w:pPr>
              <w:spacing w:line="300" w:lineRule="exact"/>
              <w:jc w:val="left"/>
              <w:rPr>
                <w:rFonts w:ascii="仿宋" w:hAnsi="仿宋" w:eastAsia="仿宋"/>
              </w:rPr>
            </w:pPr>
            <w:r>
              <w:rPr>
                <w:rFonts w:hint="eastAsia" w:ascii="仿宋" w:hAnsi="仿宋" w:eastAsia="仿宋"/>
              </w:rPr>
              <w:t>个</w:t>
            </w:r>
          </w:p>
        </w:tc>
        <w:tc>
          <w:tcPr>
            <w:tcW w:w="851" w:type="dxa"/>
            <w:vAlign w:val="center"/>
          </w:tcPr>
          <w:p>
            <w:pPr>
              <w:spacing w:line="300" w:lineRule="exact"/>
              <w:jc w:val="right"/>
              <w:rPr>
                <w:rFonts w:ascii="仿宋" w:hAnsi="仿宋" w:eastAsia="仿宋"/>
              </w:rPr>
            </w:pPr>
            <w:r>
              <w:rPr>
                <w:rFonts w:ascii="仿宋" w:hAnsi="仿宋" w:eastAsia="仿宋"/>
              </w:rPr>
              <w:t>1.00</w:t>
            </w:r>
          </w:p>
        </w:tc>
        <w:tc>
          <w:tcPr>
            <w:tcW w:w="992" w:type="dxa"/>
            <w:vAlign w:val="center"/>
          </w:tcPr>
          <w:p>
            <w:pPr>
              <w:spacing w:line="300" w:lineRule="exact"/>
              <w:jc w:val="right"/>
              <w:rPr>
                <w:rFonts w:ascii="仿宋" w:hAnsi="仿宋" w:eastAsia="仿宋"/>
              </w:rPr>
            </w:pPr>
            <w:r>
              <w:rPr>
                <w:rFonts w:hint="eastAsia" w:ascii="仿宋" w:hAnsi="仿宋" w:eastAsia="仿宋"/>
              </w:rPr>
              <w:t>20.00</w:t>
            </w:r>
          </w:p>
        </w:tc>
        <w:tc>
          <w:tcPr>
            <w:tcW w:w="992" w:type="dxa"/>
            <w:vAlign w:val="center"/>
          </w:tcPr>
          <w:p>
            <w:pPr>
              <w:spacing w:line="300" w:lineRule="exact"/>
              <w:jc w:val="right"/>
              <w:rPr>
                <w:rFonts w:ascii="仿宋" w:hAnsi="仿宋" w:eastAsia="仿宋"/>
              </w:rPr>
            </w:pPr>
            <w:r>
              <w:rPr>
                <w:rFonts w:hint="eastAsia" w:ascii="仿宋" w:hAnsi="仿宋" w:eastAsia="仿宋"/>
              </w:rPr>
              <w:t>20.00</w:t>
            </w:r>
          </w:p>
        </w:tc>
        <w:tc>
          <w:tcPr>
            <w:tcW w:w="992" w:type="dxa"/>
            <w:vAlign w:val="center"/>
          </w:tcPr>
          <w:p>
            <w:pPr>
              <w:spacing w:line="300" w:lineRule="exact"/>
              <w:jc w:val="right"/>
              <w:rPr>
                <w:rFonts w:ascii="仿宋" w:hAnsi="仿宋" w:eastAsia="仿宋"/>
              </w:rPr>
            </w:pPr>
            <w:r>
              <w:rPr>
                <w:rFonts w:hint="eastAsia" w:ascii="仿宋" w:hAnsi="仿宋" w:eastAsia="仿宋"/>
              </w:rPr>
              <w:t>20.00</w:t>
            </w:r>
          </w:p>
        </w:tc>
        <w:tc>
          <w:tcPr>
            <w:tcW w:w="993" w:type="dxa"/>
            <w:vAlign w:val="center"/>
          </w:tcPr>
          <w:p>
            <w:pPr>
              <w:spacing w:line="300" w:lineRule="exact"/>
              <w:jc w:val="right"/>
              <w:rPr>
                <w:rFonts w:ascii="仿宋" w:hAnsi="仿宋" w:eastAsia="仿宋"/>
              </w:rPr>
            </w:pPr>
          </w:p>
        </w:tc>
        <w:tc>
          <w:tcPr>
            <w:tcW w:w="1134" w:type="dxa"/>
            <w:vAlign w:val="center"/>
          </w:tcPr>
          <w:p>
            <w:pPr>
              <w:spacing w:line="300" w:lineRule="exact"/>
              <w:jc w:val="right"/>
              <w:rPr>
                <w:rFonts w:ascii="仿宋" w:hAnsi="仿宋" w:eastAsia="仿宋"/>
              </w:rPr>
            </w:pPr>
          </w:p>
        </w:tc>
        <w:tc>
          <w:tcPr>
            <w:tcW w:w="850" w:type="dxa"/>
            <w:vAlign w:val="center"/>
          </w:tcPr>
          <w:p>
            <w:pPr>
              <w:spacing w:line="300" w:lineRule="exact"/>
              <w:jc w:val="right"/>
              <w:rPr>
                <w:rFonts w:ascii="仿宋" w:hAnsi="仿宋" w:eastAsia="仿宋"/>
              </w:rPr>
            </w:pPr>
          </w:p>
        </w:tc>
        <w:tc>
          <w:tcPr>
            <w:tcW w:w="893" w:type="dxa"/>
            <w:vAlign w:val="center"/>
          </w:tcPr>
          <w:p>
            <w:pPr>
              <w:spacing w:line="300" w:lineRule="exact"/>
              <w:jc w:val="right"/>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rPr>
            </w:pPr>
            <w:r>
              <w:rPr>
                <w:rFonts w:hint="eastAsia" w:ascii="仿宋" w:hAnsi="仿宋" w:eastAsia="仿宋"/>
              </w:rPr>
              <w:t>网络安全态势感知平台运行维护费</w:t>
            </w:r>
          </w:p>
        </w:tc>
        <w:tc>
          <w:tcPr>
            <w:tcW w:w="1134" w:type="dxa"/>
            <w:vAlign w:val="center"/>
          </w:tcPr>
          <w:p>
            <w:pPr>
              <w:spacing w:line="300" w:lineRule="exact"/>
              <w:jc w:val="right"/>
              <w:rPr>
                <w:rFonts w:ascii="仿宋" w:hAnsi="仿宋" w:eastAsia="仿宋"/>
              </w:rPr>
            </w:pPr>
            <w:r>
              <w:rPr>
                <w:rFonts w:hint="eastAsia" w:ascii="仿宋" w:hAnsi="仿宋" w:eastAsia="仿宋"/>
              </w:rPr>
              <w:t>20.00</w:t>
            </w:r>
          </w:p>
        </w:tc>
        <w:tc>
          <w:tcPr>
            <w:tcW w:w="1559" w:type="dxa"/>
            <w:vAlign w:val="center"/>
          </w:tcPr>
          <w:p>
            <w:pPr>
              <w:spacing w:line="300" w:lineRule="exact"/>
              <w:jc w:val="left"/>
              <w:rPr>
                <w:rFonts w:ascii="仿宋" w:hAnsi="仿宋" w:eastAsia="仿宋"/>
              </w:rPr>
            </w:pPr>
            <w:r>
              <w:rPr>
                <w:rFonts w:hint="eastAsia" w:ascii="仿宋" w:hAnsi="仿宋" w:eastAsia="仿宋"/>
              </w:rPr>
              <w:t>安全运维服务</w:t>
            </w:r>
          </w:p>
        </w:tc>
        <w:tc>
          <w:tcPr>
            <w:tcW w:w="1417" w:type="dxa"/>
            <w:vAlign w:val="center"/>
          </w:tcPr>
          <w:p>
            <w:pPr>
              <w:spacing w:line="300" w:lineRule="exact"/>
              <w:jc w:val="left"/>
              <w:rPr>
                <w:rFonts w:ascii="仿宋" w:hAnsi="仿宋" w:eastAsia="仿宋"/>
              </w:rPr>
            </w:pPr>
            <w:r>
              <w:rPr>
                <w:rFonts w:ascii="仿宋" w:hAnsi="仿宋" w:eastAsia="仿宋"/>
              </w:rPr>
              <w:t>C</w:t>
            </w:r>
            <w:r>
              <w:rPr>
                <w:rFonts w:hint="eastAsia" w:ascii="仿宋" w:hAnsi="仿宋" w:eastAsia="仿宋"/>
              </w:rPr>
              <w:t>020604</w:t>
            </w:r>
          </w:p>
        </w:tc>
        <w:tc>
          <w:tcPr>
            <w:tcW w:w="709" w:type="dxa"/>
            <w:vAlign w:val="center"/>
          </w:tcPr>
          <w:p>
            <w:pPr>
              <w:spacing w:line="300" w:lineRule="exact"/>
              <w:jc w:val="left"/>
              <w:rPr>
                <w:rFonts w:ascii="仿宋" w:hAnsi="仿宋" w:eastAsia="仿宋"/>
              </w:rPr>
            </w:pPr>
            <w:r>
              <w:rPr>
                <w:rFonts w:hint="eastAsia" w:ascii="仿宋" w:hAnsi="仿宋" w:eastAsia="仿宋"/>
              </w:rPr>
              <w:t>个</w:t>
            </w:r>
          </w:p>
        </w:tc>
        <w:tc>
          <w:tcPr>
            <w:tcW w:w="851" w:type="dxa"/>
            <w:vAlign w:val="center"/>
          </w:tcPr>
          <w:p>
            <w:pPr>
              <w:spacing w:line="300" w:lineRule="exact"/>
              <w:jc w:val="right"/>
              <w:rPr>
                <w:rFonts w:ascii="仿宋" w:hAnsi="仿宋" w:eastAsia="仿宋"/>
              </w:rPr>
            </w:pPr>
            <w:r>
              <w:rPr>
                <w:rFonts w:ascii="仿宋" w:hAnsi="仿宋" w:eastAsia="仿宋"/>
              </w:rPr>
              <w:t>1.00</w:t>
            </w:r>
          </w:p>
        </w:tc>
        <w:tc>
          <w:tcPr>
            <w:tcW w:w="992" w:type="dxa"/>
            <w:vAlign w:val="center"/>
          </w:tcPr>
          <w:p>
            <w:pPr>
              <w:spacing w:line="300" w:lineRule="exact"/>
              <w:jc w:val="right"/>
              <w:rPr>
                <w:rFonts w:ascii="仿宋" w:hAnsi="仿宋" w:eastAsia="仿宋"/>
              </w:rPr>
            </w:pPr>
            <w:r>
              <w:rPr>
                <w:rFonts w:hint="eastAsia" w:ascii="仿宋" w:hAnsi="仿宋" w:eastAsia="仿宋"/>
              </w:rPr>
              <w:t>20.00</w:t>
            </w:r>
          </w:p>
        </w:tc>
        <w:tc>
          <w:tcPr>
            <w:tcW w:w="992" w:type="dxa"/>
            <w:vAlign w:val="center"/>
          </w:tcPr>
          <w:p>
            <w:pPr>
              <w:spacing w:line="300" w:lineRule="exact"/>
              <w:jc w:val="right"/>
              <w:rPr>
                <w:rFonts w:ascii="仿宋" w:hAnsi="仿宋" w:eastAsia="仿宋"/>
              </w:rPr>
            </w:pPr>
            <w:r>
              <w:rPr>
                <w:rFonts w:hint="eastAsia" w:ascii="仿宋" w:hAnsi="仿宋" w:eastAsia="仿宋"/>
              </w:rPr>
              <w:t>20.00</w:t>
            </w:r>
          </w:p>
        </w:tc>
        <w:tc>
          <w:tcPr>
            <w:tcW w:w="992" w:type="dxa"/>
            <w:vAlign w:val="center"/>
          </w:tcPr>
          <w:p>
            <w:pPr>
              <w:spacing w:line="300" w:lineRule="exact"/>
              <w:jc w:val="right"/>
              <w:rPr>
                <w:rFonts w:ascii="仿宋" w:hAnsi="仿宋" w:eastAsia="仿宋"/>
              </w:rPr>
            </w:pPr>
            <w:r>
              <w:rPr>
                <w:rFonts w:hint="eastAsia" w:ascii="仿宋" w:hAnsi="仿宋" w:eastAsia="仿宋"/>
              </w:rPr>
              <w:t>20.00</w:t>
            </w:r>
          </w:p>
        </w:tc>
        <w:tc>
          <w:tcPr>
            <w:tcW w:w="993" w:type="dxa"/>
            <w:vAlign w:val="center"/>
          </w:tcPr>
          <w:p>
            <w:pPr>
              <w:spacing w:line="300" w:lineRule="exact"/>
              <w:jc w:val="right"/>
              <w:rPr>
                <w:rFonts w:ascii="仿宋" w:hAnsi="仿宋" w:eastAsia="仿宋"/>
              </w:rPr>
            </w:pPr>
          </w:p>
        </w:tc>
        <w:tc>
          <w:tcPr>
            <w:tcW w:w="1134" w:type="dxa"/>
            <w:vAlign w:val="center"/>
          </w:tcPr>
          <w:p>
            <w:pPr>
              <w:spacing w:line="300" w:lineRule="exact"/>
              <w:jc w:val="right"/>
              <w:rPr>
                <w:rFonts w:ascii="仿宋" w:hAnsi="仿宋" w:eastAsia="仿宋"/>
              </w:rPr>
            </w:pPr>
          </w:p>
        </w:tc>
        <w:tc>
          <w:tcPr>
            <w:tcW w:w="850" w:type="dxa"/>
            <w:vAlign w:val="center"/>
          </w:tcPr>
          <w:p>
            <w:pPr>
              <w:spacing w:line="300" w:lineRule="exact"/>
              <w:jc w:val="right"/>
              <w:rPr>
                <w:rFonts w:ascii="仿宋" w:hAnsi="仿宋" w:eastAsia="仿宋"/>
              </w:rPr>
            </w:pPr>
          </w:p>
        </w:tc>
        <w:tc>
          <w:tcPr>
            <w:tcW w:w="893" w:type="dxa"/>
            <w:vAlign w:val="center"/>
          </w:tcPr>
          <w:p>
            <w:pPr>
              <w:spacing w:line="300" w:lineRule="exact"/>
              <w:jc w:val="right"/>
              <w:rPr>
                <w:rFonts w:ascii="仿宋" w:hAnsi="仿宋" w:eastAsia="仿宋"/>
              </w:rPr>
            </w:pPr>
          </w:p>
        </w:tc>
      </w:tr>
    </w:tbl>
    <w:p>
      <w:pPr>
        <w:autoSpaceDE w:val="0"/>
        <w:autoSpaceDN w:val="0"/>
        <w:adjustRightInd w:val="0"/>
        <w:ind w:firstLine="640" w:firstLineChars="200"/>
        <w:jc w:val="left"/>
        <w:rPr>
          <w:rFonts w:ascii="仿宋" w:hAnsi="仿宋" w:eastAsia="仿宋" w:cs="Times New Roman"/>
          <w:sz w:val="32"/>
          <w:szCs w:val="32"/>
        </w:rPr>
      </w:pPr>
    </w:p>
    <w:p>
      <w:pPr>
        <w:autoSpaceDE w:val="0"/>
        <w:autoSpaceDN w:val="0"/>
        <w:adjustRightInd w:val="0"/>
        <w:ind w:firstLine="640" w:firstLineChars="200"/>
        <w:jc w:val="left"/>
        <w:rPr>
          <w:rFonts w:ascii="仿宋" w:hAnsi="仿宋" w:eastAsia="仿宋" w:cs="Times New Roman"/>
          <w:sz w:val="32"/>
          <w:szCs w:val="32"/>
        </w:rPr>
      </w:pPr>
    </w:p>
    <w:p>
      <w:pPr>
        <w:autoSpaceDE w:val="0"/>
        <w:autoSpaceDN w:val="0"/>
        <w:adjustRightInd w:val="0"/>
        <w:ind w:firstLine="640" w:firstLineChars="200"/>
        <w:jc w:val="left"/>
        <w:rPr>
          <w:rFonts w:ascii="仿宋" w:hAnsi="仿宋" w:eastAsia="仿宋" w:cs="Times New Roman"/>
          <w:sz w:val="32"/>
          <w:szCs w:val="32"/>
        </w:rPr>
      </w:pPr>
    </w:p>
    <w:p>
      <w:pPr>
        <w:autoSpaceDE w:val="0"/>
        <w:autoSpaceDN w:val="0"/>
        <w:adjustRightInd w:val="0"/>
        <w:ind w:firstLine="640" w:firstLineChars="200"/>
        <w:jc w:val="left"/>
        <w:rPr>
          <w:rFonts w:ascii="仿宋" w:hAnsi="仿宋" w:eastAsia="仿宋" w:cs="Times New Roman"/>
          <w:sz w:val="32"/>
          <w:szCs w:val="32"/>
        </w:rPr>
      </w:pP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七、国有资产信息</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ind w:firstLine="640" w:firstLineChars="200"/>
              <w:jc w:val="left"/>
              <w:outlineLvl w:val="0"/>
              <w:rPr>
                <w:rFonts w:ascii="仿宋" w:hAnsi="仿宋" w:eastAsia="仿宋" w:cs="仿宋_GB2312"/>
                <w:sz w:val="32"/>
                <w:szCs w:val="32"/>
              </w:rPr>
            </w:pPr>
            <w:r>
              <w:rPr>
                <w:rFonts w:hint="eastAsia" w:ascii="仿宋" w:hAnsi="仿宋" w:eastAsia="仿宋" w:cs="仿宋_GB2312"/>
                <w:sz w:val="32"/>
                <w:szCs w:val="32"/>
              </w:rPr>
              <w:t>本部门无上年末单位固定资产，主要原因是我部门属机构改革新增部门，无上年数据作参考。本年度各单位（处室）无拟购置固定资产总额。</w:t>
            </w:r>
          </w:p>
          <w:p>
            <w:pPr>
              <w:widowControl/>
              <w:jc w:val="center"/>
              <w:rPr>
                <w:rFonts w:ascii="仿宋" w:hAnsi="仿宋" w:eastAsia="仿宋" w:cs="宋体"/>
                <w:b/>
                <w:bCs/>
                <w:kern w:val="0"/>
                <w:sz w:val="32"/>
                <w:szCs w:val="32"/>
              </w:rPr>
            </w:pPr>
            <w:r>
              <w:rPr>
                <w:rFonts w:hint="eastAsia" w:ascii="仿宋" w:hAnsi="仿宋" w:eastAsia="仿宋" w:cs="宋体"/>
                <w:b/>
                <w:bCs/>
                <w:kern w:val="0"/>
                <w:sz w:val="32"/>
                <w:szCs w:val="32"/>
              </w:rPr>
              <w:t>区委网信办固定资产占用情况表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 w:hAnsi="仿宋" w:eastAsia="仿宋" w:cs="Times New Roman"/>
                <w:kern w:val="0"/>
                <w:sz w:val="22"/>
              </w:rPr>
            </w:pPr>
            <w:r>
              <w:rPr>
                <w:rFonts w:ascii="仿宋" w:hAnsi="仿宋" w:eastAsia="仿宋" w:cs="Times New Roman"/>
                <w:kern w:val="0"/>
                <w:sz w:val="22"/>
              </w:rPr>
              <w:t>编制部门：</w:t>
            </w:r>
            <w:r>
              <w:rPr>
                <w:rFonts w:hint="eastAsia" w:ascii="仿宋" w:hAnsi="仿宋" w:eastAsia="仿宋" w:cs="Times New Roman"/>
                <w:kern w:val="0"/>
                <w:sz w:val="22"/>
              </w:rPr>
              <w:t>中共石家庄市藁城区委网络安全和信息化委员会办公室</w:t>
            </w:r>
          </w:p>
        </w:tc>
        <w:tc>
          <w:tcPr>
            <w:tcW w:w="5103" w:type="dxa"/>
            <w:tcBorders>
              <w:top w:val="nil"/>
              <w:left w:val="nil"/>
              <w:bottom w:val="nil"/>
              <w:right w:val="nil"/>
            </w:tcBorders>
            <w:vAlign w:val="center"/>
          </w:tcPr>
          <w:p>
            <w:pPr>
              <w:widowControl/>
              <w:ind w:firstLine="1320" w:firstLineChars="600"/>
              <w:jc w:val="left"/>
              <w:rPr>
                <w:rFonts w:ascii="仿宋" w:hAnsi="仿宋" w:eastAsia="仿宋" w:cs="Times New Roman"/>
                <w:kern w:val="0"/>
                <w:sz w:val="22"/>
              </w:rPr>
            </w:pPr>
            <w:r>
              <w:rPr>
                <w:rFonts w:ascii="仿宋" w:hAnsi="仿宋" w:eastAsia="仿宋" w:cs="Times New Roman"/>
                <w:kern w:val="0"/>
                <w:sz w:val="22"/>
              </w:rPr>
              <w:t>截止时间：201</w:t>
            </w:r>
            <w:r>
              <w:rPr>
                <w:rFonts w:hint="eastAsia" w:ascii="仿宋" w:hAnsi="仿宋" w:eastAsia="仿宋" w:cs="Times New Roman"/>
                <w:kern w:val="0"/>
                <w:sz w:val="22"/>
              </w:rPr>
              <w:t>9</w:t>
            </w:r>
            <w:r>
              <w:rPr>
                <w:rFonts w:ascii="仿宋" w:hAnsi="仿宋"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2"/>
              </w:rPr>
            </w:pPr>
            <w:r>
              <w:rPr>
                <w:rFonts w:hint="eastAsia" w:ascii="仿宋" w:hAnsi="仿宋" w:eastAsia="仿宋"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Times New Roman"/>
                <w:kern w:val="0"/>
                <w:sz w:val="22"/>
              </w:rPr>
            </w:pPr>
            <w:r>
              <w:rPr>
                <w:rFonts w:ascii="仿宋" w:hAnsi="仿宋"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r>
              <w:rPr>
                <w:rFonts w:ascii="仿宋" w:hAnsi="仿宋"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color w:val="FF0000"/>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22"/>
              </w:rPr>
            </w:pPr>
            <w:r>
              <w:rPr>
                <w:rFonts w:ascii="仿宋" w:hAnsi="仿宋"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22"/>
              </w:rPr>
            </w:pPr>
            <w:r>
              <w:rPr>
                <w:rFonts w:ascii="仿宋" w:hAnsi="仿宋"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rPr>
                <w:rFonts w:ascii="仿宋" w:hAnsi="仿宋"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22"/>
              </w:rPr>
            </w:pPr>
            <w:r>
              <w:rPr>
                <w:rFonts w:ascii="仿宋" w:hAnsi="仿宋"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rPr>
                <w:rFonts w:ascii="仿宋" w:hAnsi="仿宋"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22"/>
              </w:rPr>
            </w:pPr>
            <w:r>
              <w:rPr>
                <w:rFonts w:ascii="仿宋" w:hAnsi="仿宋"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rPr>
                <w:rFonts w:ascii="仿宋" w:hAnsi="仿宋"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22"/>
              </w:rPr>
            </w:pPr>
            <w:r>
              <w:rPr>
                <w:rFonts w:ascii="仿宋" w:hAnsi="仿宋"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rPr>
                <w:rFonts w:ascii="仿宋" w:hAnsi="仿宋"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22"/>
              </w:rPr>
            </w:pPr>
          </w:p>
        </w:tc>
      </w:tr>
    </w:tbl>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sz w:val="32"/>
          <w:szCs w:val="32"/>
        </w:rPr>
        <w:t>注：我部门无固定资产占用情况，空表列示。</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八、名词解释</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1、一般公共预算拨款收入：指区县级财政当年拨付的资金。</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2、事业收入：指事业单位开展专业业务活动及辅助活动所取得的收入。</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4、基本支出：指为保障机构正常运转、完成日常工作任务而发生的人员支出和公用支出。</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5、项目支出：指在基本支出之外为完成特定行政任务和事业发展目标所发生的支出。</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6、上缴上级支出：指下级单位上缴上级的支出。</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9、上年结转：指以前年度尚未完成、结转到本年仍按原规定用途继续使用的资金。</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10、事业单位经营支出：指事业单位在专业业务活动及其辅助活动之外开展非独立核算经营活动发生的支出。</w:t>
      </w:r>
    </w:p>
    <w:p>
      <w:pPr>
        <w:ind w:firstLine="643" w:firstLineChars="200"/>
        <w:rPr>
          <w:rFonts w:ascii="仿宋" w:hAnsi="仿宋" w:eastAsia="仿宋" w:cs="宋体-方正超大字符集"/>
          <w:b/>
          <w:bCs/>
          <w:sz w:val="32"/>
          <w:szCs w:val="32"/>
        </w:rPr>
      </w:pPr>
      <w:r>
        <w:rPr>
          <w:rFonts w:hint="eastAsia" w:ascii="仿宋" w:hAnsi="仿宋" w:eastAsia="仿宋" w:cs="宋体-方正超大字符集"/>
          <w:b/>
          <w:bCs/>
          <w:sz w:val="32"/>
          <w:szCs w:val="32"/>
        </w:rPr>
        <w:t>九、其他需要说明的事项</w:t>
      </w:r>
    </w:p>
    <w:p>
      <w:pPr>
        <w:ind w:firstLine="640" w:firstLineChars="200"/>
        <w:rPr>
          <w:rFonts w:ascii="仿宋" w:hAnsi="仿宋" w:eastAsia="仿宋" w:cs="Times New Roman"/>
          <w:sz w:val="32"/>
          <w:szCs w:val="32"/>
        </w:rPr>
      </w:pPr>
      <w:r>
        <w:rPr>
          <w:rFonts w:hint="eastAsia" w:ascii="仿宋" w:hAnsi="仿宋" w:eastAsia="仿宋" w:cs="仿宋_GB2312"/>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B3F140"/>
    <w:multiLevelType w:val="singleLevel"/>
    <w:tmpl w:val="BAB3F14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hODMyYTNhOTBmNzZjNmI2ZmFkNjRmN2UzZmY1MjgifQ=="/>
  </w:docVars>
  <w:rsids>
    <w:rsidRoot w:val="00EE71BA"/>
    <w:rsid w:val="000C7140"/>
    <w:rsid w:val="00323B29"/>
    <w:rsid w:val="0039059E"/>
    <w:rsid w:val="004A5AAC"/>
    <w:rsid w:val="00560FBF"/>
    <w:rsid w:val="005D4FF2"/>
    <w:rsid w:val="007F0341"/>
    <w:rsid w:val="009A521C"/>
    <w:rsid w:val="00AE0171"/>
    <w:rsid w:val="00D607DA"/>
    <w:rsid w:val="00DC6EE5"/>
    <w:rsid w:val="00E528B4"/>
    <w:rsid w:val="00E85411"/>
    <w:rsid w:val="00EE71BA"/>
    <w:rsid w:val="00F867E4"/>
    <w:rsid w:val="02EA7C65"/>
    <w:rsid w:val="05121BB7"/>
    <w:rsid w:val="0563312D"/>
    <w:rsid w:val="056D17C0"/>
    <w:rsid w:val="06D72E08"/>
    <w:rsid w:val="072730CC"/>
    <w:rsid w:val="090C2515"/>
    <w:rsid w:val="0DA8648D"/>
    <w:rsid w:val="0F5C301C"/>
    <w:rsid w:val="111204D5"/>
    <w:rsid w:val="11164931"/>
    <w:rsid w:val="13C01F1C"/>
    <w:rsid w:val="13C807A9"/>
    <w:rsid w:val="14804052"/>
    <w:rsid w:val="16012D91"/>
    <w:rsid w:val="17F46493"/>
    <w:rsid w:val="192E0688"/>
    <w:rsid w:val="196F3927"/>
    <w:rsid w:val="20A83220"/>
    <w:rsid w:val="20DF17D1"/>
    <w:rsid w:val="222C48FB"/>
    <w:rsid w:val="23D81068"/>
    <w:rsid w:val="27EF6FBF"/>
    <w:rsid w:val="28C71849"/>
    <w:rsid w:val="2BA24B76"/>
    <w:rsid w:val="2C4F4534"/>
    <w:rsid w:val="2DC31699"/>
    <w:rsid w:val="317525E7"/>
    <w:rsid w:val="31A76DD1"/>
    <w:rsid w:val="37613AD4"/>
    <w:rsid w:val="37A04F72"/>
    <w:rsid w:val="38921D70"/>
    <w:rsid w:val="38A12488"/>
    <w:rsid w:val="38F601D6"/>
    <w:rsid w:val="3A452B01"/>
    <w:rsid w:val="3AA3235B"/>
    <w:rsid w:val="3B2B75C6"/>
    <w:rsid w:val="3DCE3B51"/>
    <w:rsid w:val="403F5ADF"/>
    <w:rsid w:val="40836350"/>
    <w:rsid w:val="408C1F8F"/>
    <w:rsid w:val="4147630C"/>
    <w:rsid w:val="429873D9"/>
    <w:rsid w:val="45F034C8"/>
    <w:rsid w:val="481B1BE4"/>
    <w:rsid w:val="4ACF7383"/>
    <w:rsid w:val="54B66455"/>
    <w:rsid w:val="5556404C"/>
    <w:rsid w:val="5784185C"/>
    <w:rsid w:val="587301B3"/>
    <w:rsid w:val="596B0225"/>
    <w:rsid w:val="5A3D6822"/>
    <w:rsid w:val="5F4618CF"/>
    <w:rsid w:val="5F875989"/>
    <w:rsid w:val="649015CE"/>
    <w:rsid w:val="6660691F"/>
    <w:rsid w:val="678C2CB6"/>
    <w:rsid w:val="67A42470"/>
    <w:rsid w:val="68507D1E"/>
    <w:rsid w:val="6A977F84"/>
    <w:rsid w:val="6AC27FF4"/>
    <w:rsid w:val="6B11618C"/>
    <w:rsid w:val="6BB16F73"/>
    <w:rsid w:val="6C1A1421"/>
    <w:rsid w:val="6C433EDF"/>
    <w:rsid w:val="6CDB100D"/>
    <w:rsid w:val="70384A19"/>
    <w:rsid w:val="70493087"/>
    <w:rsid w:val="71024928"/>
    <w:rsid w:val="71777CBE"/>
    <w:rsid w:val="75AB4B38"/>
    <w:rsid w:val="773D013B"/>
    <w:rsid w:val="77F009F5"/>
    <w:rsid w:val="788F2942"/>
    <w:rsid w:val="7A55355E"/>
    <w:rsid w:val="7B9D2F3D"/>
    <w:rsid w:val="7E672C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autoRedefine/>
    <w:semiHidden/>
    <w:unhideWhenUsed/>
    <w:uiPriority w:val="1"/>
  </w:style>
  <w:style w:type="table" w:default="1" w:styleId="7">
    <w:name w:val="Normal Table"/>
    <w:autoRedefine/>
    <w:semiHidden/>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autoRedefine/>
    <w:qFormat/>
    <w:uiPriority w:val="0"/>
  </w:style>
  <w:style w:type="character" w:customStyle="1" w:styleId="12">
    <w:name w:val="页脚 字符"/>
    <w:link w:val="2"/>
    <w:autoRedefine/>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539</Words>
  <Characters>3074</Characters>
  <Lines>25</Lines>
  <Paragraphs>7</Paragraphs>
  <TotalTime>25</TotalTime>
  <ScaleCrop>false</ScaleCrop>
  <LinksUpToDate>false</LinksUpToDate>
  <CharactersWithSpaces>3606</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HP</cp:lastModifiedBy>
  <cp:lastPrinted>2020-01-10T15:53:00Z</cp:lastPrinted>
  <dcterms:modified xsi:type="dcterms:W3CDTF">2024-02-23T02:41:14Z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B01288BC459440C8A2E8D604352A5215</vt:lpwstr>
  </property>
</Properties>
</file>