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cs="Times New Roman"/>
          <w:sz w:val="44"/>
          <w:szCs w:val="44"/>
        </w:rPr>
      </w:pPr>
      <w:bookmarkStart w:id="0" w:name="_GoBack"/>
      <w:bookmarkEnd w:id="0"/>
      <w:r>
        <w:rPr>
          <w:rFonts w:ascii="方正小标宋_GBK" w:hAnsi="方正小标宋_GBK" w:cs="Times New Roman"/>
          <w:sz w:val="44"/>
          <w:szCs w:val="44"/>
        </w:rPr>
        <w:t>石家庄市藁城区住房和城乡建设局</w:t>
      </w:r>
      <w:r>
        <w:rPr>
          <w:rFonts w:ascii="方正小标宋_GBK" w:hAnsi="Times New Roman" w:cs="Times New Roman"/>
          <w:sz w:val="44"/>
          <w:szCs w:val="44"/>
        </w:rPr>
        <w:t>2020年部门预算信息公开情况说明</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 xml:space="preserve"> </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按照《</w:t>
      </w:r>
      <w:r>
        <w:rPr>
          <w:rFonts w:hint="eastAsia" w:ascii="仿宋" w:hAnsi="仿宋" w:eastAsia="仿宋" w:cs="Times New Roman"/>
          <w:sz w:val="32"/>
          <w:szCs w:val="32"/>
          <w:lang w:eastAsia="zh-CN"/>
        </w:rPr>
        <w:t>中华人民共和国预算法</w:t>
      </w:r>
      <w:r>
        <w:rPr>
          <w:rFonts w:hint="eastAsia" w:ascii="仿宋" w:hAnsi="仿宋" w:eastAsia="仿宋" w:cs="Times New Roman"/>
          <w:sz w:val="32"/>
          <w:szCs w:val="32"/>
        </w:rPr>
        <w:t>》、《地方预决算公开操作规程》和《河北省省级预算公开办法》规定，现将石家庄市藁城区住房和城乡建设局</w:t>
      </w:r>
      <w:r>
        <w:rPr>
          <w:rFonts w:hint="eastAsia" w:ascii="Times New Roman" w:hAnsi="Times New Roman" w:eastAsia="仿宋" w:cs="Times New Roman"/>
          <w:sz w:val="32"/>
          <w:szCs w:val="32"/>
        </w:rPr>
        <w:t>2020</w:t>
      </w:r>
      <w:r>
        <w:rPr>
          <w:rFonts w:hint="eastAsia" w:ascii="仿宋" w:hAnsi="仿宋"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Times New Roman" w:hAnsi="Times New Roman" w:eastAsia="仿宋" w:cs="Times New Roman"/>
          <w:sz w:val="32"/>
          <w:szCs w:val="32"/>
        </w:rPr>
      </w:pPr>
      <w:r>
        <w:rPr>
          <w:rFonts w:hint="eastAsia" w:ascii="仿宋" w:hAnsi="仿宋" w:eastAsia="仿宋" w:cs="Times New Roman"/>
          <w:b/>
          <w:bCs/>
          <w:sz w:val="32"/>
          <w:szCs w:val="32"/>
        </w:rPr>
        <w:t>部门职责：</w:t>
      </w:r>
      <w:r>
        <w:rPr>
          <w:rFonts w:hint="eastAsia" w:ascii="仿宋" w:hAnsi="仿宋" w:eastAsia="仿宋" w:cs="Times New Roman"/>
          <w:sz w:val="32"/>
          <w:szCs w:val="32"/>
        </w:rPr>
        <w:t>根据《石家庄市藁城区住房和城乡建设局职能配置、内设机构和人员编制规定》，石家庄市藁城区住房和城乡建设局的主要职责是</w:t>
      </w:r>
      <w:r>
        <w:rPr>
          <w:rFonts w:hint="eastAsia" w:ascii="Times New Roman" w:hAnsi="Times New Roman" w:eastAsia="仿宋" w:cs="Times New Roman"/>
          <w:sz w:val="32"/>
          <w:szCs w:val="32"/>
        </w:rPr>
        <w:t>:</w:t>
      </w:r>
    </w:p>
    <w:p>
      <w:pPr>
        <w:numPr>
          <w:ilvl w:val="0"/>
          <w:numId w:val="1"/>
        </w:numPr>
        <w:ind w:firstLine="640"/>
        <w:rPr>
          <w:rFonts w:ascii="Times New Roman" w:hAnsi="Times New Roman" w:eastAsia="仿宋" w:cs="Times New Roman"/>
          <w:sz w:val="32"/>
          <w:szCs w:val="32"/>
        </w:rPr>
      </w:pPr>
      <w:r>
        <w:rPr>
          <w:rFonts w:hint="eastAsia" w:ascii="仿宋" w:hAnsi="仿宋" w:eastAsia="仿宋" w:cs="Times New Roman"/>
          <w:sz w:val="32"/>
          <w:szCs w:val="32"/>
        </w:rPr>
        <w:t>监管建筑市场。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w:t>
      </w:r>
      <w:r>
        <w:rPr>
          <w:rFonts w:hint="eastAsia" w:ascii="Times New Roman" w:hAnsi="Times New Roman" w:eastAsia="仿宋" w:cs="Times New Roman"/>
          <w:sz w:val="32"/>
          <w:szCs w:val="32"/>
        </w:rPr>
        <w:t>(</w:t>
      </w:r>
      <w:r>
        <w:rPr>
          <w:rFonts w:hint="eastAsia" w:ascii="仿宋" w:hAnsi="仿宋" w:eastAsia="仿宋" w:cs="Times New Roman"/>
          <w:sz w:val="32"/>
          <w:szCs w:val="32"/>
        </w:rPr>
        <w:t>含市政工程</w:t>
      </w:r>
      <w:r>
        <w:rPr>
          <w:rFonts w:hint="eastAsia" w:ascii="Times New Roman" w:hAnsi="Times New Roman" w:eastAsia="仿宋" w:cs="Times New Roman"/>
          <w:sz w:val="32"/>
          <w:szCs w:val="32"/>
        </w:rPr>
        <w:t>)</w:t>
      </w:r>
      <w:r>
        <w:rPr>
          <w:rFonts w:hint="eastAsia" w:ascii="仿宋" w:hAnsi="仿宋" w:eastAsia="仿宋" w:cs="Times New Roman"/>
          <w:sz w:val="32"/>
          <w:szCs w:val="32"/>
        </w:rPr>
        <w:t>档案监管。</w:t>
      </w:r>
    </w:p>
    <w:p>
      <w:pPr>
        <w:ind w:firstLine="640" w:firstLineChars="200"/>
        <w:rPr>
          <w:rFonts w:ascii="Times New Roman" w:hAnsi="Times New Roman" w:eastAsia="仿宋" w:cs="Times New Roman"/>
          <w:sz w:val="32"/>
          <w:szCs w:val="32"/>
        </w:rPr>
      </w:pPr>
      <w:r>
        <w:rPr>
          <w:rFonts w:hint="eastAsia" w:ascii="仿宋" w:hAnsi="仿宋" w:eastAsia="仿宋" w:cs="Times New Roman"/>
          <w:sz w:val="32"/>
          <w:szCs w:val="32"/>
        </w:rPr>
        <w:t>（二）推进建筑节能、城镇减排。承担推进建筑节能、城镇减排的责任。会同有关部门拟定建筑节能的政策、规划并监督实施；指导房屋墙体材料革新工作；组织实施重大建筑节能项目、推进城镇减排。</w:t>
      </w:r>
    </w:p>
    <w:p>
      <w:pPr>
        <w:ind w:firstLine="640" w:firstLineChars="200"/>
        <w:rPr>
          <w:rFonts w:ascii="Times New Roman" w:hAnsi="Times New Roman" w:eastAsia="仿宋" w:cs="Times New Roman"/>
          <w:sz w:val="32"/>
          <w:szCs w:val="32"/>
        </w:rPr>
      </w:pPr>
      <w:r>
        <w:rPr>
          <w:rFonts w:hint="eastAsia" w:ascii="仿宋" w:hAnsi="仿宋" w:eastAsia="仿宋" w:cs="Times New Roman"/>
          <w:sz w:val="32"/>
          <w:szCs w:val="32"/>
        </w:rPr>
        <w:t>（三）城市基础设施建设。对城市建设和科学发展进行综合性研究，组织开展以城乡建设为主要内容的研究活动，提供相关咨询服务等，为区委区政府提供城市建设决策建议。</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（四）规范、指导村镇建设。承担规范、指导村镇建设工作。指导全区乡镇和村庄的建设与管理，推动村镇建设的改革与发展。</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（五）区住房和城乡建设工作综合事务管理。负责住建系统综合业务管理和机关综合事务管理，提升住房和城乡建设工作综合事务管理水平。</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（六）决算、审计职能。负责我市建设工程项目的概、预算编制，代理编制预算、审核标底，竣工建设项目的决算工作，为建设经济纠纷提出法律依据。</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（七）燃气热力市场监管。负责全是燃气热力市场的监管工作规范燃气热力市场，维护燃气热力市场秩序。</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（八）广场养护管理。负责人民广场内的卫生、园林绿化、安全秩序、小品设施管护，广场日常养护管理达到河北省二级管理标准。</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（九）保障性住房建设管理。负责辖区保障性住房购建、分配、管理工作，以及建立完善住房保障体系。负责城镇廉租住房申请人资格审核及住房租赁补贴工作。</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（十）房地产管理。负责辖区房屋登记及房产交易管理、房地产开发经营管理。</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一）基础设施建设项目融资。按照区政府城建计划，做好基础设施建设项目融资工作。并负责将项目政府购买服务资金上报区财政，逐年列入预算。做好基础设施建设项目融资工作，保证及时到位。按照政府购买服务合同，及时将相关费用拨付至平台公司，并监督资金规范使用。</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（十二）市容环境卫生管理。市容环境卫生管理工作的指导、监督、检查、考核及生活垃圾消纳及无害化处理等工作。确保市区市容环境卫生干净整洁；改善城区</w:t>
      </w:r>
      <w:r>
        <w:rPr>
          <w:rFonts w:hint="eastAsia" w:ascii="仿宋" w:hAnsi="仿宋" w:eastAsia="仿宋" w:cs="Times New Roman"/>
          <w:sz w:val="32"/>
          <w:szCs w:val="32"/>
          <w:lang w:eastAsia="zh-CN"/>
        </w:rPr>
        <w:t>环境</w:t>
      </w:r>
      <w:r>
        <w:rPr>
          <w:rFonts w:hint="eastAsia" w:ascii="仿宋" w:hAnsi="仿宋" w:eastAsia="仿宋" w:cs="Times New Roman"/>
          <w:sz w:val="32"/>
          <w:szCs w:val="32"/>
        </w:rPr>
        <w:t>，节能减排，促进生活垃圾减量化、资源化、无害化。</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（十三）市政设施维护管理。城市道路、排水、桥涵、路灯等市政公用设施的建设、维修养护及管理工作，确保市政设施齐整、完好。</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四）城市市容管理。监察及数字化城市管理信息平台的建设工作，城区市容秩序及广告牌匾管理工作的指导、监督、检查、考核工作；建立以城市管理监管系统为核心的标准化综合性的监管体系以数据分析为基础的统计分析平台，为科学管理及决策提供依据。提高城市管理水平，改善城市容貌，创造优美环境。</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（十五）城市园林绿化管理。承担城市园林绿地日常管护及绿化工程项目的设计、施工管理工作等，提高园林绿地管理水平。</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（十六）城区各类公园养护管理。对园内日常养护管理进行检查、抽查，主要包括植物修剪、浇水、病虫害防治、设施维护及安全生产方面。植物修剪合理，土壤墒情良好，植物生长健壮。</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（十七）农村生活垃圾处理市场化运营。负责农村生活垃圾处理市场化运营管理工作的日常督导检查。确保农村生活垃圾处理市场化运营全覆盖，实现农村环境卫生大改观，农村面貌大提升。</w:t>
      </w:r>
    </w:p>
    <w:p>
      <w:pPr>
        <w:rPr>
          <w:rFonts w:ascii="仿宋" w:hAnsi="仿宋" w:eastAsia="仿宋" w:cs="Times New Roman"/>
          <w:sz w:val="32"/>
          <w:szCs w:val="32"/>
        </w:rPr>
      </w:pPr>
      <w:r>
        <w:rPr>
          <w:rFonts w:hint="eastAsia" w:ascii="仿宋" w:hAnsi="仿宋" w:eastAsia="仿宋" w:cs="Times New Roman"/>
          <w:sz w:val="32"/>
          <w:szCs w:val="32"/>
        </w:rPr>
        <w:t xml:space="preserve"> </w:t>
      </w:r>
    </w:p>
    <w:p>
      <w:pPr>
        <w:ind w:firstLine="643" w:firstLineChars="200"/>
        <w:rPr>
          <w:rFonts w:ascii="仿宋" w:hAnsi="仿宋" w:eastAsia="仿宋" w:cs="Times New Roman"/>
          <w:b/>
          <w:bCs/>
          <w:sz w:val="32"/>
          <w:szCs w:val="32"/>
        </w:rPr>
      </w:pPr>
      <w:r>
        <w:rPr>
          <w:rFonts w:hint="eastAsia" w:ascii="仿宋" w:hAnsi="仿宋" w:eastAsia="仿宋" w:cs="Times New Roman"/>
          <w:b/>
          <w:bCs/>
          <w:sz w:val="32"/>
          <w:szCs w:val="32"/>
        </w:rPr>
        <w:t>机构设置：</w:t>
      </w:r>
    </w:p>
    <w:p>
      <w:pPr>
        <w:jc w:val="center"/>
        <w:outlineLvl w:val="0"/>
        <w:rPr>
          <w:rFonts w:ascii="Times New Roman" w:hAnsi="Times New Roman" w:eastAsia="方正小标宋_GBK" w:cs="Times New Roman"/>
          <w:sz w:val="32"/>
          <w:szCs w:val="32"/>
        </w:rPr>
      </w:pPr>
      <w:r>
        <w:rPr>
          <w:rFonts w:hint="eastAsia" w:ascii="宋体" w:hAnsi="宋体" w:cs="宋体"/>
          <w:sz w:val="32"/>
          <w:szCs w:val="32"/>
        </w:rPr>
        <w:t>部门</w:t>
      </w:r>
      <w:r>
        <w:rPr>
          <w:rFonts w:ascii="方正小标宋_GBK" w:hAnsi="方正小标宋_GBK" w:cs="Times New Roman"/>
          <w:sz w:val="32"/>
          <w:szCs w:val="32"/>
        </w:rPr>
        <w:t>机构设置情况</w:t>
      </w:r>
    </w:p>
    <w:tbl>
      <w:tblPr>
        <w:tblStyle w:val="4"/>
        <w:tblW w:w="97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jc w:val="center"/>
        </w:trPr>
        <w:tc>
          <w:tcPr>
            <w:tcW w:w="4417" w:type="dxa"/>
            <w:vMerge w:val="restart"/>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b/>
                <w:bCs/>
              </w:rPr>
            </w:pPr>
            <w:r>
              <w:rPr>
                <w:rFonts w:hint="eastAsia" w:ascii="宋体" w:hAnsi="宋体" w:cs="宋体"/>
                <w:b/>
                <w:bCs/>
              </w:rPr>
              <w:t>单位名称</w:t>
            </w:r>
          </w:p>
        </w:tc>
        <w:tc>
          <w:tcPr>
            <w:tcW w:w="1134"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b/>
                <w:bCs/>
              </w:rPr>
            </w:pPr>
            <w:r>
              <w:rPr>
                <w:rFonts w:hint="eastAsia" w:ascii="宋体" w:hAnsi="宋体" w:cs="宋体"/>
                <w:b/>
                <w:bCs/>
              </w:rPr>
              <w:t>单位性质</w:t>
            </w:r>
          </w:p>
        </w:tc>
        <w:tc>
          <w:tcPr>
            <w:tcW w:w="1276"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b/>
                <w:bCs/>
              </w:rPr>
            </w:pPr>
            <w:r>
              <w:rPr>
                <w:rFonts w:hint="eastAsia" w:ascii="宋体" w:hAnsi="宋体" w:cs="宋体"/>
                <w:b/>
                <w:bCs/>
              </w:rPr>
              <w:t>单位规格</w:t>
            </w:r>
          </w:p>
        </w:tc>
        <w:tc>
          <w:tcPr>
            <w:tcW w:w="2902"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b/>
                <w:bCs/>
              </w:rPr>
            </w:pPr>
            <w:r>
              <w:rPr>
                <w:rFonts w:hint="eastAsia" w:ascii="宋体" w:hAnsi="宋体" w:cs="宋体"/>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2" w:hRule="atLeast"/>
          <w:jc w:val="center"/>
        </w:trPr>
        <w:tc>
          <w:tcPr>
            <w:tcW w:w="4417" w:type="dxa"/>
            <w:vMerge w:val="continue"/>
            <w:tcBorders>
              <w:top w:val="single" w:color="000000" w:sz="6" w:space="0"/>
              <w:left w:val="single" w:color="000000" w:sz="6" w:space="0"/>
              <w:bottom w:val="single" w:color="000000" w:sz="6" w:space="0"/>
              <w:right w:val="single" w:color="000000" w:sz="6" w:space="0"/>
            </w:tcBorders>
            <w:vAlign w:val="center"/>
          </w:tcPr>
          <w:p>
            <w:pPr>
              <w:widowControl/>
              <w:jc w:val="left"/>
              <w:rPr>
                <w:rFonts w:ascii="Times New Roman" w:hAnsi="Times New Roman" w:eastAsia="方正书宋_GBK" w:cs="Times New Roman"/>
                <w:b/>
                <w:bCs/>
              </w:rPr>
            </w:pPr>
          </w:p>
        </w:tc>
        <w:tc>
          <w:tcPr>
            <w:tcW w:w="1134" w:type="dxa"/>
            <w:vMerge w:val="continue"/>
            <w:tcBorders>
              <w:top w:val="single" w:color="000000" w:sz="6" w:space="0"/>
              <w:left w:val="nil"/>
              <w:bottom w:val="single" w:color="000000" w:sz="6" w:space="0"/>
              <w:right w:val="single" w:color="000000" w:sz="6" w:space="0"/>
            </w:tcBorders>
            <w:vAlign w:val="center"/>
          </w:tcPr>
          <w:p>
            <w:pPr>
              <w:widowControl/>
              <w:jc w:val="left"/>
              <w:rPr>
                <w:rFonts w:ascii="Times New Roman" w:hAnsi="Times New Roman" w:eastAsia="方正书宋_GBK" w:cs="Times New Roman"/>
                <w:b/>
                <w:bCs/>
              </w:rPr>
            </w:pPr>
          </w:p>
        </w:tc>
        <w:tc>
          <w:tcPr>
            <w:tcW w:w="1276" w:type="dxa"/>
            <w:vMerge w:val="continue"/>
            <w:tcBorders>
              <w:top w:val="single" w:color="000000" w:sz="6" w:space="0"/>
              <w:left w:val="nil"/>
              <w:bottom w:val="single" w:color="000000" w:sz="6" w:space="0"/>
              <w:right w:val="single" w:color="000000" w:sz="6" w:space="0"/>
            </w:tcBorders>
            <w:vAlign w:val="center"/>
          </w:tcPr>
          <w:p>
            <w:pPr>
              <w:widowControl/>
              <w:jc w:val="left"/>
              <w:rPr>
                <w:rFonts w:ascii="Times New Roman" w:hAnsi="Times New Roman" w:eastAsia="方正书宋_GBK" w:cs="Times New Roman"/>
                <w:b/>
                <w:bCs/>
              </w:rPr>
            </w:pPr>
          </w:p>
        </w:tc>
        <w:tc>
          <w:tcPr>
            <w:tcW w:w="2902" w:type="dxa"/>
            <w:vMerge w:val="continue"/>
            <w:tcBorders>
              <w:top w:val="single" w:color="000000" w:sz="6" w:space="0"/>
              <w:left w:val="nil"/>
              <w:bottom w:val="single" w:color="000000" w:sz="6" w:space="0"/>
              <w:right w:val="single" w:color="000000" w:sz="6" w:space="0"/>
            </w:tcBorders>
            <w:vAlign w:val="center"/>
          </w:tcPr>
          <w:p>
            <w:pPr>
              <w:widowControl/>
              <w:jc w:val="left"/>
              <w:rPr>
                <w:rFonts w:ascii="Times New Roman" w:hAnsi="Times New Roman" w:eastAsia="方正书宋_GBK"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Times New Roman" w:hAnsi="Times New Roman" w:cs="Times New Roman"/>
              </w:rPr>
            </w:pPr>
            <w:r>
              <w:rPr>
                <w:rFonts w:ascii="Times New Roman" w:hAnsi="Times New Roman" w:cs="Times New Roman"/>
              </w:rPr>
              <w:t>石家庄市藁城区住房和城乡建设局</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ascii="方正书宋_GBK"/>
              </w:rPr>
              <w:t>行政</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ascii="方正书宋_GBK"/>
              </w:rPr>
              <w:t>正科级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ascii="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Times New Roman" w:hAnsi="Times New Roman" w:cs="Times New Roman"/>
              </w:rPr>
            </w:pPr>
            <w:r>
              <w:rPr>
                <w:rFonts w:ascii="Times New Roman" w:hAnsi="Times New Roman" w:cs="Times New Roman"/>
              </w:rPr>
              <w:t>石家庄市藁城区人民广场</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eastAsia="方正书宋_GBK" w:cs="Times New Roman"/>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石家庄市藁城区住房保障和房产交易中心</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其他</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rPr>
            </w:pPr>
            <w:r>
              <w:rPr>
                <w:rFonts w:ascii="方正书宋_GBK"/>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石家庄市藁城区城市管理综合执法大队</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rPr>
            </w:pPr>
            <w:r>
              <w:rPr>
                <w:rFonts w:ascii="方正书宋_GBK"/>
              </w:rPr>
              <w:t>正科级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石家庄市藁城区市政设施维护中心</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石家庄市藁城区园林绿化服务站</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石家庄市藁城区水上公园</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石家庄市藁城区儿童公园</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5" w:hRule="atLeast"/>
          <w:jc w:val="center"/>
        </w:trPr>
        <w:tc>
          <w:tcPr>
            <w:tcW w:w="4417"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石家庄市藁城区环境卫生服务站</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Times New Roman" w:hAnsi="Times New Roman" w:cs="Times New Roman"/>
              </w:rPr>
            </w:pPr>
            <w:r>
              <w:rPr>
                <w:rFonts w:ascii="Times New Roman" w:hAnsi="Times New Roman" w:cs="Times New Roman"/>
              </w:rPr>
              <w:t>事业</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股级</w:t>
            </w:r>
          </w:p>
        </w:tc>
        <w:tc>
          <w:tcPr>
            <w:tcW w:w="2902"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r>
        <w:t xml:space="preserve"> </w:t>
      </w: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仿宋" w:hAnsi="仿宋" w:eastAsia="仿宋" w:cs="Times New Roman"/>
          <w:sz w:val="32"/>
          <w:szCs w:val="32"/>
        </w:rPr>
        <w:t>按照预算管理有关规定，目前我部门预算的编制实行综合预算</w:t>
      </w:r>
      <w:r>
        <w:rPr>
          <w:rFonts w:hint="eastAsia" w:ascii="仿宋" w:hAnsi="仿宋" w:eastAsia="仿宋" w:cs="Times New Roman"/>
          <w:sz w:val="32"/>
          <w:szCs w:val="32"/>
        </w:rPr>
        <w:t>管理</w:t>
      </w:r>
      <w:r>
        <w:rPr>
          <w:rFonts w:ascii="仿宋" w:hAnsi="仿宋" w:eastAsia="仿宋" w:cs="Times New Roman"/>
          <w:sz w:val="32"/>
          <w:szCs w:val="32"/>
        </w:rPr>
        <w:t>，即全部收入和支出都反映的预算中。</w:t>
      </w:r>
      <w:r>
        <w:rPr>
          <w:rFonts w:hint="eastAsia" w:ascii="仿宋" w:hAnsi="仿宋" w:eastAsia="仿宋" w:cs="Times New Roman"/>
          <w:sz w:val="32"/>
          <w:szCs w:val="32"/>
        </w:rPr>
        <w:t>石家庄市藁城区住房和城乡建设局</w:t>
      </w:r>
      <w:r>
        <w:rPr>
          <w:rFonts w:ascii="仿宋" w:hAnsi="仿宋"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hint="eastAsia" w:ascii="仿宋" w:hAnsi="仿宋" w:eastAsia="仿宋" w:cs="Times New Roman"/>
          <w:sz w:val="32"/>
          <w:szCs w:val="32"/>
        </w:rPr>
        <w:t>、</w:t>
      </w:r>
      <w:r>
        <w:rPr>
          <w:rFonts w:ascii="仿宋" w:hAnsi="仿宋" w:eastAsia="仿宋" w:cs="Times New Roman"/>
          <w:sz w:val="32"/>
          <w:szCs w:val="32"/>
        </w:rPr>
        <w:t>收入说明</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反映本部门当年全部收入。</w:t>
      </w:r>
      <w:r>
        <w:rPr>
          <w:rFonts w:hint="eastAsia" w:ascii="Times New Roman" w:hAnsi="Times New Roman" w:eastAsia="仿宋" w:cs="Times New Roman"/>
          <w:sz w:val="32"/>
          <w:szCs w:val="32"/>
        </w:rPr>
        <w:t>2020</w:t>
      </w:r>
      <w:r>
        <w:rPr>
          <w:rFonts w:hint="eastAsia" w:ascii="仿宋" w:hAnsi="仿宋" w:eastAsia="仿宋" w:cs="Times New Roman"/>
          <w:sz w:val="32"/>
          <w:szCs w:val="32"/>
        </w:rPr>
        <w:t>年预算收入</w:t>
      </w:r>
      <w:r>
        <w:rPr>
          <w:rFonts w:hint="eastAsia" w:ascii="Times New Roman" w:hAnsi="Times New Roman" w:eastAsia="仿宋" w:cs="Times New Roman"/>
          <w:sz w:val="32"/>
          <w:szCs w:val="32"/>
        </w:rPr>
        <w:t>64108.67</w:t>
      </w:r>
      <w:r>
        <w:rPr>
          <w:rFonts w:hint="eastAsia" w:ascii="仿宋" w:hAnsi="仿宋" w:eastAsia="仿宋" w:cs="Times New Roman"/>
          <w:sz w:val="32"/>
          <w:szCs w:val="32"/>
        </w:rPr>
        <w:t>万元，其中：一般公共预算收入</w:t>
      </w:r>
      <w:r>
        <w:rPr>
          <w:rFonts w:hint="eastAsia" w:ascii="Times New Roman" w:hAnsi="Times New Roman" w:eastAsia="仿宋" w:cs="Times New Roman"/>
          <w:sz w:val="32"/>
          <w:szCs w:val="32"/>
        </w:rPr>
        <w:t>10001.06</w:t>
      </w:r>
      <w:r>
        <w:rPr>
          <w:rFonts w:hint="eastAsia" w:ascii="仿宋" w:hAnsi="仿宋" w:eastAsia="仿宋" w:cs="Times New Roman"/>
          <w:sz w:val="32"/>
          <w:szCs w:val="32"/>
        </w:rPr>
        <w:t>万元，基金预算收入</w:t>
      </w:r>
      <w:r>
        <w:rPr>
          <w:rFonts w:hint="eastAsia" w:ascii="Times New Roman" w:hAnsi="Times New Roman" w:eastAsia="仿宋" w:cs="Times New Roman"/>
          <w:sz w:val="32"/>
          <w:szCs w:val="32"/>
        </w:rPr>
        <w:t>54107.61</w:t>
      </w:r>
      <w:r>
        <w:rPr>
          <w:rFonts w:hint="eastAsia" w:ascii="仿宋" w:hAnsi="仿宋" w:eastAsia="仿宋" w:cs="Times New Roman"/>
          <w:sz w:val="32"/>
          <w:szCs w:val="32"/>
        </w:rPr>
        <w:t>万元，财政专户核拨收入</w:t>
      </w:r>
      <w:r>
        <w:rPr>
          <w:rFonts w:hint="eastAsia" w:ascii="Times New Roman" w:hAnsi="Times New Roman" w:eastAsia="仿宋" w:cs="Times New Roman"/>
          <w:sz w:val="32"/>
          <w:szCs w:val="32"/>
        </w:rPr>
        <w:t>0</w:t>
      </w:r>
      <w:r>
        <w:rPr>
          <w:rFonts w:hint="eastAsia" w:ascii="仿宋" w:hAnsi="仿宋" w:eastAsia="仿宋" w:cs="Times New Roman"/>
          <w:sz w:val="32"/>
          <w:szCs w:val="32"/>
        </w:rPr>
        <w:t>万元，其他来源收入</w:t>
      </w:r>
      <w:r>
        <w:rPr>
          <w:rFonts w:hint="eastAsia" w:ascii="Times New Roman" w:hAnsi="Times New Roman" w:eastAsia="仿宋" w:cs="Times New Roman"/>
          <w:sz w:val="32"/>
          <w:szCs w:val="32"/>
        </w:rPr>
        <w:t>0</w:t>
      </w:r>
      <w:r>
        <w:rPr>
          <w:rFonts w:hint="eastAsia" w:ascii="仿宋" w:hAnsi="仿宋"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仿宋" w:hAnsi="仿宋" w:eastAsia="仿宋" w:cs="Times New Roman"/>
          <w:sz w:val="32"/>
          <w:szCs w:val="32"/>
        </w:rPr>
        <w:t>、</w:t>
      </w:r>
      <w:r>
        <w:rPr>
          <w:rFonts w:ascii="仿宋" w:hAnsi="仿宋" w:eastAsia="仿宋" w:cs="Times New Roman"/>
          <w:sz w:val="32"/>
          <w:szCs w:val="32"/>
        </w:rPr>
        <w:t>支出说明</w:t>
      </w:r>
    </w:p>
    <w:p>
      <w:pPr>
        <w:ind w:firstLine="640"/>
        <w:rPr>
          <w:rFonts w:ascii="Times New Roman" w:hAnsi="Times New Roman" w:eastAsia="仿宋" w:cs="Times New Roman"/>
          <w:sz w:val="32"/>
          <w:szCs w:val="32"/>
        </w:rPr>
      </w:pPr>
      <w:r>
        <w:rPr>
          <w:rFonts w:hint="eastAsia" w:ascii="仿宋" w:hAnsi="仿宋" w:eastAsia="仿宋" w:cs="Times New Roman"/>
          <w:sz w:val="32"/>
          <w:szCs w:val="32"/>
        </w:rPr>
        <w:t>收支预算总表支出栏、基本支出表、项目支出表按经济分类和支出功能分类科目编制，反映石家庄市藁城区住房和城乡建设局预算中支出预算的总体情况。</w:t>
      </w:r>
      <w:r>
        <w:rPr>
          <w:rFonts w:hint="eastAsia" w:ascii="Times New Roman" w:hAnsi="Times New Roman" w:eastAsia="仿宋" w:cs="Times New Roman"/>
          <w:sz w:val="32"/>
          <w:szCs w:val="32"/>
        </w:rPr>
        <w:t>2020</w:t>
      </w:r>
      <w:r>
        <w:rPr>
          <w:rFonts w:hint="eastAsia" w:ascii="仿宋" w:hAnsi="仿宋" w:eastAsia="仿宋" w:cs="Times New Roman"/>
          <w:sz w:val="32"/>
          <w:szCs w:val="32"/>
        </w:rPr>
        <w:t>年部门支出预算为</w:t>
      </w:r>
      <w:r>
        <w:rPr>
          <w:rFonts w:hint="eastAsia" w:ascii="Times New Roman" w:hAnsi="Times New Roman" w:eastAsia="仿宋" w:cs="Times New Roman"/>
          <w:sz w:val="32"/>
          <w:szCs w:val="32"/>
        </w:rPr>
        <w:t>64108.67</w:t>
      </w:r>
      <w:r>
        <w:rPr>
          <w:rFonts w:hint="eastAsia" w:ascii="仿宋" w:hAnsi="仿宋" w:eastAsia="仿宋" w:cs="Times New Roman"/>
          <w:sz w:val="32"/>
          <w:szCs w:val="32"/>
        </w:rPr>
        <w:t>万元，其中基本支出</w:t>
      </w:r>
      <w:r>
        <w:rPr>
          <w:rFonts w:hint="eastAsia" w:ascii="Times New Roman" w:hAnsi="Times New Roman" w:eastAsia="仿宋" w:cs="Times New Roman"/>
          <w:sz w:val="32"/>
          <w:szCs w:val="32"/>
        </w:rPr>
        <w:t>4140.88</w:t>
      </w:r>
      <w:r>
        <w:rPr>
          <w:rFonts w:hint="eastAsia" w:ascii="仿宋" w:hAnsi="仿宋" w:eastAsia="仿宋" w:cs="Times New Roman"/>
          <w:sz w:val="32"/>
          <w:szCs w:val="32"/>
        </w:rPr>
        <w:t>万元，包括人员经费</w:t>
      </w:r>
      <w:r>
        <w:rPr>
          <w:rFonts w:hint="eastAsia" w:ascii="Times New Roman" w:hAnsi="Times New Roman" w:eastAsia="仿宋" w:cs="Times New Roman"/>
          <w:sz w:val="32"/>
          <w:szCs w:val="32"/>
        </w:rPr>
        <w:t>3939.44</w:t>
      </w:r>
      <w:r>
        <w:rPr>
          <w:rFonts w:hint="eastAsia" w:ascii="仿宋" w:hAnsi="仿宋" w:eastAsia="仿宋" w:cs="Times New Roman"/>
          <w:sz w:val="32"/>
          <w:szCs w:val="32"/>
        </w:rPr>
        <w:t>万元和日常公用经费</w:t>
      </w:r>
      <w:r>
        <w:rPr>
          <w:rFonts w:hint="eastAsia" w:ascii="Times New Roman" w:hAnsi="Times New Roman" w:eastAsia="仿宋" w:cs="Times New Roman"/>
          <w:sz w:val="32"/>
          <w:szCs w:val="32"/>
        </w:rPr>
        <w:t>201.44</w:t>
      </w:r>
      <w:r>
        <w:rPr>
          <w:rFonts w:hint="eastAsia" w:ascii="仿宋" w:hAnsi="仿宋" w:eastAsia="仿宋" w:cs="Times New Roman"/>
          <w:sz w:val="32"/>
          <w:szCs w:val="32"/>
        </w:rPr>
        <w:t>万元；项目支出</w:t>
      </w:r>
      <w:r>
        <w:rPr>
          <w:rFonts w:hint="eastAsia" w:ascii="Times New Roman" w:hAnsi="Times New Roman" w:eastAsia="仿宋" w:cs="Times New Roman"/>
          <w:sz w:val="32"/>
          <w:szCs w:val="32"/>
        </w:rPr>
        <w:t>9516</w:t>
      </w:r>
      <w:r>
        <w:rPr>
          <w:rFonts w:hint="eastAsia" w:ascii="仿宋" w:hAnsi="仿宋" w:eastAsia="仿宋" w:cs="Times New Roman"/>
          <w:sz w:val="32"/>
          <w:szCs w:val="32"/>
        </w:rPr>
        <w:t>万元，主要为大气支出</w:t>
      </w:r>
      <w:r>
        <w:rPr>
          <w:rFonts w:hint="eastAsia" w:ascii="Times New Roman" w:hAnsi="Times New Roman" w:eastAsia="仿宋" w:cs="Times New Roman"/>
          <w:sz w:val="32"/>
          <w:szCs w:val="32"/>
        </w:rPr>
        <w:t>4810</w:t>
      </w:r>
      <w:r>
        <w:rPr>
          <w:rFonts w:hint="eastAsia" w:ascii="仿宋" w:hAnsi="仿宋" w:eastAsia="仿宋" w:cs="Times New Roman"/>
          <w:sz w:val="32"/>
          <w:szCs w:val="32"/>
        </w:rPr>
        <w:t>万元，住宅建设与房地产市场监管支出</w:t>
      </w:r>
      <w:r>
        <w:rPr>
          <w:rFonts w:hint="eastAsia" w:ascii="Times New Roman" w:hAnsi="Times New Roman" w:eastAsia="仿宋" w:cs="Times New Roman"/>
          <w:sz w:val="32"/>
          <w:szCs w:val="32"/>
        </w:rPr>
        <w:t>509.18</w:t>
      </w:r>
      <w:r>
        <w:rPr>
          <w:rFonts w:hint="eastAsia" w:ascii="仿宋" w:hAnsi="仿宋" w:eastAsia="仿宋" w:cs="Times New Roman"/>
          <w:sz w:val="32"/>
          <w:szCs w:val="32"/>
        </w:rPr>
        <w:t>万元，城市建设支出</w:t>
      </w:r>
      <w:r>
        <w:rPr>
          <w:rFonts w:hint="eastAsia" w:ascii="Times New Roman" w:hAnsi="Times New Roman" w:eastAsia="仿宋" w:cs="Times New Roman"/>
          <w:sz w:val="32"/>
          <w:szCs w:val="32"/>
        </w:rPr>
        <w:t>33681.63</w:t>
      </w:r>
      <w:r>
        <w:rPr>
          <w:rFonts w:hint="eastAsia" w:ascii="仿宋" w:hAnsi="仿宋" w:eastAsia="仿宋" w:cs="Times New Roman"/>
          <w:sz w:val="32"/>
          <w:szCs w:val="32"/>
        </w:rPr>
        <w:t>万元，廉租住房支出</w:t>
      </w:r>
      <w:r>
        <w:rPr>
          <w:rFonts w:hint="eastAsia" w:ascii="Times New Roman" w:hAnsi="Times New Roman" w:eastAsia="仿宋" w:cs="Times New Roman"/>
          <w:sz w:val="32"/>
          <w:szCs w:val="32"/>
        </w:rPr>
        <w:t>121.98</w:t>
      </w:r>
      <w:r>
        <w:rPr>
          <w:rFonts w:hint="eastAsia" w:ascii="仿宋" w:hAnsi="仿宋" w:eastAsia="仿宋" w:cs="Times New Roman"/>
          <w:sz w:val="32"/>
          <w:szCs w:val="32"/>
        </w:rPr>
        <w:t>万元，城市基础设施配套费安排的支出</w:t>
      </w:r>
      <w:r>
        <w:rPr>
          <w:rFonts w:hint="eastAsia" w:ascii="Times New Roman" w:hAnsi="Times New Roman" w:eastAsia="仿宋" w:cs="Times New Roman"/>
          <w:sz w:val="32"/>
          <w:szCs w:val="32"/>
        </w:rPr>
        <w:t>6524</w:t>
      </w:r>
      <w:r>
        <w:rPr>
          <w:rFonts w:hint="eastAsia" w:ascii="仿宋" w:hAnsi="仿宋" w:eastAsia="仿宋" w:cs="Times New Roman"/>
          <w:sz w:val="32"/>
          <w:szCs w:val="32"/>
        </w:rPr>
        <w:t>万元，棚户区改造支出</w:t>
      </w:r>
      <w:r>
        <w:rPr>
          <w:rFonts w:hint="eastAsia" w:ascii="Times New Roman" w:hAnsi="Times New Roman" w:eastAsia="仿宋" w:cs="Times New Roman"/>
          <w:sz w:val="32"/>
          <w:szCs w:val="32"/>
        </w:rPr>
        <w:t>233</w:t>
      </w:r>
      <w:r>
        <w:rPr>
          <w:rFonts w:hint="eastAsia" w:ascii="仿宋" w:hAnsi="仿宋" w:eastAsia="仿宋" w:cs="Times New Roman"/>
          <w:sz w:val="32"/>
          <w:szCs w:val="32"/>
        </w:rPr>
        <w:t>万元，农村危房改造支出</w:t>
      </w:r>
      <w:r>
        <w:rPr>
          <w:rFonts w:hint="eastAsia" w:ascii="Times New Roman" w:hAnsi="Times New Roman" w:eastAsia="仿宋" w:cs="Times New Roman"/>
          <w:sz w:val="32"/>
          <w:szCs w:val="32"/>
        </w:rPr>
        <w:t>306</w:t>
      </w:r>
      <w:r>
        <w:rPr>
          <w:rFonts w:hint="eastAsia" w:ascii="仿宋" w:hAnsi="仿宋" w:eastAsia="仿宋" w:cs="Times New Roman"/>
          <w:sz w:val="32"/>
          <w:szCs w:val="32"/>
        </w:rPr>
        <w:t>万元；地方自行试点项目收益专项债券收入安排的支出</w:t>
      </w:r>
      <w:r>
        <w:rPr>
          <w:rFonts w:hint="eastAsia" w:ascii="Times New Roman" w:hAnsi="Times New Roman" w:eastAsia="仿宋" w:cs="Times New Roman"/>
          <w:sz w:val="32"/>
          <w:szCs w:val="32"/>
        </w:rPr>
        <w:t>19000</w:t>
      </w:r>
      <w:r>
        <w:rPr>
          <w:rFonts w:hint="eastAsia" w:ascii="仿宋" w:hAnsi="仿宋" w:eastAsia="仿宋" w:cs="Times New Roman"/>
          <w:sz w:val="32"/>
          <w:szCs w:val="32"/>
        </w:rPr>
        <w:t>万元，文化和旅游支出</w:t>
      </w:r>
      <w:r>
        <w:rPr>
          <w:rFonts w:hint="eastAsia" w:ascii="Times New Roman" w:hAnsi="Times New Roman" w:eastAsia="仿宋" w:cs="Times New Roman"/>
          <w:sz w:val="32"/>
          <w:szCs w:val="32"/>
        </w:rPr>
        <w:t>2</w:t>
      </w:r>
      <w:r>
        <w:rPr>
          <w:rFonts w:hint="eastAsia" w:ascii="仿宋" w:hAnsi="仿宋" w:eastAsia="仿宋" w:cs="Times New Roman"/>
          <w:sz w:val="32"/>
          <w:szCs w:val="32"/>
        </w:rPr>
        <w:t>万元；其他支出</w:t>
      </w:r>
      <w:r>
        <w:rPr>
          <w:rFonts w:hint="eastAsia" w:ascii="Times New Roman" w:hAnsi="Times New Roman" w:eastAsia="仿宋" w:cs="Times New Roman"/>
          <w:sz w:val="32"/>
          <w:szCs w:val="32"/>
        </w:rPr>
        <w:t>0</w:t>
      </w:r>
      <w:r>
        <w:rPr>
          <w:rFonts w:hint="eastAsia" w:ascii="仿宋" w:hAnsi="仿宋"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仿宋" w:hAnsi="仿宋" w:eastAsia="仿宋" w:cs="Times New Roman"/>
          <w:sz w:val="32"/>
          <w:szCs w:val="32"/>
        </w:rPr>
        <w:t>、</w:t>
      </w:r>
      <w:r>
        <w:rPr>
          <w:rFonts w:ascii="仿宋" w:hAnsi="仿宋"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w:t>
      </w:r>
      <w:r>
        <w:rPr>
          <w:rFonts w:hint="eastAsia" w:ascii="仿宋" w:hAnsi="仿宋" w:eastAsia="仿宋" w:cs="Times New Roman"/>
          <w:color w:val="000000"/>
          <w:sz w:val="32"/>
          <w:szCs w:val="32"/>
        </w:rPr>
        <w:t>年部门预算收支安排</w:t>
      </w:r>
      <w:r>
        <w:rPr>
          <w:rFonts w:hint="eastAsia" w:ascii="Times New Roman" w:hAnsi="Times New Roman" w:eastAsia="仿宋" w:cs="Times New Roman"/>
          <w:sz w:val="32"/>
          <w:szCs w:val="32"/>
        </w:rPr>
        <w:t>64108.67</w:t>
      </w:r>
      <w:r>
        <w:rPr>
          <w:rFonts w:hint="eastAsia" w:ascii="仿宋" w:hAnsi="仿宋" w:eastAsia="仿宋" w:cs="Times New Roman"/>
          <w:color w:val="000000"/>
          <w:sz w:val="32"/>
          <w:szCs w:val="32"/>
        </w:rPr>
        <w:t>万元，</w:t>
      </w:r>
      <w:r>
        <w:rPr>
          <w:rFonts w:hint="eastAsia" w:ascii="仿宋" w:hAnsi="仿宋" w:eastAsia="仿宋" w:cs="Times New Roman"/>
          <w:sz w:val="32"/>
          <w:szCs w:val="32"/>
        </w:rPr>
        <w:t>较</w:t>
      </w:r>
      <w:r>
        <w:rPr>
          <w:rFonts w:hint="eastAsia" w:ascii="Times New Roman" w:hAnsi="Times New Roman" w:eastAsia="仿宋" w:cs="Times New Roman"/>
          <w:sz w:val="32"/>
          <w:szCs w:val="32"/>
        </w:rPr>
        <w:t>2019</w:t>
      </w:r>
      <w:r>
        <w:rPr>
          <w:rFonts w:hint="eastAsia" w:ascii="仿宋" w:hAnsi="仿宋" w:eastAsia="仿宋" w:cs="Times New Roman"/>
          <w:sz w:val="32"/>
          <w:szCs w:val="32"/>
        </w:rPr>
        <w:t>年增加</w:t>
      </w:r>
      <w:r>
        <w:rPr>
          <w:rFonts w:hint="eastAsia" w:ascii="Times New Roman" w:hAnsi="Times New Roman" w:eastAsia="仿宋" w:cs="Times New Roman"/>
          <w:sz w:val="32"/>
          <w:szCs w:val="32"/>
        </w:rPr>
        <w:t>20528.81</w:t>
      </w:r>
      <w:r>
        <w:rPr>
          <w:rFonts w:hint="eastAsia" w:ascii="仿宋" w:hAnsi="仿宋" w:eastAsia="仿宋" w:cs="Times New Roman"/>
          <w:sz w:val="32"/>
          <w:szCs w:val="32"/>
        </w:rPr>
        <w:t>万元，其中：基本支出增加</w:t>
      </w:r>
      <w:r>
        <w:rPr>
          <w:rFonts w:hint="eastAsia" w:ascii="Times New Roman" w:hAnsi="Times New Roman" w:eastAsia="仿宋" w:cs="Times New Roman"/>
          <w:sz w:val="32"/>
          <w:szCs w:val="32"/>
        </w:rPr>
        <w:t>487.98</w:t>
      </w:r>
      <w:r>
        <w:rPr>
          <w:rFonts w:hint="eastAsia" w:ascii="仿宋" w:hAnsi="仿宋" w:eastAsia="仿宋" w:cs="Times New Roman"/>
          <w:sz w:val="32"/>
          <w:szCs w:val="32"/>
        </w:rPr>
        <w:t>万元，主要是人员增加和单位合并，增加了相应的人员经费和日常公用经费；项目支出增加</w:t>
      </w:r>
      <w:r>
        <w:rPr>
          <w:rFonts w:hint="eastAsia" w:ascii="Times New Roman" w:hAnsi="Times New Roman" w:eastAsia="仿宋" w:cs="Times New Roman"/>
          <w:sz w:val="32"/>
          <w:szCs w:val="32"/>
        </w:rPr>
        <w:t>20040.83</w:t>
      </w:r>
      <w:r>
        <w:rPr>
          <w:rFonts w:hint="eastAsia" w:ascii="仿宋" w:hAnsi="仿宋" w:eastAsia="仿宋" w:cs="Times New Roman"/>
          <w:sz w:val="32"/>
          <w:szCs w:val="32"/>
        </w:rPr>
        <w:t>万元，主要是单位合并增加了资金；其他支出无增减变化。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w:t>
      </w:r>
      <w:r>
        <w:rPr>
          <w:rFonts w:hint="eastAsia" w:ascii="仿宋" w:hAnsi="仿宋" w:eastAsia="仿宋" w:cs="Times New Roman"/>
          <w:sz w:val="32"/>
          <w:szCs w:val="32"/>
        </w:rPr>
        <w:t>年，我部门机关运行经费共计安排</w:t>
      </w:r>
      <w:r>
        <w:rPr>
          <w:rFonts w:hint="eastAsia" w:ascii="Times New Roman" w:hAnsi="Times New Roman" w:eastAsia="仿宋" w:cs="Times New Roman"/>
          <w:sz w:val="32"/>
          <w:szCs w:val="32"/>
        </w:rPr>
        <w:t>201.44</w:t>
      </w:r>
      <w:r>
        <w:rPr>
          <w:rFonts w:hint="eastAsia" w:ascii="仿宋" w:hAnsi="仿宋" w:eastAsia="仿宋" w:cs="Times New Roman"/>
          <w:sz w:val="32"/>
          <w:szCs w:val="32"/>
        </w:rPr>
        <w:t>万元，主要用于保证机关正常运转的办公费、邮电费、会议费、福利费、专用材料及一般设备购置费、办公用房水电费、办公用房取暖费、日常维修费、办公楼物业管理费、公务车运行维护费等支出。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w:t>
      </w:r>
      <w:r>
        <w:rPr>
          <w:rFonts w:hint="eastAsia" w:ascii="仿宋" w:hAnsi="仿宋" w:eastAsia="仿宋" w:cs="Times New Roman"/>
          <w:sz w:val="32"/>
          <w:szCs w:val="32"/>
        </w:rPr>
        <w:t>年，我部门财政拨款“三公”经费预算安排</w:t>
      </w:r>
      <w:r>
        <w:rPr>
          <w:rFonts w:hint="eastAsia" w:ascii="Times New Roman" w:hAnsi="Times New Roman" w:eastAsia="仿宋" w:cs="Times New Roman"/>
          <w:sz w:val="32"/>
          <w:szCs w:val="32"/>
        </w:rPr>
        <w:t>3.34</w:t>
      </w:r>
      <w:r>
        <w:rPr>
          <w:rFonts w:hint="eastAsia" w:ascii="仿宋" w:hAnsi="仿宋" w:eastAsia="仿宋" w:cs="Times New Roman"/>
          <w:sz w:val="32"/>
          <w:szCs w:val="32"/>
        </w:rPr>
        <w:t>万元，其中：因公出国（境）费</w:t>
      </w:r>
      <w:r>
        <w:rPr>
          <w:rFonts w:hint="eastAsia" w:ascii="Times New Roman" w:hAnsi="Times New Roman" w:eastAsia="仿宋" w:cs="Times New Roman"/>
          <w:sz w:val="32"/>
          <w:szCs w:val="32"/>
        </w:rPr>
        <w:t>0</w:t>
      </w:r>
      <w:r>
        <w:rPr>
          <w:rFonts w:hint="eastAsia" w:ascii="仿宋" w:hAnsi="仿宋" w:eastAsia="仿宋" w:cs="Times New Roman"/>
          <w:sz w:val="32"/>
          <w:szCs w:val="32"/>
        </w:rPr>
        <w:t>万元</w:t>
      </w:r>
      <w:r>
        <w:rPr>
          <w:rFonts w:hint="eastAsia" w:ascii="仿宋" w:hAnsi="仿宋" w:eastAsia="仿宋" w:cs="Times New Roman"/>
          <w:sz w:val="32"/>
          <w:szCs w:val="32"/>
          <w:lang w:eastAsia="zh-CN"/>
        </w:rPr>
        <w:t>，</w:t>
      </w:r>
      <w:r>
        <w:rPr>
          <w:rFonts w:hint="eastAsia" w:ascii="Times New Roman" w:hAnsi="Times New Roman" w:eastAsia="仿宋" w:cs="Times New Roman"/>
          <w:sz w:val="32"/>
          <w:szCs w:val="32"/>
        </w:rPr>
        <w:t>与上年持平，无增减变化</w:t>
      </w:r>
      <w:r>
        <w:rPr>
          <w:rFonts w:hint="eastAsia" w:ascii="仿宋" w:hAnsi="仿宋" w:eastAsia="仿宋" w:cs="Times New Roman"/>
          <w:sz w:val="32"/>
          <w:szCs w:val="32"/>
        </w:rPr>
        <w:t>；公务用车购置及运维费</w:t>
      </w:r>
      <w:r>
        <w:rPr>
          <w:rFonts w:hint="eastAsia" w:ascii="Times New Roman" w:hAnsi="Times New Roman" w:eastAsia="仿宋" w:cs="Times New Roman"/>
          <w:sz w:val="32"/>
          <w:szCs w:val="32"/>
        </w:rPr>
        <w:t>2.2</w:t>
      </w:r>
      <w:r>
        <w:rPr>
          <w:rFonts w:hint="eastAsia" w:ascii="仿宋" w:hAnsi="仿宋" w:eastAsia="仿宋" w:cs="Times New Roman"/>
          <w:sz w:val="32"/>
          <w:szCs w:val="32"/>
        </w:rPr>
        <w:t>万元（其中：公务用车购置费</w:t>
      </w:r>
      <w:r>
        <w:rPr>
          <w:rFonts w:hint="eastAsia" w:ascii="Times New Roman" w:hAnsi="Times New Roman" w:eastAsia="仿宋" w:cs="Times New Roman"/>
          <w:sz w:val="32"/>
          <w:szCs w:val="32"/>
        </w:rPr>
        <w:t>0</w:t>
      </w:r>
      <w:r>
        <w:rPr>
          <w:rFonts w:hint="eastAsia" w:ascii="仿宋" w:hAnsi="仿宋" w:eastAsia="仿宋" w:cs="Times New Roman"/>
          <w:sz w:val="32"/>
          <w:szCs w:val="32"/>
        </w:rPr>
        <w:t>万元，公务用车运行维护费</w:t>
      </w:r>
      <w:r>
        <w:rPr>
          <w:rFonts w:hint="eastAsia" w:ascii="Times New Roman" w:hAnsi="Times New Roman" w:eastAsia="仿宋" w:cs="Times New Roman"/>
          <w:sz w:val="32"/>
          <w:szCs w:val="32"/>
        </w:rPr>
        <w:t>2.2</w:t>
      </w:r>
      <w:r>
        <w:rPr>
          <w:rFonts w:hint="eastAsia" w:ascii="仿宋" w:hAnsi="仿宋" w:eastAsia="仿宋" w:cs="Times New Roman"/>
          <w:sz w:val="32"/>
          <w:szCs w:val="32"/>
        </w:rPr>
        <w:t>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w:t>
      </w:r>
      <w:r>
        <w:rPr>
          <w:rFonts w:hint="eastAsia" w:ascii="仿宋" w:hAnsi="仿宋" w:eastAsia="仿宋" w:cs="Times New Roman"/>
          <w:sz w:val="32"/>
          <w:szCs w:val="32"/>
        </w:rPr>
        <w:t>；公务接待费</w:t>
      </w:r>
      <w:r>
        <w:rPr>
          <w:rFonts w:hint="eastAsia" w:ascii="Times New Roman" w:hAnsi="Times New Roman" w:eastAsia="仿宋" w:cs="Times New Roman"/>
          <w:sz w:val="32"/>
          <w:szCs w:val="32"/>
        </w:rPr>
        <w:t>1.14</w:t>
      </w:r>
      <w:r>
        <w:rPr>
          <w:rFonts w:hint="eastAsia" w:ascii="仿宋" w:hAnsi="仿宋" w:eastAsia="仿宋" w:cs="Times New Roman"/>
          <w:sz w:val="32"/>
          <w:szCs w:val="32"/>
        </w:rPr>
        <w:t>万元</w:t>
      </w:r>
      <w:r>
        <w:rPr>
          <w:rFonts w:hint="eastAsia" w:ascii="仿宋" w:hAnsi="仿宋" w:eastAsia="仿宋" w:cs="Times New Roman"/>
          <w:sz w:val="32"/>
          <w:szCs w:val="32"/>
          <w:lang w:eastAsia="zh-CN"/>
        </w:rPr>
        <w:t>，</w:t>
      </w:r>
      <w:r>
        <w:rPr>
          <w:rFonts w:hint="eastAsia" w:ascii="Times New Roman" w:hAnsi="Times New Roman" w:eastAsia="仿宋" w:cs="Times New Roman"/>
          <w:sz w:val="32"/>
          <w:szCs w:val="32"/>
        </w:rPr>
        <w:t>与上年持平，无增减变化</w:t>
      </w:r>
      <w:r>
        <w:rPr>
          <w:rFonts w:hint="eastAsia" w:ascii="仿宋" w:hAnsi="仿宋" w:eastAsia="仿宋" w:cs="Times New Roman"/>
          <w:sz w:val="32"/>
          <w:szCs w:val="32"/>
        </w:rPr>
        <w:t>。</w:t>
      </w:r>
      <w:r>
        <w:rPr>
          <w:rFonts w:hint="eastAsia" w:ascii="Times New Roman" w:hAnsi="Times New Roman" w:eastAsia="仿宋" w:cs="Times New Roman"/>
          <w:sz w:val="32"/>
          <w:szCs w:val="32"/>
        </w:rPr>
        <w:t>“三公”经费与上年持平，无增减变化。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cs="Times New Roman"/>
          <w:sz w:val="32"/>
          <w:szCs w:val="32"/>
        </w:rPr>
      </w:pPr>
      <w:r>
        <w:rPr>
          <w:rFonts w:ascii="方正仿宋_GBK" w:hAnsi="方正仿宋_GBK" w:cs="Times New Roman"/>
          <w:b/>
          <w:bCs/>
          <w:sz w:val="32"/>
          <w:szCs w:val="32"/>
        </w:rPr>
        <w:t>第一部分</w:t>
      </w:r>
      <w:r>
        <w:rPr>
          <w:rFonts w:ascii="Times New Roman" w:hAnsi="Times New Roman" w:cs="Times New Roman"/>
          <w:b/>
          <w:bCs/>
          <w:sz w:val="32"/>
          <w:szCs w:val="32"/>
        </w:rPr>
        <w:t xml:space="preserve">  </w:t>
      </w:r>
      <w:r>
        <w:rPr>
          <w:rFonts w:ascii="方正仿宋_GBK" w:hAnsi="方正仿宋_GBK" w:cs="Times New Roman"/>
          <w:b/>
          <w:bCs/>
          <w:sz w:val="32"/>
          <w:szCs w:val="32"/>
        </w:rPr>
        <w:t>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ascii="方正仿宋_GBK" w:hAnsi="方正仿宋_GBK" w:cs="Times New Roman"/>
          <w:b/>
          <w:bCs/>
          <w:sz w:val="32"/>
          <w:szCs w:val="32"/>
        </w:rPr>
        <w:t>（一）总体绩效目标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认真贯彻落实区委区政府的工作安排，以重点项目建设为支撑，大力加强城乡基础设施建设，聚焦重点民心工程，狠抓建筑市场、房地产市场监管，各项工作开展顺利。</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ascii="方正仿宋_GBK" w:hAnsi="方正仿宋_GBK" w:cs="Times New Roman"/>
          <w:b/>
          <w:bCs/>
          <w:sz w:val="32"/>
          <w:szCs w:val="32"/>
        </w:rPr>
        <w:t>（二）分项绩效目标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hint="eastAsia" w:ascii="仿宋" w:hAnsi="仿宋" w:eastAsia="仿宋" w:cs="Times New Roman"/>
          <w:sz w:val="32"/>
          <w:szCs w:val="32"/>
        </w:rPr>
        <w:t>、加强市政工程建设水平</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绩效目标：建设道路、排水、给水、照明、交通和绿化等工程</w:t>
      </w:r>
      <w:r>
        <w:rPr>
          <w:rFonts w:hint="eastAsia" w:ascii="Times New Roman" w:hAnsi="Times New Roman" w:eastAsia="仿宋" w:cs="Times New Roman"/>
          <w:sz w:val="32"/>
          <w:szCs w:val="32"/>
        </w:rPr>
        <w:t>,</w:t>
      </w:r>
      <w:r>
        <w:rPr>
          <w:rFonts w:hint="eastAsia" w:ascii="仿宋" w:hAnsi="仿宋" w:eastAsia="仿宋" w:cs="Times New Roman"/>
          <w:sz w:val="32"/>
          <w:szCs w:val="32"/>
        </w:rPr>
        <w:t>提升城市交通能力，畅通主干，路提高城区绿化覆盖率，改善城区绿化环境。</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绩效指标：完成工程连占计划完成工程量的比率达到</w:t>
      </w:r>
      <w:r>
        <w:rPr>
          <w:rFonts w:hint="eastAsia" w:ascii="Times New Roman" w:hAnsi="Times New Roman" w:eastAsia="仿宋" w:cs="Times New Roman"/>
          <w:sz w:val="32"/>
          <w:szCs w:val="32"/>
        </w:rPr>
        <w:t>90%</w:t>
      </w:r>
      <w:r>
        <w:rPr>
          <w:rFonts w:hint="eastAsia" w:ascii="仿宋" w:hAnsi="仿宋" w:eastAsia="仿宋" w:cs="Times New Roman"/>
          <w:sz w:val="32"/>
          <w:szCs w:val="32"/>
        </w:rPr>
        <w:t>及以上；通过验收的工程量占建设、改造、修缮总量的比率达到</w:t>
      </w:r>
      <w:r>
        <w:rPr>
          <w:rFonts w:hint="eastAsia" w:ascii="Times New Roman" w:hAnsi="Times New Roman" w:eastAsia="仿宋" w:cs="Times New Roman"/>
          <w:sz w:val="32"/>
          <w:szCs w:val="32"/>
        </w:rPr>
        <w:t>90%</w:t>
      </w:r>
      <w:r>
        <w:rPr>
          <w:rFonts w:hint="eastAsia" w:ascii="仿宋" w:hAnsi="仿宋" w:eastAsia="仿宋" w:cs="Times New Roman"/>
          <w:sz w:val="32"/>
          <w:szCs w:val="32"/>
        </w:rPr>
        <w:t>及以上；建筑工程达到设计结构或标准的程度达到</w:t>
      </w:r>
      <w:r>
        <w:rPr>
          <w:rFonts w:hint="eastAsia" w:ascii="Times New Roman" w:hAnsi="Times New Roman" w:eastAsia="仿宋" w:cs="Times New Roman"/>
          <w:sz w:val="32"/>
          <w:szCs w:val="32"/>
        </w:rPr>
        <w:t>90%</w:t>
      </w:r>
      <w:r>
        <w:rPr>
          <w:rFonts w:hint="eastAsia" w:ascii="仿宋" w:hAnsi="仿宋" w:eastAsia="仿宋" w:cs="Times New Roman"/>
          <w:sz w:val="32"/>
          <w:szCs w:val="32"/>
        </w:rPr>
        <w:t>及以上。</w:t>
      </w:r>
    </w:p>
    <w:p>
      <w:pPr>
        <w:numPr>
          <w:ilvl w:val="0"/>
          <w:numId w:val="2"/>
        </w:num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推进供热系统建设</w:t>
      </w:r>
    </w:p>
    <w:p>
      <w:pPr>
        <w:autoSpaceDE w:val="0"/>
        <w:autoSpaceDN w:val="0"/>
        <w:adjustRightInd w:val="0"/>
        <w:ind w:left="420" w:left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hint="eastAsia" w:ascii="仿宋" w:hAnsi="仿宋" w:eastAsia="仿宋" w:cs="Times New Roman"/>
          <w:sz w:val="32"/>
          <w:szCs w:val="32"/>
        </w:rPr>
        <w:t>绩效目标：供暖前完成锅炉安装，管网铺设，完成相关供热配电，并恢复路面，承担的供热区域实现</w:t>
      </w:r>
      <w:r>
        <w:rPr>
          <w:rFonts w:hint="eastAsia" w:ascii="Times New Roman" w:hAnsi="Times New Roman" w:eastAsia="仿宋" w:cs="Times New Roman"/>
          <w:sz w:val="32"/>
          <w:szCs w:val="32"/>
        </w:rPr>
        <w:t>24</w:t>
      </w:r>
      <w:r>
        <w:rPr>
          <w:rFonts w:hint="eastAsia" w:ascii="仿宋" w:hAnsi="仿宋" w:eastAsia="仿宋" w:cs="Times New Roman"/>
          <w:sz w:val="32"/>
          <w:szCs w:val="32"/>
        </w:rPr>
        <w:t>小时集中供热，满足区域供热需求，提高供暖效果，完善软硬件环境设备、客户端软件、供热数据传输及市级平台与县客户端、供热企业数据传输调试、联调等工作。</w:t>
      </w:r>
    </w:p>
    <w:p>
      <w:pPr>
        <w:autoSpaceDE w:val="0"/>
        <w:autoSpaceDN w:val="0"/>
        <w:adjustRightInd w:val="0"/>
        <w:ind w:left="420" w:left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hint="eastAsia" w:ascii="仿宋" w:hAnsi="仿宋" w:eastAsia="仿宋" w:cs="Times New Roman"/>
          <w:sz w:val="32"/>
          <w:szCs w:val="32"/>
        </w:rPr>
        <w:t>绩效指标：供暖前管网铺设完成并投入使用，管沟地面全部恢复，工程通过竣工验收；实现</w:t>
      </w:r>
      <w:r>
        <w:rPr>
          <w:rFonts w:hint="eastAsia" w:ascii="Times New Roman" w:hAnsi="Times New Roman" w:eastAsia="仿宋" w:cs="Times New Roman"/>
          <w:sz w:val="32"/>
          <w:szCs w:val="32"/>
        </w:rPr>
        <w:t>24</w:t>
      </w:r>
      <w:r>
        <w:rPr>
          <w:rFonts w:hint="eastAsia" w:ascii="仿宋" w:hAnsi="仿宋" w:eastAsia="仿宋" w:cs="Times New Roman"/>
          <w:sz w:val="32"/>
          <w:szCs w:val="32"/>
        </w:rPr>
        <w:t>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w:t>
      </w:r>
      <w:r>
        <w:rPr>
          <w:rFonts w:hint="eastAsia" w:ascii="Times New Roman" w:hAnsi="Times New Roman" w:eastAsia="仿宋" w:cs="Times New Roman"/>
          <w:sz w:val="32"/>
          <w:szCs w:val="32"/>
        </w:rPr>
        <w:t>90%</w:t>
      </w:r>
      <w:r>
        <w:rPr>
          <w:rFonts w:hint="eastAsia" w:ascii="仿宋" w:hAnsi="仿宋" w:eastAsia="仿宋" w:cs="Times New Roman"/>
          <w:sz w:val="32"/>
          <w:szCs w:val="32"/>
        </w:rPr>
        <w:t xml:space="preserve">及以上。    </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仿宋" w:hAnsi="仿宋" w:eastAsia="仿宋" w:cs="Times New Roman"/>
          <w:sz w:val="32"/>
          <w:szCs w:val="32"/>
        </w:rPr>
        <w:t>、推进清洁能源改造项目建设，加强燃气安全运营管理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绩效目标：改善环境质量，减少大气污染，有效降低全区污染区排放总量，巩固气代煤成果，改善燃气用户安全隐患突出问题建立健全燃气管理体系。</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绩效指标：保温工程完成总工程量的</w:t>
      </w:r>
      <w:r>
        <w:rPr>
          <w:rFonts w:hint="eastAsia" w:ascii="Times New Roman" w:hAnsi="Times New Roman" w:eastAsia="仿宋" w:cs="Times New Roman"/>
          <w:sz w:val="32"/>
          <w:szCs w:val="32"/>
        </w:rPr>
        <w:t>100%</w:t>
      </w:r>
      <w:r>
        <w:rPr>
          <w:rFonts w:hint="eastAsia" w:ascii="仿宋" w:hAnsi="仿宋" w:eastAsia="仿宋" w:cs="Times New Roman"/>
          <w:sz w:val="32"/>
          <w:szCs w:val="32"/>
        </w:rPr>
        <w:t>；委派燃气安全专业技术人员，常驻本单位安全管理业务指导大于等于</w:t>
      </w:r>
      <w:r>
        <w:rPr>
          <w:rFonts w:hint="eastAsia" w:ascii="Times New Roman" w:hAnsi="Times New Roman" w:eastAsia="仿宋" w:cs="Times New Roman"/>
          <w:sz w:val="32"/>
          <w:szCs w:val="32"/>
        </w:rPr>
        <w:t>4</w:t>
      </w:r>
      <w:r>
        <w:rPr>
          <w:rFonts w:hint="eastAsia" w:ascii="仿宋" w:hAnsi="仿宋" w:eastAsia="仿宋" w:cs="Times New Roman"/>
          <w:sz w:val="32"/>
          <w:szCs w:val="32"/>
        </w:rPr>
        <w:t>人；每季度对全区进行一次安全隐患排查，并出具安全隐患台账检查目标大于等于</w:t>
      </w:r>
      <w:r>
        <w:rPr>
          <w:rFonts w:hint="eastAsia" w:ascii="Times New Roman" w:hAnsi="Times New Roman" w:eastAsia="仿宋" w:cs="Times New Roman"/>
          <w:sz w:val="32"/>
          <w:szCs w:val="32"/>
        </w:rPr>
        <w:t>3</w:t>
      </w:r>
      <w:r>
        <w:rPr>
          <w:rFonts w:hint="eastAsia" w:ascii="仿宋" w:hAnsi="仿宋" w:eastAsia="仿宋" w:cs="Times New Roman"/>
          <w:sz w:val="32"/>
          <w:szCs w:val="32"/>
        </w:rPr>
        <w:t>个门站、</w:t>
      </w:r>
      <w:r>
        <w:rPr>
          <w:rFonts w:hint="eastAsia" w:ascii="Times New Roman" w:hAnsi="Times New Roman" w:eastAsia="仿宋" w:cs="Times New Roman"/>
          <w:sz w:val="32"/>
          <w:szCs w:val="32"/>
        </w:rPr>
        <w:t>4</w:t>
      </w:r>
      <w:r>
        <w:rPr>
          <w:rFonts w:hint="eastAsia" w:ascii="仿宋" w:hAnsi="仿宋" w:eastAsia="仿宋" w:cs="Times New Roman"/>
          <w:sz w:val="32"/>
          <w:szCs w:val="32"/>
        </w:rPr>
        <w:t>个调压站、</w:t>
      </w:r>
      <w:r>
        <w:rPr>
          <w:rFonts w:hint="eastAsia" w:ascii="Times New Roman" w:hAnsi="Times New Roman" w:eastAsia="仿宋" w:cs="Times New Roman"/>
          <w:sz w:val="32"/>
          <w:szCs w:val="32"/>
        </w:rPr>
        <w:t>1</w:t>
      </w:r>
      <w:r>
        <w:rPr>
          <w:rFonts w:hint="eastAsia" w:ascii="仿宋" w:hAnsi="仿宋" w:eastAsia="仿宋" w:cs="Times New Roman"/>
          <w:sz w:val="32"/>
          <w:szCs w:val="32"/>
        </w:rPr>
        <w:t>个加气站、</w:t>
      </w:r>
      <w:r>
        <w:rPr>
          <w:rFonts w:hint="eastAsia" w:ascii="Times New Roman" w:hAnsi="Times New Roman" w:eastAsia="仿宋" w:cs="Times New Roman"/>
          <w:sz w:val="32"/>
          <w:szCs w:val="32"/>
        </w:rPr>
        <w:t>7</w:t>
      </w:r>
      <w:r>
        <w:rPr>
          <w:rFonts w:hint="eastAsia" w:ascii="仿宋" w:hAnsi="仿宋" w:eastAsia="仿宋" w:cs="Times New Roman"/>
          <w:sz w:val="32"/>
          <w:szCs w:val="32"/>
        </w:rPr>
        <w:t xml:space="preserve">个液化气站。 </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hint="eastAsia" w:ascii="仿宋" w:hAnsi="仿宋" w:eastAsia="仿宋" w:cs="Times New Roman"/>
          <w:sz w:val="32"/>
          <w:szCs w:val="32"/>
        </w:rPr>
        <w:t>、完成既有建筑节能改造建设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绩效目标：对既有建筑外围护结构进行改造，具体为：对屋面、东西山墙进行保温、对外窗进行更换、更换楼宇门。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绩效指标：对住宅楼进行外围护结构改造，改造后能效提高</w:t>
      </w:r>
      <w:r>
        <w:rPr>
          <w:rFonts w:hint="eastAsia" w:ascii="Times New Roman" w:hAnsi="Times New Roman" w:eastAsia="仿宋" w:cs="Times New Roman"/>
          <w:sz w:val="32"/>
          <w:szCs w:val="32"/>
        </w:rPr>
        <w:t>30%</w:t>
      </w:r>
      <w:r>
        <w:rPr>
          <w:rFonts w:hint="eastAsia" w:ascii="仿宋" w:hAnsi="仿宋" w:eastAsia="仿宋" w:cs="Times New Roman"/>
          <w:sz w:val="32"/>
          <w:szCs w:val="32"/>
        </w:rPr>
        <w:t>；改造工程质量达到合格标准。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hint="eastAsia" w:ascii="仿宋" w:hAnsi="仿宋" w:eastAsia="仿宋" w:cs="Times New Roman"/>
          <w:sz w:val="32"/>
          <w:szCs w:val="32"/>
        </w:rPr>
        <w:t>、完成房产市场监管，规范房产交易市场秩序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绩效目标：对我区所有房屋产权的预售备案、初始备案、交易备案、抵押备案、法院查封提供服务，对开发企业、银行提供房屋信息数据支持，对产权人提供信息查询、交易服务等数据保障。</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绩效指标：提供我区所有产权人的房屋信息查询、交易、备案，产权查询准确度</w:t>
      </w:r>
      <w:r>
        <w:rPr>
          <w:rFonts w:hint="eastAsia" w:ascii="Times New Roman" w:hAnsi="Times New Roman" w:eastAsia="仿宋" w:cs="Times New Roman"/>
          <w:sz w:val="32"/>
          <w:szCs w:val="32"/>
        </w:rPr>
        <w:t>100%</w:t>
      </w:r>
      <w:r>
        <w:rPr>
          <w:rFonts w:hint="eastAsia" w:ascii="仿宋" w:hAnsi="仿宋" w:eastAsia="仿宋" w:cs="Times New Roman"/>
          <w:sz w:val="32"/>
          <w:szCs w:val="32"/>
        </w:rPr>
        <w:t>；提供网络服务器至交易平台的畅通，完善产权人信息档案</w:t>
      </w:r>
      <w:r>
        <w:rPr>
          <w:rFonts w:hint="eastAsia" w:ascii="Times New Roman" w:hAnsi="Times New Roman" w:eastAsia="仿宋" w:cs="Times New Roman"/>
          <w:sz w:val="32"/>
          <w:szCs w:val="32"/>
        </w:rPr>
        <w:t>,</w:t>
      </w:r>
      <w:r>
        <w:rPr>
          <w:rFonts w:hint="eastAsia" w:ascii="仿宋" w:hAnsi="仿宋" w:eastAsia="仿宋" w:cs="Times New Roman"/>
          <w:sz w:val="32"/>
          <w:szCs w:val="32"/>
        </w:rPr>
        <w:t>保证信息覆盖率</w:t>
      </w:r>
      <w:r>
        <w:rPr>
          <w:rFonts w:hint="eastAsia" w:ascii="Times New Roman" w:hAnsi="Times New Roman" w:eastAsia="仿宋" w:cs="Times New Roman"/>
          <w:sz w:val="32"/>
          <w:szCs w:val="32"/>
        </w:rPr>
        <w:t>100%</w:t>
      </w:r>
      <w:r>
        <w:rPr>
          <w:rFonts w:hint="eastAsia" w:ascii="仿宋" w:hAnsi="仿宋" w:eastAsia="仿宋" w:cs="Times New Roman"/>
          <w:sz w:val="32"/>
          <w:szCs w:val="32"/>
        </w:rPr>
        <w:t>；及时进行房地产政策及法律、法规宣传，每年不低于</w:t>
      </w:r>
      <w:r>
        <w:rPr>
          <w:rFonts w:hint="eastAsia" w:ascii="Times New Roman" w:hAnsi="Times New Roman" w:eastAsia="仿宋" w:cs="Times New Roman"/>
          <w:sz w:val="32"/>
          <w:szCs w:val="32"/>
        </w:rPr>
        <w:t>5</w:t>
      </w:r>
      <w:r>
        <w:rPr>
          <w:rFonts w:hint="eastAsia" w:ascii="仿宋" w:hAnsi="仿宋" w:eastAsia="仿宋" w:cs="Times New Roman"/>
          <w:sz w:val="32"/>
          <w:szCs w:val="32"/>
        </w:rPr>
        <w:t xml:space="preserve">次。     </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hint="eastAsia" w:ascii="仿宋" w:hAnsi="仿宋" w:eastAsia="仿宋" w:cs="Times New Roman"/>
          <w:sz w:val="32"/>
          <w:szCs w:val="32"/>
        </w:rPr>
        <w:t>、监督建筑工程质量和环保</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绩效目标：加强建筑工程监督管理，加强扬尘治理、安全质量、违法建设等工作，聘请第三方安全机构和专家对安全隐患进行排查，根据监测数据进行有效监控，降低扬尘污染排放量，使扬尘污染得到控制。</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绩效指标：设备安装率达到</w:t>
      </w:r>
      <w:r>
        <w:rPr>
          <w:rFonts w:hint="eastAsia" w:ascii="Times New Roman" w:hAnsi="Times New Roman" w:eastAsia="仿宋" w:cs="Times New Roman"/>
          <w:sz w:val="32"/>
          <w:szCs w:val="32"/>
        </w:rPr>
        <w:t>100%</w:t>
      </w:r>
      <w:r>
        <w:rPr>
          <w:rFonts w:hint="eastAsia" w:ascii="仿宋" w:hAnsi="仿宋" w:eastAsia="仿宋" w:cs="Times New Roman"/>
          <w:sz w:val="32"/>
          <w:szCs w:val="32"/>
        </w:rPr>
        <w:t>；监测施工现场</w:t>
      </w:r>
      <w:r>
        <w:rPr>
          <w:rFonts w:hint="eastAsia" w:ascii="Times New Roman" w:hAnsi="Times New Roman" w:eastAsia="仿宋" w:cs="Times New Roman"/>
          <w:sz w:val="32"/>
          <w:szCs w:val="32"/>
        </w:rPr>
        <w:t>PM10</w:t>
      </w:r>
      <w:r>
        <w:rPr>
          <w:rFonts w:hint="eastAsia" w:ascii="仿宋" w:hAnsi="仿宋" w:eastAsia="仿宋" w:cs="Times New Roman"/>
          <w:sz w:val="32"/>
          <w:szCs w:val="32"/>
        </w:rPr>
        <w:t>，根据监测数据指导控制施工现场的扬尘污染，完成率达到</w:t>
      </w:r>
      <w:r>
        <w:rPr>
          <w:rFonts w:hint="eastAsia" w:ascii="Times New Roman" w:hAnsi="Times New Roman" w:eastAsia="仿宋" w:cs="Times New Roman"/>
          <w:sz w:val="32"/>
          <w:szCs w:val="32"/>
        </w:rPr>
        <w:t>90%</w:t>
      </w:r>
      <w:r>
        <w:rPr>
          <w:rFonts w:hint="eastAsia" w:ascii="仿宋" w:hAnsi="仿宋" w:eastAsia="仿宋" w:cs="Times New Roman"/>
          <w:sz w:val="32"/>
          <w:szCs w:val="32"/>
        </w:rPr>
        <w:t>及以上。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7</w:t>
      </w:r>
      <w:r>
        <w:rPr>
          <w:rFonts w:hint="eastAsia" w:ascii="仿宋" w:hAnsi="仿宋" w:eastAsia="仿宋" w:cs="Times New Roman"/>
          <w:sz w:val="32"/>
          <w:szCs w:val="32"/>
        </w:rPr>
        <w:t>、城市建设工作宣传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绩效目标：加强对我区城市建设方面的宣传，提升我区城市整体形象。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仿宋" w:hAnsi="仿宋" w:eastAsia="仿宋" w:cs="Times New Roman"/>
          <w:sz w:val="32"/>
          <w:szCs w:val="32"/>
        </w:rPr>
        <w:t>绩效指标：制作出我区城市建设纪实片，在报纸刊登我区城市建设工作情况，完成比率达到</w:t>
      </w:r>
      <w:r>
        <w:rPr>
          <w:rFonts w:hint="eastAsia" w:ascii="Times New Roman" w:hAnsi="Times New Roman" w:eastAsia="仿宋" w:cs="Times New Roman"/>
          <w:sz w:val="32"/>
          <w:szCs w:val="32"/>
        </w:rPr>
        <w:t>80%</w:t>
      </w:r>
      <w:r>
        <w:rPr>
          <w:rFonts w:hint="eastAsia" w:ascii="仿宋" w:hAnsi="仿宋" w:eastAsia="仿宋" w:cs="Times New Roman"/>
          <w:sz w:val="32"/>
          <w:szCs w:val="32"/>
        </w:rPr>
        <w:t>及以上；对城市建设进行走访调查，调查中满意和较满意的人数占调查总人数的比率达到</w:t>
      </w:r>
      <w:r>
        <w:rPr>
          <w:rFonts w:hint="eastAsia" w:ascii="Times New Roman" w:hAnsi="Times New Roman" w:eastAsia="仿宋" w:cs="Times New Roman"/>
          <w:sz w:val="32"/>
          <w:szCs w:val="32"/>
        </w:rPr>
        <w:t>80%</w:t>
      </w:r>
      <w:r>
        <w:rPr>
          <w:rFonts w:hint="eastAsia" w:ascii="仿宋" w:hAnsi="仿宋" w:eastAsia="仿宋" w:cs="Times New Roman"/>
          <w:sz w:val="32"/>
          <w:szCs w:val="32"/>
        </w:rPr>
        <w:t>及以上。</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ascii="方正仿宋_GBK" w:hAnsi="方正仿宋_GBK" w:cs="Times New Roman"/>
          <w:b/>
          <w:bCs/>
          <w:sz w:val="32"/>
          <w:szCs w:val="32"/>
        </w:rPr>
        <w:t>（三）工作保障措施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hint="eastAsia" w:ascii="仿宋" w:hAnsi="仿宋" w:eastAsia="仿宋" w:cs="Times New Roman"/>
          <w:sz w:val="32"/>
          <w:szCs w:val="32"/>
        </w:rPr>
        <w:t>、多举措推进城市建设。全面落实提升城市建设层次和水平的实施方案，加快推进城市扩容提质步伐，</w:t>
      </w:r>
      <w:r>
        <w:rPr>
          <w:rFonts w:hint="eastAsia" w:ascii="仿宋" w:hAnsi="仿宋" w:eastAsia="仿宋" w:cs="Times New Roman"/>
          <w:sz w:val="32"/>
          <w:szCs w:val="32"/>
          <w:lang w:eastAsia="zh-CN"/>
        </w:rPr>
        <w:t>制订</w:t>
      </w:r>
      <w:r>
        <w:rPr>
          <w:rFonts w:hint="eastAsia" w:ascii="仿宋" w:hAnsi="仿宋" w:eastAsia="仿宋" w:cs="Times New Roman"/>
          <w:sz w:val="32"/>
          <w:szCs w:val="32"/>
        </w:rPr>
        <w:t>行动实施方案和年度推进计划，明确目标任务，落实责任主体。加强分类指导，加大对重点推进县的督导力度，适时组织现场观摩交流，总结推广城市建设较好县</w:t>
      </w:r>
      <w:r>
        <w:rPr>
          <w:rFonts w:hint="eastAsia" w:ascii="Times New Roman" w:hAnsi="Times New Roman" w:eastAsia="仿宋" w:cs="Times New Roman"/>
          <w:sz w:val="32"/>
          <w:szCs w:val="32"/>
        </w:rPr>
        <w:t>(</w:t>
      </w:r>
      <w:r>
        <w:rPr>
          <w:rFonts w:hint="eastAsia" w:ascii="仿宋" w:hAnsi="仿宋" w:eastAsia="仿宋" w:cs="Times New Roman"/>
          <w:sz w:val="32"/>
          <w:szCs w:val="32"/>
        </w:rPr>
        <w:t>市</w:t>
      </w:r>
      <w:r>
        <w:rPr>
          <w:rFonts w:hint="eastAsia" w:ascii="Times New Roman" w:hAnsi="Times New Roman" w:eastAsia="仿宋" w:cs="Times New Roman"/>
          <w:sz w:val="32"/>
          <w:szCs w:val="32"/>
        </w:rPr>
        <w:t>)</w:t>
      </w:r>
      <w:r>
        <w:rPr>
          <w:rFonts w:hint="eastAsia" w:ascii="仿宋" w:hAnsi="仿宋" w:eastAsia="仿宋" w:cs="Times New Roman"/>
          <w:sz w:val="32"/>
          <w:szCs w:val="32"/>
        </w:rPr>
        <w:t>先进经验。</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仿宋" w:hAnsi="仿宋" w:eastAsia="仿宋" w:cs="Times New Roman"/>
          <w:sz w:val="32"/>
          <w:szCs w:val="32"/>
        </w:rPr>
        <w:t>、进一步提升城市基础设施建设水平。一是认真落实国务院、省政府关于加强城市基础设施建设的有关政策文件，督促各部门把文件规定的各级基础设施建设要求变成实实在在的项目，把相关任务落实到每一个责任主体，加快推进和建设。二是以“推进县城建设”为抓手，按照缺什么补什么的原则，全力推进县城基础设施建设。三是在全面抓好市政、排水、市容环卫、供水、燃气、供热、园林等各行业基础设施</w:t>
      </w:r>
      <w:r>
        <w:rPr>
          <w:rFonts w:hint="eastAsia" w:ascii="仿宋" w:hAnsi="仿宋" w:eastAsia="仿宋" w:cs="Times New Roman"/>
          <w:sz w:val="32"/>
          <w:szCs w:val="32"/>
          <w:lang w:eastAsia="zh-CN"/>
        </w:rPr>
        <w:t>建设</w:t>
      </w:r>
      <w:r>
        <w:rPr>
          <w:rFonts w:hint="eastAsia" w:ascii="仿宋" w:hAnsi="仿宋" w:eastAsia="仿宋" w:cs="Times New Roman"/>
          <w:sz w:val="32"/>
          <w:szCs w:val="32"/>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仿宋" w:hAnsi="仿宋" w:eastAsia="仿宋" w:cs="Times New Roman"/>
          <w:sz w:val="32"/>
          <w:szCs w:val="32"/>
        </w:rPr>
        <w:t>、促进房地产市场平稳健康发展。一是切实承担促进房地产市场平稳健康发展的责任，按照权责一致原则，根据当地房地产市场情况，研究</w:t>
      </w:r>
      <w:r>
        <w:rPr>
          <w:rFonts w:hint="eastAsia" w:ascii="仿宋" w:hAnsi="仿宋" w:eastAsia="仿宋" w:cs="Times New Roman"/>
          <w:sz w:val="32"/>
          <w:szCs w:val="32"/>
          <w:lang w:eastAsia="zh-CN"/>
        </w:rPr>
        <w:t>制订</w:t>
      </w:r>
      <w:r>
        <w:rPr>
          <w:rFonts w:hint="eastAsia" w:ascii="仿宋" w:hAnsi="仿宋" w:eastAsia="仿宋" w:cs="Times New Roman"/>
          <w:sz w:val="32"/>
          <w:szCs w:val="32"/>
        </w:rPr>
        <w:t>地产市场平稳运行和地产业转型升级的政策措施，促进房地产市场健康发展。二是在确保资金安全的前提下，提高住房公积金使用率。三是继续加强商品房预销售全过程管理，加强房地产企业信用管理，研究</w:t>
      </w:r>
      <w:r>
        <w:rPr>
          <w:rFonts w:hint="eastAsia" w:ascii="仿宋" w:hAnsi="仿宋" w:eastAsia="仿宋" w:cs="Times New Roman"/>
          <w:sz w:val="32"/>
          <w:szCs w:val="32"/>
          <w:lang w:eastAsia="zh-CN"/>
        </w:rPr>
        <w:t>制订</w:t>
      </w:r>
      <w:r>
        <w:rPr>
          <w:rFonts w:hint="eastAsia" w:ascii="仿宋" w:hAnsi="仿宋" w:eastAsia="仿宋" w:cs="Times New Roman"/>
          <w:sz w:val="32"/>
          <w:szCs w:val="32"/>
        </w:rPr>
        <w:t>地产开发法违规行为处分办法。四是加强房地产市场分析和监测，做好政策研究和储备，针对新情况、新问题及时研究解决措施和办法。</w:t>
      </w:r>
    </w:p>
    <w:p>
      <w:pPr>
        <w:autoSpaceDE w:val="0"/>
        <w:autoSpaceDN w:val="0"/>
        <w:adjustRightInd w:val="0"/>
        <w:ind w:left="198" w:firstLine="643" w:firstLineChars="200"/>
        <w:jc w:val="left"/>
        <w:rPr>
          <w:rFonts w:ascii="Times New Roman" w:hAnsi="Times New Roman" w:cs="Times New Roman"/>
          <w:b/>
          <w:bCs/>
          <w:sz w:val="32"/>
          <w:szCs w:val="32"/>
        </w:rPr>
      </w:pPr>
      <w:r>
        <w:rPr>
          <w:rFonts w:ascii="方正仿宋_GBK" w:hAnsi="方正仿宋_GBK" w:cs="Times New Roman"/>
          <w:b/>
          <w:bCs/>
          <w:sz w:val="32"/>
          <w:szCs w:val="32"/>
        </w:rPr>
        <w:t>第二部分</w:t>
      </w:r>
      <w:r>
        <w:rPr>
          <w:rFonts w:ascii="Times New Roman" w:hAnsi="Times New Roman" w:cs="Times New Roman"/>
          <w:b/>
          <w:bCs/>
          <w:sz w:val="32"/>
          <w:szCs w:val="32"/>
        </w:rPr>
        <w:t xml:space="preserve">  </w:t>
      </w:r>
      <w:r>
        <w:rPr>
          <w:rFonts w:ascii="方正仿宋_GBK" w:hAnsi="方正仿宋_GBK" w:cs="Times New Roman"/>
          <w:b/>
          <w:bCs/>
          <w:sz w:val="32"/>
          <w:szCs w:val="32"/>
        </w:rPr>
        <w:t>预算项目绩效目标</w:t>
      </w:r>
    </w:p>
    <w:p>
      <w:pPr>
        <w:jc w:val="left"/>
        <w:outlineLvl w:val="1"/>
        <w:rPr>
          <w:rFonts w:ascii="Times New Roman" w:hAnsi="宋体"/>
          <w:b/>
          <w:bCs/>
          <w:sz w:val="28"/>
          <w:szCs w:val="28"/>
        </w:rPr>
      </w:pPr>
      <w:r>
        <w:rPr>
          <w:rFonts w:ascii="方正仿宋_GBK"/>
          <w:b/>
          <w:bCs/>
          <w:sz w:val="28"/>
          <w:szCs w:val="28"/>
        </w:rPr>
        <w:t xml:space="preserve">  1、“双代”区级配套资金</w:t>
      </w:r>
      <w:r>
        <w:rPr>
          <w:rFonts w:ascii="方正仿宋_GBK" w:hAnsi="方正仿宋_GBK"/>
          <w:b/>
          <w:bCs/>
          <w:sz w:val="28"/>
          <w:szCs w:val="28"/>
        </w:rPr>
        <w:t>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r>
              <w:rPr>
                <w:rFonts w:ascii="方正书宋_GBK"/>
                <w:b/>
                <w:bCs/>
              </w:rPr>
              <w:t> </w:t>
            </w:r>
          </w:p>
        </w:tc>
        <w:tc>
          <w:tcPr>
            <w:tcW w:w="1701" w:type="dxa"/>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spacing w:line="300" w:lineRule="exact"/>
              <w:jc w:val="left"/>
              <w:rPr>
                <w:rFonts w:ascii="方正书宋_GBK"/>
              </w:rPr>
            </w:pPr>
            <w:r>
              <w:rPr>
                <w:rFonts w:ascii="方正书宋_GBK"/>
              </w:rPr>
              <w:t>1、区住建局按相关文件精神对完成台账、作出承诺的燃气公司先按台账数量发放补贴</w:t>
            </w:r>
          </w:p>
          <w:p>
            <w:pPr>
              <w:spacing w:line="300" w:lineRule="exact"/>
              <w:jc w:val="left"/>
              <w:rPr>
                <w:rFonts w:ascii="方正书宋_GBK"/>
              </w:rPr>
            </w:pPr>
            <w:r>
              <w:rPr>
                <w:rFonts w:ascii="方正书宋_GBK"/>
              </w:rPr>
              <w:t>2、改善环境质量，生态环境效益实现，减少大气污染</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062"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数量指标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支持企业家数量（家）</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投入资金支持的企业数量</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≥投入资金支持的企业数量</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台账资料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改善环境质量</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能够有效降低全区污染区排放总量，项目带来的生态环境效益十分明显，减少大气污染</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≥90%改善率</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通过问卷调查，满意和较满意的受益对象占全部调研对象的比率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通过问卷调查，满意和较满意的受益对象占全部调研对象的比率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≥95%通过问卷调查，满意和较满意的受益对象占全部调研对象的比率</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调查问卷</w:t>
            </w:r>
          </w:p>
        </w:tc>
      </w:tr>
    </w:tbl>
    <w:p>
      <w:pPr>
        <w:spacing w:line="300" w:lineRule="exact"/>
        <w:ind w:firstLine="420" w:firstLineChars="200"/>
        <w:jc w:val="left"/>
      </w:pPr>
      <w:r>
        <w:t xml:space="preserve"> </w:t>
      </w:r>
    </w:p>
    <w:p>
      <w:pPr>
        <w:spacing w:line="300" w:lineRule="exact"/>
        <w:ind w:firstLine="420" w:firstLineChars="200"/>
        <w:jc w:val="left"/>
      </w:pPr>
      <w:r>
        <w:t xml:space="preserve"> </w:t>
      </w:r>
    </w:p>
    <w:p>
      <w:pPr>
        <w:jc w:val="left"/>
        <w:outlineLvl w:val="1"/>
        <w:rPr>
          <w:rFonts w:ascii="Times New Roman" w:hAnsi="宋体"/>
          <w:b/>
          <w:bCs/>
          <w:sz w:val="28"/>
          <w:szCs w:val="28"/>
        </w:rPr>
      </w:pPr>
      <w:r>
        <w:rPr>
          <w:rFonts w:ascii="方正仿宋_GBK"/>
          <w:b/>
          <w:bCs/>
          <w:sz w:val="28"/>
          <w:szCs w:val="28"/>
        </w:rPr>
        <w:t xml:space="preserve">  2、2020年既有建筑节能改造项目</w:t>
      </w:r>
      <w:r>
        <w:rPr>
          <w:rFonts w:ascii="方正仿宋_GBK" w:hAnsi="方正仿宋_GBK"/>
          <w:b/>
          <w:bCs/>
          <w:sz w:val="28"/>
          <w:szCs w:val="28"/>
        </w:rPr>
        <w:t>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r>
              <w:rPr>
                <w:rFonts w:ascii="方正书宋_GBK"/>
                <w:b/>
                <w:bCs/>
              </w:rPr>
              <w:t> </w:t>
            </w:r>
          </w:p>
        </w:tc>
        <w:tc>
          <w:tcPr>
            <w:tcW w:w="1701" w:type="dxa"/>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spacing w:line="300" w:lineRule="exact"/>
              <w:jc w:val="left"/>
              <w:rPr>
                <w:rFonts w:ascii="方正书宋_GBK"/>
              </w:rPr>
            </w:pPr>
            <w:r>
              <w:rPr>
                <w:rFonts w:ascii="方正书宋_GBK"/>
              </w:rPr>
              <w:t>1、对住宅楼进行外围护结构改造，改造后能效提高30%</w:t>
            </w:r>
          </w:p>
          <w:p>
            <w:pPr>
              <w:spacing w:line="300" w:lineRule="exact"/>
              <w:jc w:val="left"/>
              <w:rPr>
                <w:rFonts w:ascii="方正书宋_GBK"/>
              </w:rPr>
            </w:pPr>
            <w:r>
              <w:rPr>
                <w:rFonts w:ascii="方正书宋_GBK"/>
              </w:rPr>
              <w:t>2、改造工程质量达到合格标准</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062"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p>
            <w:pPr>
              <w:spacing w:line="300" w:lineRule="exact"/>
              <w:jc w:val="left"/>
              <w:rPr>
                <w:rFonts w:ascii="方正书宋_GBK"/>
              </w:rPr>
            </w:pPr>
            <w:r>
              <w:rPr>
                <w:rFonts w:ascii="方正书宋_GBK"/>
              </w:rPr>
              <w:t>质量指标</w:t>
            </w:r>
          </w:p>
          <w:p>
            <w:pPr>
              <w:spacing w:line="300" w:lineRule="exact"/>
              <w:jc w:val="left"/>
              <w:rPr>
                <w:rFonts w:ascii="方正书宋_GBK"/>
              </w:rPr>
            </w:pPr>
          </w:p>
        </w:tc>
        <w:tc>
          <w:tcPr>
            <w:tcW w:w="1276" w:type="dxa"/>
            <w:tcBorders>
              <w:top w:val="nil"/>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工程竣工后质量达到合格标准</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工程质量必须达到合格标准</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≥90%工程竣工后质量达到合格标准</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设计图纸和建筑施工规范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243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竣工后能效最低提升30%</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竣工后能效最低提升30%</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≥90%竣工后能效</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《石家庄市人民政府办公厅关于加快推进冬季清洁取暖既有建筑节能改造工作的通知》石政办传【2018】139号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受益对象满意度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达到多数群众满意</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≥80%受益对象满意度</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群众满意度调查</w:t>
            </w:r>
          </w:p>
        </w:tc>
      </w:tr>
    </w:tbl>
    <w:p>
      <w:pPr>
        <w:spacing w:line="300" w:lineRule="exact"/>
        <w:ind w:firstLine="420" w:firstLineChars="200"/>
        <w:jc w:val="left"/>
      </w:pPr>
      <w:r>
        <w:t xml:space="preserve"> </w:t>
      </w:r>
    </w:p>
    <w:p>
      <w:pPr>
        <w:ind w:firstLine="562" w:firstLineChars="200"/>
        <w:jc w:val="left"/>
        <w:outlineLvl w:val="1"/>
        <w:rPr>
          <w:rFonts w:ascii="Times New Roman" w:hAnsi="宋体"/>
          <w:b/>
          <w:bCs/>
          <w:sz w:val="28"/>
          <w:szCs w:val="28"/>
        </w:rPr>
      </w:pPr>
      <w:r>
        <w:rPr>
          <w:rFonts w:ascii="方正仿宋_GBK"/>
          <w:b/>
          <w:bCs/>
          <w:sz w:val="28"/>
          <w:szCs w:val="28"/>
        </w:rPr>
        <w:t>3、</w:t>
      </w:r>
      <w:r>
        <w:rPr>
          <w:rFonts w:ascii="方正仿宋_GBK" w:hAnsi="方正仿宋_GBK"/>
          <w:b/>
          <w:bCs/>
          <w:sz w:val="28"/>
          <w:szCs w:val="28"/>
        </w:rPr>
        <w:t>吉藁化纤供热老旧管网改造补贴绩效目标表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r>
              <w:rPr>
                <w:rFonts w:ascii="方正书宋_GBK"/>
                <w:b/>
                <w:bCs/>
              </w:rPr>
              <w:t> </w:t>
            </w:r>
          </w:p>
        </w:tc>
        <w:tc>
          <w:tcPr>
            <w:tcW w:w="1701" w:type="dxa"/>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spacing w:line="300" w:lineRule="exact"/>
              <w:jc w:val="left"/>
              <w:rPr>
                <w:rFonts w:ascii="方正书宋_GBK"/>
              </w:rPr>
            </w:pPr>
            <w:r>
              <w:rPr>
                <w:rFonts w:ascii="方正书宋_GBK"/>
              </w:rPr>
              <w:t>1、对供热站内设备进行改造，保证正常供暖</w:t>
            </w:r>
          </w:p>
          <w:p>
            <w:pPr>
              <w:spacing w:line="300" w:lineRule="exact"/>
              <w:jc w:val="left"/>
              <w:rPr>
                <w:rFonts w:ascii="方正书宋_GBK"/>
              </w:rPr>
            </w:pPr>
            <w:r>
              <w:rPr>
                <w:rFonts w:ascii="方正书宋_GBK"/>
              </w:rPr>
              <w:t>2、对供热管网进行改造，提高热量输送能力，提升供热效果，保障正常供暖</w:t>
            </w:r>
          </w:p>
          <w:p>
            <w:pPr>
              <w:spacing w:line="300" w:lineRule="exact"/>
              <w:jc w:val="left"/>
              <w:rPr>
                <w:rFonts w:ascii="方正书宋_GBK"/>
              </w:rPr>
            </w:pPr>
            <w:r>
              <w:rPr>
                <w:rFonts w:ascii="方正书宋_GBK"/>
              </w:rPr>
              <w:t>3、提高供热智能化管理水平，保证高质、高效、供热</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nil"/>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vMerge w:val="restart"/>
            <w:tcBorders>
              <w:top w:val="nil"/>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数量指标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管网长度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尚东家园小区；交通局家属楼；东平巷以北区域供暖管道改造</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≥1400m管道长度</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概算清单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vMerge w:val="continue"/>
            <w:tcBorders>
              <w:top w:val="nil"/>
              <w:left w:val="nil"/>
              <w:bottom w:val="single" w:color="000000" w:sz="6" w:space="0"/>
              <w:right w:val="single" w:color="000000" w:sz="6" w:space="0"/>
            </w:tcBorders>
            <w:vAlign w:val="center"/>
          </w:tcPr>
          <w:p>
            <w:pPr>
              <w:widowControl/>
              <w:jc w:val="left"/>
              <w:rPr>
                <w:rFonts w:ascii="方正书宋_GBK"/>
              </w:rPr>
            </w:pP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室温采集设备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住户室温采集器安装数量</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≥100台</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实际安装户数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时效指标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按时完成</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供暖前完成所有施工</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≥100施工进度</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施工质量</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设备及管网运行正常</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≥100施工质量</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供热效果良好</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住户室温不低于18</w:t>
            </w:r>
            <w:r>
              <w:rPr>
                <w:rFonts w:hint="eastAsia" w:ascii="宋体" w:hAnsi="宋体" w:cs="宋体"/>
              </w:rPr>
              <w:t>℃</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≥95%供热效果</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代表对培训工作满意度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省人大代表对培训工作的满意程度</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≥80%供暖满意度</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计划标准</w:t>
            </w:r>
          </w:p>
        </w:tc>
      </w:tr>
    </w:tbl>
    <w:p>
      <w:pPr>
        <w:spacing w:line="300" w:lineRule="exact"/>
        <w:jc w:val="left"/>
      </w:pPr>
      <w:r>
        <w:t xml:space="preserve"> </w:t>
      </w:r>
    </w:p>
    <w:p>
      <w:pPr>
        <w:ind w:firstLine="562" w:firstLineChars="200"/>
        <w:jc w:val="left"/>
        <w:outlineLvl w:val="1"/>
        <w:rPr>
          <w:rFonts w:ascii="Times New Roman" w:hAnsi="宋体"/>
          <w:b/>
          <w:bCs/>
          <w:sz w:val="28"/>
          <w:szCs w:val="28"/>
        </w:rPr>
      </w:pPr>
      <w:r>
        <w:rPr>
          <w:rFonts w:ascii="方正仿宋_GBK"/>
          <w:b/>
          <w:bCs/>
          <w:sz w:val="28"/>
          <w:szCs w:val="28"/>
        </w:rPr>
        <w:t>4、四明街南延工程（育才路—兴华路）绩效目标表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r>
              <w:rPr>
                <w:rFonts w:ascii="方正书宋_GBK"/>
                <w:b/>
                <w:bCs/>
              </w:rPr>
              <w:t> </w:t>
            </w:r>
          </w:p>
        </w:tc>
        <w:tc>
          <w:tcPr>
            <w:tcW w:w="1701" w:type="dxa"/>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numPr>
                <w:ilvl w:val="0"/>
                <w:numId w:val="3"/>
              </w:numPr>
              <w:spacing w:line="300" w:lineRule="exact"/>
              <w:jc w:val="left"/>
              <w:rPr>
                <w:rFonts w:ascii="方正书宋_GBK"/>
              </w:rPr>
            </w:pPr>
            <w:r>
              <w:rPr>
                <w:rFonts w:ascii="方正书宋_GBK"/>
              </w:rPr>
              <w:t>提升城区交通能力，畅通主干路</w:t>
            </w:r>
          </w:p>
          <w:p>
            <w:pPr>
              <w:numPr>
                <w:ilvl w:val="0"/>
                <w:numId w:val="3"/>
              </w:numPr>
              <w:spacing w:line="300" w:lineRule="exact"/>
              <w:jc w:val="left"/>
              <w:rPr>
                <w:rFonts w:ascii="方正书宋_GBK"/>
              </w:rPr>
            </w:pPr>
            <w:r>
              <w:rPr>
                <w:rFonts w:ascii="方正书宋_GBK"/>
              </w:rPr>
              <w:t>完善城区给水管网覆盖率</w:t>
            </w:r>
          </w:p>
          <w:p>
            <w:pPr>
              <w:numPr>
                <w:ilvl w:val="0"/>
                <w:numId w:val="3"/>
              </w:numPr>
              <w:spacing w:line="300" w:lineRule="exact"/>
              <w:jc w:val="left"/>
              <w:rPr>
                <w:rFonts w:ascii="方正书宋_GBK"/>
              </w:rPr>
            </w:pPr>
            <w:r>
              <w:rPr>
                <w:rFonts w:ascii="方正书宋_GBK"/>
              </w:rPr>
              <w:t>完善城区交通设施</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nil"/>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完成四明街南延工程道路、排水</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完成四明街南延工程道路、排水</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≥90%按时完成四明街南延工程道路、排水</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3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完成四明街南延工程照明</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 亮化城市，保障夜间出行安全</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≥90%完成四明街南延工程照明</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《市政工程验收规范》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54"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打通断头路，方便居民出行</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打通城市主路，连通育才路于兴华路，提升城市形象，提高周边居民满意度</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≥90%完成连通</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群众满意度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群众满意数量占总数的比例</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≥80%群众满意数量占总数的比例</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调查问卷</w:t>
            </w:r>
          </w:p>
        </w:tc>
      </w:tr>
    </w:tbl>
    <w:p>
      <w:pPr>
        <w:jc w:val="left"/>
        <w:outlineLvl w:val="1"/>
        <w:rPr>
          <w:rFonts w:ascii="方正仿宋_GBK"/>
          <w:b/>
          <w:bCs/>
          <w:sz w:val="28"/>
          <w:szCs w:val="28"/>
        </w:rPr>
      </w:pPr>
      <w:r>
        <w:rPr>
          <w:rFonts w:ascii="方正仿宋_GBK"/>
          <w:b/>
          <w:bCs/>
          <w:sz w:val="28"/>
          <w:szCs w:val="28"/>
        </w:rPr>
        <w:t xml:space="preserve"> </w:t>
      </w:r>
    </w:p>
    <w:p>
      <w:pPr>
        <w:jc w:val="left"/>
        <w:outlineLvl w:val="1"/>
        <w:rPr>
          <w:rFonts w:ascii="Times New Roman" w:hAnsi="宋体"/>
          <w:b/>
          <w:bCs/>
          <w:sz w:val="28"/>
          <w:szCs w:val="28"/>
        </w:rPr>
      </w:pPr>
      <w:r>
        <w:rPr>
          <w:rFonts w:ascii="方正仿宋_GBK"/>
          <w:b/>
          <w:bCs/>
          <w:sz w:val="28"/>
          <w:szCs w:val="28"/>
        </w:rPr>
        <w:t>5、</w:t>
      </w:r>
      <w:r>
        <w:rPr>
          <w:rFonts w:ascii="方正仿宋_GBK" w:hAnsi="方正仿宋_GBK"/>
          <w:b/>
          <w:bCs/>
          <w:sz w:val="28"/>
          <w:szCs w:val="28"/>
        </w:rPr>
        <w:t>人民广场喷泉提升改造前期费用绩效目标表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r>
              <w:rPr>
                <w:rFonts w:ascii="方正书宋_GBK"/>
                <w:b/>
                <w:bCs/>
              </w:rPr>
              <w:t> </w:t>
            </w:r>
          </w:p>
        </w:tc>
        <w:tc>
          <w:tcPr>
            <w:tcW w:w="1701" w:type="dxa"/>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spacing w:line="300" w:lineRule="exact"/>
              <w:jc w:val="left"/>
              <w:rPr>
                <w:rFonts w:ascii="方正书宋_GBK"/>
              </w:rPr>
            </w:pPr>
            <w:r>
              <w:rPr>
                <w:rFonts w:ascii="方正书宋_GBK"/>
              </w:rPr>
              <w:t>1、改造后有效满足市民精神文化生活的需求</w:t>
            </w:r>
          </w:p>
          <w:p>
            <w:pPr>
              <w:spacing w:line="300" w:lineRule="exact"/>
              <w:jc w:val="left"/>
              <w:rPr>
                <w:rFonts w:ascii="方正书宋_GBK"/>
              </w:rPr>
            </w:pPr>
            <w:r>
              <w:rPr>
                <w:rFonts w:ascii="方正书宋_GBK"/>
              </w:rPr>
              <w:t>2、改造工程质量达到合格标准</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062"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工程验收合格率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工程竣工后达到合格标准</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≥90%工程竣工后验收合格优良率</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市政工程验收评价标准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全面提升城市形象</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改善城市环境，提升服务功能，提高群众满意度</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≥95%改善城市环境，提升服务功能</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受益群众满意度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受益群体调查中，满意和较满意的人数占全部调查人数的比率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≥80%受益群体调查中，满意和较满意的人数占全部调查人数的比率</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社会调查</w:t>
            </w:r>
          </w:p>
        </w:tc>
      </w:tr>
    </w:tbl>
    <w:p>
      <w:pPr>
        <w:ind w:firstLine="562" w:firstLineChars="200"/>
        <w:jc w:val="left"/>
        <w:outlineLvl w:val="1"/>
        <w:rPr>
          <w:rFonts w:ascii="Times New Roman" w:hAnsi="宋体"/>
          <w:b/>
          <w:bCs/>
          <w:sz w:val="28"/>
          <w:szCs w:val="28"/>
        </w:rPr>
      </w:pPr>
      <w:r>
        <w:rPr>
          <w:rFonts w:ascii="方正仿宋_GBK"/>
          <w:b/>
          <w:bCs/>
          <w:sz w:val="28"/>
          <w:szCs w:val="28"/>
        </w:rPr>
        <w:t>6、</w:t>
      </w:r>
      <w:r>
        <w:rPr>
          <w:rFonts w:ascii="方正仿宋_GBK" w:hAnsi="方正仿宋_GBK"/>
          <w:b/>
          <w:bCs/>
          <w:sz w:val="28"/>
          <w:szCs w:val="28"/>
        </w:rPr>
        <w:t>市政设施维护费绩效目标表</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6577"/>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2"/>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书宋_GBK"/>
                <w:b/>
                <w:bCs/>
              </w:rPr>
            </w:pPr>
          </w:p>
        </w:tc>
        <w:tc>
          <w:tcPr>
            <w:tcW w:w="1701" w:type="dxa"/>
            <w:tcBorders>
              <w:top w:val="single" w:color="FFFFFF" w:sz="6" w:space="0"/>
              <w:left w:val="nil"/>
              <w:bottom w:val="single" w:color="000000" w:sz="6" w:space="0"/>
              <w:right w:val="single" w:color="FFFFFF" w:sz="6" w:space="0"/>
            </w:tcBorders>
            <w:vAlign w:val="center"/>
          </w:tcPr>
          <w:p>
            <w:pPr>
              <w:wordWrap w:val="0"/>
              <w:spacing w:line="300" w:lineRule="exact"/>
              <w:jc w:val="right"/>
              <w:rPr>
                <w:rFonts w:ascii="方正书宋_GBK"/>
              </w:rPr>
            </w:pPr>
            <w:r>
              <w:rPr>
                <w:rFonts w:ascii="方正书宋_GBK"/>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top w:val="single" w:color="000000" w:sz="6" w:space="0"/>
              <w:left w:val="single" w:color="000000" w:sz="6" w:space="0"/>
              <w:bottom w:val="nil"/>
              <w:right w:val="single" w:color="000000" w:sz="6" w:space="0"/>
            </w:tcBorders>
            <w:vAlign w:val="center"/>
          </w:tcPr>
          <w:p>
            <w:pPr>
              <w:spacing w:line="300" w:lineRule="exact"/>
              <w:jc w:val="center"/>
              <w:rPr>
                <w:rFonts w:ascii="方正书宋_GBK"/>
                <w:b/>
                <w:bCs/>
              </w:rPr>
            </w:pPr>
            <w:r>
              <w:rPr>
                <w:rFonts w:ascii="方正书宋_GBK"/>
                <w:b/>
                <w:bCs/>
              </w:rPr>
              <w:t>绩效目标</w:t>
            </w:r>
          </w:p>
        </w:tc>
        <w:tc>
          <w:tcPr>
            <w:tcW w:w="8278" w:type="dxa"/>
            <w:gridSpan w:val="2"/>
            <w:tcBorders>
              <w:top w:val="single" w:color="000000" w:sz="6" w:space="0"/>
              <w:left w:val="nil"/>
              <w:bottom w:val="nil"/>
              <w:right w:val="single" w:color="000000" w:sz="6" w:space="0"/>
            </w:tcBorders>
            <w:vAlign w:val="center"/>
          </w:tcPr>
          <w:p>
            <w:pPr>
              <w:spacing w:line="300" w:lineRule="exact"/>
              <w:jc w:val="left"/>
              <w:rPr>
                <w:rFonts w:ascii="方正书宋_GBK"/>
              </w:rPr>
            </w:pPr>
            <w:r>
              <w:rPr>
                <w:rFonts w:ascii="方正书宋_GBK"/>
              </w:rPr>
              <w:t>1、确保城区道路、桥梁、排水、路灯等市政基础设施完好</w:t>
            </w:r>
          </w:p>
          <w:p>
            <w:pPr>
              <w:spacing w:line="300" w:lineRule="exact"/>
              <w:jc w:val="left"/>
              <w:rPr>
                <w:rFonts w:ascii="方正书宋_GBK"/>
              </w:rPr>
            </w:pPr>
            <w:r>
              <w:rPr>
                <w:rFonts w:ascii="方正书宋_GBK"/>
              </w:rPr>
              <w:t>2、改善城区容貌，方便市民出行</w:t>
            </w:r>
          </w:p>
        </w:tc>
      </w:tr>
    </w:tbl>
    <w:p>
      <w:pPr>
        <w:spacing w:line="14" w:lineRule="exact"/>
        <w:ind w:firstLine="420" w:firstLineChars="200"/>
        <w:jc w:val="center"/>
        <w:rPr>
          <w:rFonts w:ascii="Times New Roman" w:hAnsi="宋体"/>
        </w:rPr>
      </w:pPr>
      <w:r>
        <w:rPr>
          <w:rFonts w:ascii="方正书宋_GBK"/>
        </w:rPr>
        <w:t xml:space="preserve"> </w:t>
      </w:r>
    </w:p>
    <w:tbl>
      <w:tblPr>
        <w:tblStyle w:val="4"/>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一级指标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二级指标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三级指标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绩效指标描述</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tcBorders>
              <w:top w:val="nil"/>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产出指标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道路、桥梁等设施完好率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达到可安全使用状态的设施数量占所管理设施的比率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≥70%</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雨污水正常排放率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可正常使用的收水井及下水道占所管理排放设施的比率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≥70%</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rPr>
            </w:pP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质量指标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路灯亮灯率</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可正常照明路灯占所管理路灯数量的比率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≥70%</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效果指标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社会效益指标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改善城区容貌</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改善城区容貌，方便市民出行</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≥70%</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rPr>
            </w:pPr>
            <w:r>
              <w:rPr>
                <w:rFonts w:ascii="方正书宋_GBK"/>
              </w:rPr>
              <w:t>满意度指标</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服务对象满意度指标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居民满意度</w:t>
            </w:r>
          </w:p>
        </w:tc>
        <w:tc>
          <w:tcPr>
            <w:tcW w:w="289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调查中满意和较满意的居民数量占全部调查人数的比率</w:t>
            </w:r>
          </w:p>
        </w:tc>
        <w:tc>
          <w:tcPr>
            <w:tcW w:w="1276"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≥70%</w:t>
            </w:r>
          </w:p>
        </w:tc>
        <w:tc>
          <w:tcPr>
            <w:tcW w:w="1701"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问卷调查</w:t>
            </w:r>
          </w:p>
        </w:tc>
      </w:tr>
    </w:tbl>
    <w:p>
      <w:pPr>
        <w:widowControl/>
        <w:jc w:val="left"/>
        <w:rPr>
          <w:rFonts w:ascii="黑体" w:hAnsi="黑体" w:eastAsia="黑体" w:cs="Times New Roman"/>
          <w:sz w:val="32"/>
          <w:szCs w:val="32"/>
        </w:rPr>
        <w:sectPr>
          <w:pgSz w:w="11907" w:h="16839" w:orient="landscape"/>
          <w:pgMar w:top="1984" w:right="1304" w:bottom="1134" w:left="1304"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32"/>
        </w:rPr>
      </w:pPr>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rPr>
        <w:t>20</w:t>
      </w:r>
      <w:r>
        <w:rPr>
          <w:rFonts w:ascii="仿宋" w:hAnsi="仿宋" w:eastAsia="仿宋" w:cs="Times New Roman"/>
          <w:sz w:val="32"/>
          <w:szCs w:val="32"/>
        </w:rPr>
        <w:t>年，</w:t>
      </w:r>
      <w:r>
        <w:rPr>
          <w:rFonts w:hint="eastAsia" w:ascii="仿宋" w:hAnsi="仿宋" w:eastAsia="仿宋" w:cs="Times New Roman"/>
          <w:sz w:val="32"/>
          <w:szCs w:val="32"/>
        </w:rPr>
        <w:t>我部门</w:t>
      </w:r>
      <w:r>
        <w:rPr>
          <w:rFonts w:ascii="仿宋" w:hAnsi="仿宋" w:eastAsia="仿宋" w:cs="Times New Roman"/>
          <w:sz w:val="32"/>
          <w:szCs w:val="32"/>
        </w:rPr>
        <w:t>安排政府采购预算</w:t>
      </w:r>
      <w:r>
        <w:rPr>
          <w:rFonts w:hint="eastAsia" w:ascii="Times New Roman" w:hAnsi="Times New Roman" w:eastAsia="仿宋" w:cs="Times New Roman"/>
          <w:sz w:val="32"/>
          <w:szCs w:val="32"/>
        </w:rPr>
        <w:t>5361.5</w:t>
      </w:r>
      <w:r>
        <w:rPr>
          <w:rFonts w:ascii="仿宋" w:hAnsi="仿宋" w:eastAsia="仿宋" w:cs="Times New Roman"/>
          <w:sz w:val="32"/>
          <w:szCs w:val="32"/>
        </w:rPr>
        <w:t>万元。具体内容见下表。</w:t>
      </w:r>
    </w:p>
    <w:p>
      <w:pPr>
        <w:ind w:firstLine="640" w:firstLineChars="200"/>
        <w:jc w:val="center"/>
        <w:outlineLvl w:val="0"/>
        <w:rPr>
          <w:rFonts w:ascii="Times New Roman" w:hAnsi="宋体"/>
          <w:sz w:val="32"/>
          <w:szCs w:val="32"/>
        </w:rPr>
      </w:pPr>
      <w:r>
        <w:rPr>
          <w:rFonts w:ascii="方正小标宋_GBK" w:hAnsi="方正小标宋_GBK"/>
          <w:sz w:val="32"/>
          <w:szCs w:val="32"/>
        </w:rPr>
        <w:t>部门政府采购预算</w:t>
      </w:r>
    </w:p>
    <w:tbl>
      <w:tblPr>
        <w:tblStyle w:val="4"/>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1090"/>
        <w:gridCol w:w="1080"/>
        <w:gridCol w:w="806"/>
        <w:gridCol w:w="1054"/>
        <w:gridCol w:w="1073"/>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6" w:type="dxa"/>
            <w:gridSpan w:val="7"/>
            <w:tcBorders>
              <w:top w:val="single" w:color="FFFFFF" w:sz="6" w:space="0"/>
              <w:left w:val="single" w:color="FFFFFF" w:sz="6" w:space="0"/>
              <w:bottom w:val="single" w:color="000000" w:sz="6" w:space="0"/>
              <w:right w:val="single" w:color="FFFFFF" w:sz="6" w:space="0"/>
            </w:tcBorders>
            <w:vAlign w:val="center"/>
          </w:tcPr>
          <w:p>
            <w:pPr>
              <w:spacing w:line="300" w:lineRule="exact"/>
              <w:jc w:val="left"/>
              <w:rPr>
                <w:rFonts w:ascii="方正小标宋_GBK"/>
                <w:sz w:val="24"/>
                <w:szCs w:val="24"/>
              </w:rPr>
            </w:pPr>
            <w:r>
              <w:rPr>
                <w:rFonts w:ascii="方正小标宋_GBK"/>
                <w:sz w:val="24"/>
                <w:szCs w:val="24"/>
              </w:rPr>
              <w:t>333石家庄市藁城区住房和城乡建设局</w:t>
            </w:r>
          </w:p>
        </w:tc>
        <w:tc>
          <w:tcPr>
            <w:tcW w:w="5756" w:type="dxa"/>
            <w:gridSpan w:val="6"/>
            <w:tcBorders>
              <w:top w:val="single" w:color="FFFFFF" w:sz="6" w:space="0"/>
              <w:left w:val="nil"/>
              <w:bottom w:val="single" w:color="000000" w:sz="6" w:space="0"/>
              <w:right w:val="single" w:color="FFFFFF" w:sz="6" w:space="0"/>
            </w:tcBorders>
            <w:vAlign w:val="center"/>
          </w:tcPr>
          <w:p>
            <w:pPr>
              <w:spacing w:line="300" w:lineRule="exact"/>
              <w:jc w:val="right"/>
              <w:rPr>
                <w:rFonts w:ascii="方正书宋_GBK"/>
                <w:sz w:val="24"/>
                <w:szCs w:val="24"/>
              </w:rPr>
            </w:pPr>
            <w:r>
              <w:rPr>
                <w:rFonts w:ascii="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4240" w:type="dxa"/>
            <w:gridSpan w:val="2"/>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政府采购项目来源</w:t>
            </w:r>
          </w:p>
        </w:tc>
        <w:tc>
          <w:tcPr>
            <w:tcW w:w="1559" w:type="dxa"/>
            <w:vMerge w:val="restart"/>
            <w:tcBorders>
              <w:top w:val="nil"/>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采购物品名称</w:t>
            </w:r>
          </w:p>
        </w:tc>
        <w:tc>
          <w:tcPr>
            <w:tcW w:w="1417"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政府采购目录序号</w:t>
            </w:r>
          </w:p>
        </w:tc>
        <w:tc>
          <w:tcPr>
            <w:tcW w:w="709"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计量  单位</w:t>
            </w:r>
          </w:p>
        </w:tc>
        <w:tc>
          <w:tcPr>
            <w:tcW w:w="851"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数量</w:t>
            </w:r>
          </w:p>
        </w:tc>
        <w:tc>
          <w:tcPr>
            <w:tcW w:w="1090" w:type="dxa"/>
            <w:vMerge w:val="restart"/>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单价</w:t>
            </w:r>
          </w:p>
        </w:tc>
        <w:tc>
          <w:tcPr>
            <w:tcW w:w="5756" w:type="dxa"/>
            <w:gridSpan w:val="6"/>
            <w:tcBorders>
              <w:top w:val="single" w:color="000000" w:sz="6" w:space="0"/>
              <w:left w:val="nil"/>
              <w:bottom w:val="nil"/>
              <w:right w:val="single" w:color="000000" w:sz="6" w:space="0"/>
            </w:tcBorders>
            <w:vAlign w:val="center"/>
          </w:tcPr>
          <w:p>
            <w:pPr>
              <w:spacing w:line="300" w:lineRule="exact"/>
              <w:jc w:val="center"/>
              <w:rPr>
                <w:rFonts w:ascii="方正书宋_GBK"/>
                <w:b/>
                <w:bCs/>
              </w:rPr>
            </w:pPr>
            <w:r>
              <w:rPr>
                <w:rFonts w:ascii="方正书宋_GBK"/>
                <w:b/>
                <w:bCs/>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项目名称</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预算资金</w:t>
            </w:r>
          </w:p>
        </w:tc>
        <w:tc>
          <w:tcPr>
            <w:tcW w:w="1559" w:type="dxa"/>
            <w:vMerge w:val="continue"/>
            <w:tcBorders>
              <w:top w:val="nil"/>
              <w:left w:val="nil"/>
              <w:bottom w:val="single" w:color="000000" w:sz="6" w:space="0"/>
              <w:right w:val="single" w:color="000000" w:sz="6" w:space="0"/>
            </w:tcBorders>
            <w:vAlign w:val="center"/>
          </w:tcPr>
          <w:p>
            <w:pPr>
              <w:widowControl/>
              <w:jc w:val="left"/>
              <w:rPr>
                <w:rFonts w:ascii="方正书宋_GBK"/>
                <w:b/>
                <w:bCs/>
              </w:rPr>
            </w:pPr>
          </w:p>
        </w:tc>
        <w:tc>
          <w:tcPr>
            <w:tcW w:w="1417"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b/>
                <w:bCs/>
              </w:rPr>
            </w:pPr>
          </w:p>
        </w:tc>
        <w:tc>
          <w:tcPr>
            <w:tcW w:w="709"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b/>
                <w:bCs/>
              </w:rPr>
            </w:pPr>
          </w:p>
        </w:tc>
        <w:tc>
          <w:tcPr>
            <w:tcW w:w="85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b/>
                <w:bCs/>
              </w:rPr>
            </w:pPr>
          </w:p>
        </w:tc>
        <w:tc>
          <w:tcPr>
            <w:tcW w:w="1090"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b/>
                <w:bCs/>
              </w:rPr>
            </w:pP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合计</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一般公共预算拨款</w:t>
            </w: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基金预算拨款</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国有资本经营预算拨款</w:t>
            </w: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财政专户核拨</w:t>
            </w: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合 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080" w:type="dxa"/>
            <w:tcBorders>
              <w:top w:val="single" w:color="000000" w:sz="6" w:space="0"/>
              <w:left w:val="nil"/>
              <w:bottom w:val="single" w:color="000000" w:sz="6" w:space="0"/>
              <w:right w:val="single" w:color="000000" w:sz="6" w:space="0"/>
            </w:tcBorders>
            <w:vAlign w:val="center"/>
          </w:tcPr>
          <w:p>
            <w:pPr>
              <w:adjustRightInd w:val="0"/>
              <w:snapToGrid w:val="0"/>
              <w:jc w:val="right"/>
              <w:rPr>
                <w:rFonts w:ascii="方正书宋_GBK" w:hAnsi="宋体" w:cs="宋体"/>
                <w:b/>
                <w:bCs/>
                <w:color w:val="000000"/>
              </w:rPr>
            </w:pPr>
            <w:r>
              <w:rPr>
                <w:rFonts w:ascii="方正书宋_GBK"/>
                <w:b/>
                <w:bCs/>
                <w:color w:val="000000"/>
              </w:rPr>
              <w:t>5361.50</w:t>
            </w:r>
          </w:p>
        </w:tc>
        <w:tc>
          <w:tcPr>
            <w:tcW w:w="806" w:type="dxa"/>
            <w:tcBorders>
              <w:top w:val="single" w:color="000000" w:sz="6" w:space="0"/>
              <w:left w:val="nil"/>
              <w:bottom w:val="single" w:color="000000" w:sz="6" w:space="0"/>
              <w:right w:val="single" w:color="000000" w:sz="6" w:space="0"/>
            </w:tcBorders>
            <w:vAlign w:val="center"/>
          </w:tcPr>
          <w:p>
            <w:pPr>
              <w:adjustRightInd w:val="0"/>
              <w:snapToGrid w:val="0"/>
              <w:jc w:val="right"/>
              <w:rPr>
                <w:rFonts w:ascii="方正书宋_GBK" w:hAnsi="宋体" w:cs="宋体"/>
                <w:b/>
                <w:bCs/>
                <w:color w:val="000000"/>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r>
              <w:rPr>
                <w:rFonts w:ascii="方正书宋_GBK"/>
                <w:b/>
                <w:bCs/>
              </w:rPr>
              <w:t>5361.50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center"/>
              <w:rPr>
                <w:rFonts w:ascii="方正书宋_GBK"/>
                <w:b/>
                <w:bCs/>
              </w:rPr>
            </w:pPr>
            <w:r>
              <w:rPr>
                <w:rFonts w:ascii="方正书宋_GBK"/>
                <w:b/>
                <w:bCs/>
              </w:rPr>
              <w:t>石家庄市藁城区住房和城乡建设局小计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1080" w:type="dxa"/>
            <w:tcBorders>
              <w:top w:val="single" w:color="000000" w:sz="6" w:space="0"/>
              <w:left w:val="nil"/>
              <w:bottom w:val="single" w:color="000000" w:sz="6" w:space="0"/>
              <w:right w:val="single" w:color="000000" w:sz="6" w:space="0"/>
            </w:tcBorders>
            <w:vAlign w:val="center"/>
          </w:tcPr>
          <w:p>
            <w:pPr>
              <w:adjustRightInd w:val="0"/>
              <w:snapToGrid w:val="0"/>
              <w:jc w:val="right"/>
              <w:rPr>
                <w:rFonts w:ascii="方正书宋_GBK" w:hAnsi="宋体" w:cs="宋体"/>
                <w:b/>
                <w:bCs/>
                <w:color w:val="000000"/>
              </w:rPr>
            </w:pPr>
            <w:r>
              <w:rPr>
                <w:rFonts w:ascii="方正书宋_GBK"/>
                <w:b/>
                <w:bCs/>
                <w:color w:val="000000"/>
              </w:rPr>
              <w:t>100.00</w:t>
            </w:r>
          </w:p>
        </w:tc>
        <w:tc>
          <w:tcPr>
            <w:tcW w:w="806" w:type="dxa"/>
            <w:tcBorders>
              <w:top w:val="single" w:color="000000" w:sz="6" w:space="0"/>
              <w:left w:val="nil"/>
              <w:bottom w:val="single" w:color="000000" w:sz="6" w:space="0"/>
              <w:right w:val="single" w:color="000000" w:sz="6" w:space="0"/>
            </w:tcBorders>
            <w:vAlign w:val="center"/>
          </w:tcPr>
          <w:p>
            <w:pPr>
              <w:adjustRightInd w:val="0"/>
              <w:snapToGrid w:val="0"/>
              <w:jc w:val="right"/>
              <w:rPr>
                <w:rFonts w:ascii="方正书宋_GBK" w:hAnsi="宋体" w:cs="宋体"/>
                <w:b/>
                <w:bCs/>
                <w:color w:val="000000"/>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r>
              <w:rPr>
                <w:rFonts w:ascii="方正书宋_GBK"/>
                <w:b/>
                <w:bCs/>
              </w:rPr>
              <w:t>100.00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防雷装置监测委托服务费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其他专业技术服务</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C0908</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个</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b/>
                <w:bCs/>
              </w:rPr>
              <w:t>石家庄市藁城区城市管理综合执法大队小计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3530.00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3530.00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农村生活垃圾市场化运营费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4500.00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清扫服务</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C160101</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3530.00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3530.00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3530.00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b/>
                <w:bCs/>
              </w:rPr>
              <w:t>石家庄市藁城区市政设施维护中心小计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235.00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235.00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市政设施维护费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城市道路工程施工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B0205</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95.00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95.00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95.00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市政设施维护费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疏浚工程施工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B020904</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市政设施维护费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其他市政工程施工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B021399</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40.00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40.00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40.00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市政设施维护费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公路桥梁工程施工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B020702</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50.00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b/>
                <w:bCs/>
              </w:rPr>
              <w:t>石家庄市藁城区园林绿化服务站小计</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360.00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b/>
                <w:bCs/>
              </w:rPr>
              <w:t>360.00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园林绿地维护费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园林绿化工程施工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B021502</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270.00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270.00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270.00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园林绿地维护费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园林绿化工程施工</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B021502</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90.00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b/>
                <w:bCs/>
              </w:rPr>
              <w:t>石家庄市藁城区环境卫生服务站小计</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559"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hAnsi="宋体" w:cs="宋体"/>
                <w:b/>
                <w:bCs/>
                <w:color w:val="000000"/>
              </w:rPr>
              <w:t>1136.50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hAnsi="宋体" w:cs="宋体"/>
                <w:b/>
                <w:bCs/>
                <w:color w:val="000000"/>
              </w:rPr>
              <w:t>1136.50</w:t>
            </w:r>
            <w:r>
              <w:rPr>
                <w:rFonts w:ascii="方正书宋_GBK"/>
                <w:color w:val="000000"/>
              </w:rPr>
              <w:t>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环境卫生维护费</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4162.10</w:t>
            </w:r>
          </w:p>
        </w:tc>
        <w:tc>
          <w:tcPr>
            <w:tcW w:w="1559"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其他公共设施施工</w:t>
            </w: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hAnsi="宋体" w:cs="宋体"/>
                <w:color w:val="000000"/>
              </w:rPr>
              <w:t>B021599</w:t>
            </w: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r>
              <w:rPr>
                <w:rFonts w:ascii="方正书宋_GBK"/>
                <w:color w:val="000000"/>
              </w:rPr>
              <w:t>项</w:t>
            </w: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w:t>
            </w: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147.00</w:t>
            </w: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147.00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147.00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环境卫生维护费</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4162.10</w:t>
            </w:r>
          </w:p>
        </w:tc>
        <w:tc>
          <w:tcPr>
            <w:tcW w:w="1559"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大气污染防治设备</w:t>
            </w: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A032401</w:t>
            </w: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r>
              <w:rPr>
                <w:rFonts w:ascii="方正书宋_GBK"/>
                <w:color w:val="000000"/>
              </w:rPr>
              <w:t>套</w:t>
            </w: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23.00</w:t>
            </w: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3.80</w:t>
            </w: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87.40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87.40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环境卫生维护费</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4162.10</w:t>
            </w:r>
          </w:p>
        </w:tc>
        <w:tc>
          <w:tcPr>
            <w:tcW w:w="1559"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普通服装</w:t>
            </w: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A07030103</w:t>
            </w: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r>
              <w:rPr>
                <w:rFonts w:ascii="方正书宋_GBK"/>
                <w:color w:val="000000"/>
              </w:rPr>
              <w:t>套</w:t>
            </w: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1235.00</w:t>
            </w: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0.06</w:t>
            </w: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74.10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74.10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环境卫生维护费</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4162.10</w:t>
            </w:r>
          </w:p>
        </w:tc>
        <w:tc>
          <w:tcPr>
            <w:tcW w:w="1559" w:type="dxa"/>
            <w:tcBorders>
              <w:top w:val="single" w:color="000000" w:sz="6" w:space="0"/>
              <w:left w:val="nil"/>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垃圾容器</w:t>
            </w: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A9901</w:t>
            </w: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r>
              <w:rPr>
                <w:rFonts w:ascii="方正书宋_GBK"/>
                <w:color w:val="000000"/>
              </w:rPr>
              <w:t>个</w:t>
            </w: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1600.00</w:t>
            </w: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0.03</w:t>
            </w: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48.00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48.00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adjustRightInd w:val="0"/>
              <w:snapToGrid w:val="0"/>
              <w:rPr>
                <w:rFonts w:ascii="方正书宋_GBK" w:hAnsi="宋体" w:cs="宋体"/>
                <w:color w:val="000000"/>
              </w:rPr>
            </w:pPr>
            <w:r>
              <w:rPr>
                <w:rFonts w:ascii="方正书宋_GBK"/>
                <w:color w:val="000000"/>
              </w:rPr>
              <w:t>垃圾分类</w:t>
            </w:r>
          </w:p>
        </w:tc>
        <w:tc>
          <w:tcPr>
            <w:tcW w:w="113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100.00</w:t>
            </w:r>
          </w:p>
        </w:tc>
        <w:tc>
          <w:tcPr>
            <w:tcW w:w="1559"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color w:val="000000"/>
              </w:rPr>
              <w:t>垃圾处理服务</w:t>
            </w:r>
          </w:p>
        </w:tc>
        <w:tc>
          <w:tcPr>
            <w:tcW w:w="1417" w:type="dxa"/>
            <w:tcBorders>
              <w:top w:val="single" w:color="000000" w:sz="6" w:space="0"/>
              <w:left w:val="nil"/>
              <w:bottom w:val="single" w:color="000000" w:sz="6" w:space="0"/>
              <w:right w:val="single" w:color="000000" w:sz="6" w:space="0"/>
            </w:tcBorders>
            <w:vAlign w:val="center"/>
          </w:tcPr>
          <w:p>
            <w:pPr>
              <w:rPr>
                <w:rFonts w:ascii="方正书宋_GBK" w:hAnsi="宋体" w:cs="宋体"/>
                <w:color w:val="000000"/>
              </w:rPr>
            </w:pPr>
            <w:r>
              <w:rPr>
                <w:rFonts w:ascii="方正书宋_GBK" w:hAnsi="宋体" w:cs="宋体"/>
                <w:color w:val="000000"/>
              </w:rPr>
              <w:t>C160102</w:t>
            </w:r>
          </w:p>
        </w:tc>
        <w:tc>
          <w:tcPr>
            <w:tcW w:w="709" w:type="dxa"/>
            <w:tcBorders>
              <w:top w:val="single" w:color="000000" w:sz="6" w:space="0"/>
              <w:left w:val="nil"/>
              <w:bottom w:val="single" w:color="000000" w:sz="6" w:space="0"/>
              <w:right w:val="single" w:color="000000" w:sz="6" w:space="0"/>
            </w:tcBorders>
            <w:vAlign w:val="center"/>
          </w:tcPr>
          <w:p>
            <w:pPr>
              <w:jc w:val="center"/>
              <w:rPr>
                <w:rFonts w:ascii="方正书宋_GBK" w:hAnsi="宋体" w:cs="宋体"/>
                <w:color w:val="000000"/>
              </w:rPr>
            </w:pPr>
            <w:r>
              <w:rPr>
                <w:rFonts w:ascii="方正书宋_GBK"/>
                <w:color w:val="000000"/>
              </w:rPr>
              <w:t>项</w:t>
            </w:r>
          </w:p>
        </w:tc>
        <w:tc>
          <w:tcPr>
            <w:tcW w:w="851"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w:t>
            </w:r>
          </w:p>
        </w:tc>
        <w:tc>
          <w:tcPr>
            <w:tcW w:w="109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100.00</w:t>
            </w:r>
          </w:p>
        </w:tc>
        <w:tc>
          <w:tcPr>
            <w:tcW w:w="108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100.00</w:t>
            </w:r>
          </w:p>
        </w:tc>
        <w:tc>
          <w:tcPr>
            <w:tcW w:w="806"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p>
        </w:tc>
        <w:tc>
          <w:tcPr>
            <w:tcW w:w="1054"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100.00　</w:t>
            </w:r>
          </w:p>
        </w:tc>
        <w:tc>
          <w:tcPr>
            <w:tcW w:w="107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50"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c>
          <w:tcPr>
            <w:tcW w:w="893" w:type="dxa"/>
            <w:tcBorders>
              <w:top w:val="single" w:color="000000" w:sz="6" w:space="0"/>
              <w:left w:val="nil"/>
              <w:bottom w:val="single" w:color="000000" w:sz="6" w:space="0"/>
              <w:right w:val="single" w:color="000000" w:sz="6" w:space="0"/>
            </w:tcBorders>
            <w:vAlign w:val="center"/>
          </w:tcPr>
          <w:p>
            <w:pPr>
              <w:jc w:val="right"/>
              <w:rPr>
                <w:rFonts w:ascii="方正书宋_GBK" w:hAnsi="宋体" w:cs="宋体"/>
                <w:color w:val="000000"/>
              </w:rPr>
            </w:pPr>
            <w:r>
              <w:rPr>
                <w:rFonts w:ascii="方正书宋_GBK"/>
                <w:color w:val="000000"/>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rPr>
                <w:rFonts w:ascii="方正书宋_GBK"/>
                <w:b/>
                <w:bCs/>
              </w:rPr>
            </w:pPr>
            <w:r>
              <w:rPr>
                <w:rFonts w:ascii="方正书宋_GBK"/>
              </w:rPr>
              <w:t>购置城中村环卫作业车辆</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r>
              <w:rPr>
                <w:rFonts w:ascii="方正书宋_GBK"/>
              </w:rPr>
              <w:t>120.00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r>
              <w:rPr>
                <w:rFonts w:ascii="方正书宋_GBK"/>
              </w:rPr>
              <w:t>街道清洗清扫车</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r>
              <w:rPr>
                <w:rFonts w:ascii="方正书宋_GBK"/>
              </w:rPr>
              <w:t>A0203072803</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color w:val="000000"/>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120.00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120.00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120.00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购置雾炮车费用</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80.00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其他清洁卫生车辆</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A0203072899</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80.00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80.00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80.00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jc w:val="left"/>
              <w:rPr>
                <w:rFonts w:ascii="方正书宋_GBK"/>
              </w:rPr>
            </w:pPr>
            <w:r>
              <w:rPr>
                <w:rFonts w:ascii="方正书宋_GBK"/>
              </w:rPr>
              <w:t>2020年生活垃圾分类工作经费</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180.00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垃圾处理服务</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C160102</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color w:val="000000"/>
              </w:rPr>
              <w:t>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color w:val="000000"/>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180.00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180.00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180.00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tcBorders>
              <w:top w:val="single" w:color="000000" w:sz="6" w:space="0"/>
              <w:left w:val="single" w:color="000000" w:sz="6" w:space="0"/>
              <w:bottom w:val="single" w:color="000000" w:sz="6" w:space="0"/>
              <w:right w:val="single" w:color="000000" w:sz="6" w:space="0"/>
            </w:tcBorders>
            <w:vAlign w:val="center"/>
          </w:tcPr>
          <w:p>
            <w:pPr>
              <w:spacing w:line="300" w:lineRule="exact"/>
              <w:rPr>
                <w:rFonts w:ascii="方正书宋_GBK"/>
                <w:b/>
                <w:bCs/>
              </w:rPr>
            </w:pPr>
            <w:r>
              <w:rPr>
                <w:rFonts w:ascii="方正书宋_GBK"/>
              </w:rPr>
              <w:t>改建移动厕所压缩设备及配套车辆</w:t>
            </w:r>
          </w:p>
        </w:tc>
        <w:tc>
          <w:tcPr>
            <w:tcW w:w="113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b/>
                <w:bCs/>
              </w:rPr>
            </w:pPr>
            <w:r>
              <w:rPr>
                <w:rFonts w:ascii="方正书宋_GBK"/>
              </w:rPr>
              <w:t>300.00</w:t>
            </w:r>
          </w:p>
        </w:tc>
        <w:tc>
          <w:tcPr>
            <w:tcW w:w="155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r>
              <w:rPr>
                <w:rFonts w:ascii="方正书宋_GBK"/>
              </w:rPr>
              <w:t>固体废弃物处理设备</w:t>
            </w:r>
          </w:p>
        </w:tc>
        <w:tc>
          <w:tcPr>
            <w:tcW w:w="1417"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b/>
                <w:bCs/>
              </w:rPr>
            </w:pPr>
            <w:r>
              <w:rPr>
                <w:rFonts w:ascii="方正书宋_GBK"/>
              </w:rPr>
              <w:t>A032403</w:t>
            </w:r>
          </w:p>
        </w:tc>
        <w:tc>
          <w:tcPr>
            <w:tcW w:w="709" w:type="dxa"/>
            <w:tcBorders>
              <w:top w:val="single" w:color="000000" w:sz="6" w:space="0"/>
              <w:left w:val="nil"/>
              <w:bottom w:val="single" w:color="000000" w:sz="6" w:space="0"/>
              <w:right w:val="single" w:color="000000" w:sz="6" w:space="0"/>
            </w:tcBorders>
            <w:vAlign w:val="center"/>
          </w:tcPr>
          <w:p>
            <w:pPr>
              <w:spacing w:line="300" w:lineRule="exact"/>
              <w:jc w:val="left"/>
              <w:rPr>
                <w:rFonts w:ascii="方正书宋_GBK"/>
              </w:rPr>
            </w:pPr>
            <w:r>
              <w:rPr>
                <w:rFonts w:ascii="方正书宋_GBK"/>
              </w:rPr>
              <w:t>批</w:t>
            </w:r>
          </w:p>
        </w:tc>
        <w:tc>
          <w:tcPr>
            <w:tcW w:w="851"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color w:val="000000"/>
              </w:rPr>
              <w:t>1.00</w:t>
            </w:r>
          </w:p>
        </w:tc>
        <w:tc>
          <w:tcPr>
            <w:tcW w:w="109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300.00</w:t>
            </w:r>
          </w:p>
        </w:tc>
        <w:tc>
          <w:tcPr>
            <w:tcW w:w="108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300.00</w:t>
            </w:r>
          </w:p>
        </w:tc>
        <w:tc>
          <w:tcPr>
            <w:tcW w:w="806"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1054"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r>
              <w:rPr>
                <w:rFonts w:ascii="方正书宋_GBK"/>
              </w:rPr>
              <w:t>300.00</w:t>
            </w:r>
          </w:p>
        </w:tc>
        <w:tc>
          <w:tcPr>
            <w:tcW w:w="107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50"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c>
          <w:tcPr>
            <w:tcW w:w="893" w:type="dxa"/>
            <w:tcBorders>
              <w:top w:val="single" w:color="000000" w:sz="6" w:space="0"/>
              <w:left w:val="nil"/>
              <w:bottom w:val="single" w:color="000000" w:sz="6" w:space="0"/>
              <w:right w:val="single" w:color="000000" w:sz="6" w:space="0"/>
            </w:tcBorders>
            <w:vAlign w:val="center"/>
          </w:tcPr>
          <w:p>
            <w:pPr>
              <w:spacing w:line="300" w:lineRule="exact"/>
              <w:jc w:val="right"/>
              <w:rPr>
                <w:rFonts w:ascii="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 xml:space="preserve"> </w:t>
      </w: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仿宋" w:hAnsi="仿宋" w:eastAsia="仿宋" w:cs="Times New Roman"/>
          <w:sz w:val="32"/>
          <w:szCs w:val="32"/>
        </w:rPr>
        <w:t>石家庄市藁城区住房和城乡建设局</w:t>
      </w:r>
      <w:r>
        <w:rPr>
          <w:rFonts w:hint="eastAsia" w:ascii="Times New Roman" w:hAnsi="Times New Roman" w:eastAsia="仿宋" w:cs="Times New Roman"/>
          <w:color w:val="000000"/>
          <w:sz w:val="32"/>
          <w:szCs w:val="32"/>
        </w:rPr>
        <w:t>2019</w:t>
      </w:r>
      <w:r>
        <w:rPr>
          <w:rFonts w:ascii="仿宋" w:hAnsi="仿宋" w:eastAsia="仿宋" w:cs="Times New Roman"/>
          <w:color w:val="000000"/>
          <w:sz w:val="32"/>
          <w:szCs w:val="32"/>
        </w:rPr>
        <w:t>年末固定资产金额为</w:t>
      </w:r>
      <w:r>
        <w:rPr>
          <w:rFonts w:hint="eastAsia" w:ascii="Times New Roman" w:hAnsi="Times New Roman" w:eastAsia="仿宋" w:cs="Times New Roman"/>
          <w:color w:val="000000"/>
          <w:sz w:val="32"/>
          <w:szCs w:val="32"/>
        </w:rPr>
        <w:t>3559.23311</w:t>
      </w:r>
      <w:r>
        <w:rPr>
          <w:rFonts w:ascii="仿宋" w:hAnsi="仿宋" w:eastAsia="仿宋" w:cs="Times New Roman"/>
          <w:color w:val="000000"/>
          <w:sz w:val="32"/>
          <w:szCs w:val="32"/>
        </w:rPr>
        <w:t>万元（详见下表），本年度各单位</w:t>
      </w:r>
      <w:r>
        <w:rPr>
          <w:rFonts w:hint="eastAsia" w:ascii="仿宋" w:hAnsi="仿宋" w:eastAsia="仿宋" w:cs="Times New Roman"/>
          <w:color w:val="000000"/>
          <w:sz w:val="32"/>
          <w:szCs w:val="32"/>
        </w:rPr>
        <w:t>（处室）</w:t>
      </w:r>
      <w:r>
        <w:rPr>
          <w:rFonts w:ascii="仿宋" w:hAnsi="仿宋" w:eastAsia="仿宋" w:cs="Times New Roman"/>
          <w:color w:val="000000"/>
          <w:sz w:val="32"/>
          <w:szCs w:val="32"/>
        </w:rPr>
        <w:t>拟购置固定资产</w:t>
      </w:r>
      <w:r>
        <w:rPr>
          <w:rFonts w:hint="eastAsia" w:ascii="仿宋" w:hAnsi="仿宋" w:eastAsia="仿宋" w:cs="Times New Roman"/>
          <w:color w:val="000000"/>
          <w:sz w:val="32"/>
          <w:szCs w:val="32"/>
        </w:rPr>
        <w:t>总额为</w:t>
      </w:r>
      <w:r>
        <w:rPr>
          <w:rFonts w:hint="eastAsia" w:ascii="Times New Roman" w:hAnsi="Times New Roman" w:eastAsia="仿宋" w:cs="Times New Roman"/>
          <w:color w:val="000000"/>
          <w:sz w:val="32"/>
          <w:szCs w:val="32"/>
        </w:rPr>
        <w:t>500</w:t>
      </w:r>
      <w:r>
        <w:rPr>
          <w:rFonts w:ascii="仿宋" w:hAnsi="仿宋" w:eastAsia="仿宋" w:cs="Times New Roman"/>
          <w:color w:val="000000"/>
          <w:sz w:val="32"/>
          <w:szCs w:val="32"/>
        </w:rPr>
        <w:t>万元，主要为</w:t>
      </w:r>
      <w:r>
        <w:rPr>
          <w:rFonts w:hint="eastAsia" w:ascii="仿宋" w:hAnsi="仿宋" w:eastAsia="仿宋" w:cs="Times New Roman"/>
          <w:color w:val="000000"/>
          <w:sz w:val="32"/>
          <w:szCs w:val="32"/>
        </w:rPr>
        <w:t>城中村环卫作业车辆</w:t>
      </w:r>
      <w:r>
        <w:rPr>
          <w:rFonts w:ascii="仿宋" w:hAnsi="仿宋" w:eastAsia="仿宋" w:cs="Times New Roman"/>
          <w:color w:val="000000"/>
          <w:sz w:val="32"/>
          <w:szCs w:val="32"/>
        </w:rPr>
        <w:t>、</w:t>
      </w:r>
      <w:r>
        <w:rPr>
          <w:rFonts w:hint="eastAsia" w:ascii="仿宋" w:hAnsi="仿宋" w:eastAsia="仿宋" w:cs="Times New Roman"/>
          <w:color w:val="000000"/>
          <w:sz w:val="32"/>
          <w:szCs w:val="32"/>
        </w:rPr>
        <w:t>雾炮车</w:t>
      </w:r>
      <w:r>
        <w:rPr>
          <w:rFonts w:ascii="仿宋" w:hAnsi="仿宋" w:eastAsia="仿宋" w:cs="Times New Roman"/>
          <w:color w:val="000000"/>
          <w:sz w:val="32"/>
          <w:szCs w:val="32"/>
        </w:rPr>
        <w:t>、</w:t>
      </w:r>
      <w:r>
        <w:rPr>
          <w:rFonts w:hint="eastAsia" w:ascii="仿宋" w:hAnsi="仿宋" w:eastAsia="仿宋" w:cs="Times New Roman"/>
          <w:color w:val="000000"/>
          <w:sz w:val="32"/>
          <w:szCs w:val="32"/>
        </w:rPr>
        <w:t>改建移动厕所压缩设备及配套车辆</w:t>
      </w:r>
      <w:r>
        <w:rPr>
          <w:rFonts w:ascii="仿宋" w:hAnsi="仿宋" w:eastAsia="仿宋" w:cs="Times New Roman"/>
          <w:color w:val="000000"/>
          <w:sz w:val="32"/>
          <w:szCs w:val="32"/>
        </w:rPr>
        <w:t>等，已列入政府采购预算表</w:t>
      </w:r>
      <w:r>
        <w:rPr>
          <w:rFonts w:hint="eastAsia" w:ascii="仿宋" w:hAnsi="仿宋" w:eastAsia="仿宋" w:cs="Times New Roman"/>
          <w:color w:val="000000"/>
          <w:sz w:val="32"/>
          <w:szCs w:val="32"/>
        </w:rPr>
        <w:t>，详见政府采购预算表。</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b/>
                <w:bCs/>
                <w:kern w:val="0"/>
                <w:sz w:val="32"/>
                <w:szCs w:val="32"/>
              </w:rPr>
            </w:pPr>
            <w:r>
              <w:rPr>
                <w:rFonts w:hint="eastAsia" w:ascii="宋体" w:hAnsi="宋体"/>
                <w:b/>
                <w:bCs/>
                <w:kern w:val="0"/>
                <w:sz w:val="32"/>
                <w:szCs w:val="32"/>
              </w:rPr>
              <w:t>石家庄市藁城区住房和城乡建设局固定资产占用情况表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编制部门：</w:t>
            </w:r>
            <w:r>
              <w:rPr>
                <w:rFonts w:hint="eastAsia" w:ascii="Times New Roman" w:hAnsi="Times New Roman" w:eastAsia="仿宋" w:cs="Times New Roman"/>
                <w:kern w:val="0"/>
                <w:sz w:val="22"/>
                <w:szCs w:val="22"/>
              </w:rPr>
              <w:t>石家庄市藁城区住房和城乡建设局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szCs w:val="22"/>
              </w:rPr>
              <w:t>截止时间：201</w:t>
            </w:r>
            <w:r>
              <w:rPr>
                <w:rFonts w:hint="eastAsia" w:ascii="Times New Roman" w:hAnsi="Times New Roman" w:eastAsia="仿宋" w:cs="Times New Roman"/>
                <w:kern w:val="0"/>
                <w:sz w:val="22"/>
                <w:szCs w:val="22"/>
              </w:rPr>
              <w:t>9</w:t>
            </w:r>
            <w:r>
              <w:rPr>
                <w:rFonts w:ascii="Times New Roman" w:hAnsi="Times New Roman" w:eastAsia="仿宋" w:cs="Times New Roman"/>
                <w:kern w:val="0"/>
                <w:sz w:val="22"/>
                <w:szCs w:val="22"/>
              </w:rPr>
              <w:t>年12</w:t>
            </w:r>
            <w:r>
              <w:rPr>
                <w:rFonts w:ascii="仿宋" w:hAnsi="仿宋" w:eastAsia="仿宋" w:cs="Times New Roman"/>
                <w:kern w:val="0"/>
                <w:sz w:val="22"/>
                <w:szCs w:val="22"/>
              </w:rPr>
              <w:t>月</w:t>
            </w:r>
            <w:r>
              <w:rPr>
                <w:rFonts w:ascii="Times New Roman" w:hAnsi="Times New Roman" w:eastAsia="仿宋" w:cs="Times New Roman"/>
                <w:kern w:val="0"/>
                <w:sz w:val="22"/>
                <w:szCs w:val="22"/>
              </w:rPr>
              <w:t>31</w:t>
            </w:r>
            <w:r>
              <w:rPr>
                <w:rFonts w:ascii="仿宋" w:hAnsi="仿宋" w:eastAsia="仿宋" w:cs="Times New Roman"/>
                <w:kern w:val="0"/>
                <w:sz w:val="22"/>
                <w:szCs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b/>
                <w:bCs/>
                <w:kern w:val="0"/>
                <w:sz w:val="22"/>
              </w:rPr>
            </w:pPr>
            <w:r>
              <w:rPr>
                <w:rFonts w:hint="eastAsia" w:ascii="宋体" w:hAnsi="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b/>
                <w:bCs/>
                <w:kern w:val="0"/>
                <w:sz w:val="22"/>
              </w:rPr>
            </w:pPr>
            <w:r>
              <w:rPr>
                <w:rFonts w:hint="eastAsia" w:ascii="宋体" w:hAnsi="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b/>
                <w:bCs/>
                <w:kern w:val="0"/>
                <w:sz w:val="22"/>
              </w:rPr>
            </w:pPr>
            <w:r>
              <w:rPr>
                <w:rFonts w:hint="eastAsia" w:ascii="宋体" w:hAnsi="宋体"/>
                <w:b/>
                <w:bCs/>
                <w:kern w:val="0"/>
                <w:sz w:val="22"/>
                <w:szCs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szCs w:val="22"/>
              </w:rPr>
              <w:t>3559.23311</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1</w:t>
            </w:r>
            <w:r>
              <w:rPr>
                <w:rFonts w:ascii="仿宋" w:hAnsi="仿宋" w:eastAsia="仿宋" w:cs="Times New Roman"/>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9416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368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9416</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368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2</w:t>
            </w:r>
            <w:r>
              <w:rPr>
                <w:rFonts w:ascii="仿宋" w:hAnsi="仿宋" w:eastAsia="仿宋" w:cs="Times New Roman"/>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119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2083.31</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3</w:t>
            </w:r>
            <w:r>
              <w:rPr>
                <w:rFonts w:ascii="仿宋" w:hAnsi="仿宋" w:eastAsia="仿宋" w:cs="Times New Roman"/>
                <w:kern w:val="0"/>
                <w:sz w:val="22"/>
                <w:szCs w:val="22"/>
              </w:rPr>
              <w:t>、单价在</w:t>
            </w:r>
            <w:r>
              <w:rPr>
                <w:rFonts w:ascii="Times New Roman" w:hAnsi="Times New Roman" w:eastAsia="仿宋" w:cs="Times New Roman"/>
                <w:kern w:val="0"/>
                <w:sz w:val="22"/>
                <w:szCs w:val="22"/>
              </w:rPr>
              <w:t>20</w:t>
            </w:r>
            <w:r>
              <w:rPr>
                <w:rFonts w:ascii="仿宋" w:hAnsi="仿宋" w:eastAsia="仿宋" w:cs="Times New Roman"/>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szCs w:val="22"/>
              </w:rPr>
              <w:t>4</w:t>
            </w:r>
            <w:r>
              <w:rPr>
                <w:rFonts w:ascii="仿宋" w:hAnsi="仿宋" w:eastAsia="仿宋" w:cs="Times New Roman"/>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szCs w:val="22"/>
              </w:rPr>
              <w:t>1107.92311</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hint="eastAsia" w:ascii="仿宋" w:hAnsi="仿宋" w:eastAsia="仿宋" w:cs="Times New Roman"/>
          <w:sz w:val="32"/>
          <w:szCs w:val="32"/>
        </w:rPr>
        <w:t>、一般公共预算拨款收入：指区县级财政当年拨付的资金。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hint="eastAsia" w:ascii="仿宋" w:hAnsi="仿宋"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hint="eastAsia" w:ascii="仿宋" w:hAnsi="仿宋"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w:t>
      </w:r>
      <w:r>
        <w:rPr>
          <w:rFonts w:hint="eastAsia" w:ascii="仿宋" w:hAnsi="仿宋"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w:t>
      </w:r>
      <w:r>
        <w:rPr>
          <w:rFonts w:hint="eastAsia" w:ascii="仿宋" w:hAnsi="仿宋"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w:t>
      </w:r>
      <w:r>
        <w:rPr>
          <w:rFonts w:hint="eastAsia" w:ascii="仿宋" w:hAnsi="仿宋"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w:t>
      </w:r>
      <w:r>
        <w:rPr>
          <w:rFonts w:hint="eastAsia" w:ascii="仿宋" w:hAnsi="仿宋" w:eastAsia="仿宋" w:cs="Times New Roman"/>
          <w:sz w:val="32"/>
          <w:szCs w:val="32"/>
        </w:rPr>
        <w:t>、“三公”经费：纳入区县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w:t>
      </w:r>
      <w:r>
        <w:rPr>
          <w:rFonts w:hint="eastAsia" w:ascii="仿宋" w:hAnsi="仿宋"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w:t>
      </w:r>
      <w:r>
        <w:rPr>
          <w:rFonts w:hint="eastAsia" w:ascii="仿宋" w:hAnsi="仿宋"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w:t>
      </w:r>
      <w:r>
        <w:rPr>
          <w:rFonts w:hint="eastAsia" w:ascii="仿宋" w:hAnsi="仿宋"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b/>
          <w:bCs/>
          <w:sz w:val="32"/>
          <w:szCs w:val="32"/>
        </w:rPr>
      </w:pPr>
      <w:r>
        <w:rPr>
          <w:rFonts w:ascii="宋体-方正超大字符集" w:hAnsi="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仿宋" w:hAnsi="仿宋" w:eastAsia="仿宋" w:cs="Times New Roman"/>
          <w:sz w:val="32"/>
          <w:szCs w:val="32"/>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537C0"/>
    <w:multiLevelType w:val="multilevel"/>
    <w:tmpl w:val="086537C0"/>
    <w:lvl w:ilvl="0" w:tentative="0">
      <w:start w:val="2"/>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17850F6E"/>
    <w:multiLevelType w:val="multilevel"/>
    <w:tmpl w:val="17850F6E"/>
    <w:lvl w:ilvl="0" w:tentative="0">
      <w:start w:val="1"/>
      <w:numFmt w:val="chineseCounting"/>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77C93543"/>
    <w:multiLevelType w:val="multilevel"/>
    <w:tmpl w:val="77C93543"/>
    <w:lvl w:ilvl="0" w:tentative="0">
      <w:start w:val="1"/>
      <w:numFmt w:val="decimal"/>
      <w:suff w:val="nothing"/>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05687"/>
    <w:rsid w:val="00405687"/>
    <w:rsid w:val="00644019"/>
    <w:rsid w:val="00BF0E7F"/>
    <w:rsid w:val="00EE74C3"/>
    <w:rsid w:val="00FD782D"/>
    <w:rsid w:val="00FF6C70"/>
    <w:rsid w:val="07EF572B"/>
    <w:rsid w:val="0A1B1D18"/>
    <w:rsid w:val="3075639A"/>
    <w:rsid w:val="36D35858"/>
    <w:rsid w:val="48B4120B"/>
    <w:rsid w:val="5EE40EB6"/>
    <w:rsid w:val="65133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qFormat/>
    <w:uiPriority w:val="99"/>
    <w:rPr>
      <w:sz w:val="18"/>
      <w:szCs w:val="18"/>
    </w:rPr>
  </w:style>
  <w:style w:type="character" w:customStyle="1" w:styleId="8">
    <w:name w:val="15"/>
    <w:basedOn w:val="5"/>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1443</Words>
  <Characters>8230</Characters>
  <Lines>68</Lines>
  <Paragraphs>19</Paragraphs>
  <TotalTime>2</TotalTime>
  <ScaleCrop>false</ScaleCrop>
  <LinksUpToDate>false</LinksUpToDate>
  <CharactersWithSpaces>9654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2021-05-13T05:52:00Z</dcterms:created>
  <dc:creator>HP</dc:creator>
  <cp:lastModifiedBy>Administrator</cp:lastModifiedBy>
  <dcterms:modified xsi:type="dcterms:W3CDTF">2024-02-23T02:27:03Z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