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 w:val="0"/>
        <w:spacing w:line="560" w:lineRule="exact"/>
        <w:jc w:val="left"/>
        <w:rPr>
          <w:rFonts w:ascii="宋体" w:hAnsi="宋体" w:cs="宋体"/>
          <w:b/>
          <w:bCs/>
          <w:sz w:val="36"/>
          <w:szCs w:val="36"/>
        </w:rPr>
      </w:pPr>
      <w:r>
        <w:rPr>
          <w:rFonts w:hint="eastAsia" w:ascii="仿宋" w:hAnsi="仿宋" w:eastAsia="仿宋" w:cs="仿宋"/>
          <w:sz w:val="32"/>
          <w:szCs w:val="32"/>
        </w:rPr>
        <w:t>附件1</w:t>
      </w:r>
    </w:p>
    <w:p>
      <w:pPr>
        <w:snapToGrid w:val="0"/>
        <w:spacing w:line="560" w:lineRule="exact"/>
        <w:jc w:val="center"/>
        <w:rPr>
          <w:rFonts w:ascii="宋体" w:hAnsi="宋体" w:cs="宋体"/>
          <w:b/>
          <w:bCs/>
          <w:sz w:val="36"/>
          <w:szCs w:val="36"/>
        </w:rPr>
      </w:pPr>
      <w:r>
        <w:rPr>
          <w:rFonts w:hint="eastAsia" w:ascii="宋体" w:hAnsi="宋体" w:cs="宋体"/>
          <w:b/>
          <w:bCs/>
          <w:sz w:val="36"/>
          <w:szCs w:val="36"/>
        </w:rPr>
        <w:t>2021年度石家庄市藁城区住房和城乡建设局</w:t>
      </w:r>
    </w:p>
    <w:p>
      <w:pPr>
        <w:snapToGrid w:val="0"/>
        <w:spacing w:line="560" w:lineRule="exact"/>
        <w:jc w:val="center"/>
        <w:rPr>
          <w:rFonts w:ascii="宋体" w:hAnsi="宋体" w:cs="宋体"/>
          <w:b/>
          <w:bCs/>
          <w:sz w:val="36"/>
          <w:szCs w:val="36"/>
        </w:rPr>
      </w:pPr>
      <w:r>
        <w:rPr>
          <w:rFonts w:hint="eastAsia" w:ascii="宋体" w:hAnsi="宋体" w:cs="宋体"/>
          <w:b/>
          <w:bCs/>
          <w:sz w:val="36"/>
          <w:szCs w:val="36"/>
        </w:rPr>
        <w:t>部门整体支出绩效评价报告</w:t>
      </w:r>
    </w:p>
    <w:p>
      <w:pPr>
        <w:snapToGrid w:val="0"/>
        <w:spacing w:line="560" w:lineRule="exact"/>
        <w:jc w:val="center"/>
        <w:rPr>
          <w:rFonts w:ascii="宋体" w:hAnsi="宋体" w:cs="宋体"/>
          <w:b/>
          <w:bCs/>
          <w:sz w:val="36"/>
          <w:szCs w:val="36"/>
        </w:rPr>
      </w:pPr>
    </w:p>
    <w:p>
      <w:pPr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宋体"/>
          <w:sz w:val="32"/>
          <w:szCs w:val="32"/>
        </w:rPr>
        <w:t>为</w:t>
      </w:r>
      <w:r>
        <w:rPr>
          <w:rFonts w:hint="eastAsia" w:ascii="仿宋" w:hAnsi="仿宋" w:eastAsia="仿宋" w:cs="仿宋_GB2312"/>
          <w:sz w:val="32"/>
          <w:szCs w:val="32"/>
        </w:rPr>
        <w:t>进一步推进我区绩效预算管理工作，提高财政资金使用效益和财政管理科学化、精细化水平</w:t>
      </w:r>
      <w:r>
        <w:rPr>
          <w:rFonts w:hint="eastAsia" w:ascii="仿宋" w:hAnsi="仿宋" w:eastAsia="仿宋" w:cs="宋体"/>
          <w:sz w:val="32"/>
          <w:szCs w:val="32"/>
        </w:rPr>
        <w:t>，</w:t>
      </w:r>
      <w:r>
        <w:rPr>
          <w:rFonts w:hint="eastAsia" w:ascii="仿宋" w:hAnsi="仿宋" w:eastAsia="仿宋" w:cs="仿宋_GB2312"/>
          <w:sz w:val="32"/>
          <w:szCs w:val="32"/>
        </w:rPr>
        <w:t>根据</w:t>
      </w:r>
      <w:r>
        <w:rPr>
          <w:rFonts w:hint="eastAsia" w:ascii="仿宋" w:hAnsi="仿宋" w:eastAsia="仿宋" w:cs="宋体"/>
          <w:sz w:val="32"/>
          <w:szCs w:val="32"/>
        </w:rPr>
        <w:t>《石家庄市藁城区区级部门预算项目绩效自评管理办法》（藁财字</w:t>
      </w:r>
      <w:r>
        <w:rPr>
          <w:rFonts w:hint="eastAsia" w:ascii="仿宋" w:hAnsi="仿宋" w:eastAsia="仿宋" w:cs="仿宋"/>
          <w:sz w:val="32"/>
          <w:szCs w:val="32"/>
        </w:rPr>
        <w:t>〔2020〕23号</w:t>
      </w:r>
      <w:r>
        <w:rPr>
          <w:rFonts w:hint="eastAsia" w:ascii="仿宋" w:hAnsi="仿宋" w:eastAsia="仿宋" w:cs="宋体"/>
          <w:sz w:val="32"/>
          <w:szCs w:val="32"/>
        </w:rPr>
        <w:t>）要求</w:t>
      </w:r>
      <w:r>
        <w:rPr>
          <w:rFonts w:hint="eastAsia" w:ascii="仿宋" w:hAnsi="仿宋" w:eastAsia="仿宋"/>
          <w:sz w:val="32"/>
          <w:szCs w:val="32"/>
        </w:rPr>
        <w:t>，遵循“科学性、规范性、客观性和公正性”的原则，</w:t>
      </w:r>
      <w:r>
        <w:rPr>
          <w:rFonts w:hint="eastAsia" w:ascii="仿宋" w:hAnsi="仿宋" w:eastAsia="仿宋" w:cs="仿宋"/>
          <w:sz w:val="32"/>
          <w:szCs w:val="32"/>
        </w:rPr>
        <w:t>我局认真开展了2021年度预算绩效自评工作，现将有关情况报告如下：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一、部门基本情况及职责职能</w:t>
      </w:r>
    </w:p>
    <w:p>
      <w:pPr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部门单位职能如下：</w:t>
      </w:r>
    </w:p>
    <w:p>
      <w:pPr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z w:val="32"/>
          <w:szCs w:val="32"/>
        </w:rPr>
        <w:t>(</w:t>
      </w:r>
      <w:r>
        <w:rPr>
          <w:rFonts w:hint="eastAsia" w:ascii="仿宋" w:hAnsi="仿宋" w:eastAsia="仿宋" w:cs="仿宋"/>
          <w:sz w:val="32"/>
          <w:szCs w:val="32"/>
        </w:rPr>
        <w:t>1</w:t>
      </w:r>
      <w:r>
        <w:rPr>
          <w:rFonts w:ascii="仿宋" w:hAnsi="仿宋" w:eastAsia="仿宋" w:cs="仿宋"/>
          <w:sz w:val="32"/>
          <w:szCs w:val="32"/>
        </w:rPr>
        <w:t>)</w:t>
      </w:r>
      <w:r>
        <w:rPr>
          <w:rFonts w:hint="eastAsia" w:ascii="仿宋" w:hAnsi="仿宋" w:eastAsia="仿宋" w:cs="仿宋"/>
          <w:sz w:val="32"/>
          <w:szCs w:val="32"/>
        </w:rPr>
        <w:t>监管建筑市场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</w:rPr>
        <w:t>监督管理建筑市场、规范市场各方主体行为。规范建筑市场，办理施工许可、竣工备案、监督、管理建筑市场准入、工程招投标、工程咨询、工程监理、工程质量、工程稽查和安全；组织或参与重大工程质量事故的调查处理；负责工程质量的审核与评定及对工程质量纠纷的仲裁；负责建筑安装、建筑装饰的行业管理，包括对建筑安装、建筑装饰企业的资质管理；监督检查工程质量及施工安全。移交建设项目档案、工程档案预验收、对市区建设工程（含市政工程）档案监管。</w:t>
      </w:r>
      <w:r>
        <w:rPr>
          <w:rFonts w:ascii="仿宋" w:hAnsi="仿宋" w:eastAsia="仿宋" w:cs="仿宋"/>
          <w:sz w:val="32"/>
          <w:szCs w:val="32"/>
        </w:rPr>
        <w:tab/>
      </w:r>
    </w:p>
    <w:p>
      <w:pPr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z w:val="32"/>
          <w:szCs w:val="32"/>
        </w:rPr>
        <w:t>(</w:t>
      </w:r>
      <w:r>
        <w:rPr>
          <w:rFonts w:hint="eastAsia" w:ascii="仿宋" w:hAnsi="仿宋" w:eastAsia="仿宋" w:cs="仿宋"/>
          <w:sz w:val="32"/>
          <w:szCs w:val="32"/>
        </w:rPr>
        <w:t>2</w:t>
      </w:r>
      <w:r>
        <w:rPr>
          <w:rFonts w:ascii="仿宋" w:hAnsi="仿宋" w:eastAsia="仿宋" w:cs="仿宋"/>
          <w:sz w:val="32"/>
          <w:szCs w:val="32"/>
        </w:rPr>
        <w:t>)</w:t>
      </w:r>
      <w:r>
        <w:rPr>
          <w:rFonts w:hint="eastAsia" w:ascii="仿宋" w:hAnsi="仿宋" w:eastAsia="仿宋" w:cs="仿宋"/>
          <w:sz w:val="32"/>
          <w:szCs w:val="32"/>
        </w:rPr>
        <w:t>推进建筑节能、城镇减排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</w:rPr>
        <w:t>承担推进建筑节能、城镇减排的责任。会同有关部门拟定建筑节能的政策、规划并监督实施；指导房屋墙体材料革新工作；组织实施重大建筑节能项目、推进城镇减排。完成建筑节能、城镇减排目标任务。</w:t>
      </w:r>
    </w:p>
    <w:p>
      <w:pPr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z w:val="32"/>
          <w:szCs w:val="32"/>
        </w:rPr>
        <w:t>(</w:t>
      </w:r>
      <w:r>
        <w:rPr>
          <w:rFonts w:hint="eastAsia" w:ascii="仿宋" w:hAnsi="仿宋" w:eastAsia="仿宋" w:cs="仿宋"/>
          <w:sz w:val="32"/>
          <w:szCs w:val="32"/>
        </w:rPr>
        <w:t>3</w:t>
      </w:r>
      <w:r>
        <w:rPr>
          <w:rFonts w:ascii="仿宋" w:hAnsi="仿宋" w:eastAsia="仿宋" w:cs="仿宋"/>
          <w:sz w:val="32"/>
          <w:szCs w:val="32"/>
        </w:rPr>
        <w:t>)</w:t>
      </w:r>
      <w:r>
        <w:rPr>
          <w:rFonts w:hint="eastAsia" w:ascii="仿宋" w:hAnsi="仿宋" w:eastAsia="仿宋" w:cs="仿宋"/>
          <w:sz w:val="32"/>
          <w:szCs w:val="32"/>
        </w:rPr>
        <w:t>城市基础设施建设 对城市建设和科学发展进行综合性研究，组织开展以城乡建设为主要内容的研究活动，提供相关咨询服务等，为区委区政府提供城市建设决策建议。</w:t>
      </w:r>
    </w:p>
    <w:p>
      <w:pPr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z w:val="32"/>
          <w:szCs w:val="32"/>
        </w:rPr>
        <w:t>(</w:t>
      </w:r>
      <w:r>
        <w:rPr>
          <w:rFonts w:hint="eastAsia" w:ascii="仿宋" w:hAnsi="仿宋" w:eastAsia="仿宋" w:cs="仿宋"/>
          <w:sz w:val="32"/>
          <w:szCs w:val="32"/>
        </w:rPr>
        <w:t>4</w:t>
      </w:r>
      <w:r>
        <w:rPr>
          <w:rFonts w:ascii="仿宋" w:hAnsi="仿宋" w:eastAsia="仿宋" w:cs="仿宋"/>
          <w:sz w:val="32"/>
          <w:szCs w:val="32"/>
        </w:rPr>
        <w:t>)</w:t>
      </w:r>
      <w:r>
        <w:rPr>
          <w:rFonts w:hint="eastAsia" w:ascii="仿宋" w:hAnsi="仿宋" w:eastAsia="仿宋" w:cs="仿宋"/>
          <w:sz w:val="32"/>
          <w:szCs w:val="32"/>
        </w:rPr>
        <w:t>规范、指导村镇建设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</w:rPr>
        <w:t>承担规范、指导村镇建设工作指导全区乡镇和村庄的建设与管理，推动村镇建设的改革与发展规范指导村镇建设。</w:t>
      </w:r>
    </w:p>
    <w:p>
      <w:pPr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z w:val="32"/>
          <w:szCs w:val="32"/>
        </w:rPr>
        <w:t>(</w:t>
      </w:r>
      <w:r>
        <w:rPr>
          <w:rFonts w:hint="eastAsia" w:ascii="仿宋" w:hAnsi="仿宋" w:eastAsia="仿宋" w:cs="仿宋"/>
          <w:sz w:val="32"/>
          <w:szCs w:val="32"/>
        </w:rPr>
        <w:t>5</w:t>
      </w:r>
      <w:r>
        <w:rPr>
          <w:rFonts w:ascii="仿宋" w:hAnsi="仿宋" w:eastAsia="仿宋" w:cs="仿宋"/>
          <w:sz w:val="32"/>
          <w:szCs w:val="32"/>
        </w:rPr>
        <w:t>)</w:t>
      </w:r>
      <w:r>
        <w:rPr>
          <w:rFonts w:hint="eastAsia" w:ascii="仿宋" w:hAnsi="仿宋" w:eastAsia="仿宋" w:cs="仿宋"/>
          <w:sz w:val="32"/>
          <w:szCs w:val="32"/>
        </w:rPr>
        <w:t>区住房和城乡建设工作综合事务管理</w:t>
      </w:r>
      <w:r>
        <w:rPr>
          <w:rFonts w:ascii="仿宋" w:hAnsi="仿宋" w:eastAsia="仿宋" w:cs="仿宋"/>
          <w:sz w:val="32"/>
          <w:szCs w:val="32"/>
        </w:rPr>
        <w:tab/>
      </w:r>
      <w:r>
        <w:rPr>
          <w:rFonts w:hint="eastAsia" w:ascii="仿宋" w:hAnsi="仿宋" w:eastAsia="仿宋" w:cs="仿宋"/>
          <w:sz w:val="32"/>
          <w:szCs w:val="32"/>
        </w:rPr>
        <w:t>负责住建系统综合业务管理和机关综合事务管理，提升住房和城乡建设工作综合事务管理水平。</w:t>
      </w:r>
    </w:p>
    <w:p>
      <w:pPr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z w:val="32"/>
          <w:szCs w:val="32"/>
        </w:rPr>
        <w:t>(</w:t>
      </w:r>
      <w:r>
        <w:rPr>
          <w:rFonts w:hint="eastAsia" w:ascii="仿宋" w:hAnsi="仿宋" w:eastAsia="仿宋" w:cs="仿宋"/>
          <w:sz w:val="32"/>
          <w:szCs w:val="32"/>
        </w:rPr>
        <w:t>6</w:t>
      </w:r>
      <w:r>
        <w:rPr>
          <w:rFonts w:ascii="仿宋" w:hAnsi="仿宋" w:eastAsia="仿宋" w:cs="仿宋"/>
          <w:sz w:val="32"/>
          <w:szCs w:val="32"/>
        </w:rPr>
        <w:t>)</w:t>
      </w:r>
      <w:r>
        <w:rPr>
          <w:rFonts w:hint="eastAsia" w:ascii="仿宋" w:hAnsi="仿宋" w:eastAsia="仿宋" w:cs="仿宋"/>
          <w:sz w:val="32"/>
          <w:szCs w:val="32"/>
        </w:rPr>
        <w:t>决算、审计职能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</w:rPr>
        <w:t>负责我市建设工程项目的概、预算编制，代理编制预算、审核标底，竣工建设项目的决算工作，为建设经济纠纷提出法律依据。</w:t>
      </w:r>
      <w:r>
        <w:rPr>
          <w:rFonts w:ascii="仿宋" w:hAnsi="仿宋" w:eastAsia="仿宋" w:cs="仿宋"/>
          <w:sz w:val="32"/>
          <w:szCs w:val="32"/>
        </w:rPr>
        <w:tab/>
      </w:r>
    </w:p>
    <w:p>
      <w:pPr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z w:val="32"/>
          <w:szCs w:val="32"/>
        </w:rPr>
        <w:t>(</w:t>
      </w:r>
      <w:r>
        <w:rPr>
          <w:rFonts w:hint="eastAsia" w:ascii="仿宋" w:hAnsi="仿宋" w:eastAsia="仿宋" w:cs="仿宋"/>
          <w:sz w:val="32"/>
          <w:szCs w:val="32"/>
        </w:rPr>
        <w:t>7</w:t>
      </w:r>
      <w:r>
        <w:rPr>
          <w:rFonts w:ascii="仿宋" w:hAnsi="仿宋" w:eastAsia="仿宋" w:cs="仿宋"/>
          <w:sz w:val="32"/>
          <w:szCs w:val="32"/>
        </w:rPr>
        <w:t>)</w:t>
      </w:r>
      <w:r>
        <w:rPr>
          <w:rFonts w:hint="eastAsia" w:ascii="仿宋" w:hAnsi="仿宋" w:eastAsia="仿宋" w:cs="仿宋"/>
          <w:sz w:val="32"/>
          <w:szCs w:val="32"/>
        </w:rPr>
        <w:t>燃气热力市场监管 负责全市燃气热力市场的监管工作</w:t>
      </w:r>
      <w:r>
        <w:rPr>
          <w:rFonts w:ascii="仿宋" w:hAnsi="仿宋" w:eastAsia="仿宋" w:cs="仿宋"/>
          <w:sz w:val="32"/>
          <w:szCs w:val="32"/>
        </w:rPr>
        <w:tab/>
      </w:r>
      <w:r>
        <w:rPr>
          <w:rFonts w:hint="eastAsia" w:ascii="仿宋" w:hAnsi="仿宋" w:eastAsia="仿宋" w:cs="仿宋"/>
          <w:sz w:val="32"/>
          <w:szCs w:val="32"/>
        </w:rPr>
        <w:t>规范燃气热力市场，维护燃气热力市场秩序。</w:t>
      </w:r>
    </w:p>
    <w:p>
      <w:pPr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z w:val="32"/>
          <w:szCs w:val="32"/>
        </w:rPr>
        <w:t>(</w:t>
      </w:r>
      <w:r>
        <w:rPr>
          <w:rFonts w:hint="eastAsia" w:ascii="仿宋" w:hAnsi="仿宋" w:eastAsia="仿宋" w:cs="仿宋"/>
          <w:sz w:val="32"/>
          <w:szCs w:val="32"/>
        </w:rPr>
        <w:t>8</w:t>
      </w:r>
      <w:r>
        <w:rPr>
          <w:rFonts w:ascii="仿宋" w:hAnsi="仿宋" w:eastAsia="仿宋" w:cs="仿宋"/>
          <w:sz w:val="32"/>
          <w:szCs w:val="32"/>
        </w:rPr>
        <w:t>)</w:t>
      </w:r>
      <w:r>
        <w:rPr>
          <w:rFonts w:hint="eastAsia" w:ascii="仿宋" w:hAnsi="仿宋" w:eastAsia="仿宋" w:cs="仿宋"/>
          <w:sz w:val="32"/>
          <w:szCs w:val="32"/>
        </w:rPr>
        <w:t>广场养护管理</w:t>
      </w:r>
      <w:r>
        <w:rPr>
          <w:rFonts w:ascii="仿宋" w:hAnsi="仿宋" w:eastAsia="仿宋" w:cs="仿宋"/>
          <w:sz w:val="32"/>
          <w:szCs w:val="32"/>
        </w:rPr>
        <w:tab/>
      </w:r>
      <w:r>
        <w:rPr>
          <w:rFonts w:hint="eastAsia" w:ascii="仿宋" w:hAnsi="仿宋" w:eastAsia="仿宋" w:cs="仿宋"/>
          <w:sz w:val="32"/>
          <w:szCs w:val="32"/>
        </w:rPr>
        <w:t>负责人民广场内的卫生、园林绿化、安全秩序、小品设施管护，广场日常养护管理达到河北省二级管理标准。</w:t>
      </w:r>
    </w:p>
    <w:p>
      <w:pPr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z w:val="32"/>
          <w:szCs w:val="32"/>
        </w:rPr>
        <w:t>(</w:t>
      </w:r>
      <w:r>
        <w:rPr>
          <w:rFonts w:hint="eastAsia" w:ascii="仿宋" w:hAnsi="仿宋" w:eastAsia="仿宋" w:cs="仿宋"/>
          <w:sz w:val="32"/>
          <w:szCs w:val="32"/>
        </w:rPr>
        <w:t>9</w:t>
      </w:r>
      <w:r>
        <w:rPr>
          <w:rFonts w:ascii="仿宋" w:hAnsi="仿宋" w:eastAsia="仿宋" w:cs="仿宋"/>
          <w:sz w:val="32"/>
          <w:szCs w:val="32"/>
        </w:rPr>
        <w:t>)</w:t>
      </w:r>
      <w:r>
        <w:rPr>
          <w:rFonts w:hint="eastAsia" w:ascii="仿宋" w:hAnsi="仿宋" w:eastAsia="仿宋" w:cs="仿宋"/>
          <w:sz w:val="32"/>
          <w:szCs w:val="32"/>
        </w:rPr>
        <w:t>保障性住房建设管理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</w:rPr>
        <w:t>负责辖区保障性住房购建、分配、管理工作，以及建立完善住房保障体系。负责城镇廉租住房申请人资格审核及住房租赁补贴工作。</w:t>
      </w:r>
      <w:r>
        <w:rPr>
          <w:rFonts w:ascii="仿宋" w:hAnsi="仿宋" w:eastAsia="仿宋" w:cs="仿宋"/>
          <w:sz w:val="32"/>
          <w:szCs w:val="32"/>
        </w:rPr>
        <w:tab/>
      </w:r>
      <w:r>
        <w:rPr>
          <w:rFonts w:hint="eastAsia" w:ascii="仿宋" w:hAnsi="仿宋" w:eastAsia="仿宋" w:cs="仿宋"/>
          <w:sz w:val="32"/>
          <w:szCs w:val="32"/>
        </w:rPr>
        <w:t>加强保障性住房建设管理工作。</w:t>
      </w:r>
    </w:p>
    <w:p>
      <w:pPr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z w:val="32"/>
          <w:szCs w:val="32"/>
        </w:rPr>
        <w:t>(</w:t>
      </w:r>
      <w:r>
        <w:rPr>
          <w:rFonts w:hint="eastAsia" w:ascii="仿宋" w:hAnsi="仿宋" w:eastAsia="仿宋" w:cs="仿宋"/>
          <w:sz w:val="32"/>
          <w:szCs w:val="32"/>
        </w:rPr>
        <w:t>10</w:t>
      </w:r>
      <w:r>
        <w:rPr>
          <w:rFonts w:ascii="仿宋" w:hAnsi="仿宋" w:eastAsia="仿宋" w:cs="仿宋"/>
          <w:sz w:val="32"/>
          <w:szCs w:val="32"/>
        </w:rPr>
        <w:t>)</w:t>
      </w:r>
      <w:r>
        <w:rPr>
          <w:rFonts w:hint="eastAsia" w:ascii="仿宋" w:hAnsi="仿宋" w:eastAsia="仿宋" w:cs="仿宋"/>
          <w:sz w:val="32"/>
          <w:szCs w:val="32"/>
        </w:rPr>
        <w:t>房地产管理</w:t>
      </w:r>
      <w:r>
        <w:rPr>
          <w:rFonts w:ascii="仿宋" w:hAnsi="仿宋" w:eastAsia="仿宋" w:cs="仿宋"/>
          <w:sz w:val="32"/>
          <w:szCs w:val="32"/>
        </w:rPr>
        <w:tab/>
      </w:r>
      <w:r>
        <w:rPr>
          <w:rFonts w:hint="eastAsia" w:ascii="仿宋" w:hAnsi="仿宋" w:eastAsia="仿宋" w:cs="仿宋"/>
          <w:sz w:val="32"/>
          <w:szCs w:val="32"/>
        </w:rPr>
        <w:t xml:space="preserve"> 负责辖区房屋登记及房产交易管理、房地产开发经营管理，房屋交易、登记管理。</w:t>
      </w:r>
    </w:p>
    <w:p>
      <w:pPr>
        <w:adjustRightInd w:val="0"/>
        <w:snapToGrid w:val="0"/>
        <w:spacing w:line="58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11）开展市容环境卫生、市政公用设施、园林绿化、城乡规划、住房和城乡建设管理五个方面的行政执法和处罚；负责国土、环保、市场监督、交通管理、水务管理等方面的行政处罚。负责主城区市容管理、监察并对各乡镇、开发区城市管理综合行政执法工作监督指导，机动执法；城市市容景观广告牌匾的监督、管理工作；建立数字城管指挥系统，对城市管理工作即时监控，发现问题及时指挥、协调和督办；负责对乡镇环境卫生清扫保洁的督导检查、综合评比和统筹协调工作；负责便民市场规范化运行和日常监管工作。</w:t>
      </w:r>
    </w:p>
    <w:p>
      <w:pPr>
        <w:adjustRightInd w:val="0"/>
        <w:snapToGrid w:val="0"/>
        <w:spacing w:line="58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（12）负责拟制城市基础设施维护的发展战略和中长期规划；负责城区道路、桥涵、泵站、城市排水、城市路灯等市政公用设施的建设、维修养护及管理工作。</w:t>
      </w:r>
    </w:p>
    <w:p>
      <w:pPr>
        <w:adjustRightInd w:val="0"/>
        <w:snapToGrid w:val="0"/>
        <w:spacing w:line="58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（13）参与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制订</w:t>
      </w:r>
      <w:r>
        <w:rPr>
          <w:rFonts w:hint="eastAsia" w:ascii="仿宋" w:hAnsi="仿宋" w:eastAsia="仿宋" w:cs="仿宋"/>
          <w:sz w:val="32"/>
          <w:szCs w:val="32"/>
        </w:rPr>
        <w:t>年度绿化计划；负责建成区绿化规划设计，完成上级提出的绿化指标；负责园林绿地日常养护管理，指导、督促和巡查城市绿化工作；组织绿化技术咨询活动；负责花卉、苗木的培育、开发，引进、推广新品种及检疫工作；落实绿线管制制度，负责“绿色图章”使用；协助查处违反城市绿化法律、法规等行为。</w:t>
      </w:r>
    </w:p>
    <w:p>
      <w:pPr>
        <w:adjustRightInd w:val="0"/>
        <w:snapToGrid w:val="0"/>
        <w:spacing w:line="58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14）负责水上公园和儿童公园的养护管理，具体包括向社会提供休闲、娱乐、健身活动场所；常年向社会提供植物、花卉的管理知识咨询；对园内的植物进行日常绿化管护；搞好园内的环境卫生工作；做好园内游乐设施和设施设备的安全隐患排查和维修保养。</w:t>
      </w:r>
    </w:p>
    <w:p>
      <w:pPr>
        <w:adjustRightInd w:val="0"/>
        <w:snapToGrid w:val="0"/>
        <w:spacing w:line="58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（15）负责城区主次干道、世纪大道、307国道、省道县道及廉州镇城中村的清扫保洁、垃圾转运工作；负责垃圾场、垃圾转运站、垃圾箱、城市公共厕所等公用设施的建设维护工作；负责城市环境卫生日</w:t>
      </w:r>
      <w:bookmarkStart w:id="0" w:name="_GoBack"/>
      <w:bookmarkEnd w:id="0"/>
      <w:r>
        <w:rPr>
          <w:rFonts w:hint="eastAsia" w:ascii="仿宋" w:hAnsi="仿宋" w:eastAsia="仿宋" w:cs="仿宋"/>
          <w:sz w:val="32"/>
          <w:szCs w:val="32"/>
        </w:rPr>
        <w:t>常巡查工作；负责生活垃圾分类管理工作等。</w:t>
      </w:r>
    </w:p>
    <w:p>
      <w:pPr>
        <w:keepNext/>
        <w:keepLines/>
        <w:spacing w:line="580" w:lineRule="exact"/>
        <w:ind w:firstLine="640" w:firstLineChars="200"/>
        <w:jc w:val="left"/>
        <w:outlineLvl w:val="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机构设置及人员数量，具体情况如下：</w:t>
      </w:r>
    </w:p>
    <w:tbl>
      <w:tblPr>
        <w:tblStyle w:val="5"/>
        <w:tblpPr w:leftFromText="180" w:rightFromText="180" w:vertAnchor="text" w:horzAnchor="page" w:tblpXSpec="center" w:tblpY="10"/>
        <w:tblOverlap w:val="never"/>
        <w:tblW w:w="8897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85"/>
        <w:gridCol w:w="6211"/>
        <w:gridCol w:w="170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1" w:hRule="atLeast"/>
          <w:jc w:val="center"/>
        </w:trPr>
        <w:tc>
          <w:tcPr>
            <w:tcW w:w="985" w:type="dxa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序号</w:t>
            </w:r>
          </w:p>
        </w:tc>
        <w:tc>
          <w:tcPr>
            <w:tcW w:w="6211" w:type="dxa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单位名称</w:t>
            </w:r>
          </w:p>
        </w:tc>
        <w:tc>
          <w:tcPr>
            <w:tcW w:w="1701" w:type="dxa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人员数量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6" w:hRule="atLeast"/>
          <w:jc w:val="center"/>
        </w:trPr>
        <w:tc>
          <w:tcPr>
            <w:tcW w:w="985" w:type="dxa"/>
          </w:tcPr>
          <w:p>
            <w:pPr>
              <w:spacing w:line="560" w:lineRule="exact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1</w:t>
            </w:r>
          </w:p>
        </w:tc>
        <w:tc>
          <w:tcPr>
            <w:tcW w:w="6211" w:type="dxa"/>
          </w:tcPr>
          <w:p>
            <w:pPr>
              <w:spacing w:line="560" w:lineRule="exact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石家庄市藁城区住房和城乡建设局(本级)</w:t>
            </w:r>
          </w:p>
        </w:tc>
        <w:tc>
          <w:tcPr>
            <w:tcW w:w="1701" w:type="dxa"/>
          </w:tcPr>
          <w:p>
            <w:pPr>
              <w:spacing w:line="560" w:lineRule="exact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148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6" w:hRule="atLeast"/>
          <w:jc w:val="center"/>
        </w:trPr>
        <w:tc>
          <w:tcPr>
            <w:tcW w:w="985" w:type="dxa"/>
          </w:tcPr>
          <w:p>
            <w:pPr>
              <w:spacing w:line="560" w:lineRule="exact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2</w:t>
            </w:r>
          </w:p>
        </w:tc>
        <w:tc>
          <w:tcPr>
            <w:tcW w:w="6211" w:type="dxa"/>
          </w:tcPr>
          <w:p>
            <w:pPr>
              <w:spacing w:line="560" w:lineRule="exact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石家庄市藁城区人民广场</w:t>
            </w:r>
          </w:p>
        </w:tc>
        <w:tc>
          <w:tcPr>
            <w:tcW w:w="1701" w:type="dxa"/>
          </w:tcPr>
          <w:p>
            <w:pPr>
              <w:spacing w:line="560" w:lineRule="exact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28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6" w:hRule="atLeast"/>
          <w:jc w:val="center"/>
        </w:trPr>
        <w:tc>
          <w:tcPr>
            <w:tcW w:w="985" w:type="dxa"/>
          </w:tcPr>
          <w:p>
            <w:pPr>
              <w:spacing w:line="560" w:lineRule="exact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3</w:t>
            </w:r>
          </w:p>
        </w:tc>
        <w:tc>
          <w:tcPr>
            <w:tcW w:w="6211" w:type="dxa"/>
          </w:tcPr>
          <w:p>
            <w:pPr>
              <w:spacing w:line="560" w:lineRule="exact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石家庄市藁城区城市管理综合执法大队</w:t>
            </w:r>
          </w:p>
        </w:tc>
        <w:tc>
          <w:tcPr>
            <w:tcW w:w="1701" w:type="dxa"/>
          </w:tcPr>
          <w:p>
            <w:pPr>
              <w:spacing w:line="560" w:lineRule="exact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83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6" w:hRule="atLeast"/>
          <w:jc w:val="center"/>
        </w:trPr>
        <w:tc>
          <w:tcPr>
            <w:tcW w:w="985" w:type="dxa"/>
          </w:tcPr>
          <w:p>
            <w:pPr>
              <w:spacing w:line="560" w:lineRule="exact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4</w:t>
            </w:r>
          </w:p>
        </w:tc>
        <w:tc>
          <w:tcPr>
            <w:tcW w:w="6211" w:type="dxa"/>
          </w:tcPr>
          <w:p>
            <w:pPr>
              <w:spacing w:line="560" w:lineRule="exact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石家庄市藁城区市政设施维护中心</w:t>
            </w:r>
          </w:p>
        </w:tc>
        <w:tc>
          <w:tcPr>
            <w:tcW w:w="1701" w:type="dxa"/>
          </w:tcPr>
          <w:p>
            <w:pPr>
              <w:spacing w:line="560" w:lineRule="exact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16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6" w:hRule="atLeast"/>
          <w:jc w:val="center"/>
        </w:trPr>
        <w:tc>
          <w:tcPr>
            <w:tcW w:w="985" w:type="dxa"/>
          </w:tcPr>
          <w:p>
            <w:pPr>
              <w:spacing w:line="560" w:lineRule="exact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5</w:t>
            </w:r>
          </w:p>
        </w:tc>
        <w:tc>
          <w:tcPr>
            <w:tcW w:w="6211" w:type="dxa"/>
          </w:tcPr>
          <w:p>
            <w:pPr>
              <w:spacing w:line="560" w:lineRule="exact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石家庄市藁城区园林绿化服务站</w:t>
            </w:r>
          </w:p>
        </w:tc>
        <w:tc>
          <w:tcPr>
            <w:tcW w:w="1701" w:type="dxa"/>
          </w:tcPr>
          <w:p>
            <w:pPr>
              <w:spacing w:line="560" w:lineRule="exact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6" w:hRule="atLeast"/>
          <w:jc w:val="center"/>
        </w:trPr>
        <w:tc>
          <w:tcPr>
            <w:tcW w:w="985" w:type="dxa"/>
          </w:tcPr>
          <w:p>
            <w:pPr>
              <w:spacing w:line="560" w:lineRule="exact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6</w:t>
            </w:r>
          </w:p>
        </w:tc>
        <w:tc>
          <w:tcPr>
            <w:tcW w:w="6211" w:type="dxa"/>
          </w:tcPr>
          <w:p>
            <w:pPr>
              <w:spacing w:line="560" w:lineRule="exact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石家庄市藁城区水上公园</w:t>
            </w:r>
          </w:p>
        </w:tc>
        <w:tc>
          <w:tcPr>
            <w:tcW w:w="1701" w:type="dxa"/>
          </w:tcPr>
          <w:p>
            <w:pPr>
              <w:spacing w:line="560" w:lineRule="exact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6" w:hRule="atLeast"/>
          <w:jc w:val="center"/>
        </w:trPr>
        <w:tc>
          <w:tcPr>
            <w:tcW w:w="985" w:type="dxa"/>
          </w:tcPr>
          <w:p>
            <w:pPr>
              <w:spacing w:line="560" w:lineRule="exact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7</w:t>
            </w:r>
          </w:p>
        </w:tc>
        <w:tc>
          <w:tcPr>
            <w:tcW w:w="6211" w:type="dxa"/>
          </w:tcPr>
          <w:p>
            <w:pPr>
              <w:spacing w:line="560" w:lineRule="exact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石家庄市藁城区儿童公园</w:t>
            </w:r>
          </w:p>
        </w:tc>
        <w:tc>
          <w:tcPr>
            <w:tcW w:w="1701" w:type="dxa"/>
          </w:tcPr>
          <w:p>
            <w:pPr>
              <w:spacing w:line="560" w:lineRule="exact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6" w:hRule="atLeast"/>
          <w:jc w:val="center"/>
        </w:trPr>
        <w:tc>
          <w:tcPr>
            <w:tcW w:w="985" w:type="dxa"/>
          </w:tcPr>
          <w:p>
            <w:pPr>
              <w:spacing w:line="560" w:lineRule="exact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8</w:t>
            </w:r>
          </w:p>
        </w:tc>
        <w:tc>
          <w:tcPr>
            <w:tcW w:w="6211" w:type="dxa"/>
          </w:tcPr>
          <w:p>
            <w:pPr>
              <w:spacing w:line="560" w:lineRule="exact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石家庄市藁城区环境卫生服务站</w:t>
            </w:r>
          </w:p>
        </w:tc>
        <w:tc>
          <w:tcPr>
            <w:tcW w:w="1701" w:type="dxa"/>
          </w:tcPr>
          <w:p>
            <w:pPr>
              <w:spacing w:line="560" w:lineRule="exact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17</w:t>
            </w:r>
          </w:p>
        </w:tc>
      </w:tr>
    </w:tbl>
    <w:p>
      <w:pPr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</w:p>
    <w:p>
      <w:pPr>
        <w:adjustRightInd w:val="0"/>
        <w:snapToGrid w:val="0"/>
        <w:spacing w:line="560" w:lineRule="exact"/>
        <w:ind w:firstLine="643" w:firstLineChars="200"/>
        <w:rPr>
          <w:rFonts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（一）部门整体支出概况</w:t>
      </w:r>
    </w:p>
    <w:p>
      <w:pPr>
        <w:snapToGrid w:val="0"/>
        <w:spacing w:line="560" w:lineRule="exact"/>
        <w:ind w:firstLine="640" w:firstLineChars="200"/>
      </w:pPr>
      <w:r>
        <w:rPr>
          <w:rFonts w:hint="eastAsia" w:ascii="仿宋" w:hAnsi="仿宋" w:eastAsia="仿宋" w:cs="仿宋"/>
          <w:sz w:val="32"/>
          <w:szCs w:val="32"/>
        </w:rPr>
        <w:t>2021年部门决算收支完成情况如下：</w:t>
      </w:r>
    </w:p>
    <w:p>
      <w:pPr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1. 全年收入为</w:t>
      </w:r>
      <w:r>
        <w:rPr>
          <w:rFonts w:ascii="仿宋" w:hAnsi="仿宋" w:eastAsia="仿宋"/>
          <w:sz w:val="32"/>
          <w:szCs w:val="32"/>
        </w:rPr>
        <w:t>1373889167.42</w:t>
      </w:r>
      <w:r>
        <w:rPr>
          <w:rFonts w:hint="eastAsia" w:ascii="仿宋" w:hAnsi="仿宋" w:eastAsia="仿宋" w:cs="仿宋"/>
          <w:sz w:val="32"/>
          <w:szCs w:val="32"/>
        </w:rPr>
        <w:t>元，其中：财政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拨款</w:t>
      </w:r>
      <w:r>
        <w:rPr>
          <w:rFonts w:hint="eastAsia" w:ascii="仿宋" w:hAnsi="仿宋" w:eastAsia="仿宋" w:cs="仿宋"/>
          <w:sz w:val="32"/>
          <w:szCs w:val="32"/>
        </w:rPr>
        <w:t>收入</w:t>
      </w:r>
      <w:r>
        <w:rPr>
          <w:rFonts w:ascii="仿宋" w:hAnsi="仿宋" w:eastAsia="仿宋"/>
          <w:sz w:val="32"/>
          <w:szCs w:val="32"/>
        </w:rPr>
        <w:t>1342173854.51</w:t>
      </w:r>
      <w:r>
        <w:rPr>
          <w:rFonts w:hint="eastAsia" w:ascii="仿宋" w:hAnsi="仿宋" w:eastAsia="仿宋" w:cs="仿宋"/>
          <w:sz w:val="32"/>
          <w:szCs w:val="32"/>
        </w:rPr>
        <w:t>元，非财政补助收入</w:t>
      </w:r>
      <w:r>
        <w:rPr>
          <w:rFonts w:hint="eastAsia" w:ascii="仿宋" w:hAnsi="仿宋" w:eastAsia="仿宋"/>
          <w:sz w:val="32"/>
          <w:szCs w:val="32"/>
        </w:rPr>
        <w:t>0</w:t>
      </w:r>
      <w:r>
        <w:rPr>
          <w:rFonts w:hint="eastAsia" w:ascii="仿宋" w:hAnsi="仿宋" w:eastAsia="仿宋" w:cs="仿宋"/>
          <w:sz w:val="32"/>
          <w:szCs w:val="32"/>
        </w:rPr>
        <w:t>元，2020年财政拨款结转结余</w:t>
      </w:r>
      <w:r>
        <w:rPr>
          <w:rFonts w:ascii="仿宋" w:hAnsi="仿宋" w:eastAsia="仿宋" w:cs="仿宋"/>
          <w:sz w:val="32"/>
          <w:szCs w:val="32"/>
        </w:rPr>
        <w:t>31715312.91</w:t>
      </w:r>
      <w:r>
        <w:rPr>
          <w:rFonts w:hint="eastAsia" w:ascii="仿宋" w:hAnsi="仿宋" w:eastAsia="仿宋" w:cs="仿宋"/>
          <w:sz w:val="32"/>
          <w:szCs w:val="32"/>
        </w:rPr>
        <w:t>元。</w:t>
      </w:r>
    </w:p>
    <w:p>
      <w:pPr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2.全年支出为</w:t>
      </w:r>
      <w:r>
        <w:rPr>
          <w:rFonts w:ascii="仿宋" w:hAnsi="仿宋" w:eastAsia="仿宋"/>
          <w:sz w:val="32"/>
          <w:szCs w:val="32"/>
        </w:rPr>
        <w:t>1373889167.42</w:t>
      </w:r>
      <w:r>
        <w:rPr>
          <w:rFonts w:hint="eastAsia" w:ascii="仿宋" w:hAnsi="仿宋" w:eastAsia="仿宋"/>
          <w:sz w:val="32"/>
          <w:szCs w:val="32"/>
        </w:rPr>
        <w:t>元。其中：行政支出：</w:t>
      </w:r>
      <w:r>
        <w:rPr>
          <w:rFonts w:ascii="仿宋" w:hAnsi="仿宋" w:eastAsia="仿宋"/>
          <w:sz w:val="32"/>
          <w:szCs w:val="32"/>
        </w:rPr>
        <w:t>9495696.21</w:t>
      </w:r>
      <w:r>
        <w:rPr>
          <w:rFonts w:hint="eastAsia" w:ascii="仿宋" w:hAnsi="仿宋" w:eastAsia="仿宋"/>
          <w:sz w:val="32"/>
          <w:szCs w:val="32"/>
        </w:rPr>
        <w:t>元，事业支出</w:t>
      </w:r>
      <w:r>
        <w:rPr>
          <w:rFonts w:ascii="仿宋" w:hAnsi="仿宋" w:eastAsia="仿宋"/>
          <w:sz w:val="32"/>
          <w:szCs w:val="32"/>
        </w:rPr>
        <w:t>4110606.47</w:t>
      </w:r>
      <w:r>
        <w:rPr>
          <w:rFonts w:hint="eastAsia" w:ascii="仿宋" w:hAnsi="仿宋" w:eastAsia="仿宋"/>
          <w:sz w:val="32"/>
          <w:szCs w:val="32"/>
        </w:rPr>
        <w:t>元，项目支出</w:t>
      </w:r>
      <w:r>
        <w:rPr>
          <w:rFonts w:ascii="仿宋" w:hAnsi="仿宋" w:eastAsia="仿宋"/>
          <w:sz w:val="32"/>
          <w:szCs w:val="32"/>
        </w:rPr>
        <w:t>1360282864.74</w:t>
      </w:r>
      <w:r>
        <w:rPr>
          <w:rFonts w:hint="eastAsia" w:ascii="仿宋" w:hAnsi="仿宋" w:eastAsia="仿宋"/>
          <w:sz w:val="32"/>
          <w:szCs w:val="32"/>
        </w:rPr>
        <w:t>元。</w:t>
      </w:r>
    </w:p>
    <w:p>
      <w:pPr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3、资金结存情况：财政拨款结转结余</w:t>
      </w:r>
      <w:r>
        <w:rPr>
          <w:rFonts w:hint="eastAsia" w:ascii="仿宋" w:hAnsi="仿宋" w:eastAsia="仿宋"/>
          <w:sz w:val="32"/>
          <w:szCs w:val="32"/>
        </w:rPr>
        <w:t>0</w:t>
      </w:r>
      <w:r>
        <w:rPr>
          <w:rFonts w:hint="eastAsia" w:ascii="仿宋" w:hAnsi="仿宋" w:eastAsia="仿宋" w:cs="仿宋"/>
          <w:sz w:val="32"/>
          <w:szCs w:val="32"/>
        </w:rPr>
        <w:t>元，其中财政拨款结转（项目结转）</w:t>
      </w:r>
      <w:r>
        <w:rPr>
          <w:rFonts w:hint="eastAsia" w:ascii="仿宋" w:hAnsi="仿宋" w:eastAsia="仿宋"/>
          <w:sz w:val="32"/>
          <w:szCs w:val="32"/>
        </w:rPr>
        <w:t>0</w:t>
      </w:r>
      <w:r>
        <w:rPr>
          <w:rFonts w:hint="eastAsia" w:ascii="仿宋" w:hAnsi="仿宋" w:eastAsia="仿宋" w:cs="仿宋"/>
          <w:sz w:val="32"/>
          <w:szCs w:val="32"/>
        </w:rPr>
        <w:t>元，财政结余</w:t>
      </w:r>
      <w:r>
        <w:rPr>
          <w:rFonts w:hint="eastAsia" w:ascii="仿宋" w:hAnsi="仿宋" w:eastAsia="仿宋"/>
          <w:sz w:val="32"/>
          <w:szCs w:val="32"/>
        </w:rPr>
        <w:t>0</w:t>
      </w:r>
      <w:r>
        <w:rPr>
          <w:rFonts w:hint="eastAsia" w:ascii="仿宋" w:hAnsi="仿宋" w:eastAsia="仿宋" w:cs="仿宋"/>
          <w:sz w:val="32"/>
          <w:szCs w:val="32"/>
        </w:rPr>
        <w:t>元，非财政拨款收入</w:t>
      </w:r>
      <w:r>
        <w:rPr>
          <w:rFonts w:hint="eastAsia" w:ascii="仿宋" w:hAnsi="仿宋" w:eastAsia="仿宋"/>
          <w:sz w:val="32"/>
          <w:szCs w:val="32"/>
        </w:rPr>
        <w:t>0</w:t>
      </w:r>
      <w:r>
        <w:rPr>
          <w:rFonts w:hint="eastAsia" w:ascii="仿宋" w:hAnsi="仿宋" w:eastAsia="仿宋" w:cs="仿宋"/>
          <w:sz w:val="32"/>
          <w:szCs w:val="32"/>
        </w:rPr>
        <w:t>元。</w:t>
      </w:r>
    </w:p>
    <w:p>
      <w:pPr>
        <w:adjustRightInd w:val="0"/>
        <w:snapToGrid w:val="0"/>
        <w:spacing w:line="560" w:lineRule="exact"/>
        <w:ind w:firstLine="643" w:firstLineChars="200"/>
        <w:rPr>
          <w:rFonts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（二）整体支出绩效目标</w:t>
      </w:r>
    </w:p>
    <w:p>
      <w:pPr>
        <w:snapToGrid w:val="0"/>
        <w:spacing w:line="560" w:lineRule="exact"/>
        <w:ind w:firstLine="640" w:firstLineChars="200"/>
        <w:rPr>
          <w:rFonts w:ascii="仿宋" w:hAnsi="仿宋" w:eastAsia="仿宋" w:cs="黑体"/>
          <w:sz w:val="32"/>
          <w:szCs w:val="32"/>
        </w:rPr>
      </w:pPr>
      <w:r>
        <w:rPr>
          <w:rFonts w:hint="eastAsia" w:ascii="仿宋" w:hAnsi="仿宋" w:eastAsia="仿宋" w:cs="黑体"/>
          <w:sz w:val="32"/>
          <w:szCs w:val="32"/>
        </w:rPr>
        <w:t>1、部门总目标：</w:t>
      </w:r>
    </w:p>
    <w:p>
      <w:pPr>
        <w:snapToGrid w:val="0"/>
        <w:spacing w:line="560" w:lineRule="exact"/>
        <w:ind w:firstLine="640" w:firstLineChars="200"/>
        <w:rPr>
          <w:rFonts w:ascii="仿宋" w:hAnsi="仿宋" w:eastAsia="仿宋" w:cs="黑体"/>
          <w:sz w:val="32"/>
          <w:szCs w:val="32"/>
        </w:rPr>
      </w:pPr>
      <w:r>
        <w:rPr>
          <w:rFonts w:hint="eastAsia" w:ascii="仿宋" w:hAnsi="仿宋" w:eastAsia="仿宋" w:cs="黑体"/>
          <w:sz w:val="32"/>
          <w:szCs w:val="32"/>
        </w:rPr>
        <w:t>部门整体绩效目标在石家庄市藁城区人民政府门户网站公开。</w:t>
      </w:r>
    </w:p>
    <w:p>
      <w:pPr>
        <w:snapToGrid w:val="0"/>
        <w:spacing w:line="560" w:lineRule="exact"/>
        <w:ind w:firstLine="640" w:firstLineChars="200"/>
        <w:rPr>
          <w:rFonts w:ascii="仿宋" w:hAnsi="仿宋" w:eastAsia="仿宋" w:cs="黑体"/>
          <w:sz w:val="32"/>
          <w:szCs w:val="32"/>
        </w:rPr>
      </w:pPr>
      <w:r>
        <w:rPr>
          <w:rFonts w:hint="eastAsia" w:ascii="仿宋" w:hAnsi="仿宋" w:eastAsia="仿宋" w:cs="黑体"/>
          <w:sz w:val="32"/>
          <w:szCs w:val="32"/>
        </w:rPr>
        <w:t>2、预决算公开：</w:t>
      </w:r>
    </w:p>
    <w:p>
      <w:pPr>
        <w:snapToGrid w:val="0"/>
        <w:spacing w:line="560" w:lineRule="exact"/>
        <w:ind w:firstLine="640" w:firstLineChars="200"/>
        <w:rPr>
          <w:rFonts w:ascii="仿宋" w:hAnsi="仿宋" w:eastAsia="仿宋" w:cs="黑体"/>
          <w:sz w:val="32"/>
          <w:szCs w:val="32"/>
        </w:rPr>
      </w:pPr>
      <w:r>
        <w:rPr>
          <w:rFonts w:ascii="仿宋" w:hAnsi="仿宋" w:eastAsia="仿宋" w:cs="黑体"/>
          <w:sz w:val="32"/>
          <w:szCs w:val="32"/>
        </w:rPr>
        <w:t>部门预算</w:t>
      </w:r>
      <w:r>
        <w:rPr>
          <w:rFonts w:hint="eastAsia" w:ascii="仿宋" w:hAnsi="仿宋" w:eastAsia="仿宋" w:cs="黑体"/>
          <w:sz w:val="32"/>
          <w:szCs w:val="32"/>
        </w:rPr>
        <w:t>在石家庄市藁城区人民政府门户网站公开，</w:t>
      </w:r>
      <w:r>
        <w:rPr>
          <w:rFonts w:ascii="仿宋" w:hAnsi="仿宋" w:eastAsia="仿宋" w:cs="黑体"/>
          <w:sz w:val="32"/>
          <w:szCs w:val="32"/>
        </w:rPr>
        <w:t>部门</w:t>
      </w:r>
      <w:r>
        <w:rPr>
          <w:rFonts w:hint="eastAsia" w:ascii="仿宋" w:hAnsi="仿宋" w:eastAsia="仿宋" w:cs="黑体"/>
          <w:sz w:val="32"/>
          <w:szCs w:val="32"/>
        </w:rPr>
        <w:t>决</w:t>
      </w:r>
      <w:r>
        <w:rPr>
          <w:rFonts w:ascii="仿宋" w:hAnsi="仿宋" w:eastAsia="仿宋" w:cs="黑体"/>
          <w:sz w:val="32"/>
          <w:szCs w:val="32"/>
        </w:rPr>
        <w:t>算</w:t>
      </w:r>
      <w:r>
        <w:rPr>
          <w:rFonts w:hint="eastAsia" w:ascii="仿宋" w:hAnsi="仿宋" w:eastAsia="仿宋" w:cs="黑体"/>
          <w:sz w:val="32"/>
          <w:szCs w:val="32"/>
        </w:rPr>
        <w:t>将在决算完成后，在石家庄市藁城区人民政府门户网站公开。</w:t>
      </w:r>
    </w:p>
    <w:p>
      <w:pPr>
        <w:ind w:firstLine="640"/>
        <w:rPr>
          <w:rFonts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>3、资产管理：资产管理工作有序完成。</w:t>
      </w:r>
      <w:r>
        <w:rPr>
          <w:rFonts w:ascii="仿宋" w:hAnsi="仿宋" w:eastAsia="仿宋" w:cs="仿宋_GB2312"/>
          <w:sz w:val="32"/>
          <w:szCs w:val="32"/>
        </w:rPr>
        <w:t xml:space="preserve"> </w:t>
      </w:r>
    </w:p>
    <w:p>
      <w:pPr>
        <w:snapToGrid w:val="0"/>
        <w:spacing w:line="560" w:lineRule="exact"/>
        <w:ind w:firstLine="640" w:firstLineChars="200"/>
        <w:rPr>
          <w:rFonts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>4、三公经费控制情况：三公经费支出为0元。</w:t>
      </w:r>
    </w:p>
    <w:p>
      <w:pPr>
        <w:snapToGrid w:val="0"/>
        <w:spacing w:line="560" w:lineRule="exact"/>
        <w:ind w:firstLine="640" w:firstLineChars="200"/>
        <w:rPr>
          <w:rFonts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>5、内部管理制度建设：</w:t>
      </w:r>
    </w:p>
    <w:p>
      <w:pPr>
        <w:snapToGrid w:val="0"/>
        <w:spacing w:line="560" w:lineRule="exact"/>
        <w:ind w:firstLine="640" w:firstLineChars="200"/>
        <w:rPr>
          <w:rFonts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>本部门设有内部控制工作手册，包括：内部控制基本制度、预算业务管理制度、收支业务管理制度、政府采购业务管理制度、资产管理制度、建设项目管理制度、合同管理制度、评价与监督管理制度等八项制度，为部门业务正常有序开展打下良好基础。</w:t>
      </w:r>
    </w:p>
    <w:p>
      <w:pPr>
        <w:snapToGrid w:val="0"/>
        <w:spacing w:line="560" w:lineRule="exact"/>
        <w:ind w:firstLine="640" w:firstLineChars="200"/>
        <w:rPr>
          <w:rFonts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 xml:space="preserve">6、项目绩效总目标完成情况： </w:t>
      </w:r>
    </w:p>
    <w:p>
      <w:pPr>
        <w:snapToGrid w:val="0"/>
        <w:spacing w:line="560" w:lineRule="exact"/>
        <w:ind w:firstLine="640" w:firstLineChars="200"/>
        <w:rPr>
          <w:rFonts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>2021年度本部门共有166个项目，其中债券项目共46个，优秀项目46个；其他项目120个，优秀项目120个。绩效目标设定为产出指标、预算执行率指标、效益指标和满意度指标。产出指标设置为质量指标、时效指标、数量指标等，能够较为清晰、全面地反映项目绩效的完成情况；预算执行率指标主要反映的是资金下达数与资金执行数的情况，可以较为准确、科学合理的体现财务室的资金执行情况，清晰明了的反映项目的绩效完成情况；效益指标一般分为社会效益指标或者生态效益指标，社会效益指标主要体现的是该项目对城区建设、人民生活质量、农村环境治理、城市形象等方面的影响，生态效益指标一般体现的是该项目在保护生态环境、改善环境质量方面的作用。效益指标可以较为全面恰当的体现绩效对社会、生态的作用；满意度指标主要体现的是服务对象对该项目的满意程度，一般通过问卷、询问等方式来进项调查统计，可以较为清晰地反映该项目的完成情况和实际完成效果。</w:t>
      </w:r>
    </w:p>
    <w:p>
      <w:pPr>
        <w:adjustRightInd w:val="0"/>
        <w:snapToGrid w:val="0"/>
        <w:spacing w:line="560" w:lineRule="exact"/>
        <w:ind w:firstLine="643" w:firstLineChars="200"/>
        <w:rPr>
          <w:rFonts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（三）部门整体支出情况分析</w:t>
      </w:r>
    </w:p>
    <w:p>
      <w:pPr>
        <w:snapToGrid w:val="0"/>
        <w:spacing w:line="560" w:lineRule="exact"/>
        <w:ind w:firstLine="640" w:firstLineChars="200"/>
        <w:rPr>
          <w:rFonts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>从整体情况来看，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二、绩效评价工作情况</w:t>
      </w:r>
    </w:p>
    <w:p>
      <w:pPr>
        <w:adjustRightInd w:val="0"/>
        <w:snapToGrid w:val="0"/>
        <w:spacing w:line="560" w:lineRule="exact"/>
        <w:ind w:firstLine="643" w:firstLineChars="200"/>
        <w:rPr>
          <w:rFonts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（一）绩效评价目的</w:t>
      </w:r>
    </w:p>
    <w:p>
      <w:pPr>
        <w:snapToGrid w:val="0"/>
        <w:spacing w:line="560" w:lineRule="exact"/>
        <w:ind w:firstLine="640" w:firstLineChars="200"/>
        <w:rPr>
          <w:rFonts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>贯彻落实《</w:t>
      </w:r>
      <w:r>
        <w:rPr>
          <w:rFonts w:hint="eastAsia" w:ascii="仿宋" w:hAnsi="仿宋" w:eastAsia="仿宋" w:cs="仿宋_GB2312"/>
          <w:sz w:val="32"/>
          <w:szCs w:val="32"/>
          <w:lang w:eastAsia="zh-CN"/>
        </w:rPr>
        <w:t>中华人民共和国预算法</w:t>
      </w:r>
      <w:r>
        <w:rPr>
          <w:rFonts w:hint="eastAsia" w:ascii="仿宋" w:hAnsi="仿宋" w:eastAsia="仿宋" w:cs="仿宋_GB2312"/>
          <w:sz w:val="32"/>
          <w:szCs w:val="32"/>
        </w:rPr>
        <w:t>》，严格执行省、市、区绩效管理工作有关规定，进一步规范财政资金管理，强化财政支出绩效理念，提升部门责任意识，提高资金使用效益，促进</w:t>
      </w:r>
      <w:r>
        <w:rPr>
          <w:rFonts w:hint="eastAsia" w:eastAsia="仿宋"/>
          <w:sz w:val="32"/>
          <w:szCs w:val="32"/>
        </w:rPr>
        <w:t>城市建设</w:t>
      </w:r>
      <w:r>
        <w:rPr>
          <w:rFonts w:hint="eastAsia" w:ascii="仿宋" w:hAnsi="仿宋" w:eastAsia="仿宋" w:cs="仿宋_GB2312"/>
          <w:sz w:val="32"/>
          <w:szCs w:val="32"/>
        </w:rPr>
        <w:t>发展。</w:t>
      </w:r>
    </w:p>
    <w:p>
      <w:pPr>
        <w:adjustRightInd w:val="0"/>
        <w:snapToGrid w:val="0"/>
        <w:spacing w:line="560" w:lineRule="exact"/>
        <w:ind w:firstLine="643" w:firstLineChars="200"/>
        <w:rPr>
          <w:rFonts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（二）绩效评价的主要过程</w:t>
      </w:r>
    </w:p>
    <w:p>
      <w:pPr>
        <w:snapToGrid w:val="0"/>
        <w:spacing w:line="560" w:lineRule="exact"/>
        <w:ind w:firstLine="640" w:firstLineChars="200"/>
        <w:rPr>
          <w:rFonts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>根据绩效评价的要求，成立了自评工作领导小组，对照自评方案进行研究布署，党组成员及各股室全程参与，按照自评方案的要求，对照各实施项目的内容逐条逐项自评，及时发现问题，查找原因，纠正偏差，为下一步工作夯实基础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三、主要绩效及评价结论</w:t>
      </w:r>
    </w:p>
    <w:p>
      <w:pPr>
        <w:snapToGrid w:val="0"/>
        <w:spacing w:line="560" w:lineRule="exact"/>
        <w:ind w:firstLine="640" w:firstLineChars="200"/>
        <w:rPr>
          <w:rFonts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>部门总体工作正常开展，</w:t>
      </w:r>
      <w:r>
        <w:rPr>
          <w:rFonts w:ascii="仿宋" w:hAnsi="仿宋" w:eastAsia="仿宋" w:cs="仿宋_GB2312"/>
          <w:sz w:val="32"/>
          <w:szCs w:val="32"/>
        </w:rPr>
        <w:t>从自评情况可以看出，较好的完成了年初的目标，</w:t>
      </w:r>
      <w:r>
        <w:rPr>
          <w:rFonts w:hint="eastAsia" w:ascii="仿宋" w:hAnsi="仿宋" w:eastAsia="仿宋" w:cs="仿宋_GB2312"/>
          <w:sz w:val="32"/>
          <w:szCs w:val="32"/>
        </w:rPr>
        <w:t>专项资金和具体预算支出项目</w:t>
      </w:r>
      <w:r>
        <w:rPr>
          <w:rFonts w:ascii="仿宋" w:hAnsi="仿宋" w:eastAsia="仿宋" w:cs="仿宋_GB2312"/>
          <w:sz w:val="32"/>
          <w:szCs w:val="32"/>
        </w:rPr>
        <w:t>各项指标也基本达到了预期指标值</w:t>
      </w:r>
      <w:r>
        <w:rPr>
          <w:rFonts w:hint="eastAsia" w:ascii="仿宋" w:hAnsi="仿宋" w:eastAsia="仿宋" w:cs="仿宋_GB2312"/>
          <w:sz w:val="32"/>
          <w:szCs w:val="32"/>
        </w:rPr>
        <w:t>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四、存在问题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>目前在实际工作运行上，仍有不足之处，在遇到具体实际问题，思路不够开阔。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五、改进措施</w:t>
      </w:r>
    </w:p>
    <w:p>
      <w:pPr>
        <w:snapToGrid w:val="0"/>
        <w:spacing w:line="560" w:lineRule="exact"/>
        <w:ind w:firstLine="640" w:firstLineChars="200"/>
        <w:rPr>
          <w:rFonts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>一、针对存在的问题本部门需进一步细化部门项目指标，提高绩效指标设置的科学性，项目绩效评价指标做到详细可操作，更加合理地安排预算资金，减少预算调整事项。</w:t>
      </w:r>
    </w:p>
    <w:p>
      <w:pPr>
        <w:snapToGrid w:val="0"/>
        <w:spacing w:line="560" w:lineRule="exact"/>
        <w:ind w:firstLine="640" w:firstLineChars="200"/>
        <w:rPr>
          <w:rFonts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>二、</w:t>
      </w:r>
      <w:r>
        <w:rPr>
          <w:rFonts w:ascii="仿宋" w:hAnsi="仿宋" w:eastAsia="仿宋" w:cs="仿宋_GB2312"/>
          <w:sz w:val="32"/>
          <w:szCs w:val="32"/>
        </w:rPr>
        <w:t>在日常工作中加强对绩效工作相关数据的收集、汇总及保存，保证数据的及时性、准确性，从而提高预算绩效管理工作效率。</w:t>
      </w:r>
    </w:p>
    <w:p>
      <w:pPr>
        <w:snapToGrid w:val="0"/>
        <w:spacing w:line="560" w:lineRule="exact"/>
        <w:ind w:firstLine="640" w:firstLineChars="200"/>
        <w:rPr>
          <w:rFonts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>三、</w:t>
      </w:r>
      <w:r>
        <w:rPr>
          <w:rFonts w:ascii="仿宋" w:hAnsi="仿宋" w:eastAsia="仿宋" w:cs="仿宋_GB2312"/>
          <w:sz w:val="32"/>
          <w:szCs w:val="32"/>
        </w:rPr>
        <w:t>加强绩效目标管理，以绩效目标为导向，优化资源配置为目的，提高财政资金使用绩效。做到预算编制严谨、预算执行到位，进一步优化预算绩效指标体系，设置可量化可衡量的预算绩效指标</w:t>
      </w:r>
      <w:r>
        <w:rPr>
          <w:rFonts w:hint="eastAsia" w:ascii="仿宋" w:hAnsi="仿宋" w:eastAsia="仿宋" w:cs="仿宋_GB2312"/>
          <w:sz w:val="32"/>
          <w:szCs w:val="32"/>
        </w:rPr>
        <w:t>。对支出有延误的项目可以适当裁减预算资金，督促加快支出进度。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六、其他需要说明的问题及有关建议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>无。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 w:cs="仿宋_GB2312"/>
          <w:sz w:val="32"/>
          <w:szCs w:val="32"/>
        </w:rPr>
      </w:pP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 w:cs="仿宋_GB2312"/>
          <w:sz w:val="32"/>
          <w:szCs w:val="32"/>
        </w:rPr>
      </w:pP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 w:cs="仿宋_GB2312"/>
          <w:sz w:val="32"/>
          <w:szCs w:val="32"/>
        </w:rPr>
      </w:pP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 w:cs="仿宋_GB2312"/>
          <w:sz w:val="32"/>
          <w:szCs w:val="32"/>
        </w:rPr>
      </w:pPr>
    </w:p>
    <w:p>
      <w:pPr>
        <w:snapToGrid w:val="0"/>
        <w:spacing w:line="560" w:lineRule="exact"/>
        <w:ind w:firstLine="640" w:firstLineChars="200"/>
        <w:jc w:val="righ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石家庄市藁城区住房和城乡建设局</w:t>
      </w:r>
    </w:p>
    <w:p>
      <w:pPr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                        2022年5月30日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_GB2312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书宋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28036C09"/>
    <w:rsid w:val="00126377"/>
    <w:rsid w:val="0014745A"/>
    <w:rsid w:val="001C5F7C"/>
    <w:rsid w:val="00323EF9"/>
    <w:rsid w:val="003C1BE6"/>
    <w:rsid w:val="004952FF"/>
    <w:rsid w:val="004C394D"/>
    <w:rsid w:val="005E351A"/>
    <w:rsid w:val="00622A03"/>
    <w:rsid w:val="00645E62"/>
    <w:rsid w:val="00672141"/>
    <w:rsid w:val="006B40E3"/>
    <w:rsid w:val="006F3CFB"/>
    <w:rsid w:val="00707525"/>
    <w:rsid w:val="007334C8"/>
    <w:rsid w:val="00763D69"/>
    <w:rsid w:val="00781879"/>
    <w:rsid w:val="00817994"/>
    <w:rsid w:val="00891B6D"/>
    <w:rsid w:val="008E2937"/>
    <w:rsid w:val="009318AD"/>
    <w:rsid w:val="00931FAB"/>
    <w:rsid w:val="00AF1D91"/>
    <w:rsid w:val="00AF5AD8"/>
    <w:rsid w:val="00B952EE"/>
    <w:rsid w:val="00C403BB"/>
    <w:rsid w:val="00C604E0"/>
    <w:rsid w:val="00C7709D"/>
    <w:rsid w:val="00CC6836"/>
    <w:rsid w:val="00CE2BE6"/>
    <w:rsid w:val="00D0612B"/>
    <w:rsid w:val="00D36606"/>
    <w:rsid w:val="00E80B72"/>
    <w:rsid w:val="00F95FA5"/>
    <w:rsid w:val="00FC0C7F"/>
    <w:rsid w:val="04E80FBB"/>
    <w:rsid w:val="19266AB6"/>
    <w:rsid w:val="1CAE0268"/>
    <w:rsid w:val="2114013F"/>
    <w:rsid w:val="22AC3903"/>
    <w:rsid w:val="23256DAA"/>
    <w:rsid w:val="28036C09"/>
    <w:rsid w:val="2FBF39D7"/>
    <w:rsid w:val="322446DF"/>
    <w:rsid w:val="35614FF6"/>
    <w:rsid w:val="3663183C"/>
    <w:rsid w:val="399837F6"/>
    <w:rsid w:val="407207E6"/>
    <w:rsid w:val="427C68CE"/>
    <w:rsid w:val="429F2B3B"/>
    <w:rsid w:val="4455188C"/>
    <w:rsid w:val="44E81CBA"/>
    <w:rsid w:val="473D6B48"/>
    <w:rsid w:val="539C2AB2"/>
    <w:rsid w:val="53A97137"/>
    <w:rsid w:val="59C56832"/>
    <w:rsid w:val="70315121"/>
    <w:rsid w:val="711C11AF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9"/>
    <w:qFormat/>
    <w:uiPriority w:val="0"/>
    <w:pPr>
      <w:keepNext/>
      <w:keepLines/>
      <w:spacing w:before="340" w:after="330" w:line="578" w:lineRule="auto"/>
      <w:outlineLvl w:val="0"/>
    </w:pPr>
    <w:rPr>
      <w:rFonts w:ascii="Calibri" w:hAnsi="Calibri" w:cs="黑体"/>
      <w:b/>
      <w:bCs/>
      <w:kern w:val="44"/>
      <w:sz w:val="44"/>
      <w:szCs w:val="44"/>
    </w:rPr>
  </w:style>
  <w:style w:type="character" w:default="1" w:styleId="7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8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uiPriority w:val="0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8">
    <w:name w:val="页脚 Char"/>
    <w:basedOn w:val="7"/>
    <w:link w:val="3"/>
    <w:qFormat/>
    <w:uiPriority w:val="0"/>
    <w:rPr>
      <w:rFonts w:ascii="Times New Roman" w:hAnsi="Times New Roman" w:eastAsia="宋体" w:cs="Times New Roman"/>
      <w:kern w:val="2"/>
      <w:sz w:val="18"/>
      <w:szCs w:val="18"/>
    </w:rPr>
  </w:style>
  <w:style w:type="character" w:customStyle="1" w:styleId="9">
    <w:name w:val="标题 1 Char"/>
    <w:basedOn w:val="7"/>
    <w:link w:val="2"/>
    <w:uiPriority w:val="0"/>
    <w:rPr>
      <w:rFonts w:ascii="Calibri" w:hAnsi="Calibri" w:eastAsia="宋体" w:cs="黑体"/>
      <w:b/>
      <w:bCs/>
      <w:kern w:val="44"/>
      <w:sz w:val="44"/>
      <w:szCs w:val="44"/>
    </w:rPr>
  </w:style>
  <w:style w:type="paragraph" w:customStyle="1" w:styleId="10">
    <w:name w:val="单元格样式4"/>
    <w:basedOn w:val="1"/>
    <w:qFormat/>
    <w:uiPriority w:val="0"/>
    <w:pPr>
      <w:widowControl/>
      <w:jc w:val="right"/>
    </w:pPr>
    <w:rPr>
      <w:rFonts w:ascii="方正书宋_GBK" w:hAnsi="方正书宋_GBK" w:eastAsia="方正书宋_GBK" w:cs="方正书宋_GBK"/>
      <w:kern w:val="0"/>
      <w:lang w:eastAsia="uk-UA"/>
    </w:rPr>
  </w:style>
  <w:style w:type="paragraph" w:customStyle="1" w:styleId="11">
    <w:name w:val="单元格样式2"/>
    <w:basedOn w:val="1"/>
    <w:qFormat/>
    <w:uiPriority w:val="0"/>
    <w:pPr>
      <w:widowControl/>
      <w:jc w:val="left"/>
    </w:pPr>
    <w:rPr>
      <w:rFonts w:ascii="方正书宋_GBK" w:hAnsi="方正书宋_GBK" w:eastAsia="方正书宋_GBK" w:cs="方正书宋_GBK"/>
      <w:kern w:val="0"/>
      <w:lang w:eastAsia="uk-UA"/>
    </w:rPr>
  </w:style>
  <w:style w:type="paragraph" w:customStyle="1" w:styleId="12">
    <w:name w:val="单元格样式3"/>
    <w:basedOn w:val="1"/>
    <w:qFormat/>
    <w:uiPriority w:val="0"/>
    <w:pPr>
      <w:widowControl/>
      <w:jc w:val="center"/>
    </w:pPr>
    <w:rPr>
      <w:rFonts w:ascii="方正书宋_GBK" w:hAnsi="方正书宋_GBK" w:eastAsia="方正书宋_GBK" w:cs="方正书宋_GBK"/>
      <w:kern w:val="0"/>
      <w:lang w:eastAsia="uk-U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8</Pages>
  <Words>534</Words>
  <Characters>3048</Characters>
  <Lines>25</Lines>
  <Paragraphs>7</Paragraphs>
  <TotalTime>0</TotalTime>
  <ScaleCrop>false</ScaleCrop>
  <LinksUpToDate>false</LinksUpToDate>
  <CharactersWithSpaces>3575</CharactersWithSpaces>
  <Application>WPS Office_11.8.2.8593_F1E327BC-269C-435d-A152-05C5408002CA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2022-04-20T02:44:00Z</dcterms:created>
  <dc:creator>z</dc:creator>
  <cp:lastModifiedBy>Administrator</cp:lastModifiedBy>
  <dcterms:modified xsi:type="dcterms:W3CDTF">2024-02-23T02:52:34Z</dcterms:modified>
  <cp:revision>13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  <property fmtid="{D5CDD505-2E9C-101B-9397-08002B2CF9AE}" pid="3" name="ICV">
    <vt:lpwstr>FF808D66ACF94C9CACA5A8E7BD874414</vt:lpwstr>
  </property>
</Properties>
</file>