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hint="eastAsia" w:ascii="黑体" w:hAnsi="黑体" w:eastAsia="黑体" w:cs="黑体"/>
          <w:b/>
          <w:color w:val="000000"/>
          <w:sz w:val="44"/>
          <w:lang w:eastAsia="zh-CN"/>
        </w:rPr>
        <w:t>藁城区统计局</w:t>
      </w:r>
      <w:r>
        <w:rPr>
          <w:rFonts w:ascii="黑体" w:hAnsi="黑体" w:eastAsia="黑体" w:cs="黑体"/>
          <w:b/>
          <w:color w:val="000000"/>
          <w:sz w:val="44"/>
        </w:rPr>
        <w:t>部门</w:t>
      </w:r>
      <w:r>
        <w:rPr>
          <w:rFonts w:hint="eastAsia" w:ascii="黑体" w:hAnsi="黑体" w:eastAsia="黑体" w:cs="黑体"/>
          <w:b/>
          <w:color w:val="000000"/>
          <w:sz w:val="44"/>
          <w:lang w:eastAsia="zh-CN"/>
        </w:rPr>
        <w:t>所属单位</w:t>
      </w:r>
      <w:r>
        <w:rPr>
          <w:rFonts w:ascii="黑体" w:hAnsi="黑体" w:eastAsia="黑体" w:cs="黑体"/>
          <w:b/>
          <w:color w:val="000000"/>
          <w:sz w:val="44"/>
        </w:rPr>
        <w:t>2023年预算信息公开目录</w:t>
      </w:r>
    </w:p>
    <w:p>
      <w:pPr>
        <w:jc w:val="center"/>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一、石家庄市藁城区统计局本级收支预算</w:t>
      </w:r>
      <w:r>
        <w:tab/>
      </w:r>
      <w:r>
        <w:rPr>
          <w:rFonts w:hint="eastAsia" w:eastAsiaTheme="minorEastAsia"/>
          <w:lang w:eastAsia="zh-CN"/>
        </w:rPr>
        <w:t>2</w:t>
      </w:r>
      <w:r>
        <w:rPr>
          <w:rFonts w:hint="eastAsia" w:eastAsiaTheme="minorEastAsia"/>
          <w:lang w:eastAsia="zh-CN"/>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outlineLvl w:val="3"/>
      </w:pPr>
      <w:bookmarkStart w:id="0" w:name="_Toc_4_4_0000000019"/>
      <w:r>
        <w:rPr>
          <w:rFonts w:ascii="方正小标宋_GBK" w:hAnsi="方正小标宋_GBK" w:eastAsia="方正小标宋_GBK" w:cs="方正小标宋_GBK"/>
          <w:color w:val="000000"/>
          <w:sz w:val="44"/>
        </w:rPr>
        <w:t>一、石家庄市藁城区统计局本级收支预算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880.33</w:t>
            </w:r>
          </w:p>
        </w:tc>
        <w:tc>
          <w:tcPr>
            <w:tcW w:w="4535" w:type="dxa"/>
            <w:vAlign w:val="center"/>
          </w:tcPr>
          <w:p>
            <w:pPr>
              <w:pStyle w:val="16"/>
            </w:pPr>
            <w:r>
              <w:t>一、一般公共服务支出</w:t>
            </w:r>
          </w:p>
        </w:tc>
        <w:tc>
          <w:tcPr>
            <w:tcW w:w="2126" w:type="dxa"/>
            <w:vAlign w:val="center"/>
          </w:tcPr>
          <w:p>
            <w:pPr>
              <w:pStyle w:val="15"/>
            </w:pPr>
            <w:r>
              <w:t>880.33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880.33</w:t>
            </w:r>
          </w:p>
        </w:tc>
        <w:tc>
          <w:tcPr>
            <w:tcW w:w="4535" w:type="dxa"/>
            <w:vAlign w:val="center"/>
          </w:tcPr>
          <w:p>
            <w:pPr>
              <w:pStyle w:val="18"/>
            </w:pPr>
            <w:r>
              <w:t>本年支出合计</w:t>
            </w:r>
          </w:p>
        </w:tc>
        <w:tc>
          <w:tcPr>
            <w:tcW w:w="2126" w:type="dxa"/>
            <w:vAlign w:val="center"/>
          </w:tcPr>
          <w:p>
            <w:pPr>
              <w:pStyle w:val="19"/>
            </w:pPr>
            <w:r>
              <w:t>880.33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880.33</w:t>
            </w:r>
          </w:p>
        </w:tc>
        <w:tc>
          <w:tcPr>
            <w:tcW w:w="4535" w:type="dxa"/>
            <w:vAlign w:val="center"/>
          </w:tcPr>
          <w:p>
            <w:pPr>
              <w:pStyle w:val="18"/>
            </w:pPr>
            <w:r>
              <w:t>支出总计</w:t>
            </w:r>
          </w:p>
        </w:tc>
        <w:tc>
          <w:tcPr>
            <w:tcW w:w="2126" w:type="dxa"/>
            <w:vAlign w:val="center"/>
          </w:tcPr>
          <w:p>
            <w:pPr>
              <w:pStyle w:val="19"/>
            </w:pPr>
            <w:r>
              <w:t>880.33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880.33</w:t>
            </w:r>
          </w:p>
        </w:tc>
        <w:tc>
          <w:tcPr>
            <w:tcW w:w="1134" w:type="dxa"/>
            <w:vAlign w:val="center"/>
          </w:tcPr>
          <w:p>
            <w:pPr>
              <w:pStyle w:val="19"/>
            </w:pPr>
            <w:r>
              <w:t>880.33</w:t>
            </w:r>
          </w:p>
        </w:tc>
        <w:tc>
          <w:tcPr>
            <w:tcW w:w="1134" w:type="dxa"/>
            <w:vAlign w:val="center"/>
          </w:tcPr>
          <w:p>
            <w:pPr>
              <w:pStyle w:val="19"/>
            </w:pPr>
            <w:r>
              <w:t>880.33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880.33</w:t>
            </w:r>
          </w:p>
        </w:tc>
        <w:tc>
          <w:tcPr>
            <w:tcW w:w="1134" w:type="dxa"/>
            <w:vAlign w:val="center"/>
          </w:tcPr>
          <w:p>
            <w:pPr>
              <w:pStyle w:val="15"/>
            </w:pPr>
            <w:r>
              <w:t>880.33</w:t>
            </w:r>
          </w:p>
        </w:tc>
        <w:tc>
          <w:tcPr>
            <w:tcW w:w="1134" w:type="dxa"/>
            <w:vAlign w:val="center"/>
          </w:tcPr>
          <w:p>
            <w:pPr>
              <w:pStyle w:val="15"/>
            </w:pPr>
            <w:r>
              <w:t>880.33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880.33</w:t>
            </w:r>
          </w:p>
        </w:tc>
        <w:tc>
          <w:tcPr>
            <w:tcW w:w="1134" w:type="dxa"/>
            <w:vAlign w:val="center"/>
          </w:tcPr>
          <w:p>
            <w:pPr>
              <w:pStyle w:val="15"/>
            </w:pPr>
            <w:r>
              <w:t>880.33</w:t>
            </w:r>
          </w:p>
        </w:tc>
        <w:tc>
          <w:tcPr>
            <w:tcW w:w="1134" w:type="dxa"/>
            <w:vAlign w:val="center"/>
          </w:tcPr>
          <w:p>
            <w:pPr>
              <w:pStyle w:val="15"/>
            </w:pPr>
            <w:r>
              <w:t>880.33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777.45</w:t>
            </w:r>
          </w:p>
        </w:tc>
        <w:tc>
          <w:tcPr>
            <w:tcW w:w="1134" w:type="dxa"/>
            <w:vAlign w:val="center"/>
          </w:tcPr>
          <w:p>
            <w:pPr>
              <w:pStyle w:val="15"/>
            </w:pPr>
            <w:r>
              <w:t>777.45</w:t>
            </w:r>
          </w:p>
        </w:tc>
        <w:tc>
          <w:tcPr>
            <w:tcW w:w="1134" w:type="dxa"/>
            <w:vAlign w:val="center"/>
          </w:tcPr>
          <w:p>
            <w:pPr>
              <w:pStyle w:val="15"/>
            </w:pPr>
            <w:r>
              <w:t>777.45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47.22</w:t>
            </w:r>
          </w:p>
        </w:tc>
        <w:tc>
          <w:tcPr>
            <w:tcW w:w="1134" w:type="dxa"/>
            <w:vAlign w:val="center"/>
          </w:tcPr>
          <w:p>
            <w:pPr>
              <w:pStyle w:val="15"/>
            </w:pPr>
            <w:r>
              <w:t>47.22</w:t>
            </w:r>
          </w:p>
        </w:tc>
        <w:tc>
          <w:tcPr>
            <w:tcW w:w="1134" w:type="dxa"/>
            <w:vAlign w:val="center"/>
          </w:tcPr>
          <w:p>
            <w:pPr>
              <w:pStyle w:val="15"/>
            </w:pPr>
            <w:r>
              <w:t>47.22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2010506</w:t>
            </w:r>
          </w:p>
        </w:tc>
        <w:tc>
          <w:tcPr>
            <w:tcW w:w="1559" w:type="dxa"/>
            <w:vAlign w:val="center"/>
          </w:tcPr>
          <w:p>
            <w:pPr>
              <w:pStyle w:val="16"/>
            </w:pPr>
            <w:r>
              <w:t>统计管理</w:t>
            </w:r>
          </w:p>
        </w:tc>
        <w:tc>
          <w:tcPr>
            <w:tcW w:w="1134" w:type="dxa"/>
            <w:vAlign w:val="center"/>
          </w:tcPr>
          <w:p>
            <w:pPr>
              <w:pStyle w:val="15"/>
            </w:pPr>
            <w:r>
              <w:t>55.66</w:t>
            </w:r>
          </w:p>
        </w:tc>
        <w:tc>
          <w:tcPr>
            <w:tcW w:w="1134" w:type="dxa"/>
            <w:vAlign w:val="center"/>
          </w:tcPr>
          <w:p>
            <w:pPr>
              <w:pStyle w:val="15"/>
            </w:pPr>
            <w:r>
              <w:t>55.66</w:t>
            </w:r>
          </w:p>
        </w:tc>
        <w:tc>
          <w:tcPr>
            <w:tcW w:w="1134" w:type="dxa"/>
            <w:vAlign w:val="center"/>
          </w:tcPr>
          <w:p>
            <w:pPr>
              <w:pStyle w:val="15"/>
            </w:pPr>
            <w:r>
              <w:t>55.66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880.33</w:t>
            </w:r>
          </w:p>
        </w:tc>
        <w:tc>
          <w:tcPr>
            <w:tcW w:w="1361" w:type="dxa"/>
            <w:vAlign w:val="center"/>
          </w:tcPr>
          <w:p>
            <w:pPr>
              <w:pStyle w:val="19"/>
            </w:pPr>
            <w:r>
              <w:t>777.45</w:t>
            </w:r>
          </w:p>
        </w:tc>
        <w:tc>
          <w:tcPr>
            <w:tcW w:w="1361" w:type="dxa"/>
            <w:vAlign w:val="center"/>
          </w:tcPr>
          <w:p>
            <w:pPr>
              <w:pStyle w:val="19"/>
            </w:pPr>
            <w:r>
              <w:t>102.88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880.33</w:t>
            </w:r>
          </w:p>
        </w:tc>
        <w:tc>
          <w:tcPr>
            <w:tcW w:w="1361" w:type="dxa"/>
            <w:vAlign w:val="center"/>
          </w:tcPr>
          <w:p>
            <w:pPr>
              <w:pStyle w:val="15"/>
            </w:pPr>
            <w:r>
              <w:t>777.45</w:t>
            </w:r>
          </w:p>
        </w:tc>
        <w:tc>
          <w:tcPr>
            <w:tcW w:w="1361" w:type="dxa"/>
            <w:vAlign w:val="center"/>
          </w:tcPr>
          <w:p>
            <w:pPr>
              <w:pStyle w:val="15"/>
            </w:pPr>
            <w:r>
              <w:t>102.88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880.33</w:t>
            </w:r>
          </w:p>
        </w:tc>
        <w:tc>
          <w:tcPr>
            <w:tcW w:w="1361" w:type="dxa"/>
            <w:vAlign w:val="center"/>
          </w:tcPr>
          <w:p>
            <w:pPr>
              <w:pStyle w:val="15"/>
            </w:pPr>
            <w:r>
              <w:t>777.45</w:t>
            </w:r>
          </w:p>
        </w:tc>
        <w:tc>
          <w:tcPr>
            <w:tcW w:w="1361" w:type="dxa"/>
            <w:vAlign w:val="center"/>
          </w:tcPr>
          <w:p>
            <w:pPr>
              <w:pStyle w:val="15"/>
            </w:pPr>
            <w:r>
              <w:t>102.88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777.45</w:t>
            </w:r>
          </w:p>
        </w:tc>
        <w:tc>
          <w:tcPr>
            <w:tcW w:w="1361" w:type="dxa"/>
            <w:vAlign w:val="center"/>
          </w:tcPr>
          <w:p>
            <w:pPr>
              <w:pStyle w:val="15"/>
            </w:pPr>
            <w:r>
              <w:t>777.45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47.22</w:t>
            </w:r>
          </w:p>
        </w:tc>
        <w:tc>
          <w:tcPr>
            <w:tcW w:w="1361" w:type="dxa"/>
            <w:vAlign w:val="center"/>
          </w:tcPr>
          <w:p>
            <w:pPr>
              <w:pStyle w:val="15"/>
            </w:pPr>
          </w:p>
        </w:tc>
        <w:tc>
          <w:tcPr>
            <w:tcW w:w="1361" w:type="dxa"/>
            <w:vAlign w:val="center"/>
          </w:tcPr>
          <w:p>
            <w:pPr>
              <w:pStyle w:val="15"/>
            </w:pPr>
            <w:r>
              <w:t>47.22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2010506</w:t>
            </w:r>
          </w:p>
        </w:tc>
        <w:tc>
          <w:tcPr>
            <w:tcW w:w="4535" w:type="dxa"/>
            <w:vAlign w:val="center"/>
          </w:tcPr>
          <w:p>
            <w:pPr>
              <w:pStyle w:val="16"/>
            </w:pPr>
            <w:r>
              <w:t>统计管理</w:t>
            </w:r>
          </w:p>
        </w:tc>
        <w:tc>
          <w:tcPr>
            <w:tcW w:w="1361" w:type="dxa"/>
            <w:vAlign w:val="center"/>
          </w:tcPr>
          <w:p>
            <w:pPr>
              <w:pStyle w:val="15"/>
            </w:pPr>
            <w:r>
              <w:t>55.66</w:t>
            </w:r>
          </w:p>
        </w:tc>
        <w:tc>
          <w:tcPr>
            <w:tcW w:w="1361" w:type="dxa"/>
            <w:vAlign w:val="center"/>
          </w:tcPr>
          <w:p>
            <w:pPr>
              <w:pStyle w:val="15"/>
            </w:pPr>
          </w:p>
        </w:tc>
        <w:tc>
          <w:tcPr>
            <w:tcW w:w="1361" w:type="dxa"/>
            <w:vAlign w:val="center"/>
          </w:tcPr>
          <w:p>
            <w:pPr>
              <w:pStyle w:val="15"/>
            </w:pPr>
            <w:r>
              <w:t>55.66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880.33</w:t>
            </w:r>
          </w:p>
        </w:tc>
        <w:tc>
          <w:tcPr>
            <w:tcW w:w="3402" w:type="dxa"/>
            <w:vAlign w:val="center"/>
          </w:tcPr>
          <w:p>
            <w:pPr>
              <w:pStyle w:val="16"/>
            </w:pPr>
            <w:r>
              <w:t>一、一般公共服务支出</w:t>
            </w:r>
          </w:p>
        </w:tc>
        <w:tc>
          <w:tcPr>
            <w:tcW w:w="1474" w:type="dxa"/>
            <w:vAlign w:val="center"/>
          </w:tcPr>
          <w:p>
            <w:pPr>
              <w:pStyle w:val="15"/>
            </w:pPr>
            <w:r>
              <w:t>880.33</w:t>
            </w:r>
          </w:p>
        </w:tc>
        <w:tc>
          <w:tcPr>
            <w:tcW w:w="1474" w:type="dxa"/>
            <w:vAlign w:val="center"/>
          </w:tcPr>
          <w:p>
            <w:pPr>
              <w:pStyle w:val="15"/>
            </w:pPr>
            <w:r>
              <w:t>880.33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880.33</w:t>
            </w:r>
          </w:p>
        </w:tc>
        <w:tc>
          <w:tcPr>
            <w:tcW w:w="3402" w:type="dxa"/>
            <w:vAlign w:val="center"/>
          </w:tcPr>
          <w:p>
            <w:pPr>
              <w:pStyle w:val="18"/>
            </w:pPr>
            <w:r>
              <w:t>本年支出合计</w:t>
            </w:r>
          </w:p>
        </w:tc>
        <w:tc>
          <w:tcPr>
            <w:tcW w:w="1474" w:type="dxa"/>
            <w:vAlign w:val="center"/>
          </w:tcPr>
          <w:p>
            <w:pPr>
              <w:pStyle w:val="19"/>
            </w:pPr>
            <w:r>
              <w:t>880.33</w:t>
            </w:r>
          </w:p>
        </w:tc>
        <w:tc>
          <w:tcPr>
            <w:tcW w:w="1474" w:type="dxa"/>
            <w:vAlign w:val="center"/>
          </w:tcPr>
          <w:p>
            <w:pPr>
              <w:pStyle w:val="19"/>
            </w:pPr>
            <w:r>
              <w:t>880.33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880.33</w:t>
            </w:r>
          </w:p>
        </w:tc>
        <w:tc>
          <w:tcPr>
            <w:tcW w:w="3402" w:type="dxa"/>
            <w:vAlign w:val="center"/>
          </w:tcPr>
          <w:p>
            <w:pPr>
              <w:pStyle w:val="18"/>
            </w:pPr>
            <w:r>
              <w:t>支出总计</w:t>
            </w:r>
          </w:p>
        </w:tc>
        <w:tc>
          <w:tcPr>
            <w:tcW w:w="1474" w:type="dxa"/>
            <w:vAlign w:val="center"/>
          </w:tcPr>
          <w:p>
            <w:pPr>
              <w:pStyle w:val="19"/>
            </w:pPr>
            <w:r>
              <w:t>880.33</w:t>
            </w:r>
          </w:p>
        </w:tc>
        <w:tc>
          <w:tcPr>
            <w:tcW w:w="1474" w:type="dxa"/>
            <w:vAlign w:val="center"/>
          </w:tcPr>
          <w:p>
            <w:pPr>
              <w:pStyle w:val="19"/>
            </w:pPr>
            <w:r>
              <w:t>880.33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880.33</w:t>
            </w:r>
          </w:p>
        </w:tc>
        <w:tc>
          <w:tcPr>
            <w:tcW w:w="2551" w:type="dxa"/>
            <w:vAlign w:val="center"/>
          </w:tcPr>
          <w:p>
            <w:pPr>
              <w:pStyle w:val="19"/>
            </w:pPr>
            <w:r>
              <w:t>777.45</w:t>
            </w:r>
          </w:p>
        </w:tc>
        <w:tc>
          <w:tcPr>
            <w:tcW w:w="2551" w:type="dxa"/>
            <w:vAlign w:val="center"/>
          </w:tcPr>
          <w:p>
            <w:pPr>
              <w:pStyle w:val="19"/>
            </w:pPr>
            <w:r>
              <w:t>102.88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880.33</w:t>
            </w:r>
          </w:p>
        </w:tc>
        <w:tc>
          <w:tcPr>
            <w:tcW w:w="2551" w:type="dxa"/>
            <w:vAlign w:val="center"/>
          </w:tcPr>
          <w:p>
            <w:pPr>
              <w:pStyle w:val="15"/>
            </w:pPr>
            <w:r>
              <w:t>777.45</w:t>
            </w:r>
          </w:p>
        </w:tc>
        <w:tc>
          <w:tcPr>
            <w:tcW w:w="2551" w:type="dxa"/>
            <w:vAlign w:val="center"/>
          </w:tcPr>
          <w:p>
            <w:pPr>
              <w:pStyle w:val="15"/>
            </w:pPr>
            <w:r>
              <w:t>102.88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880.33</w:t>
            </w:r>
          </w:p>
        </w:tc>
        <w:tc>
          <w:tcPr>
            <w:tcW w:w="2551" w:type="dxa"/>
            <w:vAlign w:val="center"/>
          </w:tcPr>
          <w:p>
            <w:pPr>
              <w:pStyle w:val="15"/>
            </w:pPr>
            <w:r>
              <w:t>777.45</w:t>
            </w:r>
          </w:p>
        </w:tc>
        <w:tc>
          <w:tcPr>
            <w:tcW w:w="2551" w:type="dxa"/>
            <w:vAlign w:val="center"/>
          </w:tcPr>
          <w:p>
            <w:pPr>
              <w:pStyle w:val="15"/>
            </w:pPr>
            <w:r>
              <w:t>102.88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777.45</w:t>
            </w:r>
          </w:p>
        </w:tc>
        <w:tc>
          <w:tcPr>
            <w:tcW w:w="2551" w:type="dxa"/>
            <w:vAlign w:val="center"/>
          </w:tcPr>
          <w:p>
            <w:pPr>
              <w:pStyle w:val="15"/>
            </w:pPr>
            <w:r>
              <w:t>777.45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47.22</w:t>
            </w:r>
          </w:p>
        </w:tc>
        <w:tc>
          <w:tcPr>
            <w:tcW w:w="2551" w:type="dxa"/>
            <w:vAlign w:val="center"/>
          </w:tcPr>
          <w:p>
            <w:pPr>
              <w:pStyle w:val="15"/>
            </w:pPr>
          </w:p>
        </w:tc>
        <w:tc>
          <w:tcPr>
            <w:tcW w:w="2551" w:type="dxa"/>
            <w:vAlign w:val="center"/>
          </w:tcPr>
          <w:p>
            <w:pPr>
              <w:pStyle w:val="15"/>
            </w:pPr>
            <w:r>
              <w:t>47.22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2010506</w:t>
            </w:r>
          </w:p>
        </w:tc>
        <w:tc>
          <w:tcPr>
            <w:tcW w:w="4535" w:type="dxa"/>
            <w:vAlign w:val="center"/>
          </w:tcPr>
          <w:p>
            <w:pPr>
              <w:pStyle w:val="16"/>
            </w:pPr>
            <w:r>
              <w:t>统计管理</w:t>
            </w:r>
          </w:p>
        </w:tc>
        <w:tc>
          <w:tcPr>
            <w:tcW w:w="2551" w:type="dxa"/>
            <w:vAlign w:val="center"/>
          </w:tcPr>
          <w:p>
            <w:pPr>
              <w:pStyle w:val="15"/>
            </w:pPr>
            <w:r>
              <w:t>55.66</w:t>
            </w:r>
          </w:p>
        </w:tc>
        <w:tc>
          <w:tcPr>
            <w:tcW w:w="2551" w:type="dxa"/>
            <w:vAlign w:val="center"/>
          </w:tcPr>
          <w:p>
            <w:pPr>
              <w:pStyle w:val="15"/>
            </w:pPr>
          </w:p>
        </w:tc>
        <w:tc>
          <w:tcPr>
            <w:tcW w:w="2551" w:type="dxa"/>
            <w:vAlign w:val="center"/>
          </w:tcPr>
          <w:p>
            <w:pPr>
              <w:pStyle w:val="15"/>
            </w:pPr>
            <w:r>
              <w:t>55.66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777.45</w:t>
            </w:r>
          </w:p>
        </w:tc>
        <w:tc>
          <w:tcPr>
            <w:tcW w:w="2551" w:type="dxa"/>
            <w:vAlign w:val="center"/>
          </w:tcPr>
          <w:p>
            <w:pPr>
              <w:pStyle w:val="19"/>
            </w:pPr>
            <w:r>
              <w:t>715.86</w:t>
            </w:r>
          </w:p>
        </w:tc>
        <w:tc>
          <w:tcPr>
            <w:tcW w:w="2551" w:type="dxa"/>
            <w:vAlign w:val="center"/>
          </w:tcPr>
          <w:p>
            <w:pPr>
              <w:pStyle w:val="19"/>
            </w:pPr>
            <w:r>
              <w:t>61.58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631.52</w:t>
            </w:r>
          </w:p>
        </w:tc>
        <w:tc>
          <w:tcPr>
            <w:tcW w:w="2551" w:type="dxa"/>
            <w:vAlign w:val="center"/>
          </w:tcPr>
          <w:p>
            <w:pPr>
              <w:pStyle w:val="15"/>
            </w:pPr>
            <w:r>
              <w:t>631.52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157.77</w:t>
            </w:r>
          </w:p>
        </w:tc>
        <w:tc>
          <w:tcPr>
            <w:tcW w:w="2551" w:type="dxa"/>
            <w:vAlign w:val="center"/>
          </w:tcPr>
          <w:p>
            <w:pPr>
              <w:pStyle w:val="15"/>
            </w:pPr>
            <w:r>
              <w:t>157.77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175.17</w:t>
            </w:r>
          </w:p>
        </w:tc>
        <w:tc>
          <w:tcPr>
            <w:tcW w:w="2551" w:type="dxa"/>
            <w:vAlign w:val="center"/>
          </w:tcPr>
          <w:p>
            <w:pPr>
              <w:pStyle w:val="15"/>
            </w:pPr>
            <w:r>
              <w:t>175.17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13.15</w:t>
            </w:r>
          </w:p>
        </w:tc>
        <w:tc>
          <w:tcPr>
            <w:tcW w:w="2551" w:type="dxa"/>
            <w:vAlign w:val="center"/>
          </w:tcPr>
          <w:p>
            <w:pPr>
              <w:pStyle w:val="15"/>
            </w:pPr>
            <w:r>
              <w:t>13.15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88.27</w:t>
            </w:r>
          </w:p>
        </w:tc>
        <w:tc>
          <w:tcPr>
            <w:tcW w:w="2551" w:type="dxa"/>
            <w:vAlign w:val="center"/>
          </w:tcPr>
          <w:p>
            <w:pPr>
              <w:pStyle w:val="15"/>
            </w:pPr>
            <w:r>
              <w:t>88.27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72.47</w:t>
            </w:r>
          </w:p>
        </w:tc>
        <w:tc>
          <w:tcPr>
            <w:tcW w:w="2551" w:type="dxa"/>
            <w:vAlign w:val="center"/>
          </w:tcPr>
          <w:p>
            <w:pPr>
              <w:pStyle w:val="15"/>
            </w:pPr>
            <w:r>
              <w:t>72.47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25.07</w:t>
            </w:r>
          </w:p>
        </w:tc>
        <w:tc>
          <w:tcPr>
            <w:tcW w:w="2551" w:type="dxa"/>
            <w:vAlign w:val="center"/>
          </w:tcPr>
          <w:p>
            <w:pPr>
              <w:pStyle w:val="15"/>
            </w:pPr>
            <w:r>
              <w:t>25.07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19.40</w:t>
            </w:r>
          </w:p>
        </w:tc>
        <w:tc>
          <w:tcPr>
            <w:tcW w:w="2551" w:type="dxa"/>
            <w:vAlign w:val="center"/>
          </w:tcPr>
          <w:p>
            <w:pPr>
              <w:pStyle w:val="15"/>
            </w:pPr>
            <w:r>
              <w:t>19.40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25.87</w:t>
            </w:r>
          </w:p>
        </w:tc>
        <w:tc>
          <w:tcPr>
            <w:tcW w:w="2551" w:type="dxa"/>
            <w:vAlign w:val="center"/>
          </w:tcPr>
          <w:p>
            <w:pPr>
              <w:pStyle w:val="15"/>
            </w:pPr>
            <w:r>
              <w:t>25.87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54.35</w:t>
            </w:r>
          </w:p>
        </w:tc>
        <w:tc>
          <w:tcPr>
            <w:tcW w:w="2551" w:type="dxa"/>
            <w:vAlign w:val="center"/>
          </w:tcPr>
          <w:p>
            <w:pPr>
              <w:pStyle w:val="15"/>
            </w:pPr>
            <w:r>
              <w:t>54.35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61.58</w:t>
            </w:r>
          </w:p>
        </w:tc>
        <w:tc>
          <w:tcPr>
            <w:tcW w:w="2551" w:type="dxa"/>
            <w:vAlign w:val="center"/>
          </w:tcPr>
          <w:p>
            <w:pPr>
              <w:pStyle w:val="15"/>
            </w:pPr>
          </w:p>
        </w:tc>
        <w:tc>
          <w:tcPr>
            <w:tcW w:w="2551" w:type="dxa"/>
            <w:vAlign w:val="center"/>
          </w:tcPr>
          <w:p>
            <w:pPr>
              <w:pStyle w:val="15"/>
            </w:pPr>
            <w:r>
              <w:t>61.58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10.80</w:t>
            </w:r>
          </w:p>
        </w:tc>
        <w:tc>
          <w:tcPr>
            <w:tcW w:w="2551" w:type="dxa"/>
            <w:vAlign w:val="center"/>
          </w:tcPr>
          <w:p>
            <w:pPr>
              <w:pStyle w:val="15"/>
            </w:pPr>
          </w:p>
        </w:tc>
        <w:tc>
          <w:tcPr>
            <w:tcW w:w="2551" w:type="dxa"/>
            <w:vAlign w:val="center"/>
          </w:tcPr>
          <w:p>
            <w:pPr>
              <w:pStyle w:val="15"/>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19.27</w:t>
            </w:r>
          </w:p>
        </w:tc>
        <w:tc>
          <w:tcPr>
            <w:tcW w:w="2551" w:type="dxa"/>
            <w:vAlign w:val="center"/>
          </w:tcPr>
          <w:p>
            <w:pPr>
              <w:pStyle w:val="15"/>
            </w:pPr>
          </w:p>
        </w:tc>
        <w:tc>
          <w:tcPr>
            <w:tcW w:w="2551" w:type="dxa"/>
            <w:vAlign w:val="center"/>
          </w:tcPr>
          <w:p>
            <w:pPr>
              <w:pStyle w:val="15"/>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4.31</w:t>
            </w:r>
          </w:p>
        </w:tc>
        <w:tc>
          <w:tcPr>
            <w:tcW w:w="2551" w:type="dxa"/>
            <w:vAlign w:val="center"/>
          </w:tcPr>
          <w:p>
            <w:pPr>
              <w:pStyle w:val="15"/>
            </w:pPr>
          </w:p>
        </w:tc>
        <w:tc>
          <w:tcPr>
            <w:tcW w:w="2551" w:type="dxa"/>
            <w:vAlign w:val="center"/>
          </w:tcPr>
          <w:p>
            <w:pPr>
              <w:pStyle w:val="15"/>
            </w:pPr>
            <w:r>
              <w:t>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3.94</w:t>
            </w:r>
          </w:p>
        </w:tc>
        <w:tc>
          <w:tcPr>
            <w:tcW w:w="2551" w:type="dxa"/>
            <w:vAlign w:val="center"/>
          </w:tcPr>
          <w:p>
            <w:pPr>
              <w:pStyle w:val="15"/>
            </w:pPr>
          </w:p>
        </w:tc>
        <w:tc>
          <w:tcPr>
            <w:tcW w:w="2551" w:type="dxa"/>
            <w:vAlign w:val="center"/>
          </w:tcPr>
          <w:p>
            <w:pPr>
              <w:pStyle w:val="15"/>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21.42</w:t>
            </w:r>
          </w:p>
        </w:tc>
        <w:tc>
          <w:tcPr>
            <w:tcW w:w="2551" w:type="dxa"/>
            <w:vAlign w:val="center"/>
          </w:tcPr>
          <w:p>
            <w:pPr>
              <w:pStyle w:val="15"/>
            </w:pPr>
          </w:p>
        </w:tc>
        <w:tc>
          <w:tcPr>
            <w:tcW w:w="2551" w:type="dxa"/>
            <w:vAlign w:val="center"/>
          </w:tcPr>
          <w:p>
            <w:pPr>
              <w:pStyle w:val="15"/>
            </w:pPr>
            <w:r>
              <w:t>21.42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1.84</w:t>
            </w:r>
          </w:p>
        </w:tc>
        <w:tc>
          <w:tcPr>
            <w:tcW w:w="2551" w:type="dxa"/>
            <w:vAlign w:val="center"/>
          </w:tcPr>
          <w:p>
            <w:pPr>
              <w:pStyle w:val="15"/>
            </w:pPr>
          </w:p>
        </w:tc>
        <w:tc>
          <w:tcPr>
            <w:tcW w:w="2551" w:type="dxa"/>
            <w:vAlign w:val="center"/>
          </w:tcPr>
          <w:p>
            <w:pPr>
              <w:pStyle w:val="15"/>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84.34</w:t>
            </w:r>
          </w:p>
        </w:tc>
        <w:tc>
          <w:tcPr>
            <w:tcW w:w="2551" w:type="dxa"/>
            <w:vAlign w:val="center"/>
          </w:tcPr>
          <w:p>
            <w:pPr>
              <w:pStyle w:val="15"/>
            </w:pPr>
            <w:r>
              <w:t>84.34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83.41</w:t>
            </w:r>
          </w:p>
        </w:tc>
        <w:tc>
          <w:tcPr>
            <w:tcW w:w="2551" w:type="dxa"/>
            <w:vAlign w:val="center"/>
          </w:tcPr>
          <w:p>
            <w:pPr>
              <w:pStyle w:val="15"/>
            </w:pPr>
            <w:r>
              <w:t>83.41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0.92</w:t>
            </w:r>
          </w:p>
        </w:tc>
        <w:tc>
          <w:tcPr>
            <w:tcW w:w="2551" w:type="dxa"/>
            <w:vAlign w:val="center"/>
          </w:tcPr>
          <w:p>
            <w:pPr>
              <w:pStyle w:val="15"/>
            </w:pPr>
            <w:r>
              <w:t>0.92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0.01</w:t>
            </w:r>
          </w:p>
        </w:tc>
        <w:tc>
          <w:tcPr>
            <w:tcW w:w="2551" w:type="dxa"/>
            <w:vAlign w:val="center"/>
          </w:tcPr>
          <w:p>
            <w:pPr>
              <w:pStyle w:val="15"/>
            </w:pPr>
            <w:r>
              <w:t>0.01</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石家庄市藁城区统计局本级2023年单位预算信息公开情况说明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val="en-US"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预算法》、《地方预决算公开操作规程》和《关于进一步推进预算公开工作的实施意见》规定，现将石家庄市藁城区统计局本级2023年单位预算公开如下：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Theme="minorHAnsi" w:hAnsiTheme="minorHAnsi"/>
          <w:lang w:val="uk-UA"/>
        </w:rPr>
      </w:pPr>
      <w:r>
        <w:rPr>
          <w:rFonts w:ascii="方正楷体_GBK" w:hAnsi="方正楷体_GBK" w:eastAsia="方正楷体_GBK" w:cs="方正楷体_GBK"/>
          <w:b/>
          <w:color w:val="000000"/>
          <w:sz w:val="32"/>
        </w:rPr>
        <w:t>单位职责：</w:t>
      </w:r>
    </w:p>
    <w:p>
      <w:pPr>
        <w:pStyle w:val="29"/>
      </w:pPr>
      <w:r>
        <w:t>石家庄市藁城区统计局是藁城区政府组成部门，人员编制36人，下设办公室、农村统计科、工业交通统计科、综合科、城市社会经济调查队、农村社会经济调查队6个科室队和一个副科级事业单位藁城区普查中心。我局的主要工作职责是：</w:t>
      </w:r>
    </w:p>
    <w:p>
      <w:pPr>
        <w:pStyle w:val="29"/>
      </w:pPr>
      <w:r>
        <w:t>1、承担组织领导和协调管理全区统计工作，确保统计数据真实、准确、及时的责任。</w:t>
      </w:r>
    </w:p>
    <w:p>
      <w:pPr>
        <w:pStyle w:val="29"/>
      </w:pPr>
      <w:r>
        <w:t>2、拟订统计工作方面的地方性法规、政府规章草案，制定全区统计改革、统计现代化建设规划、统计调查计划和地方统计调查标准、统计调查制度，监督检查统计法律、法规实施情况，指导全区统计工作。</w:t>
      </w:r>
    </w:p>
    <w:p>
      <w:pPr>
        <w:pStyle w:val="29"/>
      </w:pPr>
      <w:r>
        <w:t>3、组织完成国家、省、市部署的国情国力普查及重要调查任务；研究提出重大区情区力普查和抽样调查计划并组织实施，汇总、整理和提供有关区情区力方面的统计数据。</w:t>
      </w:r>
    </w:p>
    <w:p>
      <w:pPr>
        <w:pStyle w:val="29"/>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pPr>
        <w:pStyle w:val="29"/>
      </w:pPr>
      <w:r>
        <w:t>5、组织实施社会发展水平、县域经济发展、节能降耗、城镇化发展、全面小康及农村小康建设进程、资源循环利用、妇女儿童等统计监测，收集、整理和提供统计数据。</w:t>
      </w:r>
    </w:p>
    <w:p>
      <w:pPr>
        <w:pStyle w:val="29"/>
      </w:pPr>
      <w:r>
        <w:t>6、组织实施城乡住户一体化、产粮大县（市）和生猪大县（市）等抽样调查工作，收集、整理和提供统计数据。</w:t>
      </w:r>
    </w:p>
    <w:p>
      <w:pPr>
        <w:pStyle w:val="29"/>
      </w:pPr>
      <w:r>
        <w:t>7、综合整理和提供财政、金融、个体、私营以及混合经济税收、出口、地质勘察、文化教育、卫生、社会保障、公用事业、房屋、对外贸易、对内经济技术合作及引进内资等基本统计数据。</w:t>
      </w:r>
    </w:p>
    <w:p>
      <w:pPr>
        <w:pStyle w:val="29"/>
      </w:pPr>
      <w:r>
        <w:t>8、统一核实、管理、公布全市性基本统计资料，定期发布全市国民经济和社会发展情况的统计信息，组织建设统计住处共享制度和发布制度。</w:t>
      </w:r>
    </w:p>
    <w:p>
      <w:pPr>
        <w:pStyle w:val="29"/>
      </w:pPr>
      <w:r>
        <w:t>9、对国民经济、社会发展、科技进步等情况进行统计分析、统计预测和统计监督，向区委、区政府及有关部门提供统计信息和咨询建议。</w:t>
      </w:r>
    </w:p>
    <w:p>
      <w:pPr>
        <w:pStyle w:val="29"/>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pStyle w:val="29"/>
      </w:pPr>
      <w:r>
        <w:t>11、贯彻执行国家、省、市统计信息库和网络的基本标准和运行规则；管理全区统计信息自动化系统和统计数据库体系；管理全区统计数据库网络；指导全区统计信息化系统建设。</w:t>
      </w:r>
    </w:p>
    <w:p>
      <w:pPr>
        <w:pStyle w:val="29"/>
      </w:pPr>
      <w:r>
        <w:t>12、指导全市统计专业技术队伍建设，配合省、市统计局组织管理统计从业资格认定和持证上岗工作，协助有关部门组织管理统计专业技术资格考试、职务评聘工作。</w:t>
      </w:r>
    </w:p>
    <w:p>
      <w:pPr>
        <w:pStyle w:val="29"/>
      </w:pPr>
      <w:r>
        <w:t>13、承办市政府交办的其他事项。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石家庄市藁城区统计局本级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30"/>
      </w:pPr>
      <w:r>
        <w:t>1、收入说明</w:t>
      </w:r>
    </w:p>
    <w:p>
      <w:pPr>
        <w:pStyle w:val="30"/>
      </w:pPr>
      <w:r>
        <w:t>反映本单位当年全部收入。2023年预算收入880.33万元，其中：一般公共预算收入880.33万元，基金预算收入0万元，财政专户核拨收入0万元，其他来源收入0万元。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本单位预算中支出预算的总体情况。2023年单位支出预算为880.33万元，其中基本支出777.45万元，包括人员经费715.86万元和日常公用经费61.58万元；项目支出102.88万元，主要为调查队业务经费支出30.98万元，劳务派遣人员经费支出49.66万元，全区三产限上企业统计工作经费支出6.24万元，失业率调查统计工作经费支出10万元，统计年鉴印刷费支出1.5万元，统计业务经费支出4.5万元；其他支出0万元。</w:t>
      </w:r>
    </w:p>
    <w:p>
      <w:pPr>
        <w:pStyle w:val="30"/>
      </w:pPr>
      <w:r>
        <w:t>3、比上年增减情况</w:t>
      </w:r>
    </w:p>
    <w:p>
      <w:pPr>
        <w:pStyle w:val="30"/>
      </w:pPr>
      <w:r>
        <w:t>2023年单位预算收支安排880.33万元，较2022年增加141.29万元，其中：基本支出增加125.83万元，主要是工资调标，相应增加人员经费和日常公用经费；项目支出增加15.46万元，主要是增加了调查队业务经费和劳务派遣人员经费；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2023年，我单位机关运行经费共计安排61.58万元，主要用于保证机关正常运转的办公及印刷费、邮电费、差旅费、会议费、福利费等支出。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无增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1、调查队业务经费绩效目标表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1.开展城乡住户一体化调查，了解居民收入、支出，遥感测量播种面积，对粮食产量进行实割实测。</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补贴发放覆盖率</w:t>
            </w:r>
          </w:p>
        </w:tc>
        <w:tc>
          <w:tcPr>
            <w:tcW w:w="2835" w:type="dxa"/>
            <w:vAlign w:val="center"/>
          </w:tcPr>
          <w:p>
            <w:pPr>
              <w:pStyle w:val="16"/>
            </w:pPr>
            <w:r>
              <w:t>反映补贴发放的覆盖程度</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报表合格率</w:t>
            </w:r>
          </w:p>
        </w:tc>
        <w:tc>
          <w:tcPr>
            <w:tcW w:w="2835" w:type="dxa"/>
            <w:vAlign w:val="center"/>
          </w:tcPr>
          <w:p>
            <w:pPr>
              <w:pStyle w:val="16"/>
            </w:pPr>
            <w:r>
              <w:t>报表合格数量占总数量的比例</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补贴发放及时性</w:t>
            </w:r>
          </w:p>
        </w:tc>
        <w:tc>
          <w:tcPr>
            <w:tcW w:w="2835" w:type="dxa"/>
            <w:vAlign w:val="center"/>
          </w:tcPr>
          <w:p>
            <w:pPr>
              <w:pStyle w:val="16"/>
            </w:pPr>
            <w:r>
              <w:t>反映补贴发放的及时程度</w:t>
            </w:r>
          </w:p>
        </w:tc>
        <w:tc>
          <w:tcPr>
            <w:tcW w:w="2551" w:type="dxa"/>
            <w:vAlign w:val="center"/>
          </w:tcPr>
          <w:p>
            <w:pPr>
              <w:pStyle w:val="16"/>
            </w:pPr>
            <w:r>
              <w:t>每季度按时发放</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严控预算控制数</w:t>
            </w:r>
          </w:p>
        </w:tc>
        <w:tc>
          <w:tcPr>
            <w:tcW w:w="2551" w:type="dxa"/>
            <w:vAlign w:val="center"/>
          </w:tcPr>
          <w:p>
            <w:pPr>
              <w:pStyle w:val="16"/>
            </w:pPr>
            <w:r>
              <w:t>≤30.98万元</w:t>
            </w:r>
          </w:p>
        </w:tc>
        <w:tc>
          <w:tcPr>
            <w:tcW w:w="2268"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提供统计信息和咨询建议</w:t>
            </w:r>
          </w:p>
        </w:tc>
        <w:tc>
          <w:tcPr>
            <w:tcW w:w="2835" w:type="dxa"/>
            <w:vAlign w:val="center"/>
          </w:tcPr>
          <w:p>
            <w:pPr>
              <w:pStyle w:val="16"/>
            </w:pPr>
            <w:r>
              <w:t>为领导决策提供合理化建议</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1.缓解人员不足问题，加强基层统计力量。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涉及人数</w:t>
            </w:r>
          </w:p>
        </w:tc>
        <w:tc>
          <w:tcPr>
            <w:tcW w:w="2835" w:type="dxa"/>
            <w:vAlign w:val="center"/>
          </w:tcPr>
          <w:p>
            <w:pPr>
              <w:pStyle w:val="16"/>
            </w:pPr>
            <w:r>
              <w:t>工资涉及人数</w:t>
            </w:r>
          </w:p>
        </w:tc>
        <w:tc>
          <w:tcPr>
            <w:tcW w:w="2551" w:type="dxa"/>
            <w:vAlign w:val="center"/>
          </w:tcPr>
          <w:p>
            <w:pPr>
              <w:pStyle w:val="16"/>
            </w:pPr>
            <w:r>
              <w:t>10人</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工资发放的标准</w:t>
            </w:r>
          </w:p>
        </w:tc>
        <w:tc>
          <w:tcPr>
            <w:tcW w:w="2835" w:type="dxa"/>
            <w:vAlign w:val="center"/>
          </w:tcPr>
          <w:p>
            <w:pPr>
              <w:pStyle w:val="16"/>
            </w:pPr>
            <w:r>
              <w:t>人员工资发放标准</w:t>
            </w:r>
          </w:p>
        </w:tc>
        <w:tc>
          <w:tcPr>
            <w:tcW w:w="2551" w:type="dxa"/>
            <w:vAlign w:val="center"/>
          </w:tcPr>
          <w:p>
            <w:pPr>
              <w:pStyle w:val="16"/>
            </w:pPr>
            <w:r>
              <w:t>足额发放</w:t>
            </w:r>
          </w:p>
        </w:tc>
        <w:tc>
          <w:tcPr>
            <w:tcW w:w="2268" w:type="dxa"/>
            <w:vAlign w:val="center"/>
          </w:tcPr>
          <w:p>
            <w:pPr>
              <w:pStyle w:val="16"/>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工资按时发放</w:t>
            </w:r>
          </w:p>
        </w:tc>
        <w:tc>
          <w:tcPr>
            <w:tcW w:w="2835" w:type="dxa"/>
            <w:vAlign w:val="center"/>
          </w:tcPr>
          <w:p>
            <w:pPr>
              <w:pStyle w:val="16"/>
            </w:pPr>
            <w:r>
              <w:t>工资按时发放</w:t>
            </w:r>
          </w:p>
        </w:tc>
        <w:tc>
          <w:tcPr>
            <w:tcW w:w="2551" w:type="dxa"/>
            <w:vAlign w:val="center"/>
          </w:tcPr>
          <w:p>
            <w:pPr>
              <w:pStyle w:val="16"/>
            </w:pPr>
            <w:r>
              <w:t>每月23日前发放</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平均成本</w:t>
            </w:r>
          </w:p>
        </w:tc>
        <w:tc>
          <w:tcPr>
            <w:tcW w:w="2835" w:type="dxa"/>
            <w:vAlign w:val="center"/>
          </w:tcPr>
          <w:p>
            <w:pPr>
              <w:pStyle w:val="16"/>
            </w:pPr>
            <w:r>
              <w:t>平均每人成本数</w:t>
            </w:r>
          </w:p>
        </w:tc>
        <w:tc>
          <w:tcPr>
            <w:tcW w:w="2551" w:type="dxa"/>
            <w:vAlign w:val="center"/>
          </w:tcPr>
          <w:p>
            <w:pPr>
              <w:pStyle w:val="16"/>
            </w:pPr>
            <w:r>
              <w:t>4138.38元</w:t>
            </w:r>
          </w:p>
        </w:tc>
        <w:tc>
          <w:tcPr>
            <w:tcW w:w="2268" w:type="dxa"/>
            <w:vAlign w:val="center"/>
          </w:tcPr>
          <w:p>
            <w:pPr>
              <w:pStyle w:val="16"/>
            </w:pPr>
            <w:r>
              <w:t>绩效文本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2835" w:type="dxa"/>
            <w:vAlign w:val="center"/>
          </w:tcPr>
          <w:p>
            <w:pPr>
              <w:pStyle w:val="16"/>
            </w:pPr>
            <w:r>
              <w:t>增强了我局的统计力量</w:t>
            </w:r>
          </w:p>
        </w:tc>
        <w:tc>
          <w:tcPr>
            <w:tcW w:w="2551" w:type="dxa"/>
            <w:vAlign w:val="center"/>
          </w:tcPr>
          <w:p>
            <w:pPr>
              <w:pStyle w:val="16"/>
            </w:pPr>
            <w:r>
              <w:t>有所增强</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3、全区三产限上企业统计工作经费绩效目标表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1.提高三产限上企业对统计的配合程度，了解第三产业的发展情况，为领导提供统计信息和咨询建议。</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补贴发放涉及企业数量</w:t>
            </w:r>
          </w:p>
        </w:tc>
        <w:tc>
          <w:tcPr>
            <w:tcW w:w="2835" w:type="dxa"/>
            <w:vAlign w:val="center"/>
          </w:tcPr>
          <w:p>
            <w:pPr>
              <w:pStyle w:val="16"/>
            </w:pPr>
            <w:r>
              <w:t>反映三产限上企业的数量</w:t>
            </w:r>
          </w:p>
        </w:tc>
        <w:tc>
          <w:tcPr>
            <w:tcW w:w="2551" w:type="dxa"/>
            <w:vAlign w:val="center"/>
          </w:tcPr>
          <w:p>
            <w:pPr>
              <w:pStyle w:val="16"/>
            </w:pPr>
            <w:r>
              <w:t>104个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统计报表合格率</w:t>
            </w:r>
          </w:p>
        </w:tc>
        <w:tc>
          <w:tcPr>
            <w:tcW w:w="2835" w:type="dxa"/>
            <w:vAlign w:val="center"/>
          </w:tcPr>
          <w:p>
            <w:pPr>
              <w:pStyle w:val="16"/>
            </w:pPr>
            <w:r>
              <w:t>统计报表合格数量占总数量的比例</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补贴发放及时性</w:t>
            </w:r>
          </w:p>
        </w:tc>
        <w:tc>
          <w:tcPr>
            <w:tcW w:w="2835" w:type="dxa"/>
            <w:vAlign w:val="center"/>
          </w:tcPr>
          <w:p>
            <w:pPr>
              <w:pStyle w:val="16"/>
            </w:pPr>
            <w:r>
              <w:t>反映补贴发放的及时程度</w:t>
            </w:r>
          </w:p>
        </w:tc>
        <w:tc>
          <w:tcPr>
            <w:tcW w:w="2551" w:type="dxa"/>
            <w:vAlign w:val="center"/>
          </w:tcPr>
          <w:p>
            <w:pPr>
              <w:pStyle w:val="16"/>
            </w:pPr>
            <w:r>
              <w:t>≤10月</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严控预算控制数</w:t>
            </w:r>
          </w:p>
        </w:tc>
        <w:tc>
          <w:tcPr>
            <w:tcW w:w="2551" w:type="dxa"/>
            <w:vAlign w:val="center"/>
          </w:tcPr>
          <w:p>
            <w:pPr>
              <w:pStyle w:val="16"/>
            </w:pPr>
            <w:r>
              <w:t>≤6.24万元</w:t>
            </w:r>
          </w:p>
        </w:tc>
        <w:tc>
          <w:tcPr>
            <w:tcW w:w="2268"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提供统计信息和咨询建议</w:t>
            </w:r>
          </w:p>
        </w:tc>
        <w:tc>
          <w:tcPr>
            <w:tcW w:w="2835" w:type="dxa"/>
            <w:vAlign w:val="center"/>
          </w:tcPr>
          <w:p>
            <w:pPr>
              <w:pStyle w:val="16"/>
            </w:pPr>
            <w:r>
              <w:t>为领导决策提供合理化建议</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4、失业率调查统计工作经费绩效目标表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1.组织开展省级月度调查失业率统计工作，为人口就业，经济发展和社会稳定提供基层数据。</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补贴发放覆盖率</w:t>
            </w:r>
          </w:p>
        </w:tc>
        <w:tc>
          <w:tcPr>
            <w:tcW w:w="2835" w:type="dxa"/>
            <w:vAlign w:val="center"/>
          </w:tcPr>
          <w:p>
            <w:pPr>
              <w:pStyle w:val="16"/>
            </w:pPr>
            <w:r>
              <w:t>反映补贴发放的覆盖程度</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报表合格率</w:t>
            </w:r>
          </w:p>
        </w:tc>
        <w:tc>
          <w:tcPr>
            <w:tcW w:w="2835" w:type="dxa"/>
            <w:vAlign w:val="center"/>
          </w:tcPr>
          <w:p>
            <w:pPr>
              <w:pStyle w:val="16"/>
            </w:pPr>
            <w:r>
              <w:t>报表合格数量占总数量的比例</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补贴发放及时性</w:t>
            </w:r>
          </w:p>
        </w:tc>
        <w:tc>
          <w:tcPr>
            <w:tcW w:w="2835" w:type="dxa"/>
            <w:vAlign w:val="center"/>
          </w:tcPr>
          <w:p>
            <w:pPr>
              <w:pStyle w:val="16"/>
            </w:pPr>
            <w:r>
              <w:t>反映补贴发放的及时程度</w:t>
            </w:r>
          </w:p>
        </w:tc>
        <w:tc>
          <w:tcPr>
            <w:tcW w:w="2551" w:type="dxa"/>
            <w:vAlign w:val="center"/>
          </w:tcPr>
          <w:p>
            <w:pPr>
              <w:pStyle w:val="16"/>
            </w:pPr>
            <w:r>
              <w:t>每季按时发放</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严控预算控制数</w:t>
            </w:r>
          </w:p>
        </w:tc>
        <w:tc>
          <w:tcPr>
            <w:tcW w:w="2551" w:type="dxa"/>
            <w:vAlign w:val="center"/>
          </w:tcPr>
          <w:p>
            <w:pPr>
              <w:pStyle w:val="16"/>
            </w:pPr>
            <w:r>
              <w:t>≤10万元</w:t>
            </w:r>
          </w:p>
        </w:tc>
        <w:tc>
          <w:tcPr>
            <w:tcW w:w="2268"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提供统计信息和咨询建议</w:t>
            </w:r>
          </w:p>
        </w:tc>
        <w:tc>
          <w:tcPr>
            <w:tcW w:w="2835" w:type="dxa"/>
            <w:vAlign w:val="center"/>
          </w:tcPr>
          <w:p>
            <w:pPr>
              <w:pStyle w:val="16"/>
            </w:pPr>
            <w:r>
              <w:t>为领导决策提供合理化建议</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5、统计年鉴印刷费绩效目标表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1.编印藁城区2023年度统计年鉴，完成全区年度数据的测算审核认定工作。</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编印资料数量</w:t>
            </w:r>
          </w:p>
        </w:tc>
        <w:tc>
          <w:tcPr>
            <w:tcW w:w="2835" w:type="dxa"/>
            <w:vAlign w:val="center"/>
          </w:tcPr>
          <w:p>
            <w:pPr>
              <w:pStyle w:val="16"/>
            </w:pPr>
            <w:r>
              <w:t>编印资料数量</w:t>
            </w:r>
          </w:p>
        </w:tc>
        <w:tc>
          <w:tcPr>
            <w:tcW w:w="2551" w:type="dxa"/>
            <w:vAlign w:val="center"/>
          </w:tcPr>
          <w:p>
            <w:pPr>
              <w:pStyle w:val="16"/>
            </w:pPr>
            <w:r>
              <w:t>200本</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统计年鉴印刷合格率</w:t>
            </w:r>
          </w:p>
        </w:tc>
        <w:tc>
          <w:tcPr>
            <w:tcW w:w="2835" w:type="dxa"/>
            <w:vAlign w:val="center"/>
          </w:tcPr>
          <w:p>
            <w:pPr>
              <w:pStyle w:val="16"/>
            </w:pPr>
            <w:r>
              <w:t>年鉴合格数量占总数量比例</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印刷及时性</w:t>
            </w:r>
          </w:p>
        </w:tc>
        <w:tc>
          <w:tcPr>
            <w:tcW w:w="2835" w:type="dxa"/>
            <w:vAlign w:val="center"/>
          </w:tcPr>
          <w:p>
            <w:pPr>
              <w:pStyle w:val="16"/>
            </w:pPr>
            <w:r>
              <w:t>年鉴印刷及时程度</w:t>
            </w:r>
          </w:p>
        </w:tc>
        <w:tc>
          <w:tcPr>
            <w:tcW w:w="2551" w:type="dxa"/>
            <w:vAlign w:val="center"/>
          </w:tcPr>
          <w:p>
            <w:pPr>
              <w:pStyle w:val="16"/>
            </w:pPr>
            <w:r>
              <w:t>≤10月</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严格预算控制数</w:t>
            </w:r>
          </w:p>
        </w:tc>
        <w:tc>
          <w:tcPr>
            <w:tcW w:w="2551" w:type="dxa"/>
            <w:vAlign w:val="center"/>
          </w:tcPr>
          <w:p>
            <w:pPr>
              <w:pStyle w:val="16"/>
            </w:pPr>
            <w:r>
              <w:t>≤1.5万元</w:t>
            </w:r>
          </w:p>
        </w:tc>
        <w:tc>
          <w:tcPr>
            <w:tcW w:w="2268" w:type="dxa"/>
            <w:vAlign w:val="center"/>
          </w:tcPr>
          <w:p>
            <w:pPr>
              <w:pStyle w:val="16"/>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为领导及相关部门和社会群众提供统计数据</w:t>
            </w:r>
          </w:p>
        </w:tc>
        <w:tc>
          <w:tcPr>
            <w:tcW w:w="2835" w:type="dxa"/>
            <w:vAlign w:val="center"/>
          </w:tcPr>
          <w:p>
            <w:pPr>
              <w:pStyle w:val="16"/>
            </w:pPr>
            <w:r>
              <w:t>为领导及相关部门和社会群众提供统计数据</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6、统计业务经费绩效目标表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1.对基层统计人员进行培训和业务指导，提高基层统计质量。</w:t>
            </w:r>
          </w:p>
        </w:tc>
      </w:tr>
    </w:tbl>
    <w:p>
      <w:pPr>
        <w:spacing w:line="2" w:lineRule="exact"/>
        <w:jc w:val="center"/>
      </w:pP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培训人员数</w:t>
            </w:r>
          </w:p>
        </w:tc>
        <w:tc>
          <w:tcPr>
            <w:tcW w:w="2835" w:type="dxa"/>
            <w:vAlign w:val="center"/>
          </w:tcPr>
          <w:p>
            <w:pPr>
              <w:pStyle w:val="16"/>
            </w:pPr>
            <w:r>
              <w:t>反映参加培训的人数</w:t>
            </w:r>
          </w:p>
        </w:tc>
        <w:tc>
          <w:tcPr>
            <w:tcW w:w="2551" w:type="dxa"/>
            <w:vAlign w:val="center"/>
          </w:tcPr>
          <w:p>
            <w:pPr>
              <w:pStyle w:val="16"/>
            </w:pPr>
            <w:r>
              <w:t>≥300人</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培训合格率</w:t>
            </w:r>
          </w:p>
        </w:tc>
        <w:tc>
          <w:tcPr>
            <w:tcW w:w="2835" w:type="dxa"/>
            <w:vAlign w:val="center"/>
          </w:tcPr>
          <w:p>
            <w:pPr>
              <w:pStyle w:val="16"/>
            </w:pPr>
            <w:r>
              <w:t>培训合格人员占总人员的比例</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培训时间</w:t>
            </w:r>
          </w:p>
        </w:tc>
        <w:tc>
          <w:tcPr>
            <w:tcW w:w="2835" w:type="dxa"/>
            <w:vAlign w:val="center"/>
          </w:tcPr>
          <w:p>
            <w:pPr>
              <w:pStyle w:val="16"/>
            </w:pPr>
            <w:r>
              <w:t>反映培训的时间</w:t>
            </w:r>
          </w:p>
        </w:tc>
        <w:tc>
          <w:tcPr>
            <w:tcW w:w="2551" w:type="dxa"/>
            <w:vAlign w:val="center"/>
          </w:tcPr>
          <w:p>
            <w:pPr>
              <w:pStyle w:val="16"/>
            </w:pPr>
            <w:r>
              <w:t>≥10学时</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严控预算控制数</w:t>
            </w:r>
          </w:p>
        </w:tc>
        <w:tc>
          <w:tcPr>
            <w:tcW w:w="2551" w:type="dxa"/>
            <w:vAlign w:val="center"/>
          </w:tcPr>
          <w:p>
            <w:pPr>
              <w:pStyle w:val="16"/>
            </w:pPr>
            <w:r>
              <w:t>≤4.5万元</w:t>
            </w:r>
          </w:p>
        </w:tc>
        <w:tc>
          <w:tcPr>
            <w:tcW w:w="2268" w:type="dxa"/>
            <w:vAlign w:val="center"/>
          </w:tcPr>
          <w:p>
            <w:pPr>
              <w:pStyle w:val="16"/>
            </w:pPr>
            <w:r>
              <w:t>绩效文本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基层统计质量提高</w:t>
            </w:r>
          </w:p>
        </w:tc>
        <w:tc>
          <w:tcPr>
            <w:tcW w:w="2835" w:type="dxa"/>
            <w:vAlign w:val="center"/>
          </w:tcPr>
          <w:p>
            <w:pPr>
              <w:pStyle w:val="16"/>
            </w:pPr>
            <w:r>
              <w:t>提高基层统计人员的业务能力</w:t>
            </w:r>
          </w:p>
        </w:tc>
        <w:tc>
          <w:tcPr>
            <w:tcW w:w="2551" w:type="dxa"/>
            <w:vAlign w:val="center"/>
          </w:tcPr>
          <w:p>
            <w:pPr>
              <w:pStyle w:val="16"/>
            </w:pPr>
            <w:r>
              <w:t>≥98%</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2023年，石家庄市藁城区统计局本级安排政府采购预算0.00万元。具体内容见下表。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石家庄市藁城区统计局本级上年末固定资产金额为155.52万元（详见下表）。本年度拟购置固定资产总额为0.00万元，已按要求列入政府采购预算，详见政府采购预算表。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410001石家庄市藁城区统计局本级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1069</w:t>
            </w:r>
          </w:p>
        </w:tc>
        <w:tc>
          <w:tcPr>
            <w:tcW w:w="2835" w:type="dxa"/>
            <w:vAlign w:val="center"/>
          </w:tcPr>
          <w:p>
            <w:pPr>
              <w:pStyle w:val="15"/>
            </w:pPr>
            <w:r>
              <w:t>155.52</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pPr>
        <w:outlineLvl w:val="0"/>
        <w:rPr>
          <w:rFonts w:hint="eastAsia" w:eastAsiaTheme="minorEastAsia"/>
          <w:lang w:eastAsia="zh-CN"/>
        </w:rPr>
        <w:sectPr>
          <w:footerReference r:id="rId3" w:type="default"/>
          <w:footerReference r:id="rId4" w:type="even"/>
          <w:pgSz w:w="16840" w:h="11900" w:orient="landscape"/>
          <w:pgMar w:top="1361" w:right="1020" w:bottom="1134" w:left="1020" w:header="720" w:footer="720" w:gutter="0"/>
          <w:cols w:space="720" w:num="1"/>
        </w:sectPr>
      </w:pPr>
    </w:p>
    <w:p>
      <w:pPr>
        <w:outlineLvl w:val="3"/>
        <w:rPr>
          <w:rFonts w:hint="eastAsia"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hjYmE3NzYwZDNjMDRmYjRlNTkxYjhiMThjMTFkMzIifQ=="/>
  </w:docVars>
  <w:rsids>
    <w:rsidRoot w:val="00D222B2"/>
    <w:rsid w:val="00212352"/>
    <w:rsid w:val="002D24DE"/>
    <w:rsid w:val="00603B06"/>
    <w:rsid w:val="00890F5B"/>
    <w:rsid w:val="00937047"/>
    <w:rsid w:val="0096172B"/>
    <w:rsid w:val="00AD2607"/>
    <w:rsid w:val="00BF74AC"/>
    <w:rsid w:val="00D222B2"/>
    <w:rsid w:val="00F969A0"/>
    <w:rsid w:val="31B1640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footer"/>
    <w:basedOn w:val="1"/>
    <w:link w:val="34"/>
    <w:semiHidden/>
    <w:unhideWhenUsed/>
    <w:uiPriority w:val="99"/>
    <w:pPr>
      <w:tabs>
        <w:tab w:val="center" w:pos="4153"/>
        <w:tab w:val="right" w:pos="8306"/>
      </w:tabs>
      <w:snapToGrid w:val="0"/>
    </w:pPr>
    <w:rPr>
      <w:sz w:val="18"/>
      <w:szCs w:val="18"/>
    </w:rPr>
  </w:style>
  <w:style w:type="paragraph" w:styleId="4">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autoRedefine/>
    <w:qFormat/>
    <w:uiPriority w:val="0"/>
    <w:pPr>
      <w:spacing w:before="120"/>
      <w:ind w:firstLine="560"/>
    </w:pPr>
    <w:rPr>
      <w:rFonts w:eastAsia="方正仿宋_GBK"/>
      <w:color w:val="000000"/>
      <w:sz w:val="28"/>
    </w:rPr>
  </w:style>
  <w:style w:type="paragraph" w:styleId="6">
    <w:name w:val="toc 4"/>
    <w:basedOn w:val="1"/>
    <w:autoRedefine/>
    <w:qFormat/>
    <w:uiPriority w:val="0"/>
    <w:pPr>
      <w:ind w:left="720"/>
    </w:pPr>
  </w:style>
  <w:style w:type="paragraph" w:styleId="7">
    <w:name w:val="toc 2"/>
    <w:basedOn w:val="1"/>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autoRedefine/>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autoRedefine/>
    <w:semiHidden/>
    <w:qFormat/>
    <w:uiPriority w:val="99"/>
    <w:rPr>
      <w:rFonts w:eastAsia="Times New Roman"/>
      <w:sz w:val="18"/>
      <w:szCs w:val="18"/>
      <w:lang w:eastAsia="uk-UA"/>
    </w:rPr>
  </w:style>
  <w:style w:type="character" w:customStyle="1" w:styleId="34">
    <w:name w:val="页脚 Char"/>
    <w:basedOn w:val="10"/>
    <w:link w:val="3"/>
    <w:autoRedefine/>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2023-01-31T10:51:09Z</dcterms:created>
  <dcterms:modified xsi:type="dcterms:W3CDTF">2023-01-31T02:51:09Z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2023-01-31T10:51:22Z</dcterms:created>
  <dcterms:modified xsi:type="dcterms:W3CDTF">2023-01-31T02:51:22Z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2023-01-31T10:51:20Z</dcterms:created>
  <dcterms:modified xsi:type="dcterms:W3CDTF">2023-01-31T02:51:20Z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2023-01-31T10:51:04Z</dcterms:created>
  <dcterms:modified xsi:type="dcterms:W3CDTF">2023-01-31T02:51:04Z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2023-01-31T10:51:07Z</dcterms:created>
  <dcterms:modified xsi:type="dcterms:W3CDTF">2023-01-31T02:51:07Z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2023-01-31T10:51:18Z</dcterms:created>
  <dcterms:modified xsi:type="dcterms:W3CDTF">2023-01-31T02:51:18Z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2023-01-31T10:51:19Z</dcterms:created>
  <dcterms:modified xsi:type="dcterms:W3CDTF">2023-01-31T02:51:19Z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2023-01-31T10:51:16Z</dcterms:created>
  <dcterms:modified xsi:type="dcterms:W3CDTF">2023-01-31T02:51:16Z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2023-01-31T10:51:20Z</dcterms:created>
  <dcterms:modified xsi:type="dcterms:W3CDTF">2023-01-31T02:51:20Z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2023-01-31T10:51:06Z</dcterms:created>
  <dcterms:modified xsi:type="dcterms:W3CDTF">2023-01-31T02:51:06Z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2023-01-31T10:51:08Z</dcterms:created>
  <dcterms:modified xsi:type="dcterms:W3CDTF">2023-01-31T02:51:08Z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2023-01-31T10:51:07Z</dcterms:created>
  <dcterms:modified xsi:type="dcterms:W3CDTF">2023-01-31T02:51:07Z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2023-01-31T10:51:07Z</dcterms:created>
  <dcterms:modified xsi:type="dcterms:W3CDTF">2023-01-31T02:51:07Z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3DEB5D7-4638-4D0D-BA50-4976721C255F}">
  <ds:schemaRefs/>
</ds:datastoreItem>
</file>

<file path=customXml/itemProps10.xml><?xml version="1.0" encoding="utf-8"?>
<ds:datastoreItem xmlns:ds="http://schemas.openxmlformats.org/officeDocument/2006/customXml" ds:itemID="{49C9DC5F-38DD-408A-983B-DA5D58A43FAA}">
  <ds:schemaRefs/>
</ds:datastoreItem>
</file>

<file path=customXml/itemProps11.xml><?xml version="1.0" encoding="utf-8"?>
<ds:datastoreItem xmlns:ds="http://schemas.openxmlformats.org/officeDocument/2006/customXml" ds:itemID="{080A0A6B-D909-43C7-8EB3-6043522C95A8}">
  <ds:schemaRefs/>
</ds:datastoreItem>
</file>

<file path=customXml/itemProps12.xml><?xml version="1.0" encoding="utf-8"?>
<ds:datastoreItem xmlns:ds="http://schemas.openxmlformats.org/officeDocument/2006/customXml" ds:itemID="{FEACA164-4631-42F4-B15A-CCA77528C08B}">
  <ds:schemaRefs/>
</ds:datastoreItem>
</file>

<file path=customXml/itemProps13.xml><?xml version="1.0" encoding="utf-8"?>
<ds:datastoreItem xmlns:ds="http://schemas.openxmlformats.org/officeDocument/2006/customXml" ds:itemID="{374139F6-8B2B-4397-ADA3-C0DB2DDEC6C4}">
  <ds:schemaRefs/>
</ds:datastoreItem>
</file>

<file path=customXml/itemProps14.xml><?xml version="1.0" encoding="utf-8"?>
<ds:datastoreItem xmlns:ds="http://schemas.openxmlformats.org/officeDocument/2006/customXml" ds:itemID="{CCCF31E0-BE93-4325-A519-FCB61A97679F}">
  <ds:schemaRefs/>
</ds:datastoreItem>
</file>

<file path=customXml/itemProps15.xml><?xml version="1.0" encoding="utf-8"?>
<ds:datastoreItem xmlns:ds="http://schemas.openxmlformats.org/officeDocument/2006/customXml" ds:itemID="{590B9794-36EE-494F-AE11-B372CBF43507}">
  <ds:schemaRefs/>
</ds:datastoreItem>
</file>

<file path=customXml/itemProps16.xml><?xml version="1.0" encoding="utf-8"?>
<ds:datastoreItem xmlns:ds="http://schemas.openxmlformats.org/officeDocument/2006/customXml" ds:itemID="{5DA2DADA-E548-4470-AA66-5FB0124E747F}">
  <ds:schemaRefs/>
</ds:datastoreItem>
</file>

<file path=customXml/itemProps17.xml><?xml version="1.0" encoding="utf-8"?>
<ds:datastoreItem xmlns:ds="http://schemas.openxmlformats.org/officeDocument/2006/customXml" ds:itemID="{2D491E59-F2E1-4750-9C75-7FC8C5A3A2EC}">
  <ds:schemaRefs/>
</ds:datastoreItem>
</file>

<file path=customXml/itemProps18.xml><?xml version="1.0" encoding="utf-8"?>
<ds:datastoreItem xmlns:ds="http://schemas.openxmlformats.org/officeDocument/2006/customXml" ds:itemID="{D17455F3-F00E-4233-8E81-4393AE5ACEAB}">
  <ds:schemaRefs/>
</ds:datastoreItem>
</file>

<file path=customXml/itemProps19.xml><?xml version="1.0" encoding="utf-8"?>
<ds:datastoreItem xmlns:ds="http://schemas.openxmlformats.org/officeDocument/2006/customXml" ds:itemID="{667F1EDD-F48C-4A8C-887E-B8215B158F39}">
  <ds:schemaRefs/>
</ds:datastoreItem>
</file>

<file path=customXml/itemProps2.xml><?xml version="1.0" encoding="utf-8"?>
<ds:datastoreItem xmlns:ds="http://schemas.openxmlformats.org/officeDocument/2006/customXml" ds:itemID="{DD41121F-10DB-4CBB-8FAF-58257E8D9E98}">
  <ds:schemaRefs/>
</ds:datastoreItem>
</file>

<file path=customXml/itemProps20.xml><?xml version="1.0" encoding="utf-8"?>
<ds:datastoreItem xmlns:ds="http://schemas.openxmlformats.org/officeDocument/2006/customXml" ds:itemID="{83D63055-6312-4060-8DA8-2120A532DADB}">
  <ds:schemaRefs/>
</ds:datastoreItem>
</file>

<file path=customXml/itemProps21.xml><?xml version="1.0" encoding="utf-8"?>
<ds:datastoreItem xmlns:ds="http://schemas.openxmlformats.org/officeDocument/2006/customXml" ds:itemID="{DC4EA590-4D19-4B3C-B4C6-92E53B273DFD}">
  <ds:schemaRefs/>
</ds:datastoreItem>
</file>

<file path=customXml/itemProps22.xml><?xml version="1.0" encoding="utf-8"?>
<ds:datastoreItem xmlns:ds="http://schemas.openxmlformats.org/officeDocument/2006/customXml" ds:itemID="{EDDFC5E3-C377-4883-A059-E03D70FD82ED}">
  <ds:schemaRefs/>
</ds:datastoreItem>
</file>

<file path=customXml/itemProps23.xml><?xml version="1.0" encoding="utf-8"?>
<ds:datastoreItem xmlns:ds="http://schemas.openxmlformats.org/officeDocument/2006/customXml" ds:itemID="{FAD19C36-6EFD-4940-923C-DEE146868E4F}">
  <ds:schemaRefs/>
</ds:datastoreItem>
</file>

<file path=customXml/itemProps24.xml><?xml version="1.0" encoding="utf-8"?>
<ds:datastoreItem xmlns:ds="http://schemas.openxmlformats.org/officeDocument/2006/customXml" ds:itemID="{4418EE4A-4839-4C10-88A8-86D6C05DDC28}">
  <ds:schemaRefs/>
</ds:datastoreItem>
</file>

<file path=customXml/itemProps25.xml><?xml version="1.0" encoding="utf-8"?>
<ds:datastoreItem xmlns:ds="http://schemas.openxmlformats.org/officeDocument/2006/customXml" ds:itemID="{9B2A0156-6946-4A1F-8A56-980345B3A642}">
  <ds:schemaRefs/>
</ds:datastoreItem>
</file>

<file path=customXml/itemProps26.xml><?xml version="1.0" encoding="utf-8"?>
<ds:datastoreItem xmlns:ds="http://schemas.openxmlformats.org/officeDocument/2006/customXml" ds:itemID="{2066F38E-8CD8-43DD-A365-D22B723DB43A}">
  <ds:schemaRefs/>
</ds:datastoreItem>
</file>

<file path=customXml/itemProps27.xml><?xml version="1.0" encoding="utf-8"?>
<ds:datastoreItem xmlns:ds="http://schemas.openxmlformats.org/officeDocument/2006/customXml" ds:itemID="{D9BFBDCA-4C80-4E2B-9BBE-998E0066C63D}">
  <ds:schemaRefs/>
</ds:datastoreItem>
</file>

<file path=customXml/itemProps28.xml><?xml version="1.0" encoding="utf-8"?>
<ds:datastoreItem xmlns:ds="http://schemas.openxmlformats.org/officeDocument/2006/customXml" ds:itemID="{9F64BE0A-F3D2-4B1D-B190-E00FDB6E5114}">
  <ds:schemaRefs/>
</ds:datastoreItem>
</file>

<file path=customXml/itemProps29.xml><?xml version="1.0" encoding="utf-8"?>
<ds:datastoreItem xmlns:ds="http://schemas.openxmlformats.org/officeDocument/2006/customXml" ds:itemID="{745B992E-C05B-4D56-80C5-69CCE1B11141}">
  <ds:schemaRefs/>
</ds:datastoreItem>
</file>

<file path=customXml/itemProps3.xml><?xml version="1.0" encoding="utf-8"?>
<ds:datastoreItem xmlns:ds="http://schemas.openxmlformats.org/officeDocument/2006/customXml" ds:itemID="{48C2E1AE-BE8E-42FD-92B7-2BF51773210F}">
  <ds:schemaRefs/>
</ds:datastoreItem>
</file>

<file path=customXml/itemProps30.xml><?xml version="1.0" encoding="utf-8"?>
<ds:datastoreItem xmlns:ds="http://schemas.openxmlformats.org/officeDocument/2006/customXml" ds:itemID="{FD6F0B24-AEE2-437E-9468-17C8CDAAD3F8}">
  <ds:schemaRefs/>
</ds:datastoreItem>
</file>

<file path=customXml/itemProps31.xml><?xml version="1.0" encoding="utf-8"?>
<ds:datastoreItem xmlns:ds="http://schemas.openxmlformats.org/officeDocument/2006/customXml" ds:itemID="{D39FD6B9-EA2E-4495-88FD-8C6DEADE46F5}">
  <ds:schemaRefs/>
</ds:datastoreItem>
</file>

<file path=customXml/itemProps32.xml><?xml version="1.0" encoding="utf-8"?>
<ds:datastoreItem xmlns:ds="http://schemas.openxmlformats.org/officeDocument/2006/customXml" ds:itemID="{FC872593-C382-477D-BFA1-F0C8E9660652}">
  <ds:schemaRefs/>
</ds:datastoreItem>
</file>

<file path=customXml/itemProps33.xml><?xml version="1.0" encoding="utf-8"?>
<ds:datastoreItem xmlns:ds="http://schemas.openxmlformats.org/officeDocument/2006/customXml" ds:itemID="{960E1009-5C5E-420C-9887-5538F2305387}">
  <ds:schemaRefs/>
</ds:datastoreItem>
</file>

<file path=customXml/itemProps34.xml><?xml version="1.0" encoding="utf-8"?>
<ds:datastoreItem xmlns:ds="http://schemas.openxmlformats.org/officeDocument/2006/customXml" ds:itemID="{E5617FBD-1AB2-4142-9AC8-A0401D9A3EA6}">
  <ds:schemaRefs/>
</ds:datastoreItem>
</file>

<file path=customXml/itemProps4.xml><?xml version="1.0" encoding="utf-8"?>
<ds:datastoreItem xmlns:ds="http://schemas.openxmlformats.org/officeDocument/2006/customXml" ds:itemID="{28E67959-B1C6-4FC4-9467-E2EEFC89F73A}">
  <ds:schemaRefs/>
</ds:datastoreItem>
</file>

<file path=customXml/itemProps5.xml><?xml version="1.0" encoding="utf-8"?>
<ds:datastoreItem xmlns:ds="http://schemas.openxmlformats.org/officeDocument/2006/customXml" ds:itemID="{45539F71-210A-46AC-8ADA-2AAFB3600B2B}">
  <ds:schemaRefs/>
</ds:datastoreItem>
</file>

<file path=customXml/itemProps6.xml><?xml version="1.0" encoding="utf-8"?>
<ds:datastoreItem xmlns:ds="http://schemas.openxmlformats.org/officeDocument/2006/customXml" ds:itemID="{66F8F2DC-5A81-431D-AB0D-5DD960BA095A}">
  <ds:schemaRefs/>
</ds:datastoreItem>
</file>

<file path=customXml/itemProps7.xml><?xml version="1.0" encoding="utf-8"?>
<ds:datastoreItem xmlns:ds="http://schemas.openxmlformats.org/officeDocument/2006/customXml" ds:itemID="{C8102414-B0DF-4056-8642-BA8D86920D2B}">
  <ds:schemaRefs/>
</ds:datastoreItem>
</file>

<file path=customXml/itemProps8.xml><?xml version="1.0" encoding="utf-8"?>
<ds:datastoreItem xmlns:ds="http://schemas.openxmlformats.org/officeDocument/2006/customXml" ds:itemID="{1CC28026-DCE1-44BD-AB7E-FFF25FC815BC}">
  <ds:schemaRefs/>
</ds:datastoreItem>
</file>

<file path=customXml/itemProps9.xml><?xml version="1.0" encoding="utf-8"?>
<ds:datastoreItem xmlns:ds="http://schemas.openxmlformats.org/officeDocument/2006/customXml" ds:itemID="{CBB6D56A-9568-4068-A8B1-6DF6015013D5}">
  <ds:schemaRefs/>
</ds:datastoreItem>
</file>

<file path=docProps/app.xml><?xml version="1.0" encoding="utf-8"?>
<Properties xmlns="http://schemas.openxmlformats.org/officeDocument/2006/extended-properties" xmlns:vt="http://schemas.openxmlformats.org/officeDocument/2006/docPropsVTypes">
  <Template>Normal.dotm</Template>
  <Pages>26</Pages>
  <Words>1450</Words>
  <Characters>8269</Characters>
  <Lines>68</Lines>
  <Paragraphs>19</Paragraphs>
  <TotalTime>24</TotalTime>
  <ScaleCrop>false</ScaleCrop>
  <LinksUpToDate>false</LinksUpToDate>
  <CharactersWithSpaces>9700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2023-01-31T10:51:00Z</dcterms:created>
  <dc:creator>tjj</dc:creator>
  <cp:lastModifiedBy>其琛，</cp:lastModifiedBy>
  <dcterms:modified xsi:type="dcterms:W3CDTF">2024-02-23T03:24:59Z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0C43CFDB48AD4F638D7168982968CC06_12</vt:lpwstr>
  </property>
</Properties>
</file>