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val="en-US" w:eastAsia="zh-CN"/>
        </w:rPr>
        <w:t>贾市庄镇人民政府</w:t>
      </w:r>
      <w:r>
        <w:rPr>
          <w:rFonts w:ascii="黑体" w:hAnsi="黑体" w:eastAsia="黑体" w:cs="黑体"/>
          <w:b/>
          <w:color w:val="000000"/>
          <w:sz w:val="44"/>
        </w:rPr>
        <w:t>2022年部门预算信息公开</w:t>
      </w:r>
    </w:p>
    <w:p>
      <w:pPr>
        <w:rPr>
          <w:rFonts w:ascii="方正楷体_GBK" w:hAnsi="方正楷体_GBK" w:eastAsia="方正楷体_GBK" w:cs="方正楷体_GBK"/>
          <w:b/>
          <w:color w:val="000000"/>
          <w:sz w:val="28"/>
        </w:rPr>
      </w:pPr>
    </w:p>
    <w:p>
      <w:pPr>
        <w:rPr>
          <w:rFonts w:ascii="方正楷体_GBK" w:hAnsi="方正楷体_GBK" w:eastAsia="方正楷体_GBK" w:cs="方正楷体_GBK"/>
          <w:b/>
          <w:bCs w:val="0"/>
          <w:color w:val="000000"/>
          <w:sz w:val="28"/>
        </w:rPr>
      </w:pPr>
      <w:r>
        <w:rPr>
          <w:rFonts w:ascii="方正楷体_GBK" w:hAnsi="方正楷体_GBK" w:eastAsia="方正楷体_GBK" w:cs="方正楷体_GBK"/>
          <w:b/>
          <w:bCs w:val="0"/>
          <w:color w:val="000000"/>
          <w:sz w:val="28"/>
        </w:rPr>
        <w:t>部门预算公开表</w:t>
      </w:r>
    </w:p>
    <w:p>
      <w:pPr>
        <w:pStyle w:val="5"/>
        <w:tabs>
          <w:tab w:val="right" w:leader="dot" w:pos="14572"/>
        </w:tabs>
        <w:rPr>
          <w:rFonts w:ascii="Times New Roman" w:hAnsi="Times New Roman" w:eastAsia="方正仿宋_GBK" w:cs="Times New Roman"/>
          <w:color w:val="000000"/>
          <w:sz w:val="28"/>
          <w:szCs w:val="24"/>
          <w:lang w:val="en-US" w:eastAsia="uk-UA" w:bidi="ar-SA"/>
        </w:rPr>
      </w:pPr>
      <w:r>
        <w:fldChar w:fldCharType="begin"/>
      </w:r>
      <w:r>
        <w:instrText xml:space="preserve">TOC \o "2-2"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_Toc15329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_Toc15329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_Toc6376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部门预算收入总表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_Toc6376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_Toc3027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部门预算支出总表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_Toc3027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_Toc2748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部门预算财政拨款收支总表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_Toc2748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_Toc26098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部门预算一般公共预算财政拨款支出表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_Toc26098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_Toc28594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部门预算一般公共预算财政拨款基本支出表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_Toc28594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_Toc22202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部门预算政府基金预算财政拨款支出表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_Toc22202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_Toc20859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部门预算国有资本经营预算财政拨款支出表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_Toc20859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_Toc23451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部门预算财政拨款“三公”经费支出表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_Toc23451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r>
        <w:fldChar w:fldCharType="end"/>
      </w:r>
    </w:p>
    <w:p>
      <w:pPr>
        <w:rPr>
          <w:rFonts w:ascii="方正楷体_GBK" w:hAnsi="方正楷体_GBK" w:eastAsia="方正楷体_GBK" w:cs="方正楷体_GBK"/>
          <w:b/>
          <w:color w:val="000000"/>
          <w:sz w:val="28"/>
        </w:rPr>
      </w:pPr>
      <w:r>
        <w:rPr>
          <w:rFonts w:ascii="方正楷体_GBK" w:hAnsi="方正楷体_GBK" w:eastAsia="方正楷体_GBK" w:cs="方正楷体_GBK"/>
          <w:b/>
          <w:color w:val="000000"/>
          <w:sz w:val="28"/>
        </w:rPr>
        <w:t>部门预算信息公开情况说明</w:t>
      </w:r>
    </w:p>
    <w:p>
      <w:pPr>
        <w:pStyle w:val="5"/>
        <w:tabs>
          <w:tab w:val="right" w:leader="dot" w:pos="14572"/>
        </w:tabs>
        <w:rPr>
          <w:rFonts w:ascii="Times New Roman" w:hAnsi="Times New Roman" w:eastAsia="方正仿宋_GBK" w:cs="Times New Roman"/>
          <w:color w:val="000000"/>
          <w:sz w:val="28"/>
          <w:szCs w:val="24"/>
          <w:lang w:val="en-US" w:eastAsia="uk-UA" w:bidi="ar-SA"/>
        </w:rPr>
      </w:pPr>
      <w:r>
        <w:fldChar w:fldCharType="begin"/>
      </w:r>
      <w:r>
        <w:instrText xml:space="preserve">TOC \o "3-3"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_Toc6616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一、部门职责及机构设置情况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_Toc6616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_Toc29072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二、部门预算安排的总体情况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_Toc29072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_Toc31812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三、机关运行经费安排情况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_Toc31812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_Toc5122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四、财政拨款“三公”经费预算情况及增减变化原因</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_Toc5122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_Toc7401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五、预算绩效信息</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_Toc7401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_Toc27328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六、政府采购预算情况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_Toc27328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_Toc31943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七、国有资产信息</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_Toc31943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5"/>
        <w:tabs>
          <w:tab w:val="right" w:leader="dot" w:pos="14572"/>
        </w:tabs>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_Toc29818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八、名词解释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_Toc29818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pPr>
        <w:pStyle w:val="2"/>
        <w:tabs>
          <w:tab w:val="right" w:leader="dot" w:pos="14572"/>
        </w:tabs>
        <w:ind w:left="0" w:leftChars="0" w:firstLine="560" w:firstLineChars="200"/>
      </w:pPr>
      <w:r>
        <w:rPr>
          <w:rFonts w:ascii="Times New Roman" w:hAnsi="Times New Roman" w:eastAsia="方正仿宋_GBK" w:cs="Times New Roman"/>
          <w:color w:val="000000"/>
          <w:sz w:val="28"/>
          <w:szCs w:val="24"/>
          <w:lang w:val="en-US" w:eastAsia="uk-UA" w:bidi="ar-SA"/>
        </w:rPr>
        <w:t>九、其他需要说明的事项</w:t>
      </w:r>
      <w:r>
        <w:fldChar w:fldCharType="begin"/>
      </w:r>
      <w:r>
        <w:instrText xml:space="preserve"> HYPERLINK \l _Toc25274 </w:instrText>
      </w:r>
      <w:r>
        <w:fldChar w:fldCharType="separate"/>
      </w:r>
      <w:r>
        <w:tab/>
      </w:r>
      <w:r>
        <w:fldChar w:fldCharType="begin"/>
      </w:r>
      <w:r>
        <w:instrText xml:space="preserve"> PAGEREF _Toc25274 \h </w:instrText>
      </w:r>
      <w:r>
        <w:fldChar w:fldCharType="separate"/>
      </w:r>
      <w:r>
        <w:t>40</w:t>
      </w:r>
      <w:r>
        <w:fldChar w:fldCharType="end"/>
      </w:r>
      <w:r>
        <w:fldChar w:fldCharType="end"/>
      </w:r>
    </w:p>
    <w:p>
      <w:r>
        <w:fldChar w:fldCharType="end"/>
      </w:r>
    </w:p>
    <w:p>
      <w:pPr>
        <w:rPr>
          <w:rFonts w:eastAsiaTheme="minorEastAsia"/>
          <w:lang w:eastAsia="zh-CN"/>
        </w:r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outlineLvl w:val="1"/>
      </w:pPr>
      <w:bookmarkStart w:id="0" w:name="_Toc15329"/>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1298.85</w:t>
            </w:r>
          </w:p>
        </w:tc>
        <w:tc>
          <w:tcPr>
            <w:tcW w:w="4535" w:type="dxa"/>
            <w:vAlign w:val="center"/>
          </w:tcPr>
          <w:p>
            <w:pPr>
              <w:pStyle w:val="14"/>
            </w:pPr>
            <w:r>
              <w:t>一、一般公共服务支出</w:t>
            </w:r>
          </w:p>
        </w:tc>
        <w:tc>
          <w:tcPr>
            <w:tcW w:w="2126" w:type="dxa"/>
            <w:vAlign w:val="center"/>
          </w:tcPr>
          <w:p>
            <w:pPr>
              <w:pStyle w:val="13"/>
            </w:pPr>
            <w:r>
              <w:t>1160.82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1298.85</w:t>
            </w:r>
          </w:p>
        </w:tc>
        <w:tc>
          <w:tcPr>
            <w:tcW w:w="4535" w:type="dxa"/>
            <w:vAlign w:val="center"/>
          </w:tcPr>
          <w:p>
            <w:pPr>
              <w:pStyle w:val="16"/>
            </w:pPr>
            <w:r>
              <w:t>本年支出合计</w:t>
            </w:r>
          </w:p>
        </w:tc>
        <w:tc>
          <w:tcPr>
            <w:tcW w:w="2126" w:type="dxa"/>
            <w:vAlign w:val="center"/>
          </w:tcPr>
          <w:p>
            <w:pPr>
              <w:pStyle w:val="17"/>
            </w:pPr>
            <w:r>
              <w:t>1298.85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1298.85</w:t>
            </w:r>
          </w:p>
        </w:tc>
        <w:tc>
          <w:tcPr>
            <w:tcW w:w="4535" w:type="dxa"/>
            <w:vAlign w:val="center"/>
          </w:tcPr>
          <w:p>
            <w:pPr>
              <w:pStyle w:val="16"/>
            </w:pPr>
            <w:r>
              <w:t>支出总计</w:t>
            </w:r>
          </w:p>
        </w:tc>
        <w:tc>
          <w:tcPr>
            <w:tcW w:w="2126" w:type="dxa"/>
            <w:vAlign w:val="center"/>
          </w:tcPr>
          <w:p>
            <w:pPr>
              <w:pStyle w:val="17"/>
            </w:pPr>
            <w:r>
              <w:t>1298.85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6376"/>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1298.85</w:t>
            </w:r>
          </w:p>
        </w:tc>
        <w:tc>
          <w:tcPr>
            <w:tcW w:w="1134" w:type="dxa"/>
            <w:vAlign w:val="center"/>
          </w:tcPr>
          <w:p>
            <w:pPr>
              <w:pStyle w:val="17"/>
            </w:pPr>
            <w:r>
              <w:t>1298.85</w:t>
            </w:r>
          </w:p>
        </w:tc>
        <w:tc>
          <w:tcPr>
            <w:tcW w:w="1134" w:type="dxa"/>
            <w:vAlign w:val="center"/>
          </w:tcPr>
          <w:p>
            <w:pPr>
              <w:pStyle w:val="17"/>
            </w:pPr>
            <w:r>
              <w:t>1298.85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1160.82</w:t>
            </w:r>
          </w:p>
        </w:tc>
        <w:tc>
          <w:tcPr>
            <w:tcW w:w="1134" w:type="dxa"/>
            <w:vAlign w:val="center"/>
          </w:tcPr>
          <w:p>
            <w:pPr>
              <w:pStyle w:val="13"/>
            </w:pPr>
            <w:r>
              <w:t>1160.82</w:t>
            </w:r>
          </w:p>
        </w:tc>
        <w:tc>
          <w:tcPr>
            <w:tcW w:w="1134" w:type="dxa"/>
            <w:vAlign w:val="center"/>
          </w:tcPr>
          <w:p>
            <w:pPr>
              <w:pStyle w:val="13"/>
            </w:pPr>
            <w:r>
              <w:t>1160.82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1160.82</w:t>
            </w:r>
          </w:p>
        </w:tc>
        <w:tc>
          <w:tcPr>
            <w:tcW w:w="1134" w:type="dxa"/>
            <w:vAlign w:val="center"/>
          </w:tcPr>
          <w:p>
            <w:pPr>
              <w:pStyle w:val="13"/>
            </w:pPr>
            <w:r>
              <w:t>1160.82</w:t>
            </w:r>
          </w:p>
        </w:tc>
        <w:tc>
          <w:tcPr>
            <w:tcW w:w="1134" w:type="dxa"/>
            <w:vAlign w:val="center"/>
          </w:tcPr>
          <w:p>
            <w:pPr>
              <w:pStyle w:val="13"/>
            </w:pPr>
            <w:r>
              <w:t>1160.82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1066.54</w:t>
            </w:r>
          </w:p>
        </w:tc>
        <w:tc>
          <w:tcPr>
            <w:tcW w:w="1134" w:type="dxa"/>
            <w:vAlign w:val="center"/>
          </w:tcPr>
          <w:p>
            <w:pPr>
              <w:pStyle w:val="13"/>
            </w:pPr>
            <w:r>
              <w:t>1066.54</w:t>
            </w:r>
          </w:p>
        </w:tc>
        <w:tc>
          <w:tcPr>
            <w:tcW w:w="1134" w:type="dxa"/>
            <w:vAlign w:val="center"/>
          </w:tcPr>
          <w:p>
            <w:pPr>
              <w:pStyle w:val="13"/>
            </w:pPr>
            <w:r>
              <w:t>1066.54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89.28</w:t>
            </w:r>
          </w:p>
        </w:tc>
        <w:tc>
          <w:tcPr>
            <w:tcW w:w="1134" w:type="dxa"/>
            <w:vAlign w:val="center"/>
          </w:tcPr>
          <w:p>
            <w:pPr>
              <w:pStyle w:val="13"/>
            </w:pPr>
            <w:r>
              <w:t>89.28</w:t>
            </w:r>
          </w:p>
        </w:tc>
        <w:tc>
          <w:tcPr>
            <w:tcW w:w="1134" w:type="dxa"/>
            <w:vAlign w:val="center"/>
          </w:tcPr>
          <w:p>
            <w:pPr>
              <w:pStyle w:val="13"/>
            </w:pPr>
            <w:r>
              <w:t>89.28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2010308</w:t>
            </w:r>
          </w:p>
        </w:tc>
        <w:tc>
          <w:tcPr>
            <w:tcW w:w="1559" w:type="dxa"/>
            <w:vAlign w:val="center"/>
          </w:tcPr>
          <w:p>
            <w:pPr>
              <w:pStyle w:val="14"/>
            </w:pPr>
            <w:r>
              <w:t>信访事务</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r>
              <w:t>14.74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88.79</w:t>
            </w:r>
          </w:p>
        </w:tc>
        <w:tc>
          <w:tcPr>
            <w:tcW w:w="1134" w:type="dxa"/>
            <w:vAlign w:val="center"/>
          </w:tcPr>
          <w:p>
            <w:pPr>
              <w:pStyle w:val="13"/>
            </w:pPr>
            <w:r>
              <w:t>88.79</w:t>
            </w:r>
          </w:p>
        </w:tc>
        <w:tc>
          <w:tcPr>
            <w:tcW w:w="1134" w:type="dxa"/>
            <w:vAlign w:val="center"/>
          </w:tcPr>
          <w:p>
            <w:pPr>
              <w:pStyle w:val="13"/>
            </w:pPr>
            <w:r>
              <w:t>88.79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2130110</w:t>
            </w:r>
          </w:p>
        </w:tc>
        <w:tc>
          <w:tcPr>
            <w:tcW w:w="1559" w:type="dxa"/>
            <w:vAlign w:val="center"/>
          </w:tcPr>
          <w:p>
            <w:pPr>
              <w:pStyle w:val="14"/>
            </w:pPr>
            <w:r>
              <w:t>执法监管</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83.79</w:t>
            </w:r>
          </w:p>
        </w:tc>
        <w:tc>
          <w:tcPr>
            <w:tcW w:w="1134" w:type="dxa"/>
            <w:vAlign w:val="center"/>
          </w:tcPr>
          <w:p>
            <w:pPr>
              <w:pStyle w:val="13"/>
            </w:pPr>
            <w:r>
              <w:t>83.79</w:t>
            </w:r>
          </w:p>
        </w:tc>
        <w:tc>
          <w:tcPr>
            <w:tcW w:w="1134" w:type="dxa"/>
            <w:vAlign w:val="center"/>
          </w:tcPr>
          <w:p>
            <w:pPr>
              <w:pStyle w:val="13"/>
            </w:pPr>
            <w:r>
              <w:t>83.79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23.79</w:t>
            </w:r>
          </w:p>
        </w:tc>
        <w:tc>
          <w:tcPr>
            <w:tcW w:w="1134" w:type="dxa"/>
            <w:vAlign w:val="center"/>
          </w:tcPr>
          <w:p>
            <w:pPr>
              <w:pStyle w:val="13"/>
            </w:pPr>
            <w:r>
              <w:t>23.79</w:t>
            </w:r>
          </w:p>
        </w:tc>
        <w:tc>
          <w:tcPr>
            <w:tcW w:w="1134" w:type="dxa"/>
            <w:vAlign w:val="center"/>
          </w:tcPr>
          <w:p>
            <w:pPr>
              <w:pStyle w:val="13"/>
            </w:pPr>
            <w:r>
              <w:t>23.79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3027"/>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1298.85</w:t>
            </w:r>
          </w:p>
        </w:tc>
        <w:tc>
          <w:tcPr>
            <w:tcW w:w="1361" w:type="dxa"/>
            <w:vAlign w:val="center"/>
          </w:tcPr>
          <w:p>
            <w:pPr>
              <w:pStyle w:val="17"/>
            </w:pPr>
            <w:r>
              <w:t>1066.54</w:t>
            </w:r>
          </w:p>
        </w:tc>
        <w:tc>
          <w:tcPr>
            <w:tcW w:w="1361" w:type="dxa"/>
            <w:vAlign w:val="center"/>
          </w:tcPr>
          <w:p>
            <w:pPr>
              <w:pStyle w:val="17"/>
            </w:pPr>
            <w:r>
              <w:t>232.31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1160.82</w:t>
            </w:r>
          </w:p>
        </w:tc>
        <w:tc>
          <w:tcPr>
            <w:tcW w:w="1361" w:type="dxa"/>
            <w:vAlign w:val="center"/>
          </w:tcPr>
          <w:p>
            <w:pPr>
              <w:pStyle w:val="13"/>
            </w:pPr>
            <w:r>
              <w:t>1066.54</w:t>
            </w:r>
          </w:p>
        </w:tc>
        <w:tc>
          <w:tcPr>
            <w:tcW w:w="1361" w:type="dxa"/>
            <w:vAlign w:val="center"/>
          </w:tcPr>
          <w:p>
            <w:pPr>
              <w:pStyle w:val="13"/>
            </w:pPr>
            <w:r>
              <w:t>94.28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1160.82</w:t>
            </w:r>
          </w:p>
        </w:tc>
        <w:tc>
          <w:tcPr>
            <w:tcW w:w="1361" w:type="dxa"/>
            <w:vAlign w:val="center"/>
          </w:tcPr>
          <w:p>
            <w:pPr>
              <w:pStyle w:val="13"/>
            </w:pPr>
            <w:r>
              <w:t>1066.54</w:t>
            </w:r>
          </w:p>
        </w:tc>
        <w:tc>
          <w:tcPr>
            <w:tcW w:w="1361" w:type="dxa"/>
            <w:vAlign w:val="center"/>
          </w:tcPr>
          <w:p>
            <w:pPr>
              <w:pStyle w:val="13"/>
            </w:pPr>
            <w:r>
              <w:t>94.28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1066.54</w:t>
            </w:r>
          </w:p>
        </w:tc>
        <w:tc>
          <w:tcPr>
            <w:tcW w:w="1361" w:type="dxa"/>
            <w:vAlign w:val="center"/>
          </w:tcPr>
          <w:p>
            <w:pPr>
              <w:pStyle w:val="13"/>
            </w:pPr>
            <w:r>
              <w:t>1066.54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89.28</w:t>
            </w:r>
          </w:p>
        </w:tc>
        <w:tc>
          <w:tcPr>
            <w:tcW w:w="1361" w:type="dxa"/>
            <w:vAlign w:val="center"/>
          </w:tcPr>
          <w:p>
            <w:pPr>
              <w:pStyle w:val="13"/>
            </w:pPr>
          </w:p>
        </w:tc>
        <w:tc>
          <w:tcPr>
            <w:tcW w:w="1361" w:type="dxa"/>
            <w:vAlign w:val="center"/>
          </w:tcPr>
          <w:p>
            <w:pPr>
              <w:pStyle w:val="13"/>
            </w:pPr>
            <w:r>
              <w:t>89.28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2010308</w:t>
            </w:r>
          </w:p>
        </w:tc>
        <w:tc>
          <w:tcPr>
            <w:tcW w:w="4535" w:type="dxa"/>
            <w:vAlign w:val="center"/>
          </w:tcPr>
          <w:p>
            <w:pPr>
              <w:pStyle w:val="14"/>
            </w:pPr>
            <w:r>
              <w:t>信访事务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r>
              <w:t>14.74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88.79</w:t>
            </w:r>
          </w:p>
        </w:tc>
        <w:tc>
          <w:tcPr>
            <w:tcW w:w="1361" w:type="dxa"/>
            <w:vAlign w:val="center"/>
          </w:tcPr>
          <w:p>
            <w:pPr>
              <w:pStyle w:val="13"/>
            </w:pPr>
          </w:p>
        </w:tc>
        <w:tc>
          <w:tcPr>
            <w:tcW w:w="1361" w:type="dxa"/>
            <w:vAlign w:val="center"/>
          </w:tcPr>
          <w:p>
            <w:pPr>
              <w:pStyle w:val="13"/>
            </w:pPr>
            <w:r>
              <w:t>88.79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2130110</w:t>
            </w:r>
          </w:p>
        </w:tc>
        <w:tc>
          <w:tcPr>
            <w:tcW w:w="4535" w:type="dxa"/>
            <w:vAlign w:val="center"/>
          </w:tcPr>
          <w:p>
            <w:pPr>
              <w:pStyle w:val="14"/>
            </w:pPr>
            <w:r>
              <w:t>执法监管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83.79</w:t>
            </w:r>
          </w:p>
        </w:tc>
        <w:tc>
          <w:tcPr>
            <w:tcW w:w="1361" w:type="dxa"/>
            <w:vAlign w:val="center"/>
          </w:tcPr>
          <w:p>
            <w:pPr>
              <w:pStyle w:val="13"/>
            </w:pPr>
          </w:p>
        </w:tc>
        <w:tc>
          <w:tcPr>
            <w:tcW w:w="1361" w:type="dxa"/>
            <w:vAlign w:val="center"/>
          </w:tcPr>
          <w:p>
            <w:pPr>
              <w:pStyle w:val="13"/>
            </w:pPr>
            <w:r>
              <w:t>83.79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23.79</w:t>
            </w:r>
          </w:p>
        </w:tc>
        <w:tc>
          <w:tcPr>
            <w:tcW w:w="1361" w:type="dxa"/>
            <w:vAlign w:val="center"/>
          </w:tcPr>
          <w:p>
            <w:pPr>
              <w:pStyle w:val="13"/>
            </w:pPr>
          </w:p>
        </w:tc>
        <w:tc>
          <w:tcPr>
            <w:tcW w:w="1361" w:type="dxa"/>
            <w:vAlign w:val="center"/>
          </w:tcPr>
          <w:p>
            <w:pPr>
              <w:pStyle w:val="13"/>
            </w:pPr>
            <w:r>
              <w:t>23.79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2748"/>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1298.85</w:t>
            </w:r>
          </w:p>
        </w:tc>
        <w:tc>
          <w:tcPr>
            <w:tcW w:w="3402" w:type="dxa"/>
            <w:vAlign w:val="center"/>
          </w:tcPr>
          <w:p>
            <w:pPr>
              <w:pStyle w:val="14"/>
            </w:pPr>
            <w:r>
              <w:t>一、一般公共服务支出</w:t>
            </w:r>
          </w:p>
        </w:tc>
        <w:tc>
          <w:tcPr>
            <w:tcW w:w="1474" w:type="dxa"/>
            <w:vAlign w:val="center"/>
          </w:tcPr>
          <w:p>
            <w:pPr>
              <w:pStyle w:val="13"/>
            </w:pPr>
            <w:r>
              <w:t>1160.82</w:t>
            </w:r>
          </w:p>
        </w:tc>
        <w:tc>
          <w:tcPr>
            <w:tcW w:w="1474" w:type="dxa"/>
            <w:vAlign w:val="center"/>
          </w:tcPr>
          <w:p>
            <w:pPr>
              <w:pStyle w:val="13"/>
            </w:pPr>
            <w:r>
              <w:t>1160.82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14.74</w:t>
            </w:r>
          </w:p>
        </w:tc>
        <w:tc>
          <w:tcPr>
            <w:tcW w:w="1474" w:type="dxa"/>
            <w:vAlign w:val="center"/>
          </w:tcPr>
          <w:p>
            <w:pPr>
              <w:pStyle w:val="13"/>
            </w:pPr>
            <w:r>
              <w:t>14.74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w:t>
            </w:r>
          </w:p>
        </w:tc>
        <w:tc>
          <w:tcPr>
            <w:tcW w:w="1474" w:type="dxa"/>
            <w:vAlign w:val="center"/>
          </w:tcPr>
          <w:p>
            <w:pPr>
              <w:pStyle w:val="13"/>
            </w:pPr>
            <w:r>
              <w:t>4.50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15.00</w:t>
            </w:r>
          </w:p>
        </w:tc>
        <w:tc>
          <w:tcPr>
            <w:tcW w:w="1474" w:type="dxa"/>
            <w:vAlign w:val="center"/>
          </w:tcPr>
          <w:p>
            <w:pPr>
              <w:pStyle w:val="13"/>
            </w:pPr>
            <w:r>
              <w:t>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88.79</w:t>
            </w:r>
          </w:p>
        </w:tc>
        <w:tc>
          <w:tcPr>
            <w:tcW w:w="1474" w:type="dxa"/>
            <w:vAlign w:val="center"/>
          </w:tcPr>
          <w:p>
            <w:pPr>
              <w:pStyle w:val="13"/>
            </w:pPr>
            <w:r>
              <w:t>88.79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1298.85</w:t>
            </w:r>
          </w:p>
        </w:tc>
        <w:tc>
          <w:tcPr>
            <w:tcW w:w="3402" w:type="dxa"/>
            <w:vAlign w:val="center"/>
          </w:tcPr>
          <w:p>
            <w:pPr>
              <w:pStyle w:val="16"/>
            </w:pPr>
            <w:r>
              <w:t>本年支出合计</w:t>
            </w:r>
          </w:p>
        </w:tc>
        <w:tc>
          <w:tcPr>
            <w:tcW w:w="1474" w:type="dxa"/>
            <w:vAlign w:val="center"/>
          </w:tcPr>
          <w:p>
            <w:pPr>
              <w:pStyle w:val="17"/>
            </w:pPr>
            <w:r>
              <w:t>1298.85</w:t>
            </w:r>
          </w:p>
        </w:tc>
        <w:tc>
          <w:tcPr>
            <w:tcW w:w="1474" w:type="dxa"/>
            <w:vAlign w:val="center"/>
          </w:tcPr>
          <w:p>
            <w:pPr>
              <w:pStyle w:val="17"/>
            </w:pPr>
            <w:r>
              <w:t>1298.85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1298.85</w:t>
            </w:r>
          </w:p>
        </w:tc>
        <w:tc>
          <w:tcPr>
            <w:tcW w:w="3402" w:type="dxa"/>
            <w:vAlign w:val="center"/>
          </w:tcPr>
          <w:p>
            <w:pPr>
              <w:pStyle w:val="16"/>
            </w:pPr>
            <w:r>
              <w:t>支出总计</w:t>
            </w:r>
          </w:p>
        </w:tc>
        <w:tc>
          <w:tcPr>
            <w:tcW w:w="1474" w:type="dxa"/>
            <w:vAlign w:val="center"/>
          </w:tcPr>
          <w:p>
            <w:pPr>
              <w:pStyle w:val="17"/>
            </w:pPr>
            <w:r>
              <w:t>1298.85</w:t>
            </w:r>
          </w:p>
        </w:tc>
        <w:tc>
          <w:tcPr>
            <w:tcW w:w="1474" w:type="dxa"/>
            <w:vAlign w:val="center"/>
          </w:tcPr>
          <w:p>
            <w:pPr>
              <w:pStyle w:val="17"/>
            </w:pPr>
            <w:r>
              <w:t>1298.85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26098"/>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1298.85</w:t>
            </w:r>
          </w:p>
        </w:tc>
        <w:tc>
          <w:tcPr>
            <w:tcW w:w="2551" w:type="dxa"/>
            <w:vAlign w:val="center"/>
          </w:tcPr>
          <w:p>
            <w:pPr>
              <w:pStyle w:val="17"/>
            </w:pPr>
            <w:r>
              <w:t>1066.54</w:t>
            </w:r>
          </w:p>
        </w:tc>
        <w:tc>
          <w:tcPr>
            <w:tcW w:w="2551" w:type="dxa"/>
            <w:vAlign w:val="center"/>
          </w:tcPr>
          <w:p>
            <w:pPr>
              <w:pStyle w:val="17"/>
            </w:pPr>
            <w:r>
              <w:t>232.31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1160.82</w:t>
            </w:r>
          </w:p>
        </w:tc>
        <w:tc>
          <w:tcPr>
            <w:tcW w:w="2551" w:type="dxa"/>
            <w:vAlign w:val="center"/>
          </w:tcPr>
          <w:p>
            <w:pPr>
              <w:pStyle w:val="13"/>
            </w:pPr>
            <w:r>
              <w:t>1066.54</w:t>
            </w:r>
          </w:p>
        </w:tc>
        <w:tc>
          <w:tcPr>
            <w:tcW w:w="2551" w:type="dxa"/>
            <w:vAlign w:val="center"/>
          </w:tcPr>
          <w:p>
            <w:pPr>
              <w:pStyle w:val="13"/>
            </w:pPr>
            <w:r>
              <w:t>94.28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1160.82</w:t>
            </w:r>
          </w:p>
        </w:tc>
        <w:tc>
          <w:tcPr>
            <w:tcW w:w="2551" w:type="dxa"/>
            <w:vAlign w:val="center"/>
          </w:tcPr>
          <w:p>
            <w:pPr>
              <w:pStyle w:val="13"/>
            </w:pPr>
            <w:r>
              <w:t>1066.54</w:t>
            </w:r>
          </w:p>
        </w:tc>
        <w:tc>
          <w:tcPr>
            <w:tcW w:w="2551" w:type="dxa"/>
            <w:vAlign w:val="center"/>
          </w:tcPr>
          <w:p>
            <w:pPr>
              <w:pStyle w:val="13"/>
            </w:pPr>
            <w:r>
              <w:t>94.28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1066.54</w:t>
            </w:r>
          </w:p>
        </w:tc>
        <w:tc>
          <w:tcPr>
            <w:tcW w:w="2551" w:type="dxa"/>
            <w:vAlign w:val="center"/>
          </w:tcPr>
          <w:p>
            <w:pPr>
              <w:pStyle w:val="13"/>
            </w:pPr>
            <w:r>
              <w:t>1066.54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89.28</w:t>
            </w:r>
          </w:p>
        </w:tc>
        <w:tc>
          <w:tcPr>
            <w:tcW w:w="2551" w:type="dxa"/>
            <w:vAlign w:val="center"/>
          </w:tcPr>
          <w:p>
            <w:pPr>
              <w:pStyle w:val="13"/>
            </w:pPr>
          </w:p>
        </w:tc>
        <w:tc>
          <w:tcPr>
            <w:tcW w:w="2551" w:type="dxa"/>
            <w:vAlign w:val="center"/>
          </w:tcPr>
          <w:p>
            <w:pPr>
              <w:pStyle w:val="13"/>
            </w:pPr>
            <w:r>
              <w:t>89.28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2010308</w:t>
            </w:r>
          </w:p>
        </w:tc>
        <w:tc>
          <w:tcPr>
            <w:tcW w:w="4535" w:type="dxa"/>
            <w:vAlign w:val="center"/>
          </w:tcPr>
          <w:p>
            <w:pPr>
              <w:pStyle w:val="14"/>
            </w:pPr>
            <w:r>
              <w:t>信访事务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14.74</w:t>
            </w:r>
          </w:p>
        </w:tc>
        <w:tc>
          <w:tcPr>
            <w:tcW w:w="2551" w:type="dxa"/>
            <w:vAlign w:val="center"/>
          </w:tcPr>
          <w:p>
            <w:pPr>
              <w:pStyle w:val="13"/>
            </w:pPr>
          </w:p>
        </w:tc>
        <w:tc>
          <w:tcPr>
            <w:tcW w:w="2551"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14.74</w:t>
            </w:r>
          </w:p>
        </w:tc>
        <w:tc>
          <w:tcPr>
            <w:tcW w:w="2551" w:type="dxa"/>
            <w:vAlign w:val="center"/>
          </w:tcPr>
          <w:p>
            <w:pPr>
              <w:pStyle w:val="13"/>
            </w:pPr>
          </w:p>
        </w:tc>
        <w:tc>
          <w:tcPr>
            <w:tcW w:w="2551"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14.74</w:t>
            </w:r>
          </w:p>
        </w:tc>
        <w:tc>
          <w:tcPr>
            <w:tcW w:w="2551" w:type="dxa"/>
            <w:vAlign w:val="center"/>
          </w:tcPr>
          <w:p>
            <w:pPr>
              <w:pStyle w:val="13"/>
            </w:pPr>
          </w:p>
        </w:tc>
        <w:tc>
          <w:tcPr>
            <w:tcW w:w="2551" w:type="dxa"/>
            <w:vAlign w:val="center"/>
          </w:tcPr>
          <w:p>
            <w:pPr>
              <w:pStyle w:val="13"/>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88.79</w:t>
            </w:r>
          </w:p>
        </w:tc>
        <w:tc>
          <w:tcPr>
            <w:tcW w:w="2551" w:type="dxa"/>
            <w:vAlign w:val="center"/>
          </w:tcPr>
          <w:p>
            <w:pPr>
              <w:pStyle w:val="13"/>
            </w:pPr>
          </w:p>
        </w:tc>
        <w:tc>
          <w:tcPr>
            <w:tcW w:w="2551" w:type="dxa"/>
            <w:vAlign w:val="center"/>
          </w:tcPr>
          <w:p>
            <w:pPr>
              <w:pStyle w:val="13"/>
            </w:pPr>
            <w: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2130110</w:t>
            </w:r>
          </w:p>
        </w:tc>
        <w:tc>
          <w:tcPr>
            <w:tcW w:w="4535" w:type="dxa"/>
            <w:vAlign w:val="center"/>
          </w:tcPr>
          <w:p>
            <w:pPr>
              <w:pStyle w:val="14"/>
            </w:pPr>
            <w:r>
              <w:t>执法监管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83.79</w:t>
            </w:r>
          </w:p>
        </w:tc>
        <w:tc>
          <w:tcPr>
            <w:tcW w:w="2551" w:type="dxa"/>
            <w:vAlign w:val="center"/>
          </w:tcPr>
          <w:p>
            <w:pPr>
              <w:pStyle w:val="13"/>
            </w:pPr>
          </w:p>
        </w:tc>
        <w:tc>
          <w:tcPr>
            <w:tcW w:w="2551" w:type="dxa"/>
            <w:vAlign w:val="center"/>
          </w:tcPr>
          <w:p>
            <w:pPr>
              <w:pStyle w:val="13"/>
            </w:pPr>
            <w:r>
              <w:t>83.79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23.79</w:t>
            </w:r>
          </w:p>
        </w:tc>
        <w:tc>
          <w:tcPr>
            <w:tcW w:w="2551" w:type="dxa"/>
            <w:vAlign w:val="center"/>
          </w:tcPr>
          <w:p>
            <w:pPr>
              <w:pStyle w:val="13"/>
            </w:pPr>
          </w:p>
        </w:tc>
        <w:tc>
          <w:tcPr>
            <w:tcW w:w="2551" w:type="dxa"/>
            <w:vAlign w:val="center"/>
          </w:tcPr>
          <w:p>
            <w:pPr>
              <w:pStyle w:val="13"/>
            </w:pPr>
            <w:r>
              <w:t>23.79</w:t>
            </w:r>
          </w:p>
        </w:tc>
      </w:tr>
    </w:tbl>
    <w:p>
      <w:pPr>
        <w:sectPr>
          <w:pgSz w:w="16840" w:h="11900" w:orient="landscape"/>
          <w:pgMar w:top="1361" w:right="1020" w:bottom="1134" w:left="1020" w:header="720" w:footer="720" w:gutter="0"/>
          <w:cols w:space="720" w:num="1"/>
        </w:sectPr>
      </w:pPr>
    </w:p>
    <w:p>
      <w:pPr>
        <w:jc w:val="center"/>
        <w:outlineLvl w:val="1"/>
      </w:pPr>
      <w:bookmarkStart w:id="5" w:name="_Toc28594"/>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1066.54</w:t>
            </w:r>
          </w:p>
        </w:tc>
        <w:tc>
          <w:tcPr>
            <w:tcW w:w="2551" w:type="dxa"/>
            <w:vAlign w:val="center"/>
          </w:tcPr>
          <w:p>
            <w:pPr>
              <w:pStyle w:val="17"/>
            </w:pPr>
            <w:r>
              <w:t>907.46</w:t>
            </w:r>
          </w:p>
        </w:tc>
        <w:tc>
          <w:tcPr>
            <w:tcW w:w="2551" w:type="dxa"/>
            <w:vAlign w:val="center"/>
          </w:tcPr>
          <w:p>
            <w:pPr>
              <w:pStyle w:val="17"/>
            </w:pPr>
            <w:r>
              <w:t>159.08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832.86</w:t>
            </w:r>
          </w:p>
        </w:tc>
        <w:tc>
          <w:tcPr>
            <w:tcW w:w="2551" w:type="dxa"/>
            <w:vAlign w:val="center"/>
          </w:tcPr>
          <w:p>
            <w:pPr>
              <w:pStyle w:val="13"/>
            </w:pPr>
            <w:r>
              <w:t>832.86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165.48</w:t>
            </w:r>
          </w:p>
        </w:tc>
        <w:tc>
          <w:tcPr>
            <w:tcW w:w="2551" w:type="dxa"/>
            <w:vAlign w:val="center"/>
          </w:tcPr>
          <w:p>
            <w:pPr>
              <w:pStyle w:val="13"/>
            </w:pPr>
            <w:r>
              <w:t>165.48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334.64</w:t>
            </w:r>
          </w:p>
        </w:tc>
        <w:tc>
          <w:tcPr>
            <w:tcW w:w="2551" w:type="dxa"/>
            <w:vAlign w:val="center"/>
          </w:tcPr>
          <w:p>
            <w:pPr>
              <w:pStyle w:val="13"/>
            </w:pPr>
            <w:r>
              <w:t>334.64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8.30</w:t>
            </w:r>
          </w:p>
        </w:tc>
        <w:tc>
          <w:tcPr>
            <w:tcW w:w="2551" w:type="dxa"/>
            <w:vAlign w:val="center"/>
          </w:tcPr>
          <w:p>
            <w:pPr>
              <w:pStyle w:val="13"/>
            </w:pPr>
            <w:r>
              <w:t>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65.59</w:t>
            </w:r>
          </w:p>
        </w:tc>
        <w:tc>
          <w:tcPr>
            <w:tcW w:w="2551" w:type="dxa"/>
            <w:vAlign w:val="center"/>
          </w:tcPr>
          <w:p>
            <w:pPr>
              <w:pStyle w:val="13"/>
            </w:pPr>
            <w:r>
              <w:t>65.59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68.43</w:t>
            </w:r>
          </w:p>
        </w:tc>
        <w:tc>
          <w:tcPr>
            <w:tcW w:w="2551" w:type="dxa"/>
            <w:vAlign w:val="center"/>
          </w:tcPr>
          <w:p>
            <w:pPr>
              <w:pStyle w:val="13"/>
            </w:pPr>
            <w:r>
              <w:t>68.43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35.93</w:t>
            </w:r>
          </w:p>
        </w:tc>
        <w:tc>
          <w:tcPr>
            <w:tcW w:w="2551" w:type="dxa"/>
            <w:vAlign w:val="center"/>
          </w:tcPr>
          <w:p>
            <w:pPr>
              <w:pStyle w:val="13"/>
            </w:pPr>
            <w:r>
              <w:t>35.93</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27.80</w:t>
            </w:r>
          </w:p>
        </w:tc>
        <w:tc>
          <w:tcPr>
            <w:tcW w:w="2551" w:type="dxa"/>
            <w:vAlign w:val="center"/>
          </w:tcPr>
          <w:p>
            <w:pPr>
              <w:pStyle w:val="13"/>
            </w:pPr>
            <w:r>
              <w:t>27.80</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69.93</w:t>
            </w:r>
          </w:p>
        </w:tc>
        <w:tc>
          <w:tcPr>
            <w:tcW w:w="2551" w:type="dxa"/>
            <w:vAlign w:val="center"/>
          </w:tcPr>
          <w:p>
            <w:pPr>
              <w:pStyle w:val="13"/>
            </w:pPr>
            <w:r>
              <w:t>69.93</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56.77</w:t>
            </w:r>
          </w:p>
        </w:tc>
        <w:tc>
          <w:tcPr>
            <w:tcW w:w="2551" w:type="dxa"/>
            <w:vAlign w:val="center"/>
          </w:tcPr>
          <w:p>
            <w:pPr>
              <w:pStyle w:val="13"/>
            </w:pPr>
            <w:r>
              <w:t>56.77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157.58</w:t>
            </w:r>
          </w:p>
        </w:tc>
        <w:tc>
          <w:tcPr>
            <w:tcW w:w="2551" w:type="dxa"/>
            <w:vAlign w:val="center"/>
          </w:tcPr>
          <w:p>
            <w:pPr>
              <w:pStyle w:val="13"/>
            </w:pPr>
          </w:p>
        </w:tc>
        <w:tc>
          <w:tcPr>
            <w:tcW w:w="2551" w:type="dxa"/>
            <w:vAlign w:val="center"/>
          </w:tcPr>
          <w:p>
            <w:pPr>
              <w:pStyle w:val="13"/>
            </w:pPr>
            <w:r>
              <w:t>157.58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19.70</w:t>
            </w:r>
          </w:p>
        </w:tc>
        <w:tc>
          <w:tcPr>
            <w:tcW w:w="2551" w:type="dxa"/>
            <w:vAlign w:val="center"/>
          </w:tcPr>
          <w:p>
            <w:pPr>
              <w:pStyle w:val="13"/>
            </w:pPr>
          </w:p>
        </w:tc>
        <w:tc>
          <w:tcPr>
            <w:tcW w:w="2551" w:type="dxa"/>
            <w:vAlign w:val="center"/>
          </w:tcPr>
          <w:p>
            <w:pPr>
              <w:pStyle w:val="13"/>
            </w:pPr>
            <w:r>
              <w:t>19.70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28.50</w:t>
            </w:r>
          </w:p>
        </w:tc>
        <w:tc>
          <w:tcPr>
            <w:tcW w:w="2551" w:type="dxa"/>
            <w:vAlign w:val="center"/>
          </w:tcPr>
          <w:p>
            <w:pPr>
              <w:pStyle w:val="13"/>
            </w:pPr>
          </w:p>
        </w:tc>
        <w:tc>
          <w:tcPr>
            <w:tcW w:w="2551" w:type="dxa"/>
            <w:vAlign w:val="center"/>
          </w:tcPr>
          <w:p>
            <w:pPr>
              <w:pStyle w:val="13"/>
            </w:pPr>
            <w:r>
              <w:t>28.50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19.58</w:t>
            </w:r>
          </w:p>
        </w:tc>
        <w:tc>
          <w:tcPr>
            <w:tcW w:w="2551" w:type="dxa"/>
            <w:vAlign w:val="center"/>
          </w:tcPr>
          <w:p>
            <w:pPr>
              <w:pStyle w:val="13"/>
            </w:pPr>
          </w:p>
        </w:tc>
        <w:tc>
          <w:tcPr>
            <w:tcW w:w="2551" w:type="dxa"/>
            <w:vAlign w:val="center"/>
          </w:tcPr>
          <w:p>
            <w:pPr>
              <w:pStyle w:val="13"/>
            </w:pPr>
            <w:r>
              <w:t>19.58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0.10</w:t>
            </w:r>
          </w:p>
        </w:tc>
        <w:tc>
          <w:tcPr>
            <w:tcW w:w="2551" w:type="dxa"/>
            <w:vAlign w:val="center"/>
          </w:tcPr>
          <w:p>
            <w:pPr>
              <w:pStyle w:val="13"/>
            </w:pPr>
          </w:p>
        </w:tc>
        <w:tc>
          <w:tcPr>
            <w:tcW w:w="2551" w:type="dxa"/>
            <w:vAlign w:val="center"/>
          </w:tcPr>
          <w:p>
            <w:pPr>
              <w:pStyle w:val="13"/>
            </w:pPr>
            <w:r>
              <w:t>0.10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17.90</w:t>
            </w:r>
          </w:p>
        </w:tc>
        <w:tc>
          <w:tcPr>
            <w:tcW w:w="2551" w:type="dxa"/>
            <w:vAlign w:val="center"/>
          </w:tcPr>
          <w:p>
            <w:pPr>
              <w:pStyle w:val="13"/>
            </w:pPr>
          </w:p>
        </w:tc>
        <w:tc>
          <w:tcPr>
            <w:tcW w:w="2551" w:type="dxa"/>
            <w:vAlign w:val="center"/>
          </w:tcPr>
          <w:p>
            <w:pPr>
              <w:pStyle w:val="13"/>
            </w:pPr>
            <w:r>
              <w:t>17.90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3.89</w:t>
            </w:r>
          </w:p>
        </w:tc>
        <w:tc>
          <w:tcPr>
            <w:tcW w:w="2551" w:type="dxa"/>
            <w:vAlign w:val="center"/>
          </w:tcPr>
          <w:p>
            <w:pPr>
              <w:pStyle w:val="13"/>
            </w:pPr>
          </w:p>
        </w:tc>
        <w:tc>
          <w:tcPr>
            <w:tcW w:w="2551" w:type="dxa"/>
            <w:vAlign w:val="center"/>
          </w:tcPr>
          <w:p>
            <w:pPr>
              <w:pStyle w:val="13"/>
            </w:pPr>
            <w:r>
              <w:t>3.89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4.13</w:t>
            </w:r>
          </w:p>
        </w:tc>
        <w:tc>
          <w:tcPr>
            <w:tcW w:w="2551" w:type="dxa"/>
            <w:vAlign w:val="center"/>
          </w:tcPr>
          <w:p>
            <w:pPr>
              <w:pStyle w:val="13"/>
            </w:pPr>
          </w:p>
        </w:tc>
        <w:tc>
          <w:tcPr>
            <w:tcW w:w="2551" w:type="dxa"/>
            <w:vAlign w:val="center"/>
          </w:tcPr>
          <w:p>
            <w:pPr>
              <w:pStyle w:val="13"/>
            </w:pPr>
            <w:r>
              <w:t>4.13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29.10</w:t>
            </w:r>
          </w:p>
        </w:tc>
        <w:tc>
          <w:tcPr>
            <w:tcW w:w="2551" w:type="dxa"/>
            <w:vAlign w:val="center"/>
          </w:tcPr>
          <w:p>
            <w:pPr>
              <w:pStyle w:val="13"/>
            </w:pPr>
          </w:p>
        </w:tc>
        <w:tc>
          <w:tcPr>
            <w:tcW w:w="2551" w:type="dxa"/>
            <w:vAlign w:val="center"/>
          </w:tcPr>
          <w:p>
            <w:pPr>
              <w:pStyle w:val="13"/>
            </w:pPr>
            <w:r>
              <w:t>29.10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4.28</w:t>
            </w:r>
          </w:p>
        </w:tc>
        <w:tc>
          <w:tcPr>
            <w:tcW w:w="2551" w:type="dxa"/>
            <w:vAlign w:val="center"/>
          </w:tcPr>
          <w:p>
            <w:pPr>
              <w:pStyle w:val="13"/>
            </w:pPr>
          </w:p>
        </w:tc>
        <w:tc>
          <w:tcPr>
            <w:tcW w:w="2551" w:type="dxa"/>
            <w:vAlign w:val="center"/>
          </w:tcPr>
          <w:p>
            <w:pPr>
              <w:pStyle w:val="13"/>
            </w:pPr>
            <w:r>
              <w:t>4.28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74.61</w:t>
            </w:r>
          </w:p>
        </w:tc>
        <w:tc>
          <w:tcPr>
            <w:tcW w:w="2551" w:type="dxa"/>
            <w:vAlign w:val="center"/>
          </w:tcPr>
          <w:p>
            <w:pPr>
              <w:pStyle w:val="13"/>
            </w:pPr>
            <w:r>
              <w:t>74.61</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52.05</w:t>
            </w:r>
          </w:p>
        </w:tc>
        <w:tc>
          <w:tcPr>
            <w:tcW w:w="2551" w:type="dxa"/>
            <w:vAlign w:val="center"/>
          </w:tcPr>
          <w:p>
            <w:pPr>
              <w:pStyle w:val="13"/>
            </w:pPr>
            <w:r>
              <w:t>52.05</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22.52</w:t>
            </w:r>
          </w:p>
        </w:tc>
        <w:tc>
          <w:tcPr>
            <w:tcW w:w="2551" w:type="dxa"/>
            <w:vAlign w:val="center"/>
          </w:tcPr>
          <w:p>
            <w:pPr>
              <w:pStyle w:val="13"/>
            </w:pPr>
            <w:r>
              <w:t>22.52</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bl>
    <w:p>
      <w:pPr>
        <w:sectPr>
          <w:pgSz w:w="16840" w:h="11900" w:orient="landscape"/>
          <w:pgMar w:top="1361" w:right="1020" w:bottom="1134" w:left="1020" w:header="720" w:footer="720" w:gutter="0"/>
          <w:cols w:space="720" w:num="1"/>
        </w:sectPr>
      </w:pPr>
    </w:p>
    <w:p>
      <w:pPr>
        <w:jc w:val="center"/>
        <w:outlineLvl w:val="1"/>
      </w:pPr>
      <w:bookmarkStart w:id="6" w:name="_Toc22202"/>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20859"/>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23451"/>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rPr>
                <w:lang w:eastAsia="zh-CN"/>
              </w:rPr>
            </w:pPr>
            <w:r>
              <w:rPr>
                <w:rFonts w:hint="eastAsia"/>
                <w:lang w:val="en-US" w:eastAsia="zh-CN"/>
              </w:rPr>
              <w:t>4</w:t>
            </w:r>
            <w:r>
              <w:rPr>
                <w:rFonts w:hint="eastAsia"/>
                <w:lang w:eastAsia="zh-CN"/>
              </w:rPr>
              <w:t>.50</w:t>
            </w:r>
          </w:p>
        </w:tc>
        <w:tc>
          <w:tcPr>
            <w:tcW w:w="2381" w:type="dxa"/>
            <w:vAlign w:val="center"/>
          </w:tcPr>
          <w:p>
            <w:pPr>
              <w:pStyle w:val="17"/>
              <w:rPr>
                <w:lang w:eastAsia="zh-CN"/>
              </w:rPr>
            </w:pPr>
            <w:r>
              <w:rPr>
                <w:rFonts w:hint="eastAsia"/>
                <w:lang w:val="en-US" w:eastAsia="zh-CN"/>
              </w:rPr>
              <w:t>4</w:t>
            </w:r>
            <w:r>
              <w:rPr>
                <w:rFonts w:hint="eastAsia"/>
                <w:lang w:eastAsia="zh-CN"/>
              </w:rPr>
              <w:t>.50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rPr>
                <w:lang w:eastAsia="zh-CN"/>
              </w:rPr>
            </w:pPr>
            <w:r>
              <w:rPr>
                <w:rFonts w:hint="eastAsia"/>
                <w:lang w:eastAsia="zh-CN"/>
              </w:rPr>
              <w:t>4.50</w:t>
            </w:r>
          </w:p>
        </w:tc>
        <w:tc>
          <w:tcPr>
            <w:tcW w:w="2381" w:type="dxa"/>
            <w:vAlign w:val="center"/>
          </w:tcPr>
          <w:p>
            <w:pPr>
              <w:pStyle w:val="13"/>
              <w:rPr>
                <w:lang w:eastAsia="zh-CN"/>
              </w:rPr>
            </w:pPr>
            <w:r>
              <w:rPr>
                <w:rFonts w:hint="eastAsia"/>
                <w:lang w:eastAsia="zh-CN"/>
              </w:rPr>
              <w:t>4.50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rPr>
                <w:lang w:eastAsia="zh-CN"/>
              </w:rPr>
            </w:pPr>
            <w:r>
              <w:rPr>
                <w:rFonts w:hint="eastAsia"/>
                <w:lang w:eastAsia="zh-CN"/>
              </w:rPr>
              <w:t>4.40</w:t>
            </w:r>
          </w:p>
        </w:tc>
        <w:tc>
          <w:tcPr>
            <w:tcW w:w="2381" w:type="dxa"/>
            <w:vAlign w:val="center"/>
          </w:tcPr>
          <w:p>
            <w:pPr>
              <w:pStyle w:val="13"/>
              <w:rPr>
                <w:lang w:eastAsia="zh-CN"/>
              </w:rPr>
            </w:pPr>
            <w:r>
              <w:rPr>
                <w:rFonts w:hint="eastAsia"/>
                <w:lang w:eastAsia="zh-CN"/>
              </w:rPr>
              <w:t>4.40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4.40</w:t>
            </w:r>
          </w:p>
        </w:tc>
        <w:tc>
          <w:tcPr>
            <w:tcW w:w="2381" w:type="dxa"/>
            <w:vAlign w:val="center"/>
          </w:tcPr>
          <w:p>
            <w:pPr>
              <w:pStyle w:val="13"/>
            </w:pPr>
            <w:r>
              <w:t>4.40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r>
              <w:t>0.10</w:t>
            </w:r>
          </w:p>
        </w:tc>
        <w:tc>
          <w:tcPr>
            <w:tcW w:w="2381" w:type="dxa"/>
            <w:vAlign w:val="center"/>
          </w:tcPr>
          <w:p>
            <w:pPr>
              <w:pStyle w:val="13"/>
            </w:pPr>
            <w:r>
              <w:t>0.10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石家庄市藁城区贾市庄镇人民政府2022年部门预算信息公开情况说明</w:t>
      </w:r>
    </w:p>
    <w:p>
      <w:pPr>
        <w:jc w:val="center"/>
      </w:pPr>
      <w:r>
        <w:rPr>
          <w:rFonts w:ascii="方正小标宋_GBK" w:hAnsi="方正小标宋_GBK" w:eastAsia="方正小标宋_GBK" w:cs="方正小标宋_GBK"/>
          <w:color w:val="000000"/>
          <w:sz w:val="44"/>
        </w:rPr>
        <w:t>石家庄市藁城区贾市庄镇人民政府2022年部门预算信息公开情况说明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按照《预算法》、《地方预决算公开操作规程》和《关于进一步推进预算公开工作的实施意见》规定，现将石家庄市藁城区贾市庄镇人民政府2022年部门预算公开如下：</w:t>
      </w:r>
    </w:p>
    <w:p>
      <w:pPr>
        <w:spacing w:before="10" w:after="10" w:line="360" w:lineRule="auto"/>
        <w:ind w:firstLine="640"/>
        <w:outlineLvl w:val="2"/>
      </w:pPr>
      <w:bookmarkStart w:id="9" w:name="_Toc6616"/>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根据《石家庄市藁城区贾市庄镇人民政府职能配置、内设机构和人员编制规定》，石家庄市藁城区贾市庄镇人民政府的主要职责是：</w:t>
      </w:r>
    </w:p>
    <w:p>
      <w:pPr>
        <w:pStyle w:val="19"/>
      </w:pPr>
      <w:r>
        <w:t>贾市庄镇政府职责</w:t>
      </w:r>
    </w:p>
    <w:p>
      <w:pPr>
        <w:pStyle w:val="19"/>
      </w:pPr>
      <w:r>
        <w:t>一、宣传贯彻执行党的路线方针政策和党中央，上级党组织的决议，贯彻执行法律、法规、规章和上级政府的决定、命令，执行本级人民代表大会的决议。</w:t>
      </w:r>
    </w:p>
    <w:p>
      <w:pPr>
        <w:pStyle w:val="19"/>
      </w:pPr>
      <w:r>
        <w:t>二、讨论和决定本镇经济建设、政治建设、文化建设、社会建设、生态文明建设和党的建设以及乡村振兴中的重大问题。</w:t>
      </w:r>
    </w:p>
    <w:p>
      <w:pPr>
        <w:pStyle w:val="19"/>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9"/>
      </w:pPr>
      <w:r>
        <w:t>四、领导本镇的基层治理，加强社会主义民主政治建设和精神文明建设，加强社会治安综合治理，做好应急管理、生态环保、疫情防控、乡村振兴、民生保障、脱贫致富、民族宗教、防范邪教等工作。承担民兵预备役、征兵、退役军人服务、拥军优属的工作。</w:t>
      </w:r>
    </w:p>
    <w:p>
      <w:pPr>
        <w:pStyle w:val="19"/>
      </w:pPr>
      <w:r>
        <w:t>五、承办上级党委、政府交办的其他事项。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石家庄市藁城区贾市庄镇人民政府本级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29072"/>
      <w:r>
        <w:rPr>
          <w:rFonts w:ascii="黑体" w:hAnsi="黑体" w:eastAsia="黑体" w:cs="黑体"/>
          <w:color w:val="000000"/>
          <w:sz w:val="32"/>
        </w:rPr>
        <w:t>二、部门预算安排的总体情况</w:t>
      </w:r>
      <w:bookmarkEnd w:id="10"/>
    </w:p>
    <w:p>
      <w:pPr>
        <w:spacing w:line="500" w:lineRule="exact"/>
        <w:ind w:firstLine="560"/>
        <w:rPr>
          <w:rFonts w:hint="eastAsia" w:ascii="仿宋" w:hAnsi="仿宋" w:eastAsia="仿宋" w:cs="仿宋"/>
        </w:rPr>
      </w:pPr>
      <w:r>
        <w:rPr>
          <w:rFonts w:hint="eastAsia" w:ascii="仿宋" w:hAnsi="仿宋" w:eastAsia="仿宋" w:cs="仿宋"/>
          <w:color w:val="000000"/>
          <w:sz w:val="28"/>
        </w:rPr>
        <w:t>按照预算管理有关规定，目前我省部门预算的编制实行综合预算管理，即全部收入和支出都反映在预算中。石家庄市藁城区贾市庄镇人民</w:t>
      </w:r>
      <w:r>
        <w:rPr>
          <w:rFonts w:hint="eastAsia" w:ascii="仿宋" w:hAnsi="仿宋" w:eastAsia="仿宋" w:cs="仿宋"/>
          <w:color w:val="000000"/>
          <w:sz w:val="28"/>
        </w:rPr>
        <w:t>政府机关及所属事业单位的收支包含在部门预算中。</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1、收入说明</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反映本部门当年全部收入。2022年预算收入1298.85万元，其中：一般公共预算收入1298.85万元，基金预算收入0万元，财政专户核拨收入0万元，其他来源收入0万元。</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2、支出说明</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收支预算总表支出栏、基本支出表、项目支出表按经济分类和支出功能分类科目编制，反映本部门预算中支出预算的总体情况。2022年部门支出预算为1298.85万元，其中基本支出1066.54万元，包括人员经费907.46万元和日常公用经费159.08万元；项目支出232.31万元，主要为政府工会经费1.91万元、政府综合工作经费38.2万元、政府机关占地补偿10万元、政府聘用人员及联防队员工资24万元、综合执法工作经费15.17万元、信访维稳经费5万元、小学工会经费14.74万元、技术创新服务体系5万元、群众文化10万元、农村独生子女父母奖励4.5万元、农村环境综合治理15万元、土地治理5万元、农村一事一议60万元、衡井定魏新藁贾路占地补偿23.79万元；其他支出0万元。</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3、比上年增减情况</w:t>
      </w:r>
    </w:p>
    <w:p>
      <w:pPr>
        <w:spacing w:line="460" w:lineRule="exact"/>
        <w:ind w:firstLine="640"/>
        <w:rPr>
          <w:rFonts w:hint="eastAsia" w:ascii="仿宋" w:hAnsi="仿宋" w:eastAsia="仿宋" w:cs="仿宋"/>
          <w:color w:val="000000"/>
          <w:sz w:val="28"/>
        </w:rPr>
      </w:pPr>
      <w:r>
        <w:rPr>
          <w:rFonts w:hint="eastAsia" w:ascii="仿宋" w:hAnsi="仿宋" w:eastAsia="仿宋" w:cs="仿宋"/>
          <w:color w:val="000000"/>
          <w:sz w:val="28"/>
        </w:rPr>
        <w:t>2022年部门预算收支安排1298.85万元，较2021年增加175.33万元，其中：基本支出增加106.93万元，主要是人员增加，相应增加人员经费和日常公用经费；项目支出增加68.4万元，主要是增加一事一议奖补资金及群众文化资金；其他支出无增减变化。</w:t>
      </w:r>
    </w:p>
    <w:p>
      <w:pPr>
        <w:spacing w:before="10" w:after="10" w:line="360" w:lineRule="auto"/>
        <w:ind w:firstLine="640"/>
        <w:outlineLvl w:val="2"/>
      </w:pPr>
      <w:bookmarkStart w:id="11" w:name="_Toc31812"/>
      <w:r>
        <w:rPr>
          <w:rFonts w:ascii="黑体" w:hAnsi="黑体" w:eastAsia="黑体" w:cs="黑体"/>
          <w:color w:val="000000"/>
          <w:sz w:val="32"/>
        </w:rPr>
        <w:t>三、机关运行经费安排情况</w:t>
      </w:r>
      <w:bookmarkEnd w:id="11"/>
    </w:p>
    <w:p>
      <w:pPr>
        <w:pStyle w:val="19"/>
        <w:rPr>
          <w:rFonts w:hint="eastAsia" w:ascii="仿宋" w:hAnsi="仿宋" w:eastAsia="仿宋" w:cs="仿宋"/>
        </w:rPr>
      </w:pPr>
      <w:r>
        <w:rPr>
          <w:rFonts w:hint="eastAsia" w:ascii="仿宋" w:hAnsi="仿宋" w:eastAsia="仿宋" w:cs="仿宋"/>
        </w:rPr>
        <w:t>2022年，我部门机关运行经费共计安排159.08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5122"/>
      <w:r>
        <w:rPr>
          <w:rFonts w:ascii="黑体" w:hAnsi="黑体" w:eastAsia="黑体" w:cs="黑体"/>
          <w:color w:val="000000"/>
          <w:sz w:val="32"/>
        </w:rPr>
        <w:t>四、财政拨款“三公”经费预算情况及增减变化原因</w:t>
      </w:r>
      <w:bookmarkEnd w:id="12"/>
    </w:p>
    <w:p>
      <w:pPr>
        <w:spacing w:line="460" w:lineRule="exact"/>
        <w:ind w:firstLine="560" w:firstLineChars="200"/>
        <w:rPr>
          <w:rFonts w:hint="eastAsia" w:ascii="仿宋" w:hAnsi="仿宋" w:eastAsia="仿宋" w:cs="仿宋"/>
          <w:sz w:val="28"/>
          <w:lang w:eastAsia="zh-CN"/>
        </w:rPr>
      </w:pPr>
      <w:r>
        <w:rPr>
          <w:rFonts w:hint="eastAsia" w:ascii="仿宋" w:hAnsi="仿宋" w:eastAsia="仿宋" w:cs="仿宋"/>
          <w:sz w:val="28"/>
        </w:rPr>
        <w:t>2022年，我部门财政拨款“三公”经费预算安排4.5万元，其中：因公出国（境）费0万元；公务用车购置及运维费4.4万元（其中：公务用车购置费0万元，公务用车运行维护费4.4万元)；公务接待费0.1万元。“三公”经费与上年减少0.1万元</w:t>
      </w:r>
      <w:r>
        <w:rPr>
          <w:rFonts w:hint="eastAsia" w:ascii="仿宋" w:hAnsi="仿宋" w:eastAsia="仿宋" w:cs="仿宋"/>
          <w:sz w:val="28"/>
          <w:lang w:eastAsia="zh-CN"/>
        </w:rPr>
        <w:t>，减少的原因为：落实中央八项规定精神，压减三公经费支出。</w:t>
      </w:r>
    </w:p>
    <w:p>
      <w:pPr>
        <w:spacing w:before="10" w:after="10" w:line="360" w:lineRule="auto"/>
        <w:ind w:firstLine="640"/>
        <w:outlineLvl w:val="2"/>
      </w:pPr>
      <w:bookmarkStart w:id="13" w:name="_Toc7401"/>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hint="eastAsia" w:ascii="仿宋" w:hAnsi="仿宋" w:eastAsia="仿宋" w:cs="仿宋"/>
        </w:rPr>
      </w:pPr>
      <w:r>
        <w:rPr>
          <w:rFonts w:hint="eastAsia" w:ascii="仿宋" w:hAnsi="仿宋" w:eastAsia="仿宋" w:cs="仿宋"/>
          <w:color w:val="000000"/>
          <w:sz w:val="28"/>
        </w:rPr>
        <w:t>（一）总体绩效目标</w:t>
      </w:r>
    </w:p>
    <w:p>
      <w:pPr>
        <w:pStyle w:val="23"/>
        <w:rPr>
          <w:rFonts w:hint="eastAsia" w:ascii="仿宋" w:hAnsi="仿宋" w:eastAsia="仿宋" w:cs="仿宋"/>
        </w:rPr>
      </w:pPr>
      <w:r>
        <w:rPr>
          <w:rFonts w:hint="eastAsia" w:ascii="仿宋" w:hAnsi="仿宋" w:eastAsia="仿宋" w:cs="仿宋"/>
        </w:rPr>
        <w:t>2022年，以习近平新时代中国特色社会主义思想为指导，深入贯彻党的十九届全和省委九届十三次、十四次全会精神，全面落实省委、市委和区委重大决策部署，动员全镇广大干部群众凝心聚力，为建设品质藁城增砖添瓦，在基层党建、常态化疫情防控、生态环境治理，社会稳定、经济发展、巩固脱贫攻坚成果、民生社会保障等方面甩开膀子、扑下身子真抓实干争先进位。为圆满完成藁城区委、区政府2022年各项工作目标、为全面建设经济强区品质藁城提供强有力的财政支撑。</w:t>
      </w:r>
    </w:p>
    <w:p>
      <w:pPr>
        <w:spacing w:line="500" w:lineRule="exact"/>
        <w:ind w:firstLine="560"/>
        <w:rPr>
          <w:rFonts w:hint="eastAsia" w:ascii="仿宋" w:hAnsi="仿宋" w:eastAsia="仿宋" w:cs="仿宋"/>
        </w:rPr>
      </w:pPr>
      <w:r>
        <w:rPr>
          <w:rFonts w:hint="eastAsia" w:ascii="仿宋" w:hAnsi="仿宋" w:eastAsia="仿宋" w:cs="仿宋"/>
          <w:color w:val="000000"/>
          <w:sz w:val="28"/>
        </w:rPr>
        <w:t>（二）分项绩效目标</w:t>
      </w:r>
    </w:p>
    <w:p>
      <w:pPr>
        <w:pStyle w:val="24"/>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政务管理上水平</w:t>
      </w:r>
    </w:p>
    <w:p>
      <w:pPr>
        <w:pStyle w:val="24"/>
        <w:rPr>
          <w:rFonts w:hint="eastAsia" w:ascii="仿宋" w:hAnsi="仿宋" w:eastAsia="仿宋" w:cs="仿宋"/>
        </w:rPr>
      </w:pPr>
      <w:r>
        <w:rPr>
          <w:rFonts w:hint="eastAsia" w:ascii="仿宋" w:hAnsi="仿宋" w:eastAsia="仿宋" w:cs="仿宋"/>
        </w:rPr>
        <w:t>绩效目标：依法依规履行机关日常管理职责，确保政府工作正常运行。有效保证镇政府日常应急值守和突发事件应对处置工作；完善应急预案体系建设，确保遇突发事件能够有效应对。</w:t>
      </w:r>
    </w:p>
    <w:p>
      <w:pPr>
        <w:pStyle w:val="24"/>
        <w:rPr>
          <w:rFonts w:hint="eastAsia" w:ascii="仿宋" w:hAnsi="仿宋" w:eastAsia="仿宋" w:cs="仿宋"/>
        </w:rPr>
      </w:pPr>
      <w:r>
        <w:rPr>
          <w:rFonts w:hint="eastAsia" w:ascii="仿宋" w:hAnsi="仿宋" w:eastAsia="仿宋" w:cs="仿宋"/>
        </w:rPr>
        <w:t>绩效指标：机关日常管理不发生违法违规事情，日常应急值守做到24小时在岗在位，发生突发事件第一时间赶到现场处置。</w:t>
      </w:r>
    </w:p>
    <w:p>
      <w:pPr>
        <w:pStyle w:val="24"/>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社会治安有保障</w:t>
      </w:r>
    </w:p>
    <w:p>
      <w:pPr>
        <w:pStyle w:val="24"/>
        <w:rPr>
          <w:rFonts w:hint="eastAsia" w:ascii="仿宋" w:hAnsi="仿宋" w:eastAsia="仿宋" w:cs="仿宋"/>
        </w:rPr>
      </w:pPr>
      <w:r>
        <w:rPr>
          <w:rFonts w:hint="eastAsia" w:ascii="仿宋" w:hAnsi="仿宋" w:eastAsia="仿宋" w:cs="仿宋"/>
        </w:rPr>
        <w:t>绩效目标：宣传贯彻国家法律法规和政策，增强农民法律知识，做好社会治安综合治理工作，做好司法、宗教工作，打击邪教；做好群众来信来访、搞好农村矛盾纠纷排查调处；妥善处理。</w:t>
      </w:r>
    </w:p>
    <w:p>
      <w:pPr>
        <w:pStyle w:val="24"/>
        <w:rPr>
          <w:rFonts w:hint="eastAsia" w:ascii="仿宋" w:hAnsi="仿宋" w:eastAsia="仿宋" w:cs="仿宋"/>
        </w:rPr>
      </w:pPr>
      <w:r>
        <w:rPr>
          <w:rFonts w:hint="eastAsia" w:ascii="仿宋" w:hAnsi="仿宋" w:eastAsia="仿宋" w:cs="仿宋"/>
        </w:rPr>
        <w:t>绩效指标：在辖区内开展法律知识学习，提高农民法律意识，依法依规管好宗教，不发生宗教信徒集会，在辖区内全面排查矛盾纠纷，矛盾化解率达90%以上。</w:t>
      </w:r>
    </w:p>
    <w:p>
      <w:pPr>
        <w:pStyle w:val="24"/>
        <w:rPr>
          <w:rFonts w:hint="eastAsia" w:ascii="仿宋" w:hAnsi="仿宋" w:eastAsia="仿宋" w:cs="仿宋"/>
        </w:rPr>
      </w:pPr>
      <w:r>
        <w:rPr>
          <w:rFonts w:hint="eastAsia" w:ascii="仿宋" w:hAnsi="仿宋" w:eastAsia="仿宋" w:cs="仿宋"/>
          <w:lang w:val="en-US" w:eastAsia="zh-CN"/>
        </w:rPr>
        <w:t>3、</w:t>
      </w:r>
      <w:r>
        <w:rPr>
          <w:rFonts w:hint="eastAsia" w:ascii="仿宋" w:hAnsi="仿宋" w:eastAsia="仿宋" w:cs="仿宋"/>
        </w:rPr>
        <w:t>乡村治理上台阶</w:t>
      </w:r>
    </w:p>
    <w:p>
      <w:pPr>
        <w:pStyle w:val="24"/>
        <w:rPr>
          <w:rFonts w:hint="eastAsia" w:ascii="仿宋" w:hAnsi="仿宋" w:eastAsia="仿宋" w:cs="仿宋"/>
        </w:rPr>
      </w:pPr>
      <w:r>
        <w:rPr>
          <w:rFonts w:hint="eastAsia" w:ascii="仿宋" w:hAnsi="仿宋" w:eastAsia="仿宋" w:cs="仿宋"/>
        </w:rPr>
        <w:t>绩效目标：认真落实区委区政府及上级有关部门乡村振兴战略有关部署，开展农村环境治理、对接落实乡村振兴相关工作，推动乡村发展；积极践行新时代文明实践行动，通过星级文明户评选、美丽庭院创建等活动进一步提升农村面貌；加强对村“两委”班子的管理，充分发挥村委会、村监会、红白理事会等群众自治组织的自身优势，推动乡村治理迈上新台阶。</w:t>
      </w:r>
    </w:p>
    <w:p>
      <w:pPr>
        <w:pStyle w:val="24"/>
        <w:rPr>
          <w:rFonts w:hint="eastAsia" w:ascii="仿宋" w:hAnsi="仿宋" w:eastAsia="仿宋" w:cs="仿宋"/>
        </w:rPr>
      </w:pPr>
      <w:r>
        <w:rPr>
          <w:rFonts w:hint="eastAsia" w:ascii="仿宋" w:hAnsi="仿宋" w:eastAsia="仿宋" w:cs="仿宋"/>
        </w:rPr>
        <w:t>绩效指标：制定完善村规民约，红白事管理，卫生保洁等各项规章制度，做到有章可依，按规章制度办事，提升乡村治理水平。</w:t>
      </w:r>
    </w:p>
    <w:p>
      <w:pPr>
        <w:pStyle w:val="24"/>
        <w:rPr>
          <w:rFonts w:hint="eastAsia" w:ascii="仿宋" w:hAnsi="仿宋" w:eastAsia="仿宋" w:cs="仿宋"/>
        </w:rPr>
      </w:pPr>
      <w:r>
        <w:rPr>
          <w:rFonts w:hint="eastAsia" w:ascii="仿宋" w:hAnsi="仿宋" w:eastAsia="仿宋" w:cs="仿宋"/>
          <w:lang w:val="en-US" w:eastAsia="zh-CN"/>
        </w:rPr>
        <w:t>4、</w:t>
      </w:r>
      <w:r>
        <w:rPr>
          <w:rFonts w:hint="eastAsia" w:ascii="仿宋" w:hAnsi="仿宋" w:eastAsia="仿宋" w:cs="仿宋"/>
        </w:rPr>
        <w:t>社会救助显实效</w:t>
      </w:r>
    </w:p>
    <w:p>
      <w:pPr>
        <w:pStyle w:val="24"/>
        <w:rPr>
          <w:rFonts w:hint="eastAsia" w:ascii="仿宋" w:hAnsi="仿宋" w:eastAsia="仿宋" w:cs="仿宋"/>
        </w:rPr>
      </w:pPr>
      <w:r>
        <w:rPr>
          <w:rFonts w:hint="eastAsia" w:ascii="仿宋" w:hAnsi="仿宋" w:eastAsia="仿宋" w:cs="仿宋"/>
        </w:rPr>
        <w:t>绩效目标：进一步强化社会救助体系建设，认真落实农村居民最低生活保障、低保、五保供养、医疗救助、临时救助、脱贫攻坚等各项工作。</w:t>
      </w:r>
    </w:p>
    <w:p>
      <w:pPr>
        <w:pStyle w:val="24"/>
        <w:rPr>
          <w:rFonts w:hint="eastAsia" w:ascii="仿宋" w:hAnsi="仿宋" w:eastAsia="仿宋" w:cs="仿宋"/>
        </w:rPr>
      </w:pPr>
      <w:r>
        <w:rPr>
          <w:rFonts w:hint="eastAsia" w:ascii="仿宋" w:hAnsi="仿宋" w:eastAsia="仿宋" w:cs="仿宋"/>
        </w:rPr>
        <w:t>绩效指标：将符合条件的农村低保、五保户全部纳入政策管理，对没有享受优抚政策的农村低保、五保边沿户纳入视野，监督管理，达到全覆盖，不漏一户，不漏一人。</w:t>
      </w:r>
    </w:p>
    <w:p>
      <w:pPr>
        <w:pStyle w:val="24"/>
        <w:rPr>
          <w:rFonts w:hint="eastAsia" w:ascii="仿宋" w:hAnsi="仿宋" w:eastAsia="仿宋" w:cs="仿宋"/>
        </w:rPr>
      </w:pPr>
      <w:r>
        <w:rPr>
          <w:rFonts w:hint="eastAsia" w:ascii="仿宋" w:hAnsi="仿宋" w:eastAsia="仿宋" w:cs="仿宋"/>
          <w:lang w:val="en-US" w:eastAsia="zh-CN"/>
        </w:rPr>
        <w:t>5、</w:t>
      </w:r>
      <w:r>
        <w:rPr>
          <w:rFonts w:hint="eastAsia" w:ascii="仿宋" w:hAnsi="仿宋" w:eastAsia="仿宋" w:cs="仿宋"/>
        </w:rPr>
        <w:t>经济发展求突破</w:t>
      </w:r>
    </w:p>
    <w:p>
      <w:pPr>
        <w:pStyle w:val="24"/>
        <w:rPr>
          <w:rFonts w:hint="eastAsia" w:ascii="仿宋" w:hAnsi="仿宋" w:eastAsia="仿宋" w:cs="仿宋"/>
        </w:rPr>
      </w:pPr>
      <w:r>
        <w:rPr>
          <w:rFonts w:hint="eastAsia" w:ascii="仿宋" w:hAnsi="仿宋" w:eastAsia="仿宋" w:cs="仿宋"/>
        </w:rPr>
        <w:t>绩效目标：充分发挥贾市庄镇区位优势，集中优势资源，创新招商方式，加大招商力度，利用好京津冀协同发展的历史机遇，吸引优质资源，提升贾市庄镇经济发展水平。</w:t>
      </w:r>
    </w:p>
    <w:p>
      <w:pPr>
        <w:pStyle w:val="24"/>
        <w:rPr>
          <w:rFonts w:hint="eastAsia" w:ascii="仿宋" w:hAnsi="仿宋" w:eastAsia="仿宋" w:cs="仿宋"/>
        </w:rPr>
      </w:pPr>
      <w:r>
        <w:rPr>
          <w:rFonts w:hint="eastAsia" w:ascii="仿宋" w:hAnsi="仿宋" w:eastAsia="仿宋" w:cs="仿宋"/>
        </w:rPr>
        <w:t>绩效指标：新增规模以上企业1个，完成区政府下达的2022年财政收入及各项经济指标。</w:t>
      </w:r>
    </w:p>
    <w:p>
      <w:pPr>
        <w:spacing w:line="500" w:lineRule="exact"/>
        <w:ind w:firstLine="560"/>
        <w:rPr>
          <w:rFonts w:hint="eastAsia" w:ascii="仿宋" w:hAnsi="仿宋" w:eastAsia="仿宋" w:cs="仿宋"/>
        </w:rPr>
      </w:pPr>
      <w:r>
        <w:rPr>
          <w:rFonts w:hint="eastAsia" w:ascii="仿宋" w:hAnsi="仿宋" w:eastAsia="仿宋" w:cs="仿宋"/>
          <w:color w:val="000000"/>
          <w:sz w:val="28"/>
        </w:rPr>
        <w:t>（三）工作保障措施</w:t>
      </w:r>
    </w:p>
    <w:p>
      <w:pPr>
        <w:pStyle w:val="25"/>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加强支出管理</w:t>
      </w:r>
    </w:p>
    <w:p>
      <w:pPr>
        <w:pStyle w:val="25"/>
        <w:rPr>
          <w:rFonts w:hint="eastAsia" w:ascii="仿宋" w:hAnsi="仿宋" w:eastAsia="仿宋" w:cs="仿宋"/>
        </w:rPr>
      </w:pPr>
      <w:r>
        <w:rPr>
          <w:rFonts w:hint="eastAsia" w:ascii="仿宋" w:hAnsi="仿宋" w:eastAsia="仿宋" w:cs="仿宋"/>
        </w:rPr>
        <w:t>以项目预算绩效为依据，根据乡镇实际情况，优化支出结构。严格履行政府采购手续，提前谋划提高预算资金使用效率。资金支出安排科学合理，为实现全年工作目标提供财力支撑。</w:t>
      </w:r>
    </w:p>
    <w:p>
      <w:pPr>
        <w:pStyle w:val="25"/>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加大招商引资</w:t>
      </w:r>
    </w:p>
    <w:p>
      <w:pPr>
        <w:pStyle w:val="25"/>
        <w:rPr>
          <w:rFonts w:hint="eastAsia" w:ascii="仿宋" w:hAnsi="仿宋" w:eastAsia="仿宋" w:cs="仿宋"/>
        </w:rPr>
      </w:pPr>
      <w:r>
        <w:rPr>
          <w:rFonts w:hint="eastAsia" w:ascii="仿宋" w:hAnsi="仿宋" w:eastAsia="仿宋" w:cs="仿宋"/>
        </w:rPr>
        <w:t>充分利用好京津冀协同发展的历史机遇，发挥好贾市庄镇区位优势，加大招商力度，吸引优质资源，提升贾市庄镇经济发展水平。</w:t>
      </w:r>
    </w:p>
    <w:p>
      <w:pPr>
        <w:pStyle w:val="25"/>
        <w:rPr>
          <w:rFonts w:hint="eastAsia" w:ascii="仿宋" w:hAnsi="仿宋" w:eastAsia="仿宋" w:cs="仿宋"/>
        </w:rPr>
      </w:pPr>
      <w:r>
        <w:rPr>
          <w:rFonts w:hint="eastAsia" w:ascii="仿宋" w:hAnsi="仿宋" w:eastAsia="仿宋" w:cs="仿宋"/>
          <w:lang w:val="en-US" w:eastAsia="zh-CN"/>
        </w:rPr>
        <w:t>3、</w:t>
      </w:r>
      <w:r>
        <w:rPr>
          <w:rFonts w:hint="eastAsia" w:ascii="仿宋" w:hAnsi="仿宋" w:eastAsia="仿宋" w:cs="仿宋"/>
        </w:rPr>
        <w:t>加强绩效运行监控</w:t>
      </w:r>
    </w:p>
    <w:p>
      <w:pPr>
        <w:pStyle w:val="25"/>
        <w:rPr>
          <w:rFonts w:hint="eastAsia" w:ascii="仿宋" w:hAnsi="仿宋" w:eastAsia="仿宋" w:cs="仿宋"/>
        </w:rPr>
      </w:pPr>
      <w:r>
        <w:rPr>
          <w:rFonts w:hint="eastAsia" w:ascii="仿宋" w:hAnsi="仿宋" w:eastAsia="仿宋" w:cs="仿宋"/>
        </w:rPr>
        <w:t>根据目标绩效管理要求，按照年度预算绩效指标设定的时间节点、资金支出进度开展绩效运行监控。定期通过检查预算执行情况，监控预算执行进度，确保绩效目标如期保质实现。</w:t>
      </w:r>
    </w:p>
    <w:p>
      <w:pPr>
        <w:pStyle w:val="25"/>
        <w:rPr>
          <w:rFonts w:hint="eastAsia" w:ascii="仿宋" w:hAnsi="仿宋" w:eastAsia="仿宋" w:cs="仿宋"/>
        </w:rPr>
      </w:pPr>
      <w:r>
        <w:rPr>
          <w:rFonts w:hint="eastAsia" w:ascii="仿宋" w:hAnsi="仿宋" w:eastAsia="仿宋" w:cs="仿宋"/>
          <w:lang w:val="en-US" w:eastAsia="zh-CN"/>
        </w:rPr>
        <w:t>4、</w:t>
      </w:r>
      <w:r>
        <w:rPr>
          <w:rFonts w:hint="eastAsia" w:ascii="仿宋" w:hAnsi="仿宋" w:eastAsia="仿宋" w:cs="仿宋"/>
        </w:rPr>
        <w:t>加强内部监督</w:t>
      </w:r>
    </w:p>
    <w:p>
      <w:pPr>
        <w:pStyle w:val="25"/>
        <w:rPr>
          <w:rFonts w:hint="eastAsia" w:ascii="仿宋" w:hAnsi="仿宋" w:eastAsia="仿宋" w:cs="仿宋"/>
        </w:rPr>
      </w:pPr>
      <w:r>
        <w:rPr>
          <w:rFonts w:hint="eastAsia" w:ascii="仿宋" w:hAnsi="仿宋" w:eastAsia="仿宋" w:cs="仿宋"/>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rPr>
          <w:rFonts w:hint="eastAsia" w:ascii="仿宋" w:hAnsi="仿宋" w:eastAsia="仿宋" w:cs="仿宋"/>
        </w:rPr>
      </w:pPr>
      <w:r>
        <w:rPr>
          <w:rFonts w:hint="eastAsia" w:ascii="仿宋" w:hAnsi="仿宋" w:eastAsia="仿宋" w:cs="仿宋"/>
          <w:lang w:val="en-US" w:eastAsia="zh-CN"/>
        </w:rPr>
        <w:t>5、</w:t>
      </w:r>
      <w:bookmarkStart w:id="18" w:name="_GoBack"/>
      <w:bookmarkEnd w:id="18"/>
      <w:r>
        <w:rPr>
          <w:rFonts w:hint="eastAsia" w:ascii="仿宋" w:hAnsi="仿宋" w:eastAsia="仿宋" w:cs="仿宋"/>
        </w:rPr>
        <w:t>加强基层党建及干部队伍建设</w:t>
      </w:r>
    </w:p>
    <w:p>
      <w:pPr>
        <w:pStyle w:val="25"/>
        <w:rPr>
          <w:rFonts w:hint="eastAsia" w:ascii="仿宋" w:hAnsi="仿宋" w:eastAsia="仿宋" w:cs="仿宋"/>
        </w:rPr>
      </w:pPr>
      <w:r>
        <w:rPr>
          <w:rFonts w:hint="eastAsia" w:ascii="仿宋" w:hAnsi="仿宋" w:eastAsia="仿宋" w:cs="仿宋"/>
        </w:rPr>
        <w:t>深入</w:t>
      </w:r>
      <w:r>
        <w:rPr>
          <w:rFonts w:hint="eastAsia" w:ascii="仿宋" w:hAnsi="仿宋" w:eastAsia="仿宋" w:cs="仿宋"/>
          <w:lang w:eastAsia="zh-CN"/>
        </w:rPr>
        <w:t>贯彻落实“不忘初心、牢记使命”主题教育要求，深入学习贯</w:t>
      </w:r>
      <w:r>
        <w:rPr>
          <w:rFonts w:hint="eastAsia" w:ascii="仿宋" w:hAnsi="仿宋" w:eastAsia="仿宋" w:cs="仿宋"/>
        </w:rPr>
        <w:t>彻习近平新时代中国特色社会主义思想。认真加强基层党建工作。严格落实党风</w:t>
      </w:r>
      <w:r>
        <w:rPr>
          <w:rFonts w:hint="eastAsia" w:ascii="仿宋" w:hAnsi="仿宋" w:eastAsia="仿宋" w:cs="仿宋"/>
          <w:lang w:val="en-US" w:eastAsia="zh-CN"/>
        </w:rPr>
        <w:t>廉政建设</w:t>
      </w:r>
      <w:r>
        <w:rPr>
          <w:rFonts w:hint="eastAsia" w:ascii="仿宋" w:hAnsi="仿宋" w:eastAsia="仿宋" w:cs="仿宋"/>
        </w:rPr>
        <w:t>责任制，坚持依法履职。落实重大事项报告制度，全面推进政务公开。在具体工作中锤炼出一批干净担当的基层干部，强化好基层党建工作，为实现</w:t>
      </w:r>
      <w:r>
        <w:rPr>
          <w:rFonts w:hint="eastAsia" w:ascii="仿宋" w:hAnsi="仿宋" w:eastAsia="仿宋" w:cs="仿宋"/>
          <w:lang w:eastAsia="zh-CN"/>
        </w:rPr>
        <w:t>“</w:t>
      </w:r>
      <w:r>
        <w:rPr>
          <w:rFonts w:hint="eastAsia" w:ascii="仿宋" w:hAnsi="仿宋" w:eastAsia="仿宋" w:cs="仿宋"/>
        </w:rPr>
        <w:t>两个一百年</w:t>
      </w:r>
      <w:r>
        <w:rPr>
          <w:rFonts w:hint="eastAsia" w:ascii="仿宋" w:hAnsi="仿宋" w:eastAsia="仿宋" w:cs="仿宋"/>
          <w:lang w:eastAsia="zh-CN"/>
        </w:rPr>
        <w:t>”</w:t>
      </w:r>
      <w:r>
        <w:rPr>
          <w:rFonts w:hint="eastAsia" w:ascii="仿宋" w:hAnsi="仿宋" w:eastAsia="仿宋" w:cs="仿宋"/>
        </w:rPr>
        <w:t>奋斗目标、实现贾市庄镇经济社会发展奠定基础。</w:t>
      </w:r>
    </w:p>
    <w:p>
      <w:pPr>
        <w:pStyle w:val="26"/>
        <w:ind w:firstLine="640"/>
        <w:rPr>
          <w:rFonts w:hint="eastAsia" w:ascii="仿宋" w:hAnsi="仿宋" w:eastAsia="仿宋" w:cs="仿宋"/>
          <w:b/>
          <w:color w:val="000000"/>
          <w:sz w:val="32"/>
          <w:lang w:eastAsia="zh-CN"/>
        </w:rPr>
      </w:pPr>
    </w:p>
    <w:p>
      <w:pPr>
        <w:pStyle w:val="26"/>
        <w:ind w:firstLine="640"/>
        <w:rPr>
          <w:rFonts w:ascii="方正楷体_GBK" w:hAnsi="方正楷体_GBK" w:eastAsia="方正楷体_GBK" w:cs="方正楷体_GBK"/>
          <w:b/>
          <w:color w:val="000000"/>
          <w:sz w:val="32"/>
          <w:lang w:eastAsia="zh-CN"/>
        </w:rPr>
      </w:pPr>
    </w:p>
    <w:p>
      <w:pPr>
        <w:pStyle w:val="26"/>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ind w:firstLine="560"/>
      </w:pPr>
      <w:r>
        <w:rPr>
          <w:rFonts w:ascii="方正仿宋_GBK" w:hAnsi="方正仿宋_GBK" w:eastAsia="方正仿宋_GBK" w:cs="方正仿宋_GBK"/>
          <w:b/>
          <w:color w:val="000000"/>
          <w:sz w:val="28"/>
        </w:rPr>
        <w:t>1、衡井、定魏、新藁贾路占地补偿绩效目标表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1.按时按量对占地户进行补偿</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对占地户进行补偿</w:t>
            </w:r>
          </w:p>
        </w:tc>
        <w:tc>
          <w:tcPr>
            <w:tcW w:w="2835" w:type="dxa"/>
            <w:vAlign w:val="center"/>
          </w:tcPr>
          <w:p>
            <w:pPr>
              <w:pStyle w:val="28"/>
            </w:pPr>
            <w:r>
              <w:t>按上级文件要求，对所有涉及到的占地进行补偿</w:t>
            </w:r>
          </w:p>
        </w:tc>
        <w:tc>
          <w:tcPr>
            <w:tcW w:w="2551" w:type="dxa"/>
            <w:vAlign w:val="center"/>
          </w:tcPr>
          <w:p>
            <w:pPr>
              <w:pStyle w:val="28"/>
            </w:pPr>
            <w:r>
              <w:t>528.57亩</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保障资金质量</w:t>
            </w:r>
          </w:p>
        </w:tc>
        <w:tc>
          <w:tcPr>
            <w:tcW w:w="2835" w:type="dxa"/>
            <w:vAlign w:val="center"/>
          </w:tcPr>
          <w:p>
            <w:pPr>
              <w:pStyle w:val="28"/>
            </w:pPr>
            <w:r>
              <w:t>按照上级文件要求，保障资金足额拨付到村</w:t>
            </w:r>
          </w:p>
        </w:tc>
        <w:tc>
          <w:tcPr>
            <w:tcW w:w="2551" w:type="dxa"/>
            <w:vAlign w:val="center"/>
          </w:tcPr>
          <w:p>
            <w:pPr>
              <w:pStyle w:val="28"/>
            </w:pPr>
            <w:r>
              <w:t>23.79元</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上级文件</w:t>
            </w:r>
          </w:p>
        </w:tc>
        <w:tc>
          <w:tcPr>
            <w:tcW w:w="2835" w:type="dxa"/>
            <w:vAlign w:val="center"/>
          </w:tcPr>
          <w:p>
            <w:pPr>
              <w:pStyle w:val="28"/>
            </w:pPr>
            <w:r>
              <w:t>是否达到绩效指标值</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编制占地补偿经费标准</w:t>
            </w:r>
          </w:p>
        </w:tc>
        <w:tc>
          <w:tcPr>
            <w:tcW w:w="2835" w:type="dxa"/>
            <w:vAlign w:val="center"/>
          </w:tcPr>
          <w:p>
            <w:pPr>
              <w:pStyle w:val="28"/>
            </w:pPr>
            <w:r>
              <w:t>编制占地补偿经费标准</w:t>
            </w:r>
          </w:p>
        </w:tc>
        <w:tc>
          <w:tcPr>
            <w:tcW w:w="2551" w:type="dxa"/>
            <w:vAlign w:val="center"/>
          </w:tcPr>
          <w:p>
            <w:pPr>
              <w:pStyle w:val="28"/>
            </w:pPr>
            <w:r>
              <w:t>元/亩</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社会稳定，占地户满意</w:t>
            </w:r>
          </w:p>
        </w:tc>
        <w:tc>
          <w:tcPr>
            <w:tcW w:w="2835" w:type="dxa"/>
            <w:vAlign w:val="center"/>
          </w:tcPr>
          <w:p>
            <w:pPr>
              <w:pStyle w:val="28"/>
            </w:pPr>
            <w:r>
              <w:t>及时拨付到位，确保群众满意</w:t>
            </w:r>
          </w:p>
        </w:tc>
        <w:tc>
          <w:tcPr>
            <w:tcW w:w="2551" w:type="dxa"/>
            <w:vAlign w:val="center"/>
          </w:tcPr>
          <w:p>
            <w:pPr>
              <w:pStyle w:val="28"/>
            </w:pPr>
            <w:r>
              <w:t>≥97%</w:t>
            </w:r>
          </w:p>
        </w:tc>
        <w:tc>
          <w:tcPr>
            <w:tcW w:w="2268" w:type="dxa"/>
            <w:vAlign w:val="center"/>
          </w:tcPr>
          <w:p>
            <w:pPr>
              <w:pStyle w:val="28"/>
            </w:pPr>
            <w:r>
              <w:t>群众反馈，抽样调查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群众满意，社会稳定</w:t>
            </w:r>
          </w:p>
        </w:tc>
        <w:tc>
          <w:tcPr>
            <w:tcW w:w="2551" w:type="dxa"/>
            <w:vAlign w:val="center"/>
          </w:tcPr>
          <w:p>
            <w:pPr>
              <w:pStyle w:val="28"/>
            </w:pPr>
            <w:r>
              <w:t>≥96%</w:t>
            </w:r>
          </w:p>
        </w:tc>
        <w:tc>
          <w:tcPr>
            <w:tcW w:w="2268" w:type="dxa"/>
            <w:vAlign w:val="center"/>
          </w:tcPr>
          <w:p>
            <w:pPr>
              <w:pStyle w:val="28"/>
            </w:pPr>
            <w:r>
              <w:t>抽样调查</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2、贾市庄镇2022年度学区工会经费绩效目标表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1.保障工会经费足额上缴</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足额扣缴</w:t>
            </w:r>
          </w:p>
        </w:tc>
        <w:tc>
          <w:tcPr>
            <w:tcW w:w="2835" w:type="dxa"/>
            <w:vAlign w:val="center"/>
          </w:tcPr>
          <w:p>
            <w:pPr>
              <w:pStyle w:val="28"/>
            </w:pPr>
            <w:r>
              <w:t>按文件规定时间足额上缴经费</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保障资金质量</w:t>
            </w:r>
          </w:p>
        </w:tc>
        <w:tc>
          <w:tcPr>
            <w:tcW w:w="2835" w:type="dxa"/>
            <w:vAlign w:val="center"/>
          </w:tcPr>
          <w:p>
            <w:pPr>
              <w:pStyle w:val="28"/>
            </w:pPr>
            <w:r>
              <w:t>按照上级文件，保障资金足额上缴</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上缴及时率</w:t>
            </w:r>
          </w:p>
        </w:tc>
        <w:tc>
          <w:tcPr>
            <w:tcW w:w="2835" w:type="dxa"/>
            <w:vAlign w:val="center"/>
          </w:tcPr>
          <w:p>
            <w:pPr>
              <w:pStyle w:val="28"/>
            </w:pPr>
            <w:r>
              <w:t>按照上级文件，及时上缴</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工会经费标准</w:t>
            </w:r>
          </w:p>
        </w:tc>
        <w:tc>
          <w:tcPr>
            <w:tcW w:w="2835" w:type="dxa"/>
            <w:vAlign w:val="center"/>
          </w:tcPr>
          <w:p>
            <w:pPr>
              <w:pStyle w:val="28"/>
            </w:pPr>
            <w:r>
              <w:t>工会经费标准</w:t>
            </w:r>
          </w:p>
        </w:tc>
        <w:tc>
          <w:tcPr>
            <w:tcW w:w="2551" w:type="dxa"/>
            <w:vAlign w:val="center"/>
          </w:tcPr>
          <w:p>
            <w:pPr>
              <w:pStyle w:val="28"/>
            </w:pPr>
            <w:r>
              <w:t>元/人</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工会工作顺利开展</w:t>
            </w:r>
          </w:p>
        </w:tc>
        <w:tc>
          <w:tcPr>
            <w:tcW w:w="2835" w:type="dxa"/>
            <w:vAlign w:val="center"/>
          </w:tcPr>
          <w:p>
            <w:pPr>
              <w:pStyle w:val="28"/>
            </w:pPr>
            <w:r>
              <w:t>按文件规定顺利开展各项工作</w:t>
            </w:r>
          </w:p>
        </w:tc>
        <w:tc>
          <w:tcPr>
            <w:tcW w:w="2551" w:type="dxa"/>
            <w:vAlign w:val="center"/>
          </w:tcPr>
          <w:p>
            <w:pPr>
              <w:pStyle w:val="28"/>
            </w:pPr>
            <w:r>
              <w:t>≥95%</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上级满意度</w:t>
            </w:r>
          </w:p>
        </w:tc>
        <w:tc>
          <w:tcPr>
            <w:tcW w:w="2835" w:type="dxa"/>
            <w:vAlign w:val="center"/>
          </w:tcPr>
          <w:p>
            <w:pPr>
              <w:pStyle w:val="28"/>
            </w:pPr>
            <w:r>
              <w:t>工会部门对本工作的满意度</w:t>
            </w:r>
          </w:p>
        </w:tc>
        <w:tc>
          <w:tcPr>
            <w:tcW w:w="2551" w:type="dxa"/>
            <w:vAlign w:val="center"/>
          </w:tcPr>
          <w:p>
            <w:pPr>
              <w:pStyle w:val="28"/>
            </w:pPr>
            <w:r>
              <w:t>≥95%</w:t>
            </w:r>
          </w:p>
        </w:tc>
        <w:tc>
          <w:tcPr>
            <w:tcW w:w="2268" w:type="dxa"/>
            <w:vAlign w:val="center"/>
          </w:tcPr>
          <w:p>
            <w:pPr>
              <w:pStyle w:val="28"/>
            </w:pPr>
            <w:r>
              <w:t>考核结果</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3、贾市庄镇2022年度政府工会经费绩效目标表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1.保障工会经费足额上缴</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足额扣缴</w:t>
            </w:r>
          </w:p>
        </w:tc>
        <w:tc>
          <w:tcPr>
            <w:tcW w:w="2835" w:type="dxa"/>
            <w:vAlign w:val="center"/>
          </w:tcPr>
          <w:p>
            <w:pPr>
              <w:pStyle w:val="28"/>
            </w:pPr>
            <w:r>
              <w:t>按文件规定时间足额上缴经费</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保障资金质量</w:t>
            </w:r>
          </w:p>
        </w:tc>
        <w:tc>
          <w:tcPr>
            <w:tcW w:w="2835" w:type="dxa"/>
            <w:vAlign w:val="center"/>
          </w:tcPr>
          <w:p>
            <w:pPr>
              <w:pStyle w:val="28"/>
            </w:pPr>
            <w:r>
              <w:t>保障资金足额上缴</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按时上缴</w:t>
            </w:r>
          </w:p>
        </w:tc>
        <w:tc>
          <w:tcPr>
            <w:tcW w:w="2835" w:type="dxa"/>
            <w:vAlign w:val="center"/>
          </w:tcPr>
          <w:p>
            <w:pPr>
              <w:pStyle w:val="28"/>
            </w:pPr>
            <w:r>
              <w:t>按文件规定时间及时上缴经费</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编制工会经费标准</w:t>
            </w:r>
          </w:p>
        </w:tc>
        <w:tc>
          <w:tcPr>
            <w:tcW w:w="2835" w:type="dxa"/>
            <w:vAlign w:val="center"/>
          </w:tcPr>
          <w:p>
            <w:pPr>
              <w:pStyle w:val="28"/>
            </w:pPr>
            <w:r>
              <w:t>编制工会经费标准</w:t>
            </w:r>
          </w:p>
        </w:tc>
        <w:tc>
          <w:tcPr>
            <w:tcW w:w="2551" w:type="dxa"/>
            <w:vAlign w:val="center"/>
          </w:tcPr>
          <w:p>
            <w:pPr>
              <w:pStyle w:val="28"/>
            </w:pPr>
            <w:r>
              <w:t>元/人</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提升形象和素质</w:t>
            </w:r>
          </w:p>
        </w:tc>
        <w:tc>
          <w:tcPr>
            <w:tcW w:w="2835" w:type="dxa"/>
            <w:vAlign w:val="center"/>
          </w:tcPr>
          <w:p>
            <w:pPr>
              <w:pStyle w:val="28"/>
            </w:pPr>
            <w:r>
              <w:t>提升工会组织的形象和工会会员的综合素质</w:t>
            </w:r>
          </w:p>
        </w:tc>
        <w:tc>
          <w:tcPr>
            <w:tcW w:w="2551" w:type="dxa"/>
            <w:vAlign w:val="center"/>
          </w:tcPr>
          <w:p>
            <w:pPr>
              <w:pStyle w:val="28"/>
            </w:pPr>
            <w:r>
              <w:t>≥95%</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上级满意度</w:t>
            </w:r>
          </w:p>
        </w:tc>
        <w:tc>
          <w:tcPr>
            <w:tcW w:w="2835" w:type="dxa"/>
            <w:vAlign w:val="center"/>
          </w:tcPr>
          <w:p>
            <w:pPr>
              <w:pStyle w:val="28"/>
            </w:pPr>
            <w:r>
              <w:t>工会部门对工会满意度</w:t>
            </w:r>
          </w:p>
        </w:tc>
        <w:tc>
          <w:tcPr>
            <w:tcW w:w="2551" w:type="dxa"/>
            <w:vAlign w:val="center"/>
          </w:tcPr>
          <w:p>
            <w:pPr>
              <w:pStyle w:val="28"/>
            </w:pPr>
            <w:r>
              <w:t>≥95%</w:t>
            </w:r>
          </w:p>
        </w:tc>
        <w:tc>
          <w:tcPr>
            <w:tcW w:w="2268" w:type="dxa"/>
            <w:vAlign w:val="center"/>
          </w:tcPr>
          <w:p>
            <w:pPr>
              <w:pStyle w:val="28"/>
            </w:pPr>
            <w:r>
              <w:t>考核结果</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4、贾市庄镇综合工作经费绩效目标表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1.保障各项工作正常开展</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财政投入资金</w:t>
            </w:r>
          </w:p>
        </w:tc>
        <w:tc>
          <w:tcPr>
            <w:tcW w:w="2835" w:type="dxa"/>
            <w:vAlign w:val="center"/>
          </w:tcPr>
          <w:p>
            <w:pPr>
              <w:pStyle w:val="28"/>
            </w:pPr>
            <w:r>
              <w:t>各项工作需要投入资金数量</w:t>
            </w:r>
          </w:p>
        </w:tc>
        <w:tc>
          <w:tcPr>
            <w:tcW w:w="2551" w:type="dxa"/>
            <w:vAlign w:val="center"/>
          </w:tcPr>
          <w:p>
            <w:pPr>
              <w:pStyle w:val="28"/>
            </w:pPr>
            <w:r>
              <w:t>38.2万元</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保障各项工作顺利运行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各项工作保障时间节点</w:t>
            </w:r>
          </w:p>
        </w:tc>
        <w:tc>
          <w:tcPr>
            <w:tcW w:w="2835" w:type="dxa"/>
            <w:vAlign w:val="center"/>
          </w:tcPr>
          <w:p>
            <w:pPr>
              <w:pStyle w:val="28"/>
            </w:pPr>
            <w:r>
              <w:t>按时完成上级安排的各项工作</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编制公用经费标准</w:t>
            </w:r>
          </w:p>
        </w:tc>
        <w:tc>
          <w:tcPr>
            <w:tcW w:w="2835" w:type="dxa"/>
            <w:vAlign w:val="center"/>
          </w:tcPr>
          <w:p>
            <w:pPr>
              <w:pStyle w:val="28"/>
            </w:pPr>
            <w:r>
              <w:t>编制公用经费标准</w:t>
            </w:r>
          </w:p>
        </w:tc>
        <w:tc>
          <w:tcPr>
            <w:tcW w:w="2551" w:type="dxa"/>
            <w:vAlign w:val="center"/>
          </w:tcPr>
          <w:p>
            <w:pPr>
              <w:pStyle w:val="28"/>
            </w:pPr>
            <w:r>
              <w:t>元/人</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各项工作顺利开展</w:t>
            </w:r>
          </w:p>
        </w:tc>
        <w:tc>
          <w:tcPr>
            <w:tcW w:w="2835" w:type="dxa"/>
            <w:vAlign w:val="center"/>
          </w:tcPr>
          <w:p>
            <w:pPr>
              <w:pStyle w:val="28"/>
            </w:pPr>
            <w:r>
              <w:t>各项工作统筹兼顾，顺利开展</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按时完成各项工作，上级部门满意，群众满意</w:t>
            </w:r>
          </w:p>
        </w:tc>
        <w:tc>
          <w:tcPr>
            <w:tcW w:w="2551" w:type="dxa"/>
            <w:vAlign w:val="center"/>
          </w:tcPr>
          <w:p>
            <w:pPr>
              <w:pStyle w:val="28"/>
            </w:pPr>
            <w:r>
              <w:t>≥90%</w:t>
            </w:r>
          </w:p>
        </w:tc>
        <w:tc>
          <w:tcPr>
            <w:tcW w:w="2268" w:type="dxa"/>
            <w:vAlign w:val="center"/>
          </w:tcPr>
          <w:p>
            <w:pPr>
              <w:pStyle w:val="28"/>
            </w:pPr>
            <w:r>
              <w:t>年度工作目标</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5、农村独生子女费绩效目标表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1.落实计划生育奖励扶助政策，发放农村独生子女奖励</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发放资金</w:t>
            </w:r>
          </w:p>
        </w:tc>
        <w:tc>
          <w:tcPr>
            <w:tcW w:w="2835" w:type="dxa"/>
            <w:vAlign w:val="center"/>
          </w:tcPr>
          <w:p>
            <w:pPr>
              <w:pStyle w:val="28"/>
            </w:pPr>
            <w:r>
              <w:t>按政策标准将符合奖励条件人群奖励资金发放到位</w:t>
            </w:r>
          </w:p>
        </w:tc>
        <w:tc>
          <w:tcPr>
            <w:tcW w:w="2551" w:type="dxa"/>
            <w:vAlign w:val="center"/>
          </w:tcPr>
          <w:p>
            <w:pPr>
              <w:pStyle w:val="28"/>
            </w:pPr>
            <w:r>
              <w:t>4.5万元</w:t>
            </w:r>
          </w:p>
        </w:tc>
        <w:tc>
          <w:tcPr>
            <w:tcW w:w="2268" w:type="dxa"/>
            <w:vAlign w:val="center"/>
          </w:tcPr>
          <w:p>
            <w:pPr>
              <w:pStyle w:val="28"/>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保障被奖励人员奖励费正常发放</w:t>
            </w:r>
          </w:p>
        </w:tc>
        <w:tc>
          <w:tcPr>
            <w:tcW w:w="2835" w:type="dxa"/>
            <w:vAlign w:val="center"/>
          </w:tcPr>
          <w:p>
            <w:pPr>
              <w:pStyle w:val="28"/>
            </w:pPr>
            <w:r>
              <w:t>保障资金，确保符合条件的人群奖励资金全部发放到位</w:t>
            </w:r>
          </w:p>
        </w:tc>
        <w:tc>
          <w:tcPr>
            <w:tcW w:w="2551" w:type="dxa"/>
            <w:vAlign w:val="center"/>
          </w:tcPr>
          <w:p>
            <w:pPr>
              <w:pStyle w:val="28"/>
            </w:pPr>
            <w:r>
              <w:t>100%</w:t>
            </w:r>
          </w:p>
        </w:tc>
        <w:tc>
          <w:tcPr>
            <w:tcW w:w="2268" w:type="dxa"/>
            <w:vAlign w:val="center"/>
          </w:tcPr>
          <w:p>
            <w:pPr>
              <w:pStyle w:val="28"/>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独生子女奖励发放及时率</w:t>
            </w:r>
          </w:p>
        </w:tc>
        <w:tc>
          <w:tcPr>
            <w:tcW w:w="2835" w:type="dxa"/>
            <w:vAlign w:val="center"/>
          </w:tcPr>
          <w:p>
            <w:pPr>
              <w:pStyle w:val="28"/>
            </w:pPr>
            <w:r>
              <w:t>及时足额发放独生子女奖励</w:t>
            </w:r>
          </w:p>
        </w:tc>
        <w:tc>
          <w:tcPr>
            <w:tcW w:w="2551" w:type="dxa"/>
            <w:vAlign w:val="center"/>
          </w:tcPr>
          <w:p>
            <w:pPr>
              <w:pStyle w:val="28"/>
            </w:pPr>
            <w:r>
              <w:t>100%</w:t>
            </w:r>
          </w:p>
        </w:tc>
        <w:tc>
          <w:tcPr>
            <w:tcW w:w="2268" w:type="dxa"/>
            <w:vAlign w:val="center"/>
          </w:tcPr>
          <w:p>
            <w:pPr>
              <w:pStyle w:val="28"/>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独生子女奖励标准</w:t>
            </w:r>
          </w:p>
        </w:tc>
        <w:tc>
          <w:tcPr>
            <w:tcW w:w="2835" w:type="dxa"/>
            <w:vAlign w:val="center"/>
          </w:tcPr>
          <w:p>
            <w:pPr>
              <w:pStyle w:val="28"/>
            </w:pPr>
            <w:r>
              <w:t>独生子女奖励标准</w:t>
            </w:r>
          </w:p>
        </w:tc>
        <w:tc>
          <w:tcPr>
            <w:tcW w:w="2551" w:type="dxa"/>
            <w:vAlign w:val="center"/>
          </w:tcPr>
          <w:p>
            <w:pPr>
              <w:pStyle w:val="28"/>
            </w:pPr>
            <w:r>
              <w:t>元/人</w:t>
            </w:r>
          </w:p>
        </w:tc>
        <w:tc>
          <w:tcPr>
            <w:tcW w:w="2268" w:type="dxa"/>
            <w:vAlign w:val="center"/>
          </w:tcPr>
          <w:p>
            <w:pPr>
              <w:pStyle w:val="28"/>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落实国家人口计划</w:t>
            </w:r>
          </w:p>
        </w:tc>
        <w:tc>
          <w:tcPr>
            <w:tcW w:w="2835" w:type="dxa"/>
            <w:vAlign w:val="center"/>
          </w:tcPr>
          <w:p>
            <w:pPr>
              <w:pStyle w:val="28"/>
            </w:pPr>
            <w:r>
              <w:t>落实国家计生奖励政策</w:t>
            </w:r>
          </w:p>
        </w:tc>
        <w:tc>
          <w:tcPr>
            <w:tcW w:w="2551" w:type="dxa"/>
            <w:vAlign w:val="center"/>
          </w:tcPr>
          <w:p>
            <w:pPr>
              <w:pStyle w:val="28"/>
            </w:pPr>
            <w:r>
              <w:t>≥95%</w:t>
            </w:r>
          </w:p>
        </w:tc>
        <w:tc>
          <w:tcPr>
            <w:tcW w:w="2268" w:type="dxa"/>
            <w:vAlign w:val="center"/>
          </w:tcPr>
          <w:p>
            <w:pPr>
              <w:pStyle w:val="28"/>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计划生育户对奖励金发放的满意情况</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6、农村环境治理（综合工作治理）绩效目标表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1.改善农村环境，提升群众幸福感、获得感。</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治理农村环境村庄个数</w:t>
            </w:r>
          </w:p>
        </w:tc>
        <w:tc>
          <w:tcPr>
            <w:tcW w:w="2835" w:type="dxa"/>
            <w:vAlign w:val="center"/>
          </w:tcPr>
          <w:p>
            <w:pPr>
              <w:pStyle w:val="28"/>
            </w:pPr>
            <w:r>
              <w:t>辖区内村庄环境卫生治理全覆盖</w:t>
            </w:r>
          </w:p>
        </w:tc>
        <w:tc>
          <w:tcPr>
            <w:tcW w:w="2551" w:type="dxa"/>
            <w:vAlign w:val="center"/>
          </w:tcPr>
          <w:p>
            <w:pPr>
              <w:pStyle w:val="28"/>
            </w:pPr>
            <w:r>
              <w:t>10个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保障环境整治工作顺利运行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按时完成环境治理工作</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编制农村环境治理经费标准</w:t>
            </w:r>
          </w:p>
        </w:tc>
        <w:tc>
          <w:tcPr>
            <w:tcW w:w="2835" w:type="dxa"/>
            <w:vAlign w:val="center"/>
          </w:tcPr>
          <w:p>
            <w:pPr>
              <w:pStyle w:val="28"/>
            </w:pPr>
            <w:r>
              <w:t>编制农村环境治理经费标准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农村生态环境良好率</w:t>
            </w:r>
          </w:p>
        </w:tc>
        <w:tc>
          <w:tcPr>
            <w:tcW w:w="2835" w:type="dxa"/>
            <w:vAlign w:val="center"/>
          </w:tcPr>
          <w:p>
            <w:pPr>
              <w:pStyle w:val="28"/>
            </w:pPr>
            <w:r>
              <w:t>无污染，生态环境良好</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群众获得感幸福感指数得到提升</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7、农村文化建设资金绩效目标表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1.建设农村文化，开展农村各项文化活动，提高农村公共文化服务质量，丰富农民群众精神文化生活。</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农村文化建设村庄个数</w:t>
            </w:r>
          </w:p>
        </w:tc>
        <w:tc>
          <w:tcPr>
            <w:tcW w:w="2835" w:type="dxa"/>
            <w:vAlign w:val="center"/>
          </w:tcPr>
          <w:p>
            <w:pPr>
              <w:pStyle w:val="28"/>
            </w:pPr>
            <w:r>
              <w:t>辖区内村庄文化建设全覆盖</w:t>
            </w:r>
          </w:p>
        </w:tc>
        <w:tc>
          <w:tcPr>
            <w:tcW w:w="2551" w:type="dxa"/>
            <w:vAlign w:val="center"/>
          </w:tcPr>
          <w:p>
            <w:pPr>
              <w:pStyle w:val="28"/>
            </w:pPr>
            <w:r>
              <w:t>10个</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保障农村文化建设工作顺利进行</w:t>
            </w:r>
          </w:p>
        </w:tc>
        <w:tc>
          <w:tcPr>
            <w:tcW w:w="2551" w:type="dxa"/>
            <w:vAlign w:val="center"/>
          </w:tcPr>
          <w:p>
            <w:pPr>
              <w:pStyle w:val="28"/>
            </w:pPr>
            <w:r>
              <w:t>≥96%</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按时完成各项文化建设工作</w:t>
            </w:r>
          </w:p>
        </w:tc>
        <w:tc>
          <w:tcPr>
            <w:tcW w:w="2551" w:type="dxa"/>
            <w:vAlign w:val="center"/>
          </w:tcPr>
          <w:p>
            <w:pPr>
              <w:pStyle w:val="28"/>
            </w:pPr>
            <w:r>
              <w:t>≥96%</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编制农村文化建设经费标准</w:t>
            </w:r>
          </w:p>
        </w:tc>
        <w:tc>
          <w:tcPr>
            <w:tcW w:w="2835" w:type="dxa"/>
            <w:vAlign w:val="center"/>
          </w:tcPr>
          <w:p>
            <w:pPr>
              <w:pStyle w:val="28"/>
            </w:pPr>
            <w:r>
              <w:t>编制农村文化建设经费标准</w:t>
            </w:r>
          </w:p>
        </w:tc>
        <w:tc>
          <w:tcPr>
            <w:tcW w:w="2551" w:type="dxa"/>
            <w:vAlign w:val="center"/>
          </w:tcPr>
          <w:p>
            <w:pPr>
              <w:pStyle w:val="28"/>
            </w:pPr>
            <w:r>
              <w:t>元/村</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农村文化建设良好率</w:t>
            </w:r>
          </w:p>
        </w:tc>
        <w:tc>
          <w:tcPr>
            <w:tcW w:w="2835" w:type="dxa"/>
            <w:vAlign w:val="center"/>
          </w:tcPr>
          <w:p>
            <w:pPr>
              <w:pStyle w:val="28"/>
            </w:pPr>
            <w:r>
              <w:t>文化服务质量高，群众精神文化生活丰富</w:t>
            </w:r>
          </w:p>
        </w:tc>
        <w:tc>
          <w:tcPr>
            <w:tcW w:w="2551" w:type="dxa"/>
            <w:vAlign w:val="center"/>
          </w:tcPr>
          <w:p>
            <w:pPr>
              <w:pStyle w:val="28"/>
            </w:pPr>
            <w:r>
              <w:t>≥96%</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群众精神文化生活、文化服务质量满意度</w:t>
            </w:r>
          </w:p>
        </w:tc>
        <w:tc>
          <w:tcPr>
            <w:tcW w:w="2551" w:type="dxa"/>
            <w:vAlign w:val="center"/>
          </w:tcPr>
          <w:p>
            <w:pPr>
              <w:pStyle w:val="28"/>
            </w:pPr>
            <w:r>
              <w:t>≥96%</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8、石财教[2021]123号关于提前下达2022年市县科技创新和科学普及专项资金预算（第二批）的通知（科技特派员工作站）绩效目标表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1.保障科技创新和科学普及工作的顺利开展，提高科普率，促进科技成果转化，保障科技特派员工作补助发放到位。</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专项工作完成</w:t>
            </w:r>
          </w:p>
        </w:tc>
        <w:tc>
          <w:tcPr>
            <w:tcW w:w="2835" w:type="dxa"/>
            <w:vAlign w:val="center"/>
          </w:tcPr>
          <w:p>
            <w:pPr>
              <w:pStyle w:val="28"/>
            </w:pPr>
            <w:r>
              <w:t>保障各项科技工作经费，促进科技成果转化</w:t>
            </w:r>
          </w:p>
        </w:tc>
        <w:tc>
          <w:tcPr>
            <w:tcW w:w="2551" w:type="dxa"/>
            <w:vAlign w:val="center"/>
          </w:tcPr>
          <w:p>
            <w:pPr>
              <w:pStyle w:val="28"/>
            </w:pPr>
            <w:r>
              <w:t>5万元</w:t>
            </w:r>
          </w:p>
        </w:tc>
        <w:tc>
          <w:tcPr>
            <w:tcW w:w="2268" w:type="dxa"/>
            <w:vAlign w:val="center"/>
          </w:tcPr>
          <w:p>
            <w:pPr>
              <w:pStyle w:val="28"/>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保障科技创新及科普工作顺利进行</w:t>
            </w:r>
          </w:p>
        </w:tc>
        <w:tc>
          <w:tcPr>
            <w:tcW w:w="2551" w:type="dxa"/>
            <w:vAlign w:val="center"/>
          </w:tcPr>
          <w:p>
            <w:pPr>
              <w:pStyle w:val="28"/>
            </w:pPr>
            <w:r>
              <w:t>≥95%</w:t>
            </w:r>
          </w:p>
        </w:tc>
        <w:tc>
          <w:tcPr>
            <w:tcW w:w="2268" w:type="dxa"/>
            <w:vAlign w:val="center"/>
          </w:tcPr>
          <w:p>
            <w:pPr>
              <w:pStyle w:val="28"/>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按时间节点完成各项科技工作</w:t>
            </w:r>
          </w:p>
        </w:tc>
        <w:tc>
          <w:tcPr>
            <w:tcW w:w="2551" w:type="dxa"/>
            <w:vAlign w:val="center"/>
          </w:tcPr>
          <w:p>
            <w:pPr>
              <w:pStyle w:val="28"/>
            </w:pPr>
            <w:r>
              <w:t>≥95%</w:t>
            </w:r>
          </w:p>
        </w:tc>
        <w:tc>
          <w:tcPr>
            <w:tcW w:w="2268" w:type="dxa"/>
            <w:vAlign w:val="center"/>
          </w:tcPr>
          <w:p>
            <w:pPr>
              <w:pStyle w:val="28"/>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≥95%</w:t>
            </w:r>
          </w:p>
        </w:tc>
        <w:tc>
          <w:tcPr>
            <w:tcW w:w="2268" w:type="dxa"/>
            <w:vAlign w:val="center"/>
          </w:tcPr>
          <w:p>
            <w:pPr>
              <w:pStyle w:val="28"/>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科技创新能力和科普率</w:t>
            </w:r>
          </w:p>
        </w:tc>
        <w:tc>
          <w:tcPr>
            <w:tcW w:w="2835" w:type="dxa"/>
            <w:vAlign w:val="center"/>
          </w:tcPr>
          <w:p>
            <w:pPr>
              <w:pStyle w:val="28"/>
            </w:pPr>
            <w:r>
              <w:t>科技创新能力以及科普率得到提升</w:t>
            </w:r>
          </w:p>
        </w:tc>
        <w:tc>
          <w:tcPr>
            <w:tcW w:w="2551" w:type="dxa"/>
            <w:vAlign w:val="center"/>
          </w:tcPr>
          <w:p>
            <w:pPr>
              <w:pStyle w:val="28"/>
            </w:pPr>
            <w:r>
              <w:t>≥95%</w:t>
            </w:r>
          </w:p>
        </w:tc>
        <w:tc>
          <w:tcPr>
            <w:tcW w:w="2268" w:type="dxa"/>
            <w:vAlign w:val="center"/>
          </w:tcPr>
          <w:p>
            <w:pPr>
              <w:pStyle w:val="28"/>
            </w:pPr>
            <w:r>
              <w:t>石财教[2021]123文件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群众对科技工作的满意度</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9、石财农【2021】88号关于提前下达2022年中央农村综合改革转移支付预算的通知绩效目标表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1.建设农村公益事业，保障一事一议项目顺利进行，助力农村发展。</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村级个数</w:t>
            </w:r>
          </w:p>
        </w:tc>
        <w:tc>
          <w:tcPr>
            <w:tcW w:w="2835" w:type="dxa"/>
            <w:vAlign w:val="center"/>
          </w:tcPr>
          <w:p>
            <w:pPr>
              <w:pStyle w:val="28"/>
            </w:pPr>
            <w:r>
              <w:t>建设农村公益事业村级个数</w:t>
            </w:r>
          </w:p>
        </w:tc>
        <w:tc>
          <w:tcPr>
            <w:tcW w:w="2551" w:type="dxa"/>
            <w:vAlign w:val="center"/>
          </w:tcPr>
          <w:p>
            <w:pPr>
              <w:pStyle w:val="28"/>
            </w:pPr>
            <w:r>
              <w:t>≥1个</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全部工程完工后验收符合行业标准质量要求比率</w:t>
            </w:r>
          </w:p>
        </w:tc>
        <w:tc>
          <w:tcPr>
            <w:tcW w:w="2551" w:type="dxa"/>
            <w:vAlign w:val="center"/>
          </w:tcPr>
          <w:p>
            <w:pPr>
              <w:pStyle w:val="28"/>
            </w:pPr>
            <w:r>
              <w:t>≥90%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按照年初预算标准合理分配及时拨付</w:t>
            </w:r>
          </w:p>
        </w:tc>
        <w:tc>
          <w:tcPr>
            <w:tcW w:w="2551" w:type="dxa"/>
            <w:vAlign w:val="center"/>
          </w:tcPr>
          <w:p>
            <w:pPr>
              <w:pStyle w:val="28"/>
            </w:pPr>
            <w:r>
              <w:t>≥90%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按一事一议预算项目执行</w:t>
            </w:r>
          </w:p>
        </w:tc>
        <w:tc>
          <w:tcPr>
            <w:tcW w:w="2551" w:type="dxa"/>
            <w:vAlign w:val="center"/>
          </w:tcPr>
          <w:p>
            <w:pPr>
              <w:pStyle w:val="28"/>
            </w:pPr>
            <w:r>
              <w:t>元/项</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农村环境得到改善</w:t>
            </w:r>
          </w:p>
        </w:tc>
        <w:tc>
          <w:tcPr>
            <w:tcW w:w="2835" w:type="dxa"/>
            <w:vAlign w:val="center"/>
          </w:tcPr>
          <w:p>
            <w:pPr>
              <w:pStyle w:val="28"/>
            </w:pPr>
            <w:r>
              <w:t>农村环境有所改善提升，群众生活质量提高</w:t>
            </w:r>
          </w:p>
        </w:tc>
        <w:tc>
          <w:tcPr>
            <w:tcW w:w="2551" w:type="dxa"/>
            <w:vAlign w:val="center"/>
          </w:tcPr>
          <w:p>
            <w:pPr>
              <w:pStyle w:val="28"/>
            </w:pPr>
            <w:r>
              <w:t>≥90%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群众对当年农村公益事业建设的整体满意度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lang w:eastAsia="zh-CN"/>
        </w:rPr>
      </w:pPr>
    </w:p>
    <w:p>
      <w:pPr>
        <w:pStyle w:val="26"/>
        <w:ind w:firstLine="560"/>
        <w:rPr>
          <w:rFonts w:ascii="方正仿宋_GBK" w:hAnsi="方正仿宋_GBK" w:eastAsia="方正仿宋_GBK" w:cs="方正仿宋_GBK"/>
          <w:b/>
          <w:color w:val="000000"/>
          <w:sz w:val="28"/>
          <w:lang w:eastAsia="zh-CN"/>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10、土地治理（综合工作治理）绩效目标表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1.改善农村环境，提升群众幸福感、获得感。</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治理农村环境村庄个数</w:t>
            </w:r>
          </w:p>
        </w:tc>
        <w:tc>
          <w:tcPr>
            <w:tcW w:w="2835" w:type="dxa"/>
            <w:vAlign w:val="center"/>
          </w:tcPr>
          <w:p>
            <w:pPr>
              <w:pStyle w:val="28"/>
            </w:pPr>
            <w:r>
              <w:t>辖区内村庄环境卫生治理全覆盖</w:t>
            </w:r>
          </w:p>
        </w:tc>
        <w:tc>
          <w:tcPr>
            <w:tcW w:w="2551" w:type="dxa"/>
            <w:vAlign w:val="center"/>
          </w:tcPr>
          <w:p>
            <w:pPr>
              <w:pStyle w:val="28"/>
            </w:pPr>
            <w:r>
              <w:t>10个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保障环境整治工作顺利运行</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保障时间节点</w:t>
            </w:r>
          </w:p>
        </w:tc>
        <w:tc>
          <w:tcPr>
            <w:tcW w:w="2835" w:type="dxa"/>
            <w:vAlign w:val="center"/>
          </w:tcPr>
          <w:p>
            <w:pPr>
              <w:pStyle w:val="28"/>
            </w:pPr>
            <w:r>
              <w:t>按时完成环境治理工作</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编制土地治理经费标准</w:t>
            </w:r>
          </w:p>
        </w:tc>
        <w:tc>
          <w:tcPr>
            <w:tcW w:w="2835" w:type="dxa"/>
            <w:vAlign w:val="center"/>
          </w:tcPr>
          <w:p>
            <w:pPr>
              <w:pStyle w:val="28"/>
            </w:pPr>
            <w:r>
              <w:t>编制土地治理经费标准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农村生态环境良好率</w:t>
            </w:r>
          </w:p>
        </w:tc>
        <w:tc>
          <w:tcPr>
            <w:tcW w:w="2835" w:type="dxa"/>
            <w:vAlign w:val="center"/>
          </w:tcPr>
          <w:p>
            <w:pPr>
              <w:pStyle w:val="28"/>
            </w:pPr>
            <w:r>
              <w:t>无污染，生态环境良好</w:t>
            </w:r>
          </w:p>
        </w:tc>
        <w:tc>
          <w:tcPr>
            <w:tcW w:w="2551" w:type="dxa"/>
            <w:vAlign w:val="center"/>
          </w:tcPr>
          <w:p>
            <w:pPr>
              <w:pStyle w:val="28"/>
            </w:pPr>
            <w:r>
              <w:t>≥95%</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群众获得感幸福感指数得到提升</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11、信访维稳（综合工作经费）绩效目标表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1.提高矛盾纠纷调解率，促进邻里和睦相处和乡风民风文明建设，为经济社会发展创造良好的环境</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专项工作完成</w:t>
            </w:r>
          </w:p>
        </w:tc>
        <w:tc>
          <w:tcPr>
            <w:tcW w:w="2835" w:type="dxa"/>
            <w:vAlign w:val="center"/>
          </w:tcPr>
          <w:p>
            <w:pPr>
              <w:pStyle w:val="28"/>
            </w:pPr>
            <w:r>
              <w:t>矛盾排查，化解完成率</w:t>
            </w:r>
          </w:p>
        </w:tc>
        <w:tc>
          <w:tcPr>
            <w:tcW w:w="2551" w:type="dxa"/>
            <w:vAlign w:val="center"/>
          </w:tcPr>
          <w:p>
            <w:pPr>
              <w:pStyle w:val="28"/>
            </w:pPr>
            <w:r>
              <w:t>5万元</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专项工作完成合格率</w:t>
            </w:r>
          </w:p>
        </w:tc>
        <w:tc>
          <w:tcPr>
            <w:tcW w:w="2835" w:type="dxa"/>
            <w:vAlign w:val="center"/>
          </w:tcPr>
          <w:p>
            <w:pPr>
              <w:pStyle w:val="28"/>
            </w:pPr>
            <w:r>
              <w:t>对上级交办的信访积案化解完成合格率</w:t>
            </w:r>
          </w:p>
        </w:tc>
        <w:tc>
          <w:tcPr>
            <w:tcW w:w="2551" w:type="dxa"/>
            <w:vAlign w:val="center"/>
          </w:tcPr>
          <w:p>
            <w:pPr>
              <w:pStyle w:val="28"/>
            </w:pPr>
            <w:r>
              <w:t>≥90%</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专项工作完成及时</w:t>
            </w:r>
          </w:p>
        </w:tc>
        <w:tc>
          <w:tcPr>
            <w:tcW w:w="2835" w:type="dxa"/>
            <w:vAlign w:val="center"/>
          </w:tcPr>
          <w:p>
            <w:pPr>
              <w:pStyle w:val="28"/>
            </w:pPr>
            <w:r>
              <w:t>化解矛盾及时</w:t>
            </w:r>
          </w:p>
        </w:tc>
        <w:tc>
          <w:tcPr>
            <w:tcW w:w="2551" w:type="dxa"/>
            <w:vAlign w:val="center"/>
          </w:tcPr>
          <w:p>
            <w:pPr>
              <w:pStyle w:val="28"/>
            </w:pPr>
            <w:r>
              <w:t>≥90%</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编制信访工作经费标准</w:t>
            </w:r>
          </w:p>
        </w:tc>
        <w:tc>
          <w:tcPr>
            <w:tcW w:w="2835" w:type="dxa"/>
            <w:vAlign w:val="center"/>
          </w:tcPr>
          <w:p>
            <w:pPr>
              <w:pStyle w:val="28"/>
            </w:pPr>
            <w:r>
              <w:t>编制信访工作经费标准</w:t>
            </w:r>
          </w:p>
        </w:tc>
        <w:tc>
          <w:tcPr>
            <w:tcW w:w="2551" w:type="dxa"/>
            <w:vAlign w:val="center"/>
          </w:tcPr>
          <w:p>
            <w:pPr>
              <w:pStyle w:val="28"/>
            </w:pPr>
            <w:r>
              <w:t>元/项</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群众信访处理率</w:t>
            </w:r>
          </w:p>
        </w:tc>
        <w:tc>
          <w:tcPr>
            <w:tcW w:w="2835" w:type="dxa"/>
            <w:vAlign w:val="center"/>
          </w:tcPr>
          <w:p>
            <w:pPr>
              <w:pStyle w:val="28"/>
            </w:pPr>
            <w:r>
              <w:t>邻里团结社会稳定</w:t>
            </w:r>
          </w:p>
        </w:tc>
        <w:tc>
          <w:tcPr>
            <w:tcW w:w="2551" w:type="dxa"/>
            <w:vAlign w:val="center"/>
          </w:tcPr>
          <w:p>
            <w:pPr>
              <w:pStyle w:val="28"/>
            </w:pPr>
            <w:r>
              <w:t>≥90%</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群众对村内矛盾化解及和谐风气满意度</w:t>
            </w:r>
          </w:p>
        </w:tc>
        <w:tc>
          <w:tcPr>
            <w:tcW w:w="2551" w:type="dxa"/>
            <w:vAlign w:val="center"/>
          </w:tcPr>
          <w:p>
            <w:pPr>
              <w:pStyle w:val="28"/>
            </w:pPr>
            <w:r>
              <w:t>≥95%</w:t>
            </w:r>
          </w:p>
        </w:tc>
        <w:tc>
          <w:tcPr>
            <w:tcW w:w="2268" w:type="dxa"/>
            <w:vAlign w:val="center"/>
          </w:tcPr>
          <w:p>
            <w:pPr>
              <w:pStyle w:val="28"/>
            </w:pPr>
            <w:r>
              <w:t>问卷调查</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12、政府机关占地补偿（综合工作经费）绩效目标表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1.按时按量对占地户进行补偿</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足额发放补偿</w:t>
            </w:r>
          </w:p>
        </w:tc>
        <w:tc>
          <w:tcPr>
            <w:tcW w:w="2835" w:type="dxa"/>
            <w:vAlign w:val="center"/>
          </w:tcPr>
          <w:p>
            <w:pPr>
              <w:pStyle w:val="28"/>
            </w:pPr>
            <w:r>
              <w:t>按照上级文件要求，足额拨付到位</w:t>
            </w:r>
          </w:p>
        </w:tc>
        <w:tc>
          <w:tcPr>
            <w:tcW w:w="2551" w:type="dxa"/>
            <w:vAlign w:val="center"/>
          </w:tcPr>
          <w:p>
            <w:pPr>
              <w:pStyle w:val="28"/>
            </w:pPr>
            <w:r>
              <w:t>10万元</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保障资金质量</w:t>
            </w:r>
          </w:p>
        </w:tc>
        <w:tc>
          <w:tcPr>
            <w:tcW w:w="2835" w:type="dxa"/>
            <w:vAlign w:val="center"/>
          </w:tcPr>
          <w:p>
            <w:pPr>
              <w:pStyle w:val="28"/>
            </w:pPr>
            <w:r>
              <w:t>按照上级文件要求，保障资金足额拨付到村</w:t>
            </w:r>
          </w:p>
        </w:tc>
        <w:tc>
          <w:tcPr>
            <w:tcW w:w="2551" w:type="dxa"/>
            <w:vAlign w:val="center"/>
          </w:tcPr>
          <w:p>
            <w:pPr>
              <w:pStyle w:val="28"/>
            </w:pPr>
            <w:r>
              <w:t>100%</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按时对占地户进行补偿</w:t>
            </w:r>
          </w:p>
        </w:tc>
        <w:tc>
          <w:tcPr>
            <w:tcW w:w="2835" w:type="dxa"/>
            <w:vAlign w:val="center"/>
          </w:tcPr>
          <w:p>
            <w:pPr>
              <w:pStyle w:val="28"/>
            </w:pPr>
            <w:r>
              <w:t>足额拨付到村，及时补贴到户</w:t>
            </w:r>
          </w:p>
        </w:tc>
        <w:tc>
          <w:tcPr>
            <w:tcW w:w="2551" w:type="dxa"/>
            <w:vAlign w:val="center"/>
          </w:tcPr>
          <w:p>
            <w:pPr>
              <w:pStyle w:val="28"/>
            </w:pPr>
            <w:r>
              <w:t>100%</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编制占地补偿标准</w:t>
            </w:r>
          </w:p>
        </w:tc>
        <w:tc>
          <w:tcPr>
            <w:tcW w:w="2835" w:type="dxa"/>
            <w:vAlign w:val="center"/>
          </w:tcPr>
          <w:p>
            <w:pPr>
              <w:pStyle w:val="28"/>
            </w:pPr>
            <w:r>
              <w:t>编制占地补偿标准</w:t>
            </w:r>
          </w:p>
        </w:tc>
        <w:tc>
          <w:tcPr>
            <w:tcW w:w="2551" w:type="dxa"/>
            <w:vAlign w:val="center"/>
          </w:tcPr>
          <w:p>
            <w:pPr>
              <w:pStyle w:val="28"/>
            </w:pPr>
            <w:r>
              <w:t>元/平方米</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社会稳定，占地户满意</w:t>
            </w:r>
          </w:p>
        </w:tc>
        <w:tc>
          <w:tcPr>
            <w:tcW w:w="2835" w:type="dxa"/>
            <w:vAlign w:val="center"/>
          </w:tcPr>
          <w:p>
            <w:pPr>
              <w:pStyle w:val="28"/>
            </w:pPr>
            <w:r>
              <w:t>及时拨付到位，确保群众满意</w:t>
            </w:r>
          </w:p>
        </w:tc>
        <w:tc>
          <w:tcPr>
            <w:tcW w:w="2551" w:type="dxa"/>
            <w:vAlign w:val="center"/>
          </w:tcPr>
          <w:p>
            <w:pPr>
              <w:pStyle w:val="28"/>
            </w:pPr>
            <w:r>
              <w:t>≥95%</w:t>
            </w:r>
          </w:p>
        </w:tc>
        <w:tc>
          <w:tcPr>
            <w:tcW w:w="2268" w:type="dxa"/>
            <w:vAlign w:val="center"/>
          </w:tcPr>
          <w:p>
            <w:pPr>
              <w:pStyle w:val="28"/>
            </w:pPr>
            <w:r>
              <w:t>群众反馈，抽样调查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群众满意，社会稳定</w:t>
            </w:r>
          </w:p>
        </w:tc>
        <w:tc>
          <w:tcPr>
            <w:tcW w:w="2551" w:type="dxa"/>
            <w:vAlign w:val="center"/>
          </w:tcPr>
          <w:p>
            <w:pPr>
              <w:pStyle w:val="28"/>
            </w:pPr>
            <w:r>
              <w:t>≥95%</w:t>
            </w:r>
          </w:p>
        </w:tc>
        <w:tc>
          <w:tcPr>
            <w:tcW w:w="2268" w:type="dxa"/>
            <w:vAlign w:val="center"/>
          </w:tcPr>
          <w:p>
            <w:pPr>
              <w:pStyle w:val="28"/>
            </w:pPr>
            <w:r>
              <w:t>抽样调查</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13、政府聘用人员、联防队员工资（综合工作经费）绩效目标表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1.及时按量发放政府聘用人员、联防队员工资</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足额发放政府聘用人员、联防队员工资</w:t>
            </w:r>
          </w:p>
        </w:tc>
        <w:tc>
          <w:tcPr>
            <w:tcW w:w="2835" w:type="dxa"/>
            <w:vAlign w:val="center"/>
          </w:tcPr>
          <w:p>
            <w:pPr>
              <w:pStyle w:val="28"/>
            </w:pPr>
            <w:r>
              <w:t>按照合同要求，足额发放政府聘用人员、联防队员工资</w:t>
            </w:r>
          </w:p>
        </w:tc>
        <w:tc>
          <w:tcPr>
            <w:tcW w:w="2551" w:type="dxa"/>
            <w:vAlign w:val="center"/>
          </w:tcPr>
          <w:p>
            <w:pPr>
              <w:pStyle w:val="28"/>
            </w:pPr>
            <w:r>
              <w:t>24万元</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保障发放政府聘用人员、联防队员正常发放</w:t>
            </w:r>
          </w:p>
        </w:tc>
        <w:tc>
          <w:tcPr>
            <w:tcW w:w="2835" w:type="dxa"/>
            <w:vAlign w:val="center"/>
          </w:tcPr>
          <w:p>
            <w:pPr>
              <w:pStyle w:val="28"/>
            </w:pPr>
            <w:r>
              <w:t>按照合同要求，保障资金，确保准时发放政府聘用人员、联防队员工资</w:t>
            </w:r>
          </w:p>
        </w:tc>
        <w:tc>
          <w:tcPr>
            <w:tcW w:w="2551" w:type="dxa"/>
            <w:vAlign w:val="center"/>
          </w:tcPr>
          <w:p>
            <w:pPr>
              <w:pStyle w:val="28"/>
            </w:pPr>
            <w:r>
              <w:t>100%</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及时发放政府聘用人员、联防队员工资</w:t>
            </w:r>
          </w:p>
        </w:tc>
        <w:tc>
          <w:tcPr>
            <w:tcW w:w="2835" w:type="dxa"/>
            <w:vAlign w:val="center"/>
          </w:tcPr>
          <w:p>
            <w:pPr>
              <w:pStyle w:val="28"/>
            </w:pPr>
            <w:r>
              <w:t>按时间节点对政府聘用人员、联防队员发放工资</w:t>
            </w:r>
          </w:p>
        </w:tc>
        <w:tc>
          <w:tcPr>
            <w:tcW w:w="2551" w:type="dxa"/>
            <w:vAlign w:val="center"/>
          </w:tcPr>
          <w:p>
            <w:pPr>
              <w:pStyle w:val="28"/>
            </w:pPr>
            <w:r>
              <w:t>100%</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人员经费发放标准</w:t>
            </w:r>
          </w:p>
        </w:tc>
        <w:tc>
          <w:tcPr>
            <w:tcW w:w="2835" w:type="dxa"/>
            <w:vAlign w:val="center"/>
          </w:tcPr>
          <w:p>
            <w:pPr>
              <w:pStyle w:val="28"/>
            </w:pPr>
            <w:r>
              <w:t>人员经费发放标准</w:t>
            </w:r>
          </w:p>
        </w:tc>
        <w:tc>
          <w:tcPr>
            <w:tcW w:w="2551" w:type="dxa"/>
            <w:vAlign w:val="center"/>
          </w:tcPr>
          <w:p>
            <w:pPr>
              <w:pStyle w:val="28"/>
            </w:pPr>
            <w:r>
              <w:t>元/人</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长期使用性</w:t>
            </w:r>
          </w:p>
        </w:tc>
        <w:tc>
          <w:tcPr>
            <w:tcW w:w="2835" w:type="dxa"/>
            <w:vAlign w:val="center"/>
          </w:tcPr>
          <w:p>
            <w:pPr>
              <w:pStyle w:val="28"/>
            </w:pPr>
            <w:r>
              <w:t>人员经费的长期使用性</w:t>
            </w:r>
          </w:p>
        </w:tc>
        <w:tc>
          <w:tcPr>
            <w:tcW w:w="2551" w:type="dxa"/>
            <w:vAlign w:val="center"/>
          </w:tcPr>
          <w:p>
            <w:pPr>
              <w:pStyle w:val="28"/>
            </w:pPr>
            <w:r>
              <w:t>1年</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政府聘用人员、联防队员对工资发放的满意度</w:t>
            </w:r>
          </w:p>
        </w:tc>
        <w:tc>
          <w:tcPr>
            <w:tcW w:w="2835" w:type="dxa"/>
            <w:vAlign w:val="center"/>
          </w:tcPr>
          <w:p>
            <w:pPr>
              <w:pStyle w:val="28"/>
            </w:pPr>
            <w:r>
              <w:t>及时按量发放工资，达到发放对象满意</w:t>
            </w:r>
          </w:p>
        </w:tc>
        <w:tc>
          <w:tcPr>
            <w:tcW w:w="2551" w:type="dxa"/>
            <w:vAlign w:val="center"/>
          </w:tcPr>
          <w:p>
            <w:pPr>
              <w:pStyle w:val="28"/>
            </w:pPr>
            <w:r>
              <w:t>≥95%</w:t>
            </w:r>
          </w:p>
        </w:tc>
        <w:tc>
          <w:tcPr>
            <w:tcW w:w="2268" w:type="dxa"/>
            <w:vAlign w:val="center"/>
          </w:tcPr>
          <w:p>
            <w:pPr>
              <w:pStyle w:val="28"/>
            </w:pPr>
            <w:r>
              <w:t>年度工作目标</w:t>
            </w:r>
          </w:p>
        </w:tc>
      </w:tr>
    </w:tbl>
    <w:p>
      <w:pPr>
        <w:pStyle w:val="26"/>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rPr>
          <w:rFonts w:ascii="方正仿宋_GBK" w:hAnsi="方正仿宋_GBK" w:eastAsia="方正仿宋_GBK" w:cs="方正仿宋_GBK"/>
          <w:b/>
          <w:color w:val="000000"/>
          <w:sz w:val="28"/>
        </w:rPr>
      </w:pPr>
    </w:p>
    <w:p>
      <w:pPr>
        <w:pStyle w:val="26"/>
        <w:ind w:firstLine="560"/>
      </w:pPr>
      <w:r>
        <w:rPr>
          <w:rFonts w:ascii="方正仿宋_GBK" w:hAnsi="方正仿宋_GBK" w:eastAsia="方正仿宋_GBK" w:cs="方正仿宋_GBK"/>
          <w:b/>
          <w:color w:val="000000"/>
          <w:sz w:val="28"/>
        </w:rPr>
        <w:t>14、综合执法工作经费绩效目标表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1.保障执法队各项工作顺利开展</w:t>
            </w:r>
          </w:p>
        </w:tc>
      </w:tr>
    </w:tbl>
    <w:p>
      <w:pPr>
        <w:pStyle w:val="26"/>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保障辖区内执法工作顺利开展</w:t>
            </w:r>
          </w:p>
        </w:tc>
        <w:tc>
          <w:tcPr>
            <w:tcW w:w="2835" w:type="dxa"/>
            <w:vAlign w:val="center"/>
          </w:tcPr>
          <w:p>
            <w:pPr>
              <w:pStyle w:val="28"/>
            </w:pPr>
            <w:r>
              <w:t>辖区内村庄执法工作全覆盖</w:t>
            </w:r>
          </w:p>
        </w:tc>
        <w:tc>
          <w:tcPr>
            <w:tcW w:w="2551" w:type="dxa"/>
            <w:vAlign w:val="center"/>
          </w:tcPr>
          <w:p>
            <w:pPr>
              <w:pStyle w:val="28"/>
            </w:pPr>
            <w:r>
              <w:t>10个</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工作运行保障</w:t>
            </w:r>
          </w:p>
        </w:tc>
        <w:tc>
          <w:tcPr>
            <w:tcW w:w="2835" w:type="dxa"/>
            <w:vAlign w:val="center"/>
          </w:tcPr>
          <w:p>
            <w:pPr>
              <w:pStyle w:val="28"/>
            </w:pPr>
            <w:r>
              <w:t>保障各项工作顺利运行</w:t>
            </w:r>
          </w:p>
        </w:tc>
        <w:tc>
          <w:tcPr>
            <w:tcW w:w="2551" w:type="dxa"/>
            <w:vAlign w:val="center"/>
          </w:tcPr>
          <w:p>
            <w:pPr>
              <w:pStyle w:val="28"/>
            </w:pPr>
            <w:r>
              <w:t>≥97%</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各项工作保障时间节点</w:t>
            </w:r>
          </w:p>
        </w:tc>
        <w:tc>
          <w:tcPr>
            <w:tcW w:w="2835" w:type="dxa"/>
            <w:vAlign w:val="center"/>
          </w:tcPr>
          <w:p>
            <w:pPr>
              <w:pStyle w:val="28"/>
            </w:pPr>
            <w:r>
              <w:t>按时完成上级安排的各项工作</w:t>
            </w:r>
          </w:p>
        </w:tc>
        <w:tc>
          <w:tcPr>
            <w:tcW w:w="2551" w:type="dxa"/>
            <w:vAlign w:val="center"/>
          </w:tcPr>
          <w:p>
            <w:pPr>
              <w:pStyle w:val="28"/>
            </w:pPr>
            <w:r>
              <w:t>≥97%</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编制执法工作经费标准</w:t>
            </w:r>
          </w:p>
        </w:tc>
        <w:tc>
          <w:tcPr>
            <w:tcW w:w="2835" w:type="dxa"/>
            <w:vAlign w:val="center"/>
          </w:tcPr>
          <w:p>
            <w:pPr>
              <w:pStyle w:val="28"/>
            </w:pPr>
            <w:r>
              <w:t>编制执法工作经费标准</w:t>
            </w:r>
          </w:p>
        </w:tc>
        <w:tc>
          <w:tcPr>
            <w:tcW w:w="2551" w:type="dxa"/>
            <w:vAlign w:val="center"/>
          </w:tcPr>
          <w:p>
            <w:pPr>
              <w:pStyle w:val="28"/>
            </w:pPr>
            <w:r>
              <w:t>元/项</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各项工作顺利开展</w:t>
            </w:r>
          </w:p>
        </w:tc>
        <w:tc>
          <w:tcPr>
            <w:tcW w:w="2835" w:type="dxa"/>
            <w:vAlign w:val="center"/>
          </w:tcPr>
          <w:p>
            <w:pPr>
              <w:pStyle w:val="28"/>
            </w:pPr>
            <w:r>
              <w:t>各项工作统筹兼顾，顺利开展</w:t>
            </w:r>
          </w:p>
        </w:tc>
        <w:tc>
          <w:tcPr>
            <w:tcW w:w="2551" w:type="dxa"/>
            <w:vAlign w:val="center"/>
          </w:tcPr>
          <w:p>
            <w:pPr>
              <w:pStyle w:val="28"/>
            </w:pPr>
            <w:r>
              <w:t>≥97%</w:t>
            </w:r>
          </w:p>
        </w:tc>
        <w:tc>
          <w:tcPr>
            <w:tcW w:w="2268" w:type="dxa"/>
            <w:vAlign w:val="center"/>
          </w:tcPr>
          <w:p>
            <w:pPr>
              <w:pStyle w:val="28"/>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按时完成各项工作，上级部门满意，群众满意</w:t>
            </w:r>
          </w:p>
        </w:tc>
        <w:tc>
          <w:tcPr>
            <w:tcW w:w="2551" w:type="dxa"/>
            <w:vAlign w:val="center"/>
          </w:tcPr>
          <w:p>
            <w:pPr>
              <w:pStyle w:val="28"/>
            </w:pPr>
            <w:r>
              <w:t>≥97%</w:t>
            </w:r>
          </w:p>
        </w:tc>
        <w:tc>
          <w:tcPr>
            <w:tcW w:w="2268" w:type="dxa"/>
            <w:vAlign w:val="center"/>
          </w:tcPr>
          <w:p>
            <w:pPr>
              <w:pStyle w:val="28"/>
            </w:pPr>
            <w:r>
              <w:t>年度工作目标</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2"/>
      </w:pPr>
      <w:bookmarkStart w:id="14" w:name="_Toc27328"/>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2022年，石家庄市藁城区贾市庄镇人民政府安排政府采购预算0.00万元。具体内容见下表。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31943"/>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石家庄市藁城区贾市庄镇人民政府（含所属单位）上年末固定资产金额为691</w:t>
      </w:r>
      <w:r>
        <w:rPr>
          <w:rFonts w:hint="eastAsia" w:eastAsia="方正仿宋_GBK"/>
          <w:color w:val="000000"/>
          <w:sz w:val="28"/>
          <w:lang w:eastAsia="zh-CN"/>
        </w:rPr>
        <w:t>.</w:t>
      </w:r>
      <w:r>
        <w:rPr>
          <w:rFonts w:eastAsia="方正仿宋_GBK"/>
          <w:color w:val="000000"/>
          <w:sz w:val="28"/>
        </w:rPr>
        <w:t>184590万元（详见下表）。本年度拟购置固定资产总额为0.00万元，已按要求列入政府采购预算，详见政府采购预算表。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805石家庄市藁城区贾市庄镇人民政府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691</w:t>
            </w:r>
            <w:r>
              <w:rPr>
                <w:rFonts w:hint="eastAsia"/>
                <w:lang w:eastAsia="zh-CN"/>
              </w:rPr>
              <w:t>.</w:t>
            </w:r>
            <w:r>
              <w:t>184590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4000</w:t>
            </w:r>
          </w:p>
        </w:tc>
        <w:tc>
          <w:tcPr>
            <w:tcW w:w="2835" w:type="dxa"/>
            <w:vAlign w:val="center"/>
          </w:tcPr>
          <w:p>
            <w:pPr>
              <w:pStyle w:val="13"/>
            </w:pPr>
            <w:r>
              <w:t>509</w:t>
            </w:r>
            <w:r>
              <w:rPr>
                <w:rFonts w:hint="eastAsia"/>
                <w:lang w:eastAsia="zh-CN"/>
              </w:rPr>
              <w:t>.</w:t>
            </w:r>
            <w:r>
              <w:t>491090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4000</w:t>
            </w:r>
          </w:p>
        </w:tc>
        <w:tc>
          <w:tcPr>
            <w:tcW w:w="2835" w:type="dxa"/>
            <w:vAlign w:val="center"/>
          </w:tcPr>
          <w:p>
            <w:pPr>
              <w:pStyle w:val="13"/>
            </w:pPr>
            <w:r>
              <w:t>509</w:t>
            </w:r>
            <w:r>
              <w:rPr>
                <w:rFonts w:hint="eastAsia"/>
                <w:lang w:eastAsia="zh-CN"/>
              </w:rPr>
              <w:t>.</w:t>
            </w:r>
            <w:r>
              <w:t>491</w:t>
            </w:r>
            <w:r>
              <w:rPr>
                <w:rFonts w:hint="eastAsia"/>
                <w:lang w:eastAsia="zh-CN"/>
              </w:rPr>
              <w:t>0</w:t>
            </w: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25</w:t>
            </w:r>
            <w:r>
              <w:rPr>
                <w:rFonts w:hint="eastAsia"/>
                <w:lang w:eastAsia="zh-CN"/>
              </w:rPr>
              <w:t>.</w:t>
            </w:r>
            <w:r>
              <w:t>041600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156</w:t>
            </w:r>
            <w:r>
              <w:rPr>
                <w:rFonts w:hint="eastAsia"/>
                <w:lang w:eastAsia="zh-CN"/>
              </w:rPr>
              <w:t>.</w:t>
            </w:r>
            <w:r>
              <w:t>651900</w:t>
            </w:r>
          </w:p>
        </w:tc>
      </w:tr>
    </w:tbl>
    <w:p>
      <w:pPr>
        <w:ind w:firstLine="640"/>
      </w:pPr>
    </w:p>
    <w:p>
      <w:pPr>
        <w:spacing w:before="10" w:after="10"/>
        <w:ind w:firstLine="640"/>
        <w:outlineLvl w:val="2"/>
      </w:pPr>
      <w:bookmarkStart w:id="16" w:name="_Toc29818"/>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区县级</w:t>
      </w:r>
      <w:r>
        <w:rPr>
          <w:rFonts w:eastAsia="方正仿宋_GBK"/>
          <w:color w:val="000000"/>
          <w:sz w:val="28"/>
        </w:rPr>
        <w:t>财政预算管理的“三公”经费，是指</w:t>
      </w:r>
      <w:r>
        <w:rPr>
          <w:rFonts w:hint="eastAsia" w:eastAsia="方正仿宋_GBK"/>
          <w:color w:val="000000"/>
          <w:sz w:val="28"/>
          <w:lang w:eastAsia="zh-CN"/>
        </w:rPr>
        <w:t>区县级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lang w:eastAsia="zh-CN"/>
        </w:rPr>
      </w:pPr>
    </w:p>
    <w:p>
      <w:pPr>
        <w:spacing w:before="10" w:after="10"/>
        <w:ind w:firstLine="640"/>
        <w:outlineLvl w:val="2"/>
      </w:pPr>
      <w:bookmarkStart w:id="17" w:name="_Toc25274"/>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F1F3D1C-AB95-4973-9ED0-263F323ACFC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embedRegular r:id="rId2" w:fontKey="{A71BD2CF-297D-4E48-A232-EF655B34E030}"/>
  </w:font>
  <w:font w:name="方正书宋_GBK">
    <w:altName w:val="宋体"/>
    <w:panose1 w:val="00000000000000000000"/>
    <w:charset w:val="86"/>
    <w:family w:val="roman"/>
    <w:pitch w:val="default"/>
    <w:sig w:usb0="00000000" w:usb1="00000000" w:usb2="00000000" w:usb3="00000000" w:csb0="00000000" w:csb1="00000000"/>
    <w:embedRegular r:id="rId3" w:fontKey="{BFF85FD3-0ACD-4783-B807-8496B296C634}"/>
  </w:font>
  <w:font w:name="方正仿宋_GBK">
    <w:panose1 w:val="02000000000000000000"/>
    <w:charset w:val="86"/>
    <w:family w:val="script"/>
    <w:pitch w:val="default"/>
    <w:sig w:usb0="A00002BF" w:usb1="38CF7CFA" w:usb2="00082016" w:usb3="00000000" w:csb0="00040001" w:csb1="00000000"/>
    <w:embedRegular r:id="rId4" w:fontKey="{96CDFAE4-9386-49C1-BB4A-BAAE66AF8A3E}"/>
  </w:font>
  <w:font w:name="方正楷体_GBK">
    <w:altName w:val="宋体"/>
    <w:panose1 w:val="00000000000000000000"/>
    <w:charset w:val="86"/>
    <w:family w:val="roman"/>
    <w:pitch w:val="default"/>
    <w:sig w:usb0="00000000" w:usb1="00000000" w:usb2="00000000" w:usb3="00000000" w:csb0="00000000" w:csb1="00000000"/>
    <w:embedRegular r:id="rId5" w:fontKey="{83912B72-4C65-4CF5-A0AB-C361BC8AFD8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embedRegular r:id="rId6" w:fontKey="{95E09A4A-FAE7-46C0-B54E-316482DC508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YjgwMjJmNzAzMGJhOTNlOWU3ZDJjZTBkYWJhZGYifQ=="/>
  </w:docVars>
  <w:rsids>
    <w:rsidRoot w:val="003F3881"/>
    <w:rsid w:val="000702D5"/>
    <w:rsid w:val="001B40CC"/>
    <w:rsid w:val="001D5D32"/>
    <w:rsid w:val="003B0DD4"/>
    <w:rsid w:val="003D0816"/>
    <w:rsid w:val="003F3881"/>
    <w:rsid w:val="0049447C"/>
    <w:rsid w:val="004953E3"/>
    <w:rsid w:val="004B410D"/>
    <w:rsid w:val="004B75D2"/>
    <w:rsid w:val="00516C6E"/>
    <w:rsid w:val="007461F7"/>
    <w:rsid w:val="00892561"/>
    <w:rsid w:val="008A1483"/>
    <w:rsid w:val="00AF10EF"/>
    <w:rsid w:val="00C16CB0"/>
    <w:rsid w:val="00C216D0"/>
    <w:rsid w:val="00C87A79"/>
    <w:rsid w:val="00CD18D1"/>
    <w:rsid w:val="00D04A3B"/>
    <w:rsid w:val="00D1139A"/>
    <w:rsid w:val="00D8360B"/>
    <w:rsid w:val="00F30D42"/>
    <w:rsid w:val="00FE4C97"/>
    <w:rsid w:val="1A0E015E"/>
    <w:rsid w:val="21AB7107"/>
    <w:rsid w:val="21AD42D6"/>
    <w:rsid w:val="2F32639D"/>
    <w:rsid w:val="2F8158E8"/>
    <w:rsid w:val="312566B9"/>
    <w:rsid w:val="39EF21F5"/>
    <w:rsid w:val="3D5738D4"/>
    <w:rsid w:val="3E6C3966"/>
    <w:rsid w:val="40E26D47"/>
    <w:rsid w:val="46CB33F8"/>
    <w:rsid w:val="54275627"/>
    <w:rsid w:val="57D15701"/>
    <w:rsid w:val="5CA06BE4"/>
    <w:rsid w:val="6B7A26D7"/>
    <w:rsid w:val="7F736C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semiHidden/>
    <w:unhideWhenUsed/>
    <w:qFormat/>
    <w:uiPriority w:val="39"/>
    <w:pPr>
      <w:ind w:left="840" w:leftChars="400"/>
    </w:pPr>
  </w:style>
  <w:style w:type="paragraph" w:styleId="3">
    <w:name w:val="footer"/>
    <w:basedOn w:val="1"/>
    <w:link w:val="40"/>
    <w:autoRedefine/>
    <w:semiHidden/>
    <w:unhideWhenUsed/>
    <w:qFormat/>
    <w:uiPriority w:val="99"/>
    <w:pPr>
      <w:tabs>
        <w:tab w:val="center" w:pos="4153"/>
        <w:tab w:val="right" w:pos="8306"/>
      </w:tabs>
      <w:snapToGrid w:val="0"/>
    </w:pPr>
    <w:rPr>
      <w:sz w:val="18"/>
      <w:szCs w:val="18"/>
    </w:rPr>
  </w:style>
  <w:style w:type="paragraph" w:styleId="4">
    <w:name w:val="header"/>
    <w:basedOn w:val="1"/>
    <w:link w:val="3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semiHidden/>
    <w:unhideWhenUsed/>
    <w:qFormat/>
    <w:uiPriority w:val="39"/>
    <w:pPr>
      <w:ind w:left="420" w:leftChars="20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984b0124-75f6-4db8-93c2-dc9e18ab537d"/>
    <w:qFormat/>
    <w:uiPriority w:val="0"/>
    <w:rPr>
      <w:rFonts w:ascii="Times New Roman" w:hAnsi="Times New Roman" w:eastAsia="Times New Roman" w:cs="Times New Roman"/>
      <w:sz w:val="24"/>
      <w:szCs w:val="24"/>
      <w:lang w:val="en-US" w:eastAsia="uk-UA" w:bidi="ar-SA"/>
    </w:rPr>
  </w:style>
  <w:style w:type="paragraph" w:customStyle="1" w:styleId="27">
    <w:name w:val="单元格样式1_ff0c55b7-4dd5-4985-add3-e2eee7d66fc5"/>
    <w:basedOn w:val="1"/>
    <w:autoRedefine/>
    <w:qFormat/>
    <w:uiPriority w:val="0"/>
    <w:pPr>
      <w:jc w:val="center"/>
    </w:pPr>
    <w:rPr>
      <w:rFonts w:ascii="方正书宋_GBK" w:hAnsi="方正书宋_GBK" w:eastAsia="方正书宋_GBK" w:cs="方正书宋_GBK"/>
      <w:b/>
      <w:sz w:val="21"/>
    </w:rPr>
  </w:style>
  <w:style w:type="paragraph" w:customStyle="1" w:styleId="28">
    <w:name w:val="单元格样式2_ef6a846a-9f2e-46b4-bbb0-e0bb351c1337"/>
    <w:basedOn w:val="1"/>
    <w:autoRedefine/>
    <w:qFormat/>
    <w:uiPriority w:val="0"/>
    <w:rPr>
      <w:rFonts w:ascii="方正书宋_GBK" w:hAnsi="方正书宋_GBK" w:eastAsia="方正书宋_GBK" w:cs="方正书宋_GBK"/>
      <w:sz w:val="21"/>
    </w:rPr>
  </w:style>
  <w:style w:type="paragraph" w:customStyle="1" w:styleId="29">
    <w:name w:val="单元格样式3_16247aa4-3eb1-4801-a31e-3186d87ef947"/>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autoRedefine/>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5">
    <w:name w:val="TOC 2"/>
    <w:basedOn w:val="1"/>
    <w:autoRedefine/>
    <w:qFormat/>
    <w:uiPriority w:val="0"/>
    <w:pPr>
      <w:ind w:left="240"/>
    </w:pPr>
  </w:style>
  <w:style w:type="paragraph" w:customStyle="1" w:styleId="36">
    <w:name w:val="TOC 3"/>
    <w:basedOn w:val="1"/>
    <w:autoRedefine/>
    <w:qFormat/>
    <w:uiPriority w:val="0"/>
    <w:pPr>
      <w:ind w:left="480"/>
    </w:pPr>
  </w:style>
  <w:style w:type="paragraph" w:customStyle="1" w:styleId="37">
    <w:name w:val="TOC 4"/>
    <w:basedOn w:val="1"/>
    <w:autoRedefine/>
    <w:qFormat/>
    <w:uiPriority w:val="0"/>
    <w:pPr>
      <w:ind w:left="720"/>
    </w:pPr>
  </w:style>
  <w:style w:type="paragraph" w:customStyle="1" w:styleId="38">
    <w:name w:val="TOC 1"/>
    <w:basedOn w:val="1"/>
    <w:autoRedefine/>
    <w:qFormat/>
    <w:uiPriority w:val="0"/>
    <w:pPr>
      <w:spacing w:before="120"/>
      <w:ind w:firstLine="560"/>
    </w:pPr>
    <w:rPr>
      <w:rFonts w:eastAsia="方正仿宋_GBK"/>
      <w:color w:val="000000"/>
      <w:sz w:val="28"/>
    </w:rPr>
  </w:style>
  <w:style w:type="character" w:customStyle="1" w:styleId="39">
    <w:name w:val="页眉 Char"/>
    <w:basedOn w:val="8"/>
    <w:link w:val="4"/>
    <w:autoRedefine/>
    <w:semiHidden/>
    <w:qFormat/>
    <w:uiPriority w:val="99"/>
    <w:rPr>
      <w:rFonts w:eastAsia="Times New Roman"/>
      <w:sz w:val="18"/>
      <w:szCs w:val="18"/>
      <w:lang w:eastAsia="uk-UA"/>
    </w:rPr>
  </w:style>
  <w:style w:type="character" w:customStyle="1" w:styleId="40">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2022-02-14T17:51:05Z</dcterms:created>
  <dcterms:modified xsi:type="dcterms:W3CDTF">2022-02-14T09:51:05Z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2022-02-14T17:50:46Z</dcterms:created>
  <dcterms:modified xsi:type="dcterms:W3CDTF">2022-02-14T09:50:46Z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2022-02-14T17:51:01Z</dcterms:created>
  <dcterms:modified xsi:type="dcterms:W3CDTF">2022-02-14T09:51:01Z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2022-02-14T17:51:04Z</dcterms:created>
  <dcterms:modified xsi:type="dcterms:W3CDTF">2022-02-14T09:51:04Z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2022-02-14T17:50:40Z</dcterms:created>
  <dcterms:modified xsi:type="dcterms:W3CDTF">2022-02-14T09:50:40Z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2022-02-14T17:50:51Z</dcterms:created>
  <dcterms:modified xsi:type="dcterms:W3CDTF">2022-02-14T09:50:50Z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2022-02-14T17:50:56Z</dcterms:created>
  <dcterms:modified xsi:type="dcterms:W3CDTF">2022-02-14T09:50:56Z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2022-02-14T17:51:00Z</dcterms:created>
  <dcterms:modified xsi:type="dcterms:W3CDTF">2022-02-14T09:51:00Z</dcterms:modified>
</cp:coreProperties>
</file>

<file path=customXml/itemProps1.xml><?xml version="1.0" encoding="utf-8"?>
<ds:datastoreItem xmlns:ds="http://schemas.openxmlformats.org/officeDocument/2006/customXml" ds:itemID="{B297B31E-DAF7-4FEF-AD4C-E553466B8251}">
  <ds:schemaRefs/>
</ds:datastoreItem>
</file>

<file path=customXml/itemProps10.xml><?xml version="1.0" encoding="utf-8"?>
<ds:datastoreItem xmlns:ds="http://schemas.openxmlformats.org/officeDocument/2006/customXml" ds:itemID="{66AEB3E4-E086-414F-BB76-A2A779162764}">
  <ds:schemaRefs/>
</ds:datastoreItem>
</file>

<file path=customXml/itemProps11.xml><?xml version="1.0" encoding="utf-8"?>
<ds:datastoreItem xmlns:ds="http://schemas.openxmlformats.org/officeDocument/2006/customXml" ds:itemID="{112927C5-7050-4CAA-A94C-EA246E38149B}">
  <ds:schemaRefs/>
</ds:datastoreItem>
</file>

<file path=customXml/itemProps12.xml><?xml version="1.0" encoding="utf-8"?>
<ds:datastoreItem xmlns:ds="http://schemas.openxmlformats.org/officeDocument/2006/customXml" ds:itemID="{846A6405-C15D-4EB1-8C7C-4A012C0886FF}">
  <ds:schemaRefs/>
</ds:datastoreItem>
</file>

<file path=customXml/itemProps13.xml><?xml version="1.0" encoding="utf-8"?>
<ds:datastoreItem xmlns:ds="http://schemas.openxmlformats.org/officeDocument/2006/customXml" ds:itemID="{545AE319-FBA6-46F2-979B-1560384D2D93}">
  <ds:schemaRefs/>
</ds:datastoreItem>
</file>

<file path=customXml/itemProps14.xml><?xml version="1.0" encoding="utf-8"?>
<ds:datastoreItem xmlns:ds="http://schemas.openxmlformats.org/officeDocument/2006/customXml" ds:itemID="{9A7BF224-77C1-4FEB-9E85-70A59337BB08}">
  <ds:schemaRefs/>
</ds:datastoreItem>
</file>

<file path=customXml/itemProps15.xml><?xml version="1.0" encoding="utf-8"?>
<ds:datastoreItem xmlns:ds="http://schemas.openxmlformats.org/officeDocument/2006/customXml" ds:itemID="{B74AE0DA-78C9-492E-BB5D-30B18501F0EB}">
  <ds:schemaRefs/>
</ds:datastoreItem>
</file>

<file path=customXml/itemProps16.xml><?xml version="1.0" encoding="utf-8"?>
<ds:datastoreItem xmlns:ds="http://schemas.openxmlformats.org/officeDocument/2006/customXml" ds:itemID="{89FEF9FF-CBFB-480D-A6E6-90F94A49AC34}">
  <ds:schemaRefs/>
</ds:datastoreItem>
</file>

<file path=customXml/itemProps2.xml><?xml version="1.0" encoding="utf-8"?>
<ds:datastoreItem xmlns:ds="http://schemas.openxmlformats.org/officeDocument/2006/customXml" ds:itemID="{42D9FD6A-ABE4-4E4E-BAA0-929F78D97867}">
  <ds:schemaRefs/>
</ds:datastoreItem>
</file>

<file path=customXml/itemProps3.xml><?xml version="1.0" encoding="utf-8"?>
<ds:datastoreItem xmlns:ds="http://schemas.openxmlformats.org/officeDocument/2006/customXml" ds:itemID="{94209DE3-2442-4DAA-A813-1B8A20B7FB62}">
  <ds:schemaRefs/>
</ds:datastoreItem>
</file>

<file path=customXml/itemProps4.xml><?xml version="1.0" encoding="utf-8"?>
<ds:datastoreItem xmlns:ds="http://schemas.openxmlformats.org/officeDocument/2006/customXml" ds:itemID="{00C222D3-FF02-4C86-967F-B91E20BEEE27}">
  <ds:schemaRefs/>
</ds:datastoreItem>
</file>

<file path=customXml/itemProps5.xml><?xml version="1.0" encoding="utf-8"?>
<ds:datastoreItem xmlns:ds="http://schemas.openxmlformats.org/officeDocument/2006/customXml" ds:itemID="{DADF7BC3-3E52-4E9C-9198-DA8C141A78EC}">
  <ds:schemaRefs/>
</ds:datastoreItem>
</file>

<file path=customXml/itemProps6.xml><?xml version="1.0" encoding="utf-8"?>
<ds:datastoreItem xmlns:ds="http://schemas.openxmlformats.org/officeDocument/2006/customXml" ds:itemID="{846DF779-48B3-4047-9A92-621B12C2E27A}">
  <ds:schemaRefs/>
</ds:datastoreItem>
</file>

<file path=customXml/itemProps7.xml><?xml version="1.0" encoding="utf-8"?>
<ds:datastoreItem xmlns:ds="http://schemas.openxmlformats.org/officeDocument/2006/customXml" ds:itemID="{357227AC-84F3-4AC7-8D84-B3EAE2E4D737}">
  <ds:schemaRefs/>
</ds:datastoreItem>
</file>

<file path=customXml/itemProps8.xml><?xml version="1.0" encoding="utf-8"?>
<ds:datastoreItem xmlns:ds="http://schemas.openxmlformats.org/officeDocument/2006/customXml" ds:itemID="{B2A6D176-97CF-49A7-93E9-AF0953A31B5C}">
  <ds:schemaRefs/>
</ds:datastoreItem>
</file>

<file path=customXml/itemProps9.xml><?xml version="1.0" encoding="utf-8"?>
<ds:datastoreItem xmlns:ds="http://schemas.openxmlformats.org/officeDocument/2006/customXml" ds:itemID="{AAFB3B05-FD1C-4700-BA4F-94C67E127A4E}">
  <ds:schemaRefs/>
</ds:datastoreItem>
</file>

<file path=docProps/app.xml><?xml version="1.0" encoding="utf-8"?>
<Properties xmlns="http://schemas.openxmlformats.org/officeDocument/2006/extended-properties" xmlns:vt="http://schemas.openxmlformats.org/officeDocument/2006/docPropsVTypes">
  <Template>Normal</Template>
  <Pages>66</Pages>
  <Words>4994</Words>
  <Characters>28466</Characters>
  <Lines>237</Lines>
  <Paragraphs>66</Paragraphs>
  <TotalTime>16</TotalTime>
  <ScaleCrop>false</ScaleCrop>
  <LinksUpToDate>false</LinksUpToDate>
  <CharactersWithSpaces>33394</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2022-02-22T04:09:00Z</dcterms:created>
  <dc:creator>acer</dc:creator>
  <cp:lastModifiedBy>Cheng</cp:lastModifiedBy>
  <cp:lastPrinted>2022-02-22T02:31:00Z</cp:lastPrinted>
  <dcterms:modified xsi:type="dcterms:W3CDTF">2024-02-23T02:45:08Z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FA697BCE23184462965DFB3FEB83B78D_13</vt:lpwstr>
  </property>
</Properties>
</file>