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800"/>
        </w:tabs>
        <w:rPr>
          <w:rFonts w:hint="eastAsia" w:ascii="方正小标宋_GBK" w:hAnsi="方正小标宋_GBK" w:eastAsia="方正小标宋_GBK" w:cs="方正小标宋_GBK"/>
          <w:sz w:val="28"/>
          <w:szCs w:val="28"/>
        </w:rPr>
      </w:pPr>
      <w:r>
        <w:fldChar w:fldCharType="begin"/>
      </w:r>
      <w:r>
        <w:instrText xml:space="preserve">TOC \o "2-2" \h \z \u</w:instrText>
      </w:r>
      <w:r>
        <w:fldChar w:fldCharType="separate"/>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_Toc29031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部门预算收支总表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_Toc29031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3</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_Toc14391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部门预算收入总表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_Toc14391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6</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_Toc1520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部门预算支出总表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_Toc1520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8</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_Toc3387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部门预算财政拨款收支总表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_Toc3387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9</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_Toc24874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部门预算一般公共预算财政拨款支出表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_Toc24874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15</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_Toc13913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部门预算一般公共预算财政拨款基本支出表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_Toc13913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16</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_Toc22660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部门预算政府基金预算财政拨款支出表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_Toc22660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18</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_Toc3790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部门预算国有资本经营预算财政拨款支出表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_Toc3790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19</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pPr>
        <w:pStyle w:val="5"/>
        <w:tabs>
          <w:tab w:val="right" w:leader="dot" w:pos="14800"/>
        </w:tabs>
      </w:pP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HYPERLINK \l _Toc20420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部门预算财政拨款“三公”经费支出表</w:t>
      </w:r>
      <w:r>
        <w:rPr>
          <w:rFonts w:hint="eastAsia" w:ascii="方正小标宋_GBK" w:hAnsi="方正小标宋_GBK" w:eastAsia="方正小标宋_GBK" w:cs="方正小标宋_GBK"/>
          <w:sz w:val="28"/>
          <w:szCs w:val="28"/>
        </w:rPr>
        <w:tab/>
      </w:r>
      <w:r>
        <w:rPr>
          <w:rFonts w:hint="eastAsia" w:ascii="方正小标宋_GBK" w:hAnsi="方正小标宋_GBK" w:eastAsia="方正小标宋_GBK" w:cs="方正小标宋_GBK"/>
          <w:sz w:val="28"/>
          <w:szCs w:val="28"/>
        </w:rPr>
        <w:fldChar w:fldCharType="begin"/>
      </w:r>
      <w:r>
        <w:rPr>
          <w:rFonts w:hint="eastAsia" w:ascii="方正小标宋_GBK" w:hAnsi="方正小标宋_GBK" w:eastAsia="方正小标宋_GBK" w:cs="方正小标宋_GBK"/>
          <w:sz w:val="28"/>
          <w:szCs w:val="28"/>
        </w:rPr>
        <w:instrText xml:space="preserve"> PAGEREF _Toc20420 \h </w:instrText>
      </w:r>
      <w:r>
        <w:rPr>
          <w:rFonts w:hint="eastAsia"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rPr>
        <w:t>20</w:t>
      </w:r>
      <w:r>
        <w:rPr>
          <w:rFonts w:hint="eastAsia" w:ascii="方正小标宋_GBK" w:hAnsi="方正小标宋_GBK" w:eastAsia="方正小标宋_GBK" w:cs="方正小标宋_GBK"/>
          <w:sz w:val="28"/>
          <w:szCs w:val="28"/>
        </w:rPr>
        <w:fldChar w:fldCharType="end"/>
      </w:r>
      <w:r>
        <w:rPr>
          <w:rFonts w:hint="eastAsia" w:ascii="方正小标宋_GBK" w:hAnsi="方正小标宋_GBK" w:eastAsia="方正小标宋_GBK" w:cs="方正小标宋_GBK"/>
          <w:sz w:val="28"/>
          <w:szCs w:val="28"/>
        </w:rP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rPr>
          <w:sz w:val="28"/>
          <w:szCs w:val="28"/>
        </w:rPr>
      </w:pPr>
      <w:r>
        <w:fldChar w:fldCharType="begin"/>
      </w:r>
      <w:r>
        <w:instrText xml:space="preserve">TOC \o "3-3" \h \z \u</w:instrText>
      </w:r>
      <w:r>
        <w:fldChar w:fldCharType="separate"/>
      </w:r>
      <w:r>
        <w:rPr>
          <w:sz w:val="28"/>
          <w:szCs w:val="28"/>
        </w:rPr>
        <w:fldChar w:fldCharType="begin"/>
      </w:r>
      <w:r>
        <w:rPr>
          <w:sz w:val="28"/>
          <w:szCs w:val="28"/>
        </w:rPr>
        <w:instrText xml:space="preserve"> HYPERLINK \l _Toc32358 </w:instrText>
      </w:r>
      <w:r>
        <w:rPr>
          <w:sz w:val="28"/>
          <w:szCs w:val="28"/>
        </w:rPr>
        <w:fldChar w:fldCharType="separate"/>
      </w:r>
      <w:r>
        <w:rPr>
          <w:rFonts w:ascii="黑体" w:hAnsi="黑体" w:eastAsia="黑体" w:cs="黑体"/>
          <w:sz w:val="28"/>
          <w:szCs w:val="28"/>
        </w:rPr>
        <w:t>一、部门职责及机构设置情况</w:t>
      </w:r>
      <w:r>
        <w:rPr>
          <w:sz w:val="28"/>
          <w:szCs w:val="28"/>
        </w:rPr>
        <w:tab/>
      </w:r>
      <w:r>
        <w:rPr>
          <w:sz w:val="28"/>
          <w:szCs w:val="28"/>
        </w:rPr>
        <w:fldChar w:fldCharType="begin"/>
      </w:r>
      <w:r>
        <w:rPr>
          <w:sz w:val="28"/>
          <w:szCs w:val="28"/>
        </w:rPr>
        <w:instrText xml:space="preserve"> PAGEREF _Toc32358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_Toc8593 </w:instrText>
      </w:r>
      <w:r>
        <w:rPr>
          <w:sz w:val="28"/>
          <w:szCs w:val="28"/>
        </w:rPr>
        <w:fldChar w:fldCharType="separate"/>
      </w:r>
      <w:r>
        <w:rPr>
          <w:rFonts w:ascii="黑体" w:hAnsi="黑体" w:eastAsia="黑体" w:cs="黑体"/>
          <w:sz w:val="28"/>
          <w:szCs w:val="28"/>
        </w:rPr>
        <w:t>二、部门预算安排的总体情况</w:t>
      </w:r>
      <w:r>
        <w:rPr>
          <w:sz w:val="28"/>
          <w:szCs w:val="28"/>
        </w:rPr>
        <w:tab/>
      </w:r>
      <w:r>
        <w:rPr>
          <w:sz w:val="28"/>
          <w:szCs w:val="28"/>
        </w:rPr>
        <w:fldChar w:fldCharType="begin"/>
      </w:r>
      <w:r>
        <w:rPr>
          <w:sz w:val="28"/>
          <w:szCs w:val="28"/>
        </w:rPr>
        <w:instrText xml:space="preserve"> PAGEREF _Toc8593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_Toc9531 </w:instrText>
      </w:r>
      <w:r>
        <w:rPr>
          <w:sz w:val="28"/>
          <w:szCs w:val="28"/>
        </w:rPr>
        <w:fldChar w:fldCharType="separate"/>
      </w:r>
      <w:r>
        <w:rPr>
          <w:rFonts w:hint="eastAsia" w:ascii="黑体" w:hAnsi="黑体" w:eastAsia="黑体" w:cs="黑体"/>
          <w:sz w:val="28"/>
          <w:szCs w:val="28"/>
        </w:rPr>
        <w:t xml:space="preserve">三、 </w:t>
      </w:r>
      <w:r>
        <w:rPr>
          <w:rFonts w:ascii="黑体" w:hAnsi="黑体" w:eastAsia="黑体" w:cs="黑体"/>
          <w:sz w:val="28"/>
          <w:szCs w:val="28"/>
        </w:rPr>
        <w:t>机关运行经费安排情况</w:t>
      </w:r>
      <w:r>
        <w:rPr>
          <w:sz w:val="28"/>
          <w:szCs w:val="28"/>
        </w:rPr>
        <w:tab/>
      </w:r>
      <w:r>
        <w:rPr>
          <w:sz w:val="28"/>
          <w:szCs w:val="28"/>
        </w:rPr>
        <w:fldChar w:fldCharType="begin"/>
      </w:r>
      <w:r>
        <w:rPr>
          <w:sz w:val="28"/>
          <w:szCs w:val="28"/>
        </w:rPr>
        <w:instrText xml:space="preserve"> PAGEREF _Toc9531 \h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_Toc30764 </w:instrText>
      </w:r>
      <w:r>
        <w:rPr>
          <w:sz w:val="28"/>
          <w:szCs w:val="28"/>
        </w:rPr>
        <w:fldChar w:fldCharType="separate"/>
      </w:r>
      <w:r>
        <w:rPr>
          <w:rFonts w:hint="eastAsia" w:ascii="黑体" w:hAnsi="黑体" w:eastAsia="黑体" w:cs="黑体"/>
          <w:sz w:val="28"/>
          <w:szCs w:val="28"/>
        </w:rPr>
        <w:t xml:space="preserve">四、 </w:t>
      </w:r>
      <w:r>
        <w:rPr>
          <w:rFonts w:ascii="黑体" w:hAnsi="黑体" w:eastAsia="黑体" w:cs="黑体"/>
          <w:sz w:val="28"/>
          <w:szCs w:val="28"/>
        </w:rPr>
        <w:t>财政拨款“三公”经费预算情况及增减变化原因</w:t>
      </w:r>
      <w:r>
        <w:rPr>
          <w:sz w:val="28"/>
          <w:szCs w:val="28"/>
        </w:rPr>
        <w:tab/>
      </w:r>
      <w:r>
        <w:rPr>
          <w:sz w:val="28"/>
          <w:szCs w:val="28"/>
        </w:rPr>
        <w:fldChar w:fldCharType="begin"/>
      </w:r>
      <w:r>
        <w:rPr>
          <w:sz w:val="28"/>
          <w:szCs w:val="28"/>
        </w:rPr>
        <w:instrText xml:space="preserve"> PAGEREF _Toc30764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_Toc11618 </w:instrText>
      </w:r>
      <w:r>
        <w:rPr>
          <w:sz w:val="28"/>
          <w:szCs w:val="28"/>
        </w:rPr>
        <w:fldChar w:fldCharType="separate"/>
      </w:r>
      <w:r>
        <w:rPr>
          <w:rFonts w:ascii="黑体" w:hAnsi="黑体" w:eastAsia="黑体" w:cs="黑体"/>
          <w:sz w:val="28"/>
          <w:szCs w:val="28"/>
        </w:rPr>
        <w:t>五、预算绩效信息</w:t>
      </w:r>
      <w:r>
        <w:rPr>
          <w:sz w:val="28"/>
          <w:szCs w:val="28"/>
        </w:rPr>
        <w:tab/>
      </w:r>
      <w:r>
        <w:rPr>
          <w:sz w:val="28"/>
          <w:szCs w:val="28"/>
        </w:rPr>
        <w:fldChar w:fldCharType="begin"/>
      </w:r>
      <w:r>
        <w:rPr>
          <w:sz w:val="28"/>
          <w:szCs w:val="28"/>
        </w:rPr>
        <w:instrText xml:space="preserve"> PAGEREF _Toc11618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_Toc1060 </w:instrText>
      </w:r>
      <w:r>
        <w:rPr>
          <w:sz w:val="28"/>
          <w:szCs w:val="28"/>
        </w:rPr>
        <w:fldChar w:fldCharType="separate"/>
      </w:r>
      <w:r>
        <w:rPr>
          <w:rFonts w:ascii="黑体" w:hAnsi="黑体" w:eastAsia="黑体" w:cs="黑体"/>
          <w:sz w:val="28"/>
          <w:szCs w:val="28"/>
        </w:rPr>
        <w:t>六、政府采购预算情况</w:t>
      </w:r>
      <w:r>
        <w:rPr>
          <w:sz w:val="28"/>
          <w:szCs w:val="28"/>
        </w:rPr>
        <w:tab/>
      </w:r>
      <w:r>
        <w:rPr>
          <w:sz w:val="28"/>
          <w:szCs w:val="28"/>
        </w:rPr>
        <w:fldChar w:fldCharType="begin"/>
      </w:r>
      <w:r>
        <w:rPr>
          <w:sz w:val="28"/>
          <w:szCs w:val="28"/>
        </w:rPr>
        <w:instrText xml:space="preserve"> PAGEREF _Toc1060 \h </w:instrText>
      </w:r>
      <w:r>
        <w:rPr>
          <w:sz w:val="28"/>
          <w:szCs w:val="28"/>
        </w:rPr>
        <w:fldChar w:fldCharType="separate"/>
      </w:r>
      <w:r>
        <w:rPr>
          <w:sz w:val="28"/>
          <w:szCs w:val="28"/>
        </w:rPr>
        <w:t>32</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_Toc6812 </w:instrText>
      </w:r>
      <w:r>
        <w:rPr>
          <w:sz w:val="28"/>
          <w:szCs w:val="28"/>
        </w:rPr>
        <w:fldChar w:fldCharType="separate"/>
      </w:r>
      <w:r>
        <w:rPr>
          <w:rFonts w:ascii="黑体" w:hAnsi="黑体" w:eastAsia="黑体" w:cs="黑体"/>
          <w:sz w:val="28"/>
          <w:szCs w:val="28"/>
        </w:rPr>
        <w:t>七、国有资产信息</w:t>
      </w:r>
      <w:r>
        <w:rPr>
          <w:sz w:val="28"/>
          <w:szCs w:val="28"/>
        </w:rPr>
        <w:tab/>
      </w:r>
      <w:r>
        <w:rPr>
          <w:sz w:val="28"/>
          <w:szCs w:val="28"/>
        </w:rPr>
        <w:fldChar w:fldCharType="begin"/>
      </w:r>
      <w:r>
        <w:rPr>
          <w:sz w:val="28"/>
          <w:szCs w:val="28"/>
        </w:rPr>
        <w:instrText xml:space="preserve"> PAGEREF _Toc6812 \h </w:instrText>
      </w:r>
      <w:r>
        <w:rPr>
          <w:sz w:val="28"/>
          <w:szCs w:val="28"/>
        </w:rPr>
        <w:fldChar w:fldCharType="separate"/>
      </w:r>
      <w:r>
        <w:rPr>
          <w:sz w:val="28"/>
          <w:szCs w:val="28"/>
        </w:rPr>
        <w:t>33</w:t>
      </w:r>
      <w:r>
        <w:rPr>
          <w:sz w:val="28"/>
          <w:szCs w:val="28"/>
        </w:rPr>
        <w:fldChar w:fldCharType="end"/>
      </w:r>
      <w:r>
        <w:rPr>
          <w:sz w:val="28"/>
          <w:szCs w:val="28"/>
        </w:rPr>
        <w:fldChar w:fldCharType="end"/>
      </w:r>
    </w:p>
    <w:p>
      <w:pPr>
        <w:pStyle w:val="2"/>
        <w:tabs>
          <w:tab w:val="right" w:leader="dot" w:pos="14800"/>
        </w:tabs>
        <w:rPr>
          <w:sz w:val="28"/>
          <w:szCs w:val="28"/>
        </w:rPr>
      </w:pPr>
      <w:r>
        <w:rPr>
          <w:sz w:val="28"/>
          <w:szCs w:val="28"/>
        </w:rPr>
        <w:fldChar w:fldCharType="begin"/>
      </w:r>
      <w:r>
        <w:rPr>
          <w:sz w:val="28"/>
          <w:szCs w:val="28"/>
        </w:rPr>
        <w:instrText xml:space="preserve"> HYPERLINK \l _Toc15786 </w:instrText>
      </w:r>
      <w:r>
        <w:rPr>
          <w:sz w:val="28"/>
          <w:szCs w:val="28"/>
        </w:rPr>
        <w:fldChar w:fldCharType="separate"/>
      </w:r>
      <w:r>
        <w:rPr>
          <w:rFonts w:ascii="黑体" w:hAnsi="黑体" w:eastAsia="黑体" w:cs="黑体"/>
          <w:sz w:val="28"/>
          <w:szCs w:val="28"/>
        </w:rPr>
        <w:t>八、名词解释</w:t>
      </w:r>
      <w:r>
        <w:rPr>
          <w:sz w:val="28"/>
          <w:szCs w:val="28"/>
        </w:rPr>
        <w:tab/>
      </w:r>
      <w:r>
        <w:rPr>
          <w:sz w:val="28"/>
          <w:szCs w:val="28"/>
        </w:rPr>
        <w:fldChar w:fldCharType="begin"/>
      </w:r>
      <w:r>
        <w:rPr>
          <w:sz w:val="28"/>
          <w:szCs w:val="28"/>
        </w:rPr>
        <w:instrText xml:space="preserve"> PAGEREF _Toc15786 \h </w:instrText>
      </w:r>
      <w:r>
        <w:rPr>
          <w:sz w:val="28"/>
          <w:szCs w:val="28"/>
        </w:rPr>
        <w:fldChar w:fldCharType="separate"/>
      </w:r>
      <w:r>
        <w:rPr>
          <w:sz w:val="28"/>
          <w:szCs w:val="28"/>
        </w:rPr>
        <w:t>34</w:t>
      </w:r>
      <w:r>
        <w:rPr>
          <w:sz w:val="28"/>
          <w:szCs w:val="28"/>
        </w:rPr>
        <w:fldChar w:fldCharType="end"/>
      </w:r>
      <w:r>
        <w:rPr>
          <w:sz w:val="28"/>
          <w:szCs w:val="28"/>
        </w:rPr>
        <w:fldChar w:fldCharType="end"/>
      </w:r>
    </w:p>
    <w:p>
      <w:pPr>
        <w:pStyle w:val="2"/>
        <w:tabs>
          <w:tab w:val="right" w:leader="dot" w:pos="14800"/>
        </w:tabs>
      </w:pPr>
      <w:r>
        <w:rPr>
          <w:sz w:val="28"/>
          <w:szCs w:val="28"/>
        </w:rPr>
        <w:fldChar w:fldCharType="begin"/>
      </w:r>
      <w:r>
        <w:rPr>
          <w:sz w:val="28"/>
          <w:szCs w:val="28"/>
        </w:rPr>
        <w:instrText xml:space="preserve"> HYPERLINK \l _Toc15631 </w:instrText>
      </w:r>
      <w:r>
        <w:rPr>
          <w:sz w:val="28"/>
          <w:szCs w:val="28"/>
        </w:rPr>
        <w:fldChar w:fldCharType="separate"/>
      </w:r>
      <w:r>
        <w:rPr>
          <w:rFonts w:ascii="黑体" w:hAnsi="黑体" w:eastAsia="黑体" w:cs="黑体"/>
          <w:sz w:val="28"/>
          <w:szCs w:val="28"/>
        </w:rPr>
        <w:t>九、其他需要说明的事项</w:t>
      </w:r>
      <w:r>
        <w:rPr>
          <w:sz w:val="28"/>
          <w:szCs w:val="28"/>
        </w:rPr>
        <w:tab/>
      </w:r>
      <w:r>
        <w:rPr>
          <w:sz w:val="28"/>
          <w:szCs w:val="28"/>
        </w:rPr>
        <w:fldChar w:fldCharType="begin"/>
      </w:r>
      <w:r>
        <w:rPr>
          <w:sz w:val="28"/>
          <w:szCs w:val="28"/>
        </w:rPr>
        <w:instrText xml:space="preserve"> PAGEREF _Toc15631 \h </w:instrText>
      </w:r>
      <w:r>
        <w:rPr>
          <w:sz w:val="28"/>
          <w:szCs w:val="28"/>
        </w:rPr>
        <w:fldChar w:fldCharType="separate"/>
      </w:r>
      <w:r>
        <w:rPr>
          <w:sz w:val="28"/>
          <w:szCs w:val="28"/>
        </w:rPr>
        <w:t>35</w:t>
      </w:r>
      <w:r>
        <w:rPr>
          <w:sz w:val="28"/>
          <w:szCs w:val="28"/>
        </w:rPr>
        <w:fldChar w:fldCharType="end"/>
      </w:r>
      <w:r>
        <w:rPr>
          <w:sz w:val="28"/>
          <w:szCs w:val="28"/>
        </w:rP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2903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242.09</w:t>
            </w:r>
          </w:p>
        </w:tc>
        <w:tc>
          <w:tcPr>
            <w:tcW w:w="4535" w:type="dxa"/>
            <w:vAlign w:val="center"/>
          </w:tcPr>
          <w:p>
            <w:pPr>
              <w:pStyle w:val="14"/>
            </w:pPr>
            <w:r>
              <w:t>一、一般公共服务支出</w:t>
            </w:r>
          </w:p>
        </w:tc>
        <w:tc>
          <w:tcPr>
            <w:tcW w:w="2126" w:type="dxa"/>
            <w:vAlign w:val="center"/>
          </w:tcPr>
          <w:p>
            <w:pPr>
              <w:pStyle w:val="13"/>
            </w:pPr>
            <w:r>
              <w:t>242.09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242.09</w:t>
            </w:r>
          </w:p>
        </w:tc>
        <w:tc>
          <w:tcPr>
            <w:tcW w:w="4535" w:type="dxa"/>
            <w:vAlign w:val="center"/>
          </w:tcPr>
          <w:p>
            <w:pPr>
              <w:pStyle w:val="16"/>
            </w:pPr>
            <w:r>
              <w:t>本年支出合计</w:t>
            </w:r>
          </w:p>
        </w:tc>
        <w:tc>
          <w:tcPr>
            <w:tcW w:w="2126" w:type="dxa"/>
            <w:vAlign w:val="center"/>
          </w:tcPr>
          <w:p>
            <w:pPr>
              <w:pStyle w:val="17"/>
            </w:pPr>
            <w:r>
              <w:t>242.09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242.09</w:t>
            </w:r>
          </w:p>
        </w:tc>
        <w:tc>
          <w:tcPr>
            <w:tcW w:w="4535" w:type="dxa"/>
            <w:vAlign w:val="center"/>
          </w:tcPr>
          <w:p>
            <w:pPr>
              <w:pStyle w:val="16"/>
            </w:pPr>
            <w:r>
              <w:t>支出总计</w:t>
            </w:r>
          </w:p>
        </w:tc>
        <w:tc>
          <w:tcPr>
            <w:tcW w:w="2126" w:type="dxa"/>
            <w:vAlign w:val="center"/>
          </w:tcPr>
          <w:p>
            <w:pPr>
              <w:pStyle w:val="17"/>
            </w:pPr>
            <w:r>
              <w:t>242.09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4391"/>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242.09</w:t>
            </w:r>
          </w:p>
        </w:tc>
        <w:tc>
          <w:tcPr>
            <w:tcW w:w="1134" w:type="dxa"/>
            <w:vAlign w:val="center"/>
          </w:tcPr>
          <w:p>
            <w:pPr>
              <w:pStyle w:val="17"/>
            </w:pPr>
            <w:r>
              <w:t>242.09</w:t>
            </w:r>
          </w:p>
        </w:tc>
        <w:tc>
          <w:tcPr>
            <w:tcW w:w="1134" w:type="dxa"/>
            <w:vAlign w:val="center"/>
          </w:tcPr>
          <w:p>
            <w:pPr>
              <w:pStyle w:val="17"/>
            </w:pPr>
            <w:r>
              <w:t>242.09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242.09</w:t>
            </w:r>
          </w:p>
        </w:tc>
        <w:tc>
          <w:tcPr>
            <w:tcW w:w="1134" w:type="dxa"/>
            <w:vAlign w:val="center"/>
          </w:tcPr>
          <w:p>
            <w:pPr>
              <w:pStyle w:val="13"/>
            </w:pPr>
            <w:r>
              <w:t>242.09</w:t>
            </w:r>
          </w:p>
        </w:tc>
        <w:tc>
          <w:tcPr>
            <w:tcW w:w="1134" w:type="dxa"/>
            <w:vAlign w:val="center"/>
          </w:tcPr>
          <w:p>
            <w:pPr>
              <w:pStyle w:val="13"/>
            </w:pPr>
            <w:r>
              <w:t>242.09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20137</w:t>
            </w:r>
          </w:p>
        </w:tc>
        <w:tc>
          <w:tcPr>
            <w:tcW w:w="1559" w:type="dxa"/>
            <w:vAlign w:val="center"/>
          </w:tcPr>
          <w:p>
            <w:pPr>
              <w:pStyle w:val="14"/>
            </w:pPr>
            <w:r>
              <w:t>网信事务</w:t>
            </w:r>
          </w:p>
        </w:tc>
        <w:tc>
          <w:tcPr>
            <w:tcW w:w="1134" w:type="dxa"/>
            <w:vAlign w:val="center"/>
          </w:tcPr>
          <w:p>
            <w:pPr>
              <w:pStyle w:val="13"/>
            </w:pPr>
            <w:r>
              <w:t>242.09</w:t>
            </w:r>
          </w:p>
        </w:tc>
        <w:tc>
          <w:tcPr>
            <w:tcW w:w="1134" w:type="dxa"/>
            <w:vAlign w:val="center"/>
          </w:tcPr>
          <w:p>
            <w:pPr>
              <w:pStyle w:val="13"/>
            </w:pPr>
            <w:r>
              <w:t>242.09</w:t>
            </w:r>
          </w:p>
        </w:tc>
        <w:tc>
          <w:tcPr>
            <w:tcW w:w="1134" w:type="dxa"/>
            <w:vAlign w:val="center"/>
          </w:tcPr>
          <w:p>
            <w:pPr>
              <w:pStyle w:val="13"/>
            </w:pPr>
            <w:r>
              <w:t>242.09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2013701</w:t>
            </w:r>
          </w:p>
        </w:tc>
        <w:tc>
          <w:tcPr>
            <w:tcW w:w="1559" w:type="dxa"/>
            <w:vAlign w:val="center"/>
          </w:tcPr>
          <w:p>
            <w:pPr>
              <w:pStyle w:val="14"/>
            </w:pPr>
            <w:r>
              <w:t>行政运行</w:t>
            </w:r>
          </w:p>
        </w:tc>
        <w:tc>
          <w:tcPr>
            <w:tcW w:w="1134" w:type="dxa"/>
            <w:vAlign w:val="center"/>
          </w:tcPr>
          <w:p>
            <w:pPr>
              <w:pStyle w:val="13"/>
            </w:pPr>
            <w:r>
              <w:t>148.27</w:t>
            </w:r>
          </w:p>
        </w:tc>
        <w:tc>
          <w:tcPr>
            <w:tcW w:w="1134" w:type="dxa"/>
            <w:vAlign w:val="center"/>
          </w:tcPr>
          <w:p>
            <w:pPr>
              <w:pStyle w:val="13"/>
            </w:pPr>
            <w:r>
              <w:t>148.27</w:t>
            </w:r>
          </w:p>
        </w:tc>
        <w:tc>
          <w:tcPr>
            <w:tcW w:w="1134" w:type="dxa"/>
            <w:vAlign w:val="center"/>
          </w:tcPr>
          <w:p>
            <w:pPr>
              <w:pStyle w:val="13"/>
            </w:pPr>
            <w:r>
              <w:t>148.27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2013702</w:t>
            </w:r>
          </w:p>
        </w:tc>
        <w:tc>
          <w:tcPr>
            <w:tcW w:w="1559" w:type="dxa"/>
            <w:vAlign w:val="center"/>
          </w:tcPr>
          <w:p>
            <w:pPr>
              <w:pStyle w:val="14"/>
            </w:pPr>
            <w:r>
              <w:t>一般行政管理事务</w:t>
            </w:r>
          </w:p>
        </w:tc>
        <w:tc>
          <w:tcPr>
            <w:tcW w:w="1134" w:type="dxa"/>
            <w:vAlign w:val="center"/>
          </w:tcPr>
          <w:p>
            <w:pPr>
              <w:pStyle w:val="13"/>
            </w:pPr>
            <w:r>
              <w:t>9.85</w:t>
            </w:r>
          </w:p>
        </w:tc>
        <w:tc>
          <w:tcPr>
            <w:tcW w:w="1134" w:type="dxa"/>
            <w:vAlign w:val="center"/>
          </w:tcPr>
          <w:p>
            <w:pPr>
              <w:pStyle w:val="13"/>
            </w:pPr>
            <w:r>
              <w:t>9.85</w:t>
            </w:r>
          </w:p>
        </w:tc>
        <w:tc>
          <w:tcPr>
            <w:tcW w:w="1134" w:type="dxa"/>
            <w:vAlign w:val="center"/>
          </w:tcPr>
          <w:p>
            <w:pPr>
              <w:pStyle w:val="13"/>
            </w:pPr>
            <w:r>
              <w:t>9.85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2013704</w:t>
            </w:r>
          </w:p>
        </w:tc>
        <w:tc>
          <w:tcPr>
            <w:tcW w:w="1559" w:type="dxa"/>
            <w:vAlign w:val="center"/>
          </w:tcPr>
          <w:p>
            <w:pPr>
              <w:pStyle w:val="14"/>
            </w:pPr>
            <w:r>
              <w:t>信息安全事务</w:t>
            </w:r>
          </w:p>
        </w:tc>
        <w:tc>
          <w:tcPr>
            <w:tcW w:w="1134" w:type="dxa"/>
            <w:vAlign w:val="center"/>
          </w:tcPr>
          <w:p>
            <w:pPr>
              <w:pStyle w:val="13"/>
            </w:pPr>
            <w:r>
              <w:t>83.96</w:t>
            </w:r>
          </w:p>
        </w:tc>
        <w:tc>
          <w:tcPr>
            <w:tcW w:w="1134" w:type="dxa"/>
            <w:vAlign w:val="center"/>
          </w:tcPr>
          <w:p>
            <w:pPr>
              <w:pStyle w:val="13"/>
            </w:pPr>
            <w:r>
              <w:t>83.96</w:t>
            </w:r>
          </w:p>
        </w:tc>
        <w:tc>
          <w:tcPr>
            <w:tcW w:w="1134" w:type="dxa"/>
            <w:vAlign w:val="center"/>
          </w:tcPr>
          <w:p>
            <w:pPr>
              <w:pStyle w:val="13"/>
            </w:pPr>
            <w:r>
              <w:t>83.96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520"/>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242.09</w:t>
            </w:r>
          </w:p>
        </w:tc>
        <w:tc>
          <w:tcPr>
            <w:tcW w:w="1361" w:type="dxa"/>
            <w:vAlign w:val="center"/>
          </w:tcPr>
          <w:p>
            <w:pPr>
              <w:pStyle w:val="17"/>
            </w:pPr>
            <w:r>
              <w:t>148.27</w:t>
            </w:r>
          </w:p>
        </w:tc>
        <w:tc>
          <w:tcPr>
            <w:tcW w:w="1361" w:type="dxa"/>
            <w:vAlign w:val="center"/>
          </w:tcPr>
          <w:p>
            <w:pPr>
              <w:pStyle w:val="17"/>
            </w:pPr>
            <w:r>
              <w:t>93.82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242.09</w:t>
            </w:r>
          </w:p>
        </w:tc>
        <w:tc>
          <w:tcPr>
            <w:tcW w:w="1361" w:type="dxa"/>
            <w:vAlign w:val="center"/>
          </w:tcPr>
          <w:p>
            <w:pPr>
              <w:pStyle w:val="13"/>
            </w:pPr>
            <w:r>
              <w:t>148.27</w:t>
            </w:r>
          </w:p>
        </w:tc>
        <w:tc>
          <w:tcPr>
            <w:tcW w:w="1361" w:type="dxa"/>
            <w:vAlign w:val="center"/>
          </w:tcPr>
          <w:p>
            <w:pPr>
              <w:pStyle w:val="13"/>
            </w:pPr>
            <w:r>
              <w:t>93.82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20137</w:t>
            </w:r>
          </w:p>
        </w:tc>
        <w:tc>
          <w:tcPr>
            <w:tcW w:w="4535" w:type="dxa"/>
            <w:vAlign w:val="center"/>
          </w:tcPr>
          <w:p>
            <w:pPr>
              <w:pStyle w:val="14"/>
            </w:pPr>
            <w:r>
              <w:t>网信事务</w:t>
            </w:r>
          </w:p>
        </w:tc>
        <w:tc>
          <w:tcPr>
            <w:tcW w:w="1361" w:type="dxa"/>
            <w:vAlign w:val="center"/>
          </w:tcPr>
          <w:p>
            <w:pPr>
              <w:pStyle w:val="13"/>
            </w:pPr>
            <w:r>
              <w:t>242.09</w:t>
            </w:r>
          </w:p>
        </w:tc>
        <w:tc>
          <w:tcPr>
            <w:tcW w:w="1361" w:type="dxa"/>
            <w:vAlign w:val="center"/>
          </w:tcPr>
          <w:p>
            <w:pPr>
              <w:pStyle w:val="13"/>
            </w:pPr>
            <w:r>
              <w:t>148.27</w:t>
            </w:r>
          </w:p>
        </w:tc>
        <w:tc>
          <w:tcPr>
            <w:tcW w:w="1361" w:type="dxa"/>
            <w:vAlign w:val="center"/>
          </w:tcPr>
          <w:p>
            <w:pPr>
              <w:pStyle w:val="13"/>
            </w:pPr>
            <w:r>
              <w:t>93.82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2013701</w:t>
            </w:r>
          </w:p>
        </w:tc>
        <w:tc>
          <w:tcPr>
            <w:tcW w:w="4535" w:type="dxa"/>
            <w:vAlign w:val="center"/>
          </w:tcPr>
          <w:p>
            <w:pPr>
              <w:pStyle w:val="14"/>
            </w:pPr>
            <w:r>
              <w:t>行政运行</w:t>
            </w:r>
          </w:p>
        </w:tc>
        <w:tc>
          <w:tcPr>
            <w:tcW w:w="1361" w:type="dxa"/>
            <w:vAlign w:val="center"/>
          </w:tcPr>
          <w:p>
            <w:pPr>
              <w:pStyle w:val="13"/>
            </w:pPr>
            <w:r>
              <w:t>148.27</w:t>
            </w:r>
          </w:p>
        </w:tc>
        <w:tc>
          <w:tcPr>
            <w:tcW w:w="1361" w:type="dxa"/>
            <w:vAlign w:val="center"/>
          </w:tcPr>
          <w:p>
            <w:pPr>
              <w:pStyle w:val="13"/>
            </w:pPr>
            <w:r>
              <w:t>148.27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2013702</w:t>
            </w:r>
          </w:p>
        </w:tc>
        <w:tc>
          <w:tcPr>
            <w:tcW w:w="4535" w:type="dxa"/>
            <w:vAlign w:val="center"/>
          </w:tcPr>
          <w:p>
            <w:pPr>
              <w:pStyle w:val="14"/>
            </w:pPr>
            <w:r>
              <w:t>一般行政管理事务</w:t>
            </w:r>
          </w:p>
        </w:tc>
        <w:tc>
          <w:tcPr>
            <w:tcW w:w="1361" w:type="dxa"/>
            <w:vAlign w:val="center"/>
          </w:tcPr>
          <w:p>
            <w:pPr>
              <w:pStyle w:val="13"/>
            </w:pPr>
            <w:r>
              <w:t>9.85</w:t>
            </w:r>
          </w:p>
        </w:tc>
        <w:tc>
          <w:tcPr>
            <w:tcW w:w="1361" w:type="dxa"/>
            <w:vAlign w:val="center"/>
          </w:tcPr>
          <w:p>
            <w:pPr>
              <w:pStyle w:val="13"/>
            </w:pPr>
          </w:p>
        </w:tc>
        <w:tc>
          <w:tcPr>
            <w:tcW w:w="1361" w:type="dxa"/>
            <w:vAlign w:val="center"/>
          </w:tcPr>
          <w:p>
            <w:pPr>
              <w:pStyle w:val="13"/>
            </w:pPr>
            <w:r>
              <w:t>9.85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2013704</w:t>
            </w:r>
          </w:p>
        </w:tc>
        <w:tc>
          <w:tcPr>
            <w:tcW w:w="4535" w:type="dxa"/>
            <w:vAlign w:val="center"/>
          </w:tcPr>
          <w:p>
            <w:pPr>
              <w:pStyle w:val="14"/>
            </w:pPr>
            <w:r>
              <w:t>信息安全事务</w:t>
            </w:r>
          </w:p>
        </w:tc>
        <w:tc>
          <w:tcPr>
            <w:tcW w:w="1361" w:type="dxa"/>
            <w:vAlign w:val="center"/>
          </w:tcPr>
          <w:p>
            <w:pPr>
              <w:pStyle w:val="13"/>
            </w:pPr>
            <w:r>
              <w:t>83.96</w:t>
            </w:r>
          </w:p>
        </w:tc>
        <w:tc>
          <w:tcPr>
            <w:tcW w:w="1361" w:type="dxa"/>
            <w:vAlign w:val="center"/>
          </w:tcPr>
          <w:p>
            <w:pPr>
              <w:pStyle w:val="13"/>
            </w:pPr>
          </w:p>
        </w:tc>
        <w:tc>
          <w:tcPr>
            <w:tcW w:w="1361" w:type="dxa"/>
            <w:vAlign w:val="center"/>
          </w:tcPr>
          <w:p>
            <w:pPr>
              <w:pStyle w:val="13"/>
            </w:pPr>
            <w:r>
              <w:t>83.96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3387"/>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242.09</w:t>
            </w:r>
          </w:p>
        </w:tc>
        <w:tc>
          <w:tcPr>
            <w:tcW w:w="3402" w:type="dxa"/>
            <w:vAlign w:val="center"/>
          </w:tcPr>
          <w:p>
            <w:pPr>
              <w:pStyle w:val="14"/>
            </w:pPr>
            <w:r>
              <w:t>一、一般公共服务支出</w:t>
            </w:r>
          </w:p>
        </w:tc>
        <w:tc>
          <w:tcPr>
            <w:tcW w:w="1474" w:type="dxa"/>
            <w:vAlign w:val="center"/>
          </w:tcPr>
          <w:p>
            <w:pPr>
              <w:pStyle w:val="13"/>
            </w:pPr>
            <w:r>
              <w:t>242.09</w:t>
            </w:r>
          </w:p>
        </w:tc>
        <w:tc>
          <w:tcPr>
            <w:tcW w:w="1474" w:type="dxa"/>
            <w:vAlign w:val="center"/>
          </w:tcPr>
          <w:p>
            <w:pPr>
              <w:pStyle w:val="13"/>
            </w:pPr>
            <w:r>
              <w:t>242.09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242.09</w:t>
            </w:r>
          </w:p>
        </w:tc>
        <w:tc>
          <w:tcPr>
            <w:tcW w:w="3402" w:type="dxa"/>
            <w:vAlign w:val="center"/>
          </w:tcPr>
          <w:p>
            <w:pPr>
              <w:pStyle w:val="16"/>
            </w:pPr>
            <w:r>
              <w:t>本年支出合计</w:t>
            </w:r>
          </w:p>
        </w:tc>
        <w:tc>
          <w:tcPr>
            <w:tcW w:w="1474" w:type="dxa"/>
            <w:vAlign w:val="center"/>
          </w:tcPr>
          <w:p>
            <w:pPr>
              <w:pStyle w:val="17"/>
            </w:pPr>
            <w:r>
              <w:t>242.09</w:t>
            </w:r>
          </w:p>
        </w:tc>
        <w:tc>
          <w:tcPr>
            <w:tcW w:w="1474" w:type="dxa"/>
            <w:vAlign w:val="center"/>
          </w:tcPr>
          <w:p>
            <w:pPr>
              <w:pStyle w:val="17"/>
            </w:pPr>
            <w:r>
              <w:t>242.09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242.09</w:t>
            </w:r>
          </w:p>
        </w:tc>
        <w:tc>
          <w:tcPr>
            <w:tcW w:w="3402" w:type="dxa"/>
            <w:vAlign w:val="center"/>
          </w:tcPr>
          <w:p>
            <w:pPr>
              <w:pStyle w:val="16"/>
            </w:pPr>
            <w:r>
              <w:t>支出总计</w:t>
            </w:r>
          </w:p>
        </w:tc>
        <w:tc>
          <w:tcPr>
            <w:tcW w:w="1474" w:type="dxa"/>
            <w:vAlign w:val="center"/>
          </w:tcPr>
          <w:p>
            <w:pPr>
              <w:pStyle w:val="17"/>
            </w:pPr>
            <w:r>
              <w:t>242.09</w:t>
            </w:r>
          </w:p>
        </w:tc>
        <w:tc>
          <w:tcPr>
            <w:tcW w:w="1474" w:type="dxa"/>
            <w:vAlign w:val="center"/>
          </w:tcPr>
          <w:p>
            <w:pPr>
              <w:pStyle w:val="17"/>
            </w:pPr>
            <w:r>
              <w:t>242.09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4874"/>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242.09</w:t>
            </w:r>
          </w:p>
        </w:tc>
        <w:tc>
          <w:tcPr>
            <w:tcW w:w="2551" w:type="dxa"/>
            <w:vAlign w:val="center"/>
          </w:tcPr>
          <w:p>
            <w:pPr>
              <w:pStyle w:val="17"/>
            </w:pPr>
            <w:r>
              <w:t>148.27</w:t>
            </w:r>
          </w:p>
        </w:tc>
        <w:tc>
          <w:tcPr>
            <w:tcW w:w="2551" w:type="dxa"/>
            <w:vAlign w:val="center"/>
          </w:tcPr>
          <w:p>
            <w:pPr>
              <w:pStyle w:val="17"/>
            </w:pPr>
            <w:r>
              <w:t>93.82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242.09</w:t>
            </w:r>
          </w:p>
        </w:tc>
        <w:tc>
          <w:tcPr>
            <w:tcW w:w="2551" w:type="dxa"/>
            <w:vAlign w:val="center"/>
          </w:tcPr>
          <w:p>
            <w:pPr>
              <w:pStyle w:val="13"/>
            </w:pPr>
            <w:r>
              <w:t>148.27</w:t>
            </w:r>
          </w:p>
        </w:tc>
        <w:tc>
          <w:tcPr>
            <w:tcW w:w="2551" w:type="dxa"/>
            <w:vAlign w:val="center"/>
          </w:tcPr>
          <w:p>
            <w:pPr>
              <w:pStyle w:val="13"/>
            </w:pPr>
            <w:r>
              <w:t>93.82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20137</w:t>
            </w:r>
          </w:p>
        </w:tc>
        <w:tc>
          <w:tcPr>
            <w:tcW w:w="4535" w:type="dxa"/>
            <w:vAlign w:val="center"/>
          </w:tcPr>
          <w:p>
            <w:pPr>
              <w:pStyle w:val="14"/>
            </w:pPr>
            <w:r>
              <w:t>网信事务</w:t>
            </w:r>
          </w:p>
        </w:tc>
        <w:tc>
          <w:tcPr>
            <w:tcW w:w="2551" w:type="dxa"/>
            <w:vAlign w:val="center"/>
          </w:tcPr>
          <w:p>
            <w:pPr>
              <w:pStyle w:val="13"/>
            </w:pPr>
            <w:r>
              <w:t>242.09</w:t>
            </w:r>
          </w:p>
        </w:tc>
        <w:tc>
          <w:tcPr>
            <w:tcW w:w="2551" w:type="dxa"/>
            <w:vAlign w:val="center"/>
          </w:tcPr>
          <w:p>
            <w:pPr>
              <w:pStyle w:val="13"/>
            </w:pPr>
            <w:r>
              <w:t>148.27</w:t>
            </w:r>
          </w:p>
        </w:tc>
        <w:tc>
          <w:tcPr>
            <w:tcW w:w="2551" w:type="dxa"/>
            <w:vAlign w:val="center"/>
          </w:tcPr>
          <w:p>
            <w:pPr>
              <w:pStyle w:val="13"/>
            </w:pPr>
            <w:r>
              <w:t>93.82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2013701</w:t>
            </w:r>
          </w:p>
        </w:tc>
        <w:tc>
          <w:tcPr>
            <w:tcW w:w="4535" w:type="dxa"/>
            <w:vAlign w:val="center"/>
          </w:tcPr>
          <w:p>
            <w:pPr>
              <w:pStyle w:val="14"/>
            </w:pPr>
            <w:r>
              <w:t>行政运行</w:t>
            </w:r>
          </w:p>
        </w:tc>
        <w:tc>
          <w:tcPr>
            <w:tcW w:w="2551" w:type="dxa"/>
            <w:vAlign w:val="center"/>
          </w:tcPr>
          <w:p>
            <w:pPr>
              <w:pStyle w:val="13"/>
            </w:pPr>
            <w:r>
              <w:t>148.27</w:t>
            </w:r>
          </w:p>
        </w:tc>
        <w:tc>
          <w:tcPr>
            <w:tcW w:w="2551" w:type="dxa"/>
            <w:vAlign w:val="center"/>
          </w:tcPr>
          <w:p>
            <w:pPr>
              <w:pStyle w:val="13"/>
            </w:pPr>
            <w:r>
              <w:t>148.27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2013702</w:t>
            </w:r>
          </w:p>
        </w:tc>
        <w:tc>
          <w:tcPr>
            <w:tcW w:w="4535" w:type="dxa"/>
            <w:vAlign w:val="center"/>
          </w:tcPr>
          <w:p>
            <w:pPr>
              <w:pStyle w:val="14"/>
            </w:pPr>
            <w:r>
              <w:t>一般行政管理事务</w:t>
            </w:r>
          </w:p>
        </w:tc>
        <w:tc>
          <w:tcPr>
            <w:tcW w:w="2551" w:type="dxa"/>
            <w:vAlign w:val="center"/>
          </w:tcPr>
          <w:p>
            <w:pPr>
              <w:pStyle w:val="13"/>
            </w:pPr>
            <w:r>
              <w:t>9.85</w:t>
            </w:r>
          </w:p>
        </w:tc>
        <w:tc>
          <w:tcPr>
            <w:tcW w:w="2551" w:type="dxa"/>
            <w:vAlign w:val="center"/>
          </w:tcPr>
          <w:p>
            <w:pPr>
              <w:pStyle w:val="13"/>
            </w:pPr>
          </w:p>
        </w:tc>
        <w:tc>
          <w:tcPr>
            <w:tcW w:w="2551" w:type="dxa"/>
            <w:vAlign w:val="center"/>
          </w:tcPr>
          <w:p>
            <w:pPr>
              <w:pStyle w:val="13"/>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2013704</w:t>
            </w:r>
          </w:p>
        </w:tc>
        <w:tc>
          <w:tcPr>
            <w:tcW w:w="4535" w:type="dxa"/>
            <w:vAlign w:val="center"/>
          </w:tcPr>
          <w:p>
            <w:pPr>
              <w:pStyle w:val="14"/>
            </w:pPr>
            <w:r>
              <w:t>信息安全事务</w:t>
            </w:r>
          </w:p>
        </w:tc>
        <w:tc>
          <w:tcPr>
            <w:tcW w:w="2551" w:type="dxa"/>
            <w:vAlign w:val="center"/>
          </w:tcPr>
          <w:p>
            <w:pPr>
              <w:pStyle w:val="13"/>
            </w:pPr>
            <w:r>
              <w:t>83.96</w:t>
            </w:r>
          </w:p>
        </w:tc>
        <w:tc>
          <w:tcPr>
            <w:tcW w:w="2551" w:type="dxa"/>
            <w:vAlign w:val="center"/>
          </w:tcPr>
          <w:p>
            <w:pPr>
              <w:pStyle w:val="13"/>
            </w:pPr>
          </w:p>
        </w:tc>
        <w:tc>
          <w:tcPr>
            <w:tcW w:w="2551" w:type="dxa"/>
            <w:vAlign w:val="center"/>
          </w:tcPr>
          <w:p>
            <w:pPr>
              <w:pStyle w:val="13"/>
            </w:pPr>
            <w:r>
              <w:t>83.96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3913"/>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148.27</w:t>
            </w:r>
          </w:p>
        </w:tc>
        <w:tc>
          <w:tcPr>
            <w:tcW w:w="2551" w:type="dxa"/>
            <w:vAlign w:val="center"/>
          </w:tcPr>
          <w:p>
            <w:pPr>
              <w:pStyle w:val="17"/>
            </w:pPr>
            <w:r>
              <w:t>136.80</w:t>
            </w:r>
          </w:p>
        </w:tc>
        <w:tc>
          <w:tcPr>
            <w:tcW w:w="2551" w:type="dxa"/>
            <w:vAlign w:val="center"/>
          </w:tcPr>
          <w:p>
            <w:pPr>
              <w:pStyle w:val="17"/>
            </w:pPr>
            <w:r>
              <w:t>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136.79</w:t>
            </w:r>
          </w:p>
        </w:tc>
        <w:tc>
          <w:tcPr>
            <w:tcW w:w="2551" w:type="dxa"/>
            <w:vAlign w:val="center"/>
          </w:tcPr>
          <w:p>
            <w:pPr>
              <w:pStyle w:val="13"/>
            </w:pPr>
            <w:r>
              <w:t>136.79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30.03</w:t>
            </w:r>
          </w:p>
        </w:tc>
        <w:tc>
          <w:tcPr>
            <w:tcW w:w="2551" w:type="dxa"/>
            <w:vAlign w:val="center"/>
          </w:tcPr>
          <w:p>
            <w:pPr>
              <w:pStyle w:val="13"/>
            </w:pPr>
            <w:r>
              <w:t>30.03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51.57</w:t>
            </w:r>
          </w:p>
        </w:tc>
        <w:tc>
          <w:tcPr>
            <w:tcW w:w="2551" w:type="dxa"/>
            <w:vAlign w:val="center"/>
          </w:tcPr>
          <w:p>
            <w:pPr>
              <w:pStyle w:val="13"/>
            </w:pPr>
            <w:r>
              <w:t>51.57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1.77</w:t>
            </w:r>
          </w:p>
        </w:tc>
        <w:tc>
          <w:tcPr>
            <w:tcW w:w="2551" w:type="dxa"/>
            <w:vAlign w:val="center"/>
          </w:tcPr>
          <w:p>
            <w:pPr>
              <w:pStyle w:val="13"/>
            </w:pPr>
            <w:r>
              <w:t>1.77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8.52</w:t>
            </w:r>
          </w:p>
        </w:tc>
        <w:tc>
          <w:tcPr>
            <w:tcW w:w="2551" w:type="dxa"/>
            <w:vAlign w:val="center"/>
          </w:tcPr>
          <w:p>
            <w:pPr>
              <w:pStyle w:val="13"/>
            </w:pPr>
            <w:r>
              <w:t>8.52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12.02</w:t>
            </w:r>
          </w:p>
        </w:tc>
        <w:tc>
          <w:tcPr>
            <w:tcW w:w="2551" w:type="dxa"/>
            <w:vAlign w:val="center"/>
          </w:tcPr>
          <w:p>
            <w:pPr>
              <w:pStyle w:val="13"/>
            </w:pPr>
            <w:r>
              <w:t>12.02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6.31</w:t>
            </w:r>
          </w:p>
        </w:tc>
        <w:tc>
          <w:tcPr>
            <w:tcW w:w="2551" w:type="dxa"/>
            <w:vAlign w:val="center"/>
          </w:tcPr>
          <w:p>
            <w:pPr>
              <w:pStyle w:val="13"/>
            </w:pPr>
            <w:r>
              <w:t>6.31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4.88</w:t>
            </w:r>
          </w:p>
        </w:tc>
        <w:tc>
          <w:tcPr>
            <w:tcW w:w="2551" w:type="dxa"/>
            <w:vAlign w:val="center"/>
          </w:tcPr>
          <w:p>
            <w:pPr>
              <w:pStyle w:val="13"/>
            </w:pPr>
            <w:r>
              <w:t>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11.70</w:t>
            </w:r>
          </w:p>
        </w:tc>
        <w:tc>
          <w:tcPr>
            <w:tcW w:w="2551" w:type="dxa"/>
            <w:vAlign w:val="center"/>
          </w:tcPr>
          <w:p>
            <w:pPr>
              <w:pStyle w:val="13"/>
            </w:pPr>
            <w:r>
              <w:t>11.70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9.97</w:t>
            </w:r>
          </w:p>
        </w:tc>
        <w:tc>
          <w:tcPr>
            <w:tcW w:w="2551" w:type="dxa"/>
            <w:vAlign w:val="center"/>
          </w:tcPr>
          <w:p>
            <w:pPr>
              <w:pStyle w:val="13"/>
            </w:pPr>
            <w:r>
              <w:t>9.97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11.47</w:t>
            </w:r>
          </w:p>
        </w:tc>
        <w:tc>
          <w:tcPr>
            <w:tcW w:w="2551" w:type="dxa"/>
            <w:vAlign w:val="center"/>
          </w:tcPr>
          <w:p>
            <w:pPr>
              <w:pStyle w:val="13"/>
            </w:pPr>
          </w:p>
        </w:tc>
        <w:tc>
          <w:tcPr>
            <w:tcW w:w="2551" w:type="dxa"/>
            <w:vAlign w:val="center"/>
          </w:tcPr>
          <w:p>
            <w:pPr>
              <w:pStyle w:val="13"/>
            </w:pPr>
            <w:r>
              <w:t>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3.12</w:t>
            </w:r>
          </w:p>
        </w:tc>
        <w:tc>
          <w:tcPr>
            <w:tcW w:w="2551" w:type="dxa"/>
            <w:vAlign w:val="center"/>
          </w:tcPr>
          <w:p>
            <w:pPr>
              <w:pStyle w:val="13"/>
            </w:pPr>
          </w:p>
        </w:tc>
        <w:tc>
          <w:tcPr>
            <w:tcW w:w="2551" w:type="dxa"/>
            <w:vAlign w:val="center"/>
          </w:tcPr>
          <w:p>
            <w:pPr>
              <w:pStyle w:val="13"/>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0.67</w:t>
            </w:r>
          </w:p>
        </w:tc>
        <w:tc>
          <w:tcPr>
            <w:tcW w:w="2551" w:type="dxa"/>
            <w:vAlign w:val="center"/>
          </w:tcPr>
          <w:p>
            <w:pPr>
              <w:pStyle w:val="13"/>
            </w:pPr>
          </w:p>
        </w:tc>
        <w:tc>
          <w:tcPr>
            <w:tcW w:w="2551" w:type="dxa"/>
            <w:vAlign w:val="center"/>
          </w:tcPr>
          <w:p>
            <w:pPr>
              <w:pStyle w:val="13"/>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0.75</w:t>
            </w:r>
          </w:p>
        </w:tc>
        <w:tc>
          <w:tcPr>
            <w:tcW w:w="2551" w:type="dxa"/>
            <w:vAlign w:val="center"/>
          </w:tcPr>
          <w:p>
            <w:pPr>
              <w:pStyle w:val="13"/>
            </w:pPr>
          </w:p>
        </w:tc>
        <w:tc>
          <w:tcPr>
            <w:tcW w:w="2551"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4.14</w:t>
            </w:r>
          </w:p>
        </w:tc>
        <w:tc>
          <w:tcPr>
            <w:tcW w:w="2551" w:type="dxa"/>
            <w:vAlign w:val="center"/>
          </w:tcPr>
          <w:p>
            <w:pPr>
              <w:pStyle w:val="13"/>
            </w:pPr>
          </w:p>
        </w:tc>
        <w:tc>
          <w:tcPr>
            <w:tcW w:w="2551" w:type="dxa"/>
            <w:vAlign w:val="center"/>
          </w:tcPr>
          <w:p>
            <w:pPr>
              <w:pStyle w:val="13"/>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0.09</w:t>
            </w:r>
          </w:p>
        </w:tc>
        <w:tc>
          <w:tcPr>
            <w:tcW w:w="2551" w:type="dxa"/>
            <w:vAlign w:val="center"/>
          </w:tcPr>
          <w:p>
            <w:pPr>
              <w:pStyle w:val="13"/>
            </w:pPr>
          </w:p>
        </w:tc>
        <w:tc>
          <w:tcPr>
            <w:tcW w:w="2551"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0.01</w:t>
            </w:r>
          </w:p>
        </w:tc>
        <w:tc>
          <w:tcPr>
            <w:tcW w:w="2551" w:type="dxa"/>
            <w:vAlign w:val="center"/>
          </w:tcPr>
          <w:p>
            <w:pPr>
              <w:pStyle w:val="13"/>
            </w:pPr>
            <w:r>
              <w:t>0.01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0.01</w:t>
            </w:r>
          </w:p>
        </w:tc>
        <w:tc>
          <w:tcPr>
            <w:tcW w:w="2551" w:type="dxa"/>
            <w:vAlign w:val="center"/>
          </w:tcPr>
          <w:p>
            <w:pPr>
              <w:pStyle w:val="13"/>
            </w:pPr>
            <w:r>
              <w:t>0.01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2660"/>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3790"/>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0420"/>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中共石家庄市藁城区委网络安全和信息化委员会办公室2022年部门预算信息公开情况说明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中共石家庄市藁城区委网络安全和信息化委员会办公室2022年部门预算信息公开情况说明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bookmarkStart w:id="19" w:name="_GoBack"/>
      <w:bookmarkEnd w:id="19"/>
      <w:r>
        <w:rPr>
          <w:rFonts w:ascii="Times New Roman" w:hAnsi="Times New Roman" w:eastAsia="方正仿宋_GBK" w:cs="Times New Roman"/>
          <w:color w:val="000000"/>
          <w:sz w:val="28"/>
        </w:rPr>
        <w:t>预算法》、《地方预决算公开操作规程》和《关于进一步推进预算公开工作的实施意见》规定，现将中共石家庄市藁城区委网络安全和信息化委员会办公室2022年部门预算公开如下：</w:t>
      </w:r>
    </w:p>
    <w:p>
      <w:pPr>
        <w:spacing w:before="10" w:after="10" w:line="360" w:lineRule="auto"/>
        <w:ind w:firstLine="640"/>
        <w:jc w:val="left"/>
        <w:outlineLvl w:val="2"/>
      </w:pPr>
      <w:bookmarkStart w:id="9" w:name="_Toc32358"/>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p>
    <w:p>
      <w:pPr>
        <w:pStyle w:val="19"/>
      </w:pPr>
      <w:r>
        <w:t>坚持以习近平新时代中国特色社会主义思想特别是关于网络强国重要思想为指导，强力推进我区互联网信息内容建设和管理、网络安全和信息化工作。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中共石家庄市藁城区委网络安全和信息化委员会办公室本级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8593"/>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按照预算管理有关规定，目前我省部门预算的编制实行综合预算管理，即全部收入和支出都反映在预算中。中共石家庄市藁城区委网络安全和信息化委员会办公室机关及所属事业单位的收支包含在部门预算中。</w:t>
      </w:r>
    </w:p>
    <w:p>
      <w:pPr>
        <w:numPr>
          <w:ilvl w:val="0"/>
          <w:numId w:val="1"/>
        </w:num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收入说明</w:t>
      </w:r>
    </w:p>
    <w:p>
      <w:pPr>
        <w:numPr>
          <w:ilvl w:val="0"/>
          <w:numId w:val="0"/>
        </w:numPr>
        <w:spacing w:before="0" w:after="0" w:line="500" w:lineRule="exact"/>
        <w:ind w:firstLine="560" w:firstLineChars="20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万元，基金预算收入0万元，财政专户核拨收入0万元，其他来源收入0万元。</w:t>
      </w:r>
    </w:p>
    <w:p>
      <w:pPr>
        <w:numPr>
          <w:ilvl w:val="0"/>
          <w:numId w:val="1"/>
        </w:numPr>
        <w:spacing w:before="0" w:after="0" w:line="500" w:lineRule="exact"/>
        <w:ind w:left="0" w:leftChars="0" w:firstLine="560" w:firstLineChars="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支出说明</w:t>
      </w:r>
    </w:p>
    <w:p>
      <w:pPr>
        <w:numPr>
          <w:ilvl w:val="0"/>
          <w:numId w:val="0"/>
        </w:numPr>
        <w:spacing w:before="0" w:after="0" w:line="500" w:lineRule="exact"/>
        <w:ind w:firstLine="560" w:firstLineChars="20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148.27</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136.80万</w:t>
      </w:r>
      <w:r>
        <w:rPr>
          <w:rFonts w:hint="eastAsia" w:ascii="Times New Roman" w:hAnsi="Times New Roman" w:eastAsia="方正仿宋_GBK" w:cs="Times New Roman"/>
          <w:color w:val="000000"/>
          <w:sz w:val="28"/>
        </w:rPr>
        <w:t>元和日常公用经费</w:t>
      </w:r>
      <w:r>
        <w:rPr>
          <w:rFonts w:hint="eastAsia" w:eastAsia="方正仿宋_GBK" w:cs="Times New Roman"/>
          <w:color w:val="000000"/>
          <w:sz w:val="28"/>
          <w:lang w:val="en-US" w:eastAsia="zh-CN"/>
        </w:rPr>
        <w:t>11.47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93.82</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val="en-US" w:eastAsia="zh-CN"/>
        </w:rPr>
        <w:t>APT系统服务费20万元，劳务派遣人员经费9.85万元，网络安全态势感知平台运行维护费21.98万元，网络安全巡查费10万元，网络舆情导控技术平台运行服务费21.98万元，云端数据库更新服务费10万元</w:t>
      </w:r>
      <w:r>
        <w:rPr>
          <w:rFonts w:hint="eastAsia" w:ascii="Times New Roman" w:hAnsi="Times New Roman" w:eastAsia="方正仿宋_GBK" w:cs="Times New Roman"/>
          <w:color w:val="000000"/>
          <w:sz w:val="28"/>
        </w:rPr>
        <w:t>；其他支出0万元。</w:t>
      </w:r>
    </w:p>
    <w:p>
      <w:pPr>
        <w:numPr>
          <w:ilvl w:val="0"/>
          <w:numId w:val="1"/>
        </w:numPr>
        <w:spacing w:before="0" w:after="0" w:line="500" w:lineRule="exact"/>
        <w:ind w:left="0" w:leftChars="0" w:firstLine="560" w:firstLineChars="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比上年增减情况</w:t>
      </w:r>
    </w:p>
    <w:p>
      <w:pPr>
        <w:numPr>
          <w:ilvl w:val="0"/>
          <w:numId w:val="0"/>
        </w:numPr>
        <w:spacing w:before="0" w:after="0" w:line="500" w:lineRule="exact"/>
        <w:ind w:firstLine="560" w:firstLineChars="200"/>
        <w:jc w:val="left"/>
        <w:outlineLvl w:val="9"/>
      </w:pPr>
      <w:r>
        <w:rPr>
          <w:rFonts w:hint="eastAsia" w:ascii="Times New Roman" w:hAnsi="Times New Roman" w:eastAsia="方正仿宋_GBK" w:cs="Times New Roman"/>
          <w:color w:val="000000"/>
          <w:sz w:val="28"/>
        </w:rPr>
        <w:t>2022年部门预算收支安排</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万元，较2021年增加</w:t>
      </w:r>
      <w:r>
        <w:rPr>
          <w:rFonts w:hint="eastAsia" w:eastAsia="方正仿宋_GBK" w:cs="Times New Roman"/>
          <w:color w:val="000000"/>
          <w:sz w:val="28"/>
          <w:lang w:val="en-US" w:eastAsia="zh-CN"/>
        </w:rPr>
        <w:t xml:space="preserve">44.78 </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增加9.26</w:t>
      </w:r>
      <w:r>
        <w:rPr>
          <w:rFonts w:hint="eastAsia" w:ascii="Times New Roman" w:hAnsi="Times New Roman" w:eastAsia="方正仿宋_GBK" w:cs="Times New Roman"/>
          <w:color w:val="000000"/>
          <w:sz w:val="28"/>
        </w:rPr>
        <w:t>万元，主要是人员</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rPr>
        <w:t>，相应</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rPr>
        <w:t>人员经费和日常公用经费；项目支出增加</w:t>
      </w:r>
      <w:r>
        <w:rPr>
          <w:rFonts w:hint="eastAsia" w:eastAsia="方正仿宋_GBK" w:cs="Times New Roman"/>
          <w:color w:val="000000"/>
          <w:sz w:val="28"/>
          <w:lang w:val="en-US" w:eastAsia="zh-CN"/>
        </w:rPr>
        <w:t>35.52</w:t>
      </w:r>
      <w:r>
        <w:rPr>
          <w:rFonts w:hint="eastAsia" w:ascii="Times New Roman" w:hAnsi="Times New Roman" w:eastAsia="方正仿宋_GBK" w:cs="Times New Roman"/>
          <w:color w:val="000000"/>
          <w:sz w:val="28"/>
        </w:rPr>
        <w:t>万元，主要是增加</w:t>
      </w:r>
      <w:r>
        <w:rPr>
          <w:rFonts w:hint="eastAsia" w:eastAsia="方正仿宋_GBK" w:cs="Times New Roman"/>
          <w:color w:val="000000"/>
          <w:sz w:val="28"/>
          <w:lang w:val="en-US" w:eastAsia="zh-CN"/>
        </w:rPr>
        <w:t>APT系统服务费、云端数据库更新服务费</w:t>
      </w:r>
      <w:r>
        <w:rPr>
          <w:rFonts w:hint="eastAsia" w:ascii="Times New Roman" w:hAnsi="Times New Roman" w:eastAsia="方正仿宋_GBK" w:cs="Times New Roman"/>
          <w:color w:val="000000"/>
          <w:sz w:val="28"/>
        </w:rPr>
        <w:t>；其他支出无增减变化。</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1" w:name="_Toc9531"/>
      <w:r>
        <w:rPr>
          <w:rFonts w:ascii="黑体" w:hAnsi="黑体" w:eastAsia="黑体" w:cs="黑体"/>
          <w:color w:val="000000"/>
          <w:sz w:val="32"/>
        </w:rPr>
        <w:t>机关运行经费安排情况</w:t>
      </w:r>
      <w:bookmarkEnd w:id="11"/>
    </w:p>
    <w:p>
      <w:pPr>
        <w:spacing w:line="460" w:lineRule="exact"/>
        <w:ind w:firstLine="560" w:firstLineChars="200"/>
      </w:pPr>
      <w:r>
        <w:rPr>
          <w:rFonts w:hint="eastAsia" w:ascii="Times New Roman" w:hAnsi="Times New Roman" w:eastAsia="方正仿宋_GBK" w:cs="Times New Roman"/>
          <w:sz w:val="28"/>
          <w:szCs w:val="24"/>
          <w:lang w:val="en-US" w:eastAsia="uk-UA" w:bidi="ar-SA"/>
        </w:rPr>
        <w:t>2022年，我部门机关运行经费共计安排</w:t>
      </w:r>
      <w:r>
        <w:rPr>
          <w:rFonts w:hint="eastAsia" w:ascii="Times New Roman" w:hAnsi="Times New Roman" w:eastAsia="方正仿宋_GBK" w:cs="Times New Roman"/>
          <w:sz w:val="28"/>
          <w:szCs w:val="24"/>
          <w:lang w:val="en-US" w:eastAsia="zh-CN" w:bidi="ar-SA"/>
        </w:rPr>
        <w:t>11.47</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12" w:name="_Toc30764"/>
      <w:r>
        <w:rPr>
          <w:rFonts w:ascii="黑体" w:hAnsi="黑体" w:eastAsia="黑体" w:cs="黑体"/>
          <w:color w:val="000000"/>
          <w:sz w:val="32"/>
        </w:rPr>
        <w:t>财政拨款“三公”经费预算情况及增减变化原因</w:t>
      </w:r>
      <w:bookmarkEnd w:id="12"/>
    </w:p>
    <w:p>
      <w:pPr>
        <w:spacing w:before="10" w:after="10" w:line="360" w:lineRule="auto"/>
        <w:ind w:firstLine="640"/>
        <w:jc w:val="left"/>
        <w:outlineLvl w:val="2"/>
        <w:rPr>
          <w:rFonts w:hint="eastAsia"/>
        </w:rPr>
      </w:pPr>
      <w:bookmarkStart w:id="13" w:name="_Toc13626"/>
      <w:r>
        <w:rPr>
          <w:rFonts w:hint="eastAsia" w:ascii="Times New Roman" w:hAnsi="Times New Roman" w:eastAsia="方正仿宋_GBK" w:cs="Times New Roman"/>
          <w:sz w:val="28"/>
          <w:szCs w:val="24"/>
          <w:lang w:val="en-US" w:eastAsia="uk-UA" w:bidi="ar-SA"/>
        </w:rPr>
        <w:t>2022年本部门财政拨款“三公”经费预算安排0万元，其中：因公出国（境）费0万元，与上年持平；公务用车购置及运维费0万元（其中：公务用车购置费0万元，与上年持平；公务用车运行费0万元，与上年持平) ；公务接待费0万元，与上年持平。与2021年相比，“三公”经费与上年持平，无增减变化。</w:t>
      </w:r>
      <w:bookmarkEnd w:id="13"/>
    </w:p>
    <w:p>
      <w:pPr>
        <w:spacing w:before="10" w:after="10" w:line="360" w:lineRule="auto"/>
        <w:ind w:firstLine="640"/>
        <w:jc w:val="left"/>
        <w:outlineLvl w:val="2"/>
      </w:pPr>
      <w:bookmarkStart w:id="14" w:name="_Toc11618"/>
      <w:r>
        <w:rPr>
          <w:rFonts w:ascii="黑体" w:hAnsi="黑体" w:eastAsia="黑体" w:cs="黑体"/>
          <w:color w:val="000000"/>
          <w:sz w:val="32"/>
        </w:rPr>
        <w:t>五、预算绩效信息</w:t>
      </w:r>
      <w:bookmarkEnd w:id="14"/>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坚持以习近平新时代中国特色社会主义思想特别是关于网络强国重要思想为指导，强力推进我区互联网信息内容建设和管理、网络安全和信息化工作。</w:t>
      </w:r>
    </w:p>
    <w:p>
      <w:pPr>
        <w:pStyle w:val="23"/>
      </w:pPr>
      <w:r>
        <w:t>立足2022年网信工作新的目标定位，一方面网络宣传管理做到“三个突出”。即突出重大任务主题宣传，突出网络文化精品推介，突出网络综合治理建设，强化舆情监测预警。另一方面网络安全防护做到“三个推进”。即推进网络安全检查培训常态化，推进网络安全应急演练精准化，推进态势感知平台服务优质化。以坚定的政治站位、务实的工作措施，不断提升工作品质、效率、效能，打造网信藁城新形象，为藁城区“一极四城”建设和经济社会高质量发展贡献网信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二、分项绩效目标</w:t>
      </w:r>
    </w:p>
    <w:p>
      <w:pPr>
        <w:pStyle w:val="24"/>
      </w:pPr>
      <w:r>
        <w:t>(-)网络安全防护能力有效提升</w:t>
      </w:r>
    </w:p>
    <w:p>
      <w:pPr>
        <w:pStyle w:val="24"/>
      </w:pPr>
      <w:r>
        <w:t>绩效目标:网络安全工作体制机制逐步完善，网络安全工作责任制进一步落实，网络安全支撑力量不断拓展，网络安全基础工作更加扎实，网络安全防护能力有效提升。</w:t>
      </w:r>
    </w:p>
    <w:p>
      <w:pPr>
        <w:pStyle w:val="24"/>
      </w:pPr>
      <w:r>
        <w:t>绩效指标:组织开展网络安全检查，进一步提升我区网络安全管理水平，增强网络安全防护能力。</w:t>
      </w:r>
    </w:p>
    <w:p>
      <w:pPr>
        <w:pStyle w:val="24"/>
      </w:pPr>
      <w:r>
        <w:t>(二)网络宣传管理效果明显提高</w:t>
      </w:r>
    </w:p>
    <w:p>
      <w:pPr>
        <w:pStyle w:val="24"/>
      </w:pPr>
      <w:r>
        <w:t>绩效目标：定期开展网络文艺作品创作，策划拍摄制作网络文化作品，全面展示我区网上新形象。</w:t>
      </w:r>
    </w:p>
    <w:p>
      <w:pPr>
        <w:pStyle w:val="24"/>
      </w:pPr>
      <w:r>
        <w:t>绩效指标:突出抓好重要时间节点专题宣传。大力开展网络文明志愿服务活动，做好网评及舆论引导工作。</w:t>
      </w:r>
    </w:p>
    <w:p>
      <w:pPr>
        <w:pStyle w:val="24"/>
      </w:pPr>
      <w:r>
        <w:t>（三）网络综合治理体系建设持续推进</w:t>
      </w:r>
    </w:p>
    <w:p>
      <w:pPr>
        <w:pStyle w:val="24"/>
      </w:pPr>
      <w:r>
        <w:t>绩效目标：持续提升网络安全意识，强化舆情监测能力，推进新媒体建设。</w:t>
      </w:r>
    </w:p>
    <w:p>
      <w:pPr>
        <w:pStyle w:val="24"/>
      </w:pPr>
      <w:r>
        <w:t>绩效指标：网络安全检查常态化，专业化业务培训长效化。进一步打造我区新媒体健康发展新格局。</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三、工作保障措施</w:t>
      </w:r>
    </w:p>
    <w:p>
      <w:pPr>
        <w:pStyle w:val="25"/>
      </w:pPr>
      <w:r>
        <w:t>(一)完善制度建设</w:t>
      </w:r>
    </w:p>
    <w:p>
      <w:pPr>
        <w:pStyle w:val="25"/>
      </w:pPr>
      <w:r>
        <w:t>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5"/>
      </w:pPr>
      <w:r>
        <w:t>（二）加强绩效监控</w:t>
      </w:r>
    </w:p>
    <w:p>
      <w:pPr>
        <w:pStyle w:val="25"/>
      </w:pPr>
      <w:r>
        <w:t>按财政要求开展绩效运行监控，全程跟踪预算执行进度，对执行过程中发现的问题及时反馈，制定切实可行举措，保障绩效目标按期高质量完成。</w:t>
      </w:r>
    </w:p>
    <w:p>
      <w:pPr>
        <w:pStyle w:val="25"/>
      </w:pPr>
      <w:r>
        <w:t>（三）加强内部管理和监督</w:t>
      </w:r>
    </w:p>
    <w:p>
      <w:pPr>
        <w:pStyle w:val="25"/>
      </w:pPr>
      <w:r>
        <w:t>规范财务资产管理。对照区级财政部门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pStyle w:val="25"/>
      </w:pPr>
      <w:r>
        <w:t>（四）做好绩效自评工作</w:t>
      </w:r>
    </w:p>
    <w:p>
      <w:pPr>
        <w:pStyle w:val="25"/>
      </w:pPr>
      <w:r>
        <w:t>按要求开展上年度部门预算绩效自评和重点评价工作，对评价中发现的问题及时整改，调整优化支出结构，提高财政资金使用效益。</w:t>
      </w:r>
    </w:p>
    <w:p>
      <w:pPr>
        <w:pStyle w:val="25"/>
      </w:pPr>
      <w:r>
        <w:t>（五）做好预算绩效管理工作。以网信项目预算绩效为依据，优化支出结构预算编制做细做实，支出执行有章可循。严格履行政府采购手续， 资金支出安排科学合理，为项目实施保驾护航。积极开展年度部门预算绩效自评工作，在自评中发现问题并及时整改解决，提高财政资金使用效益。</w:t>
      </w:r>
    </w:p>
    <w:p>
      <w:pPr>
        <w:pStyle w:val="25"/>
      </w:pPr>
      <w:r>
        <w:t>(六)规范资产管理。加强会计核算工作，严格执行网信办财务资产管理相关制度，确保账面数字真实、完整，依照政府采购目录进行政府采购，加强网信办固定资产登记、使用和报废处置管理，做到支出合理，物尽其用。</w:t>
      </w:r>
    </w:p>
    <w:p>
      <w:pPr>
        <w:pStyle w:val="25"/>
      </w:pPr>
      <w:r>
        <w:t>（七）做好宣传联动</w:t>
      </w:r>
    </w:p>
    <w:p>
      <w:pPr>
        <w:pStyle w:val="25"/>
      </w:pPr>
      <w:r>
        <w:t>加强单位内部股室间的协调联动，加大关于预算绩效工作宣传力度，提高对预算绩效管理的重视程度，增强绩效管理意识，促进预算绩效管理水平进一步提升。</w:t>
      </w:r>
    </w:p>
    <w:p>
      <w:pPr>
        <w:pStyle w:val="25"/>
      </w:pPr>
    </w:p>
    <w:p>
      <w:pPr>
        <w:pStyle w:val="25"/>
      </w:pPr>
    </w:p>
    <w:p>
      <w:pPr>
        <w:pStyle w:val="25"/>
      </w:pP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第二部分  </w:t>
      </w:r>
      <w:r>
        <w:rPr>
          <w:rFonts w:hint="eastAsia" w:ascii="Times New Roman" w:hAnsi="Times New Roman" w:eastAsia="方正仿宋_GBK" w:cs="Times New Roman"/>
          <w:sz w:val="28"/>
          <w:szCs w:val="24"/>
          <w:lang w:val="en-US" w:eastAsia="uk-UA" w:bidi="ar-SA"/>
        </w:rPr>
        <w:t xml:space="preserve"> </w:t>
      </w:r>
      <w:r>
        <w:rPr>
          <w:rFonts w:ascii="方正楷体_GBK" w:hAnsi="方正楷体_GBK" w:eastAsia="方正楷体_GBK" w:cs="方正楷体_GBK"/>
          <w:b/>
          <w:color w:val="000000"/>
          <w:sz w:val="32"/>
        </w:rPr>
        <w:t>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1、APT系统服务费绩效目标表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1.监测重点单位网络设施，24小时在线监测。</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实行网络安全监控单位的数量</w:t>
            </w:r>
          </w:p>
        </w:tc>
        <w:tc>
          <w:tcPr>
            <w:tcW w:w="2835" w:type="dxa"/>
            <w:vAlign w:val="center"/>
          </w:tcPr>
          <w:p>
            <w:pPr>
              <w:pStyle w:val="28"/>
            </w:pPr>
            <w:r>
              <w:t>对网络安全监控重点单位的数量</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监测时间保障率</w:t>
            </w:r>
          </w:p>
        </w:tc>
        <w:tc>
          <w:tcPr>
            <w:tcW w:w="2835" w:type="dxa"/>
            <w:vAlign w:val="center"/>
          </w:tcPr>
          <w:p>
            <w:pPr>
              <w:pStyle w:val="28"/>
            </w:pPr>
            <w:r>
              <w:t>7*24小时不间断监测</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发现威胁预警及时率</w:t>
            </w:r>
          </w:p>
        </w:tc>
        <w:tc>
          <w:tcPr>
            <w:tcW w:w="2835" w:type="dxa"/>
            <w:vAlign w:val="center"/>
          </w:tcPr>
          <w:p>
            <w:pPr>
              <w:pStyle w:val="28"/>
            </w:pPr>
            <w:r>
              <w:t>及时发现威胁预警</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成本控制率</w:t>
            </w:r>
          </w:p>
        </w:tc>
        <w:tc>
          <w:tcPr>
            <w:tcW w:w="2835" w:type="dxa"/>
            <w:vAlign w:val="center"/>
          </w:tcPr>
          <w:p>
            <w:pPr>
              <w:pStyle w:val="28"/>
            </w:pPr>
            <w:r>
              <w:t>减少人工监测成本</w:t>
            </w:r>
          </w:p>
        </w:tc>
        <w:tc>
          <w:tcPr>
            <w:tcW w:w="2551" w:type="dxa"/>
            <w:vAlign w:val="center"/>
          </w:tcPr>
          <w:p>
            <w:pPr>
              <w:pStyle w:val="28"/>
            </w:pPr>
            <w:r>
              <w:t>自动化扫描，减少人工监测成本</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项目实现功能</w:t>
            </w:r>
          </w:p>
        </w:tc>
        <w:tc>
          <w:tcPr>
            <w:tcW w:w="2835" w:type="dxa"/>
            <w:vAlign w:val="center"/>
          </w:tcPr>
          <w:p>
            <w:pPr>
              <w:pStyle w:val="28"/>
            </w:pPr>
            <w:r>
              <w:t>重点单位网络基础设施遭受攻击时及时感知</w:t>
            </w:r>
          </w:p>
        </w:tc>
        <w:tc>
          <w:tcPr>
            <w:tcW w:w="2551" w:type="dxa"/>
            <w:vAlign w:val="center"/>
          </w:tcPr>
          <w:p>
            <w:pPr>
              <w:pStyle w:val="28"/>
            </w:pPr>
            <w:r>
              <w:t>重点单位网络基础设施遭受攻击时及时感知</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服务应用效果</w:t>
            </w:r>
          </w:p>
        </w:tc>
        <w:tc>
          <w:tcPr>
            <w:tcW w:w="2835" w:type="dxa"/>
            <w:vAlign w:val="center"/>
          </w:tcPr>
          <w:p>
            <w:pPr>
              <w:pStyle w:val="28"/>
            </w:pPr>
            <w:r>
              <w:t>逐步提升网络安全治理能力</w:t>
            </w:r>
          </w:p>
        </w:tc>
        <w:tc>
          <w:tcPr>
            <w:tcW w:w="2551" w:type="dxa"/>
            <w:vAlign w:val="center"/>
          </w:tcPr>
          <w:p>
            <w:pPr>
              <w:pStyle w:val="28"/>
            </w:pPr>
            <w:r>
              <w:t>逐步提升网络安全治理能力</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监测用户满意度</w:t>
            </w:r>
          </w:p>
        </w:tc>
        <w:tc>
          <w:tcPr>
            <w:tcW w:w="2835" w:type="dxa"/>
            <w:vAlign w:val="center"/>
          </w:tcPr>
          <w:p>
            <w:pPr>
              <w:pStyle w:val="28"/>
            </w:pPr>
            <w:r>
              <w:t>监测用户满意度</w:t>
            </w:r>
          </w:p>
        </w:tc>
        <w:tc>
          <w:tcPr>
            <w:tcW w:w="2551" w:type="dxa"/>
            <w:vAlign w:val="center"/>
          </w:tcPr>
          <w:p>
            <w:pPr>
              <w:pStyle w:val="28"/>
            </w:pPr>
            <w:r>
              <w:t>用户满意度</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1.提高劳务派遣人员对互联网宣传工作的业务水平，及时发放人员工资。提高网络安全应对能力。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劳务派遣数量</w:t>
            </w:r>
          </w:p>
        </w:tc>
        <w:tc>
          <w:tcPr>
            <w:tcW w:w="2835" w:type="dxa"/>
            <w:vAlign w:val="center"/>
          </w:tcPr>
          <w:p>
            <w:pPr>
              <w:pStyle w:val="28"/>
            </w:pPr>
            <w:r>
              <w:t>招聘劳务派遣人员数量</w:t>
            </w:r>
          </w:p>
        </w:tc>
        <w:tc>
          <w:tcPr>
            <w:tcW w:w="2551" w:type="dxa"/>
            <w:vAlign w:val="center"/>
          </w:tcPr>
          <w:p>
            <w:pPr>
              <w:pStyle w:val="28"/>
            </w:pPr>
            <w:r>
              <w:t>2人</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支付费用完成率</w:t>
            </w:r>
          </w:p>
        </w:tc>
        <w:tc>
          <w:tcPr>
            <w:tcW w:w="2835" w:type="dxa"/>
            <w:vAlign w:val="center"/>
          </w:tcPr>
          <w:p>
            <w:pPr>
              <w:pStyle w:val="28"/>
            </w:pPr>
            <w:r>
              <w:t>及时足额支付人员相关费用情况</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工作完成时限</w:t>
            </w:r>
          </w:p>
        </w:tc>
        <w:tc>
          <w:tcPr>
            <w:tcW w:w="2835" w:type="dxa"/>
            <w:vAlign w:val="center"/>
          </w:tcPr>
          <w:p>
            <w:pPr>
              <w:pStyle w:val="28"/>
            </w:pPr>
            <w:r>
              <w:t>派遣人员完成工作及时率</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用人标准</w:t>
            </w:r>
          </w:p>
        </w:tc>
        <w:tc>
          <w:tcPr>
            <w:tcW w:w="2835" w:type="dxa"/>
            <w:vAlign w:val="center"/>
          </w:tcPr>
          <w:p>
            <w:pPr>
              <w:pStyle w:val="28"/>
            </w:pPr>
            <w:r>
              <w:t>品行良好，素质高，大专及以上学历，藁城户籍等</w:t>
            </w:r>
          </w:p>
        </w:tc>
        <w:tc>
          <w:tcPr>
            <w:tcW w:w="2551" w:type="dxa"/>
            <w:vAlign w:val="center"/>
          </w:tcPr>
          <w:p>
            <w:pPr>
              <w:pStyle w:val="28"/>
            </w:pPr>
            <w:r>
              <w:t>品行良好，素质高，大专及以上学历，藁城户籍等</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提高网络安全应对能力</w:t>
            </w:r>
          </w:p>
        </w:tc>
        <w:tc>
          <w:tcPr>
            <w:tcW w:w="2835" w:type="dxa"/>
            <w:vAlign w:val="center"/>
          </w:tcPr>
          <w:p>
            <w:pPr>
              <w:pStyle w:val="28"/>
            </w:pPr>
            <w:r>
              <w:t>提高网络安全应对能力</w:t>
            </w:r>
          </w:p>
        </w:tc>
        <w:tc>
          <w:tcPr>
            <w:tcW w:w="2551" w:type="dxa"/>
            <w:vAlign w:val="center"/>
          </w:tcPr>
          <w:p>
            <w:pPr>
              <w:pStyle w:val="28"/>
            </w:pPr>
            <w:r>
              <w:t>招聘人员网络安全应对能力明显提高</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网信办满意度</w:t>
            </w:r>
          </w:p>
        </w:tc>
        <w:tc>
          <w:tcPr>
            <w:tcW w:w="2835" w:type="dxa"/>
            <w:vAlign w:val="center"/>
          </w:tcPr>
          <w:p>
            <w:pPr>
              <w:pStyle w:val="28"/>
            </w:pPr>
            <w:r>
              <w:t>网信办满意度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3、网络安全态势感知平台运行维护费绩效目标表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1.对全区属地相关领域涉网部门和重点网站开展常态化巡查，进行多维度安全检测扫描。推进网络安全态势感知平台技术升级，实现与全省系统的对接应用。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平台数量</w:t>
            </w:r>
          </w:p>
        </w:tc>
        <w:tc>
          <w:tcPr>
            <w:tcW w:w="2835" w:type="dxa"/>
            <w:vAlign w:val="center"/>
          </w:tcPr>
          <w:p>
            <w:pPr>
              <w:pStyle w:val="28"/>
            </w:pPr>
            <w:r>
              <w:t>使用平台数量</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平台使用验收合格率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业务处理及时率</w:t>
            </w:r>
          </w:p>
        </w:tc>
        <w:tc>
          <w:tcPr>
            <w:tcW w:w="2835" w:type="dxa"/>
            <w:vAlign w:val="center"/>
          </w:tcPr>
          <w:p>
            <w:pPr>
              <w:pStyle w:val="28"/>
            </w:pPr>
            <w:r>
              <w:t>业务处理及时率</w:t>
            </w:r>
          </w:p>
        </w:tc>
        <w:tc>
          <w:tcPr>
            <w:tcW w:w="2551" w:type="dxa"/>
            <w:vAlign w:val="center"/>
          </w:tcPr>
          <w:p>
            <w:pPr>
              <w:pStyle w:val="28"/>
            </w:pPr>
            <w:r>
              <w:t>≥80%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成本控制率</w:t>
            </w:r>
          </w:p>
        </w:tc>
        <w:tc>
          <w:tcPr>
            <w:tcW w:w="2835" w:type="dxa"/>
            <w:vAlign w:val="center"/>
          </w:tcPr>
          <w:p>
            <w:pPr>
              <w:pStyle w:val="28"/>
            </w:pPr>
            <w:r>
              <w:t>购买成本控制率</w:t>
            </w:r>
          </w:p>
        </w:tc>
        <w:tc>
          <w:tcPr>
            <w:tcW w:w="2551" w:type="dxa"/>
            <w:vAlign w:val="center"/>
          </w:tcPr>
          <w:p>
            <w:pPr>
              <w:pStyle w:val="28"/>
            </w:pPr>
            <w:r>
              <w:t>在预算成本内</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社会网络安全意识提高程度</w:t>
            </w:r>
          </w:p>
        </w:tc>
        <w:tc>
          <w:tcPr>
            <w:tcW w:w="2835" w:type="dxa"/>
            <w:vAlign w:val="center"/>
          </w:tcPr>
          <w:p>
            <w:pPr>
              <w:pStyle w:val="28"/>
            </w:pPr>
            <w:r>
              <w:t>全社会网络安全意识提高情况</w:t>
            </w:r>
          </w:p>
        </w:tc>
        <w:tc>
          <w:tcPr>
            <w:tcW w:w="2551" w:type="dxa"/>
            <w:vAlign w:val="center"/>
          </w:tcPr>
          <w:p>
            <w:pPr>
              <w:pStyle w:val="28"/>
            </w:pPr>
            <w:r>
              <w:t>明显提高</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用户满意度</w:t>
            </w:r>
          </w:p>
        </w:tc>
        <w:tc>
          <w:tcPr>
            <w:tcW w:w="2835" w:type="dxa"/>
            <w:vAlign w:val="center"/>
          </w:tcPr>
          <w:p>
            <w:pPr>
              <w:pStyle w:val="28"/>
            </w:pPr>
            <w:r>
              <w:t>调查中用户反馈满意和较满意的数量占调查用户总数量的比率</w:t>
            </w:r>
          </w:p>
        </w:tc>
        <w:tc>
          <w:tcPr>
            <w:tcW w:w="2551" w:type="dxa"/>
            <w:vAlign w:val="center"/>
          </w:tcPr>
          <w:p>
            <w:pPr>
              <w:pStyle w:val="28"/>
            </w:pPr>
            <w:r>
              <w:t>≥85%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4、网络安全巡查费绩效目标表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1.对全区政务网站、关键信息基础设施、重点企事</w:t>
            </w:r>
            <w:r>
              <w:rPr>
                <w:rFonts w:hint="eastAsia"/>
                <w:lang w:val="en-US" w:eastAsia="zh-CN"/>
              </w:rPr>
              <w:t>业</w:t>
            </w:r>
            <w:r>
              <w:t>单位网站、内网、网络基础设施，进行网络安全检测。对网络安全检测出具测评报告和整改意见。</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开展网络安全检测数量</w:t>
            </w:r>
          </w:p>
        </w:tc>
        <w:tc>
          <w:tcPr>
            <w:tcW w:w="2835" w:type="dxa"/>
            <w:vAlign w:val="center"/>
          </w:tcPr>
          <w:p>
            <w:pPr>
              <w:pStyle w:val="28"/>
            </w:pPr>
            <w:r>
              <w:t>全年组织开展网络安全检测的次数</w:t>
            </w:r>
          </w:p>
        </w:tc>
        <w:tc>
          <w:tcPr>
            <w:tcW w:w="2551" w:type="dxa"/>
            <w:vAlign w:val="center"/>
          </w:tcPr>
          <w:p>
            <w:pPr>
              <w:pStyle w:val="28"/>
            </w:pPr>
            <w:r>
              <w:t>≥1次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云视频数量</w:t>
            </w:r>
          </w:p>
        </w:tc>
        <w:tc>
          <w:tcPr>
            <w:tcW w:w="2835" w:type="dxa"/>
            <w:vAlign w:val="center"/>
          </w:tcPr>
          <w:p>
            <w:pPr>
              <w:pStyle w:val="28"/>
            </w:pPr>
            <w:r>
              <w:t>使用云视频数量</w:t>
            </w:r>
          </w:p>
        </w:tc>
        <w:tc>
          <w:tcPr>
            <w:tcW w:w="2551" w:type="dxa"/>
            <w:vAlign w:val="center"/>
          </w:tcPr>
          <w:p>
            <w:pPr>
              <w:pStyle w:val="28"/>
            </w:pPr>
            <w:r>
              <w:t>1套</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网络检查成果</w:t>
            </w:r>
          </w:p>
        </w:tc>
        <w:tc>
          <w:tcPr>
            <w:tcW w:w="2835" w:type="dxa"/>
            <w:vAlign w:val="center"/>
          </w:tcPr>
          <w:p>
            <w:pPr>
              <w:pStyle w:val="28"/>
            </w:pPr>
            <w:r>
              <w:t>对网络安全检测出具测评报告等情况</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保障业务正常开展</w:t>
            </w:r>
          </w:p>
        </w:tc>
        <w:tc>
          <w:tcPr>
            <w:tcW w:w="2835" w:type="dxa"/>
            <w:vAlign w:val="center"/>
          </w:tcPr>
          <w:p>
            <w:pPr>
              <w:pStyle w:val="28"/>
            </w:pPr>
            <w:r>
              <w:t>按照工作计划完成网络安全检查工作</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资金成本</w:t>
            </w:r>
          </w:p>
        </w:tc>
        <w:tc>
          <w:tcPr>
            <w:tcW w:w="2835" w:type="dxa"/>
            <w:vAlign w:val="center"/>
          </w:tcPr>
          <w:p>
            <w:pPr>
              <w:pStyle w:val="28"/>
            </w:pPr>
            <w:r>
              <w:t>预算资金成本</w:t>
            </w:r>
          </w:p>
        </w:tc>
        <w:tc>
          <w:tcPr>
            <w:tcW w:w="2551" w:type="dxa"/>
            <w:vAlign w:val="center"/>
          </w:tcPr>
          <w:p>
            <w:pPr>
              <w:pStyle w:val="28"/>
            </w:pPr>
            <w:r>
              <w:t>不超过预算成本</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项目实现功能</w:t>
            </w:r>
          </w:p>
        </w:tc>
        <w:tc>
          <w:tcPr>
            <w:tcW w:w="2835" w:type="dxa"/>
            <w:vAlign w:val="center"/>
          </w:tcPr>
          <w:p>
            <w:pPr>
              <w:pStyle w:val="28"/>
            </w:pPr>
            <w:r>
              <w:t>提升我区网络安全管理水平，增强网络安全防护能力</w:t>
            </w:r>
          </w:p>
        </w:tc>
        <w:tc>
          <w:tcPr>
            <w:tcW w:w="2551" w:type="dxa"/>
            <w:vAlign w:val="center"/>
          </w:tcPr>
          <w:p>
            <w:pPr>
              <w:pStyle w:val="28"/>
            </w:pPr>
            <w:r>
              <w:t>有提升</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单位满意度、无安全问题</w:t>
            </w:r>
          </w:p>
        </w:tc>
        <w:tc>
          <w:tcPr>
            <w:tcW w:w="2835" w:type="dxa"/>
            <w:vAlign w:val="center"/>
          </w:tcPr>
          <w:p>
            <w:pPr>
              <w:pStyle w:val="28"/>
            </w:pPr>
            <w:r>
              <w:t>网信办、网民对网络安全环境满意度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5、网络舆情导控技术平台运行服务费绩效目标表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建立舆情应急监测指挥系统，对各大门户网站及社区论坛进行全网监控，7*24小时实时收集、分析、研判、报送和处置网络舆情信息。使用舆情事件分析系统服务，制作、印刷舆情年度报告、舆情案例分析选编以及互联网法律法规等；打造互联网应急指挥技术系统，建立贯通区、乡镇、部门的舆情直报和研判工作体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平台数量</w:t>
            </w:r>
          </w:p>
        </w:tc>
        <w:tc>
          <w:tcPr>
            <w:tcW w:w="2835" w:type="dxa"/>
            <w:vAlign w:val="center"/>
          </w:tcPr>
          <w:p>
            <w:pPr>
              <w:pStyle w:val="28"/>
            </w:pPr>
            <w:r>
              <w:t>使用平台数量</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平台使用验收合格率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业务处理及时率</w:t>
            </w:r>
          </w:p>
        </w:tc>
        <w:tc>
          <w:tcPr>
            <w:tcW w:w="2835" w:type="dxa"/>
            <w:vAlign w:val="center"/>
          </w:tcPr>
          <w:p>
            <w:pPr>
              <w:pStyle w:val="28"/>
            </w:pPr>
            <w:r>
              <w:t>业务处理及时率</w:t>
            </w:r>
          </w:p>
        </w:tc>
        <w:tc>
          <w:tcPr>
            <w:tcW w:w="2551" w:type="dxa"/>
            <w:vAlign w:val="center"/>
          </w:tcPr>
          <w:p>
            <w:pPr>
              <w:pStyle w:val="28"/>
            </w:pPr>
            <w:r>
              <w:t>≥80%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成本控制率</w:t>
            </w:r>
          </w:p>
        </w:tc>
        <w:tc>
          <w:tcPr>
            <w:tcW w:w="2835" w:type="dxa"/>
            <w:vAlign w:val="center"/>
          </w:tcPr>
          <w:p>
            <w:pPr>
              <w:pStyle w:val="28"/>
            </w:pPr>
            <w:r>
              <w:t>购买成本控制率</w:t>
            </w:r>
          </w:p>
        </w:tc>
        <w:tc>
          <w:tcPr>
            <w:tcW w:w="2551" w:type="dxa"/>
            <w:vAlign w:val="center"/>
          </w:tcPr>
          <w:p>
            <w:pPr>
              <w:pStyle w:val="28"/>
            </w:pPr>
            <w:r>
              <w:t>在预算成本内</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舆情监控能力提高程度</w:t>
            </w:r>
          </w:p>
        </w:tc>
        <w:tc>
          <w:tcPr>
            <w:tcW w:w="2835" w:type="dxa"/>
            <w:vAlign w:val="center"/>
          </w:tcPr>
          <w:p>
            <w:pPr>
              <w:pStyle w:val="28"/>
            </w:pPr>
            <w:r>
              <w:t>对全区舆情监测能力提高情况</w:t>
            </w:r>
          </w:p>
        </w:tc>
        <w:tc>
          <w:tcPr>
            <w:tcW w:w="2551" w:type="dxa"/>
            <w:vAlign w:val="center"/>
          </w:tcPr>
          <w:p>
            <w:pPr>
              <w:pStyle w:val="28"/>
            </w:pPr>
            <w:r>
              <w:t>明显提高</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用户满意度</w:t>
            </w:r>
          </w:p>
        </w:tc>
        <w:tc>
          <w:tcPr>
            <w:tcW w:w="2835" w:type="dxa"/>
            <w:vAlign w:val="center"/>
          </w:tcPr>
          <w:p>
            <w:pPr>
              <w:pStyle w:val="28"/>
            </w:pPr>
            <w:r>
              <w:t>调查中用户反馈满意和较满意的数量占调查用户总数量的比率</w:t>
            </w:r>
          </w:p>
        </w:tc>
        <w:tc>
          <w:tcPr>
            <w:tcW w:w="2551" w:type="dxa"/>
            <w:vAlign w:val="center"/>
          </w:tcPr>
          <w:p>
            <w:pPr>
              <w:pStyle w:val="28"/>
            </w:pPr>
            <w:r>
              <w:t>≥85%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6、云端数据库更新服务费绩效目标表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1.与云端数据库定期匹配，数据库与本地漏洞可实现匹配。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全天候不间断监测更新数量</w:t>
            </w:r>
          </w:p>
        </w:tc>
        <w:tc>
          <w:tcPr>
            <w:tcW w:w="2835" w:type="dxa"/>
            <w:vAlign w:val="center"/>
          </w:tcPr>
          <w:p>
            <w:pPr>
              <w:pStyle w:val="28"/>
            </w:pPr>
            <w:r>
              <w:t>根据云端数据库更新情况不限次数更新</w:t>
            </w:r>
          </w:p>
        </w:tc>
        <w:tc>
          <w:tcPr>
            <w:tcW w:w="2551" w:type="dxa"/>
            <w:vAlign w:val="center"/>
          </w:tcPr>
          <w:p>
            <w:pPr>
              <w:pStyle w:val="28"/>
            </w:pPr>
            <w:r>
              <w:t>≥3次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项目信息准确率</w:t>
            </w:r>
          </w:p>
        </w:tc>
        <w:tc>
          <w:tcPr>
            <w:tcW w:w="2835" w:type="dxa"/>
            <w:vAlign w:val="center"/>
          </w:tcPr>
          <w:p>
            <w:pPr>
              <w:pStyle w:val="28"/>
            </w:pPr>
            <w:r>
              <w:t>与云端数据库同步</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数据更新及时</w:t>
            </w:r>
          </w:p>
        </w:tc>
        <w:tc>
          <w:tcPr>
            <w:tcW w:w="2835" w:type="dxa"/>
            <w:vAlign w:val="center"/>
          </w:tcPr>
          <w:p>
            <w:pPr>
              <w:pStyle w:val="28"/>
            </w:pPr>
            <w:r>
              <w:t>定期与云端数据库比对更新</w:t>
            </w:r>
          </w:p>
        </w:tc>
        <w:tc>
          <w:tcPr>
            <w:tcW w:w="2551" w:type="dxa"/>
            <w:vAlign w:val="center"/>
          </w:tcPr>
          <w:p>
            <w:pPr>
              <w:pStyle w:val="28"/>
            </w:pPr>
            <w:r>
              <w:t>定期与云端数据库比对更新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成本控制率</w:t>
            </w:r>
          </w:p>
        </w:tc>
        <w:tc>
          <w:tcPr>
            <w:tcW w:w="2835" w:type="dxa"/>
            <w:vAlign w:val="center"/>
          </w:tcPr>
          <w:p>
            <w:pPr>
              <w:pStyle w:val="28"/>
            </w:pPr>
            <w:r>
              <w:t>实时自动更新无需人工操作</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项目实现效果</w:t>
            </w:r>
          </w:p>
        </w:tc>
        <w:tc>
          <w:tcPr>
            <w:tcW w:w="2835" w:type="dxa"/>
            <w:vAlign w:val="center"/>
          </w:tcPr>
          <w:p>
            <w:pPr>
              <w:pStyle w:val="28"/>
            </w:pPr>
            <w:r>
              <w:t>增强网络安全防护能力</w:t>
            </w:r>
          </w:p>
        </w:tc>
        <w:tc>
          <w:tcPr>
            <w:tcW w:w="2551" w:type="dxa"/>
            <w:vAlign w:val="center"/>
          </w:tcPr>
          <w:p>
            <w:pPr>
              <w:pStyle w:val="28"/>
            </w:pPr>
            <w:r>
              <w:t>增强网络安全防护能力</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服务应用效果</w:t>
            </w:r>
          </w:p>
        </w:tc>
        <w:tc>
          <w:tcPr>
            <w:tcW w:w="2835" w:type="dxa"/>
            <w:vAlign w:val="center"/>
          </w:tcPr>
          <w:p>
            <w:pPr>
              <w:pStyle w:val="28"/>
            </w:pPr>
            <w:r>
              <w:t>定期更新不出现大范围数据库不匹配现象</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监测用户满意度</w:t>
            </w:r>
          </w:p>
        </w:tc>
        <w:tc>
          <w:tcPr>
            <w:tcW w:w="2835" w:type="dxa"/>
            <w:vAlign w:val="center"/>
          </w:tcPr>
          <w:p>
            <w:pPr>
              <w:pStyle w:val="28"/>
            </w:pPr>
            <w:r>
              <w:t>监测用户满意度</w:t>
            </w:r>
          </w:p>
        </w:tc>
        <w:tc>
          <w:tcPr>
            <w:tcW w:w="2551" w:type="dxa"/>
            <w:vAlign w:val="center"/>
          </w:tcPr>
          <w:p>
            <w:pPr>
              <w:pStyle w:val="28"/>
            </w:pPr>
            <w:r>
              <w:t>确保数据库数据更新，无不匹配现象</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5" w:name="_Toc1060"/>
      <w:r>
        <w:rPr>
          <w:rFonts w:ascii="黑体" w:hAnsi="黑体" w:eastAsia="黑体" w:cs="黑体"/>
          <w:color w:val="000000"/>
          <w:sz w:val="32"/>
        </w:rPr>
        <w:t>六、政府采购预算情况</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2022年，中共石家庄市藁城区委网络安全和信息化委员会办公室安排政府采购预算40.00万元。具体内容见下表。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40.00</w:t>
            </w:r>
          </w:p>
        </w:tc>
        <w:tc>
          <w:tcPr>
            <w:tcW w:w="964" w:type="dxa"/>
            <w:vAlign w:val="center"/>
          </w:tcPr>
          <w:p>
            <w:pPr>
              <w:pStyle w:val="17"/>
            </w:pPr>
            <w:r>
              <w:t>40.00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中共石家庄市藁城区委网络安全和信息化委员会办公室本级小计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40.00</w:t>
            </w:r>
          </w:p>
        </w:tc>
        <w:tc>
          <w:tcPr>
            <w:tcW w:w="964" w:type="dxa"/>
            <w:vAlign w:val="center"/>
          </w:tcPr>
          <w:p>
            <w:pPr>
              <w:pStyle w:val="17"/>
            </w:pPr>
            <w:r>
              <w:t>40.00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网络安全态势感知平台运行维护费</w:t>
            </w:r>
          </w:p>
        </w:tc>
        <w:tc>
          <w:tcPr>
            <w:tcW w:w="964" w:type="dxa"/>
            <w:vAlign w:val="center"/>
          </w:tcPr>
          <w:p>
            <w:pPr>
              <w:pStyle w:val="13"/>
            </w:pPr>
            <w:r>
              <w:t>21.98</w:t>
            </w:r>
          </w:p>
        </w:tc>
        <w:tc>
          <w:tcPr>
            <w:tcW w:w="1134" w:type="dxa"/>
            <w:vAlign w:val="center"/>
          </w:tcPr>
          <w:p>
            <w:pPr>
              <w:pStyle w:val="14"/>
            </w:pPr>
            <w:r>
              <w:t>软件运维服务</w:t>
            </w:r>
          </w:p>
        </w:tc>
        <w:tc>
          <w:tcPr>
            <w:tcW w:w="1134" w:type="dxa"/>
            <w:vAlign w:val="center"/>
          </w:tcPr>
          <w:p>
            <w:pPr>
              <w:pStyle w:val="14"/>
            </w:pPr>
            <w:r>
              <w:t>C020603</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网络舆情导控技术平台运行服务费</w:t>
            </w:r>
          </w:p>
        </w:tc>
        <w:tc>
          <w:tcPr>
            <w:tcW w:w="964" w:type="dxa"/>
            <w:vAlign w:val="center"/>
          </w:tcPr>
          <w:p>
            <w:pPr>
              <w:pStyle w:val="13"/>
            </w:pPr>
            <w:r>
              <w:t>21.98</w:t>
            </w:r>
          </w:p>
        </w:tc>
        <w:tc>
          <w:tcPr>
            <w:tcW w:w="1134" w:type="dxa"/>
            <w:vAlign w:val="center"/>
          </w:tcPr>
          <w:p>
            <w:pPr>
              <w:pStyle w:val="14"/>
            </w:pPr>
            <w:r>
              <w:t>软件运维服务</w:t>
            </w:r>
          </w:p>
        </w:tc>
        <w:tc>
          <w:tcPr>
            <w:tcW w:w="1134" w:type="dxa"/>
            <w:vAlign w:val="center"/>
          </w:tcPr>
          <w:p>
            <w:pPr>
              <w:pStyle w:val="14"/>
            </w:pPr>
            <w:r>
              <w:t>C020603</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6812"/>
      <w:r>
        <w:rPr>
          <w:rFonts w:ascii="黑体" w:hAnsi="黑体" w:eastAsia="黑体" w:cs="黑体"/>
          <w:color w:val="000000"/>
          <w:sz w:val="32"/>
        </w:rPr>
        <w:t>七、国有资产信息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中共石家庄市藁城区委网络安全和信息化委员会办公室（含所属单位）上年末固定资产金额为25.92万元（详见下表）。本年度拟购置固定资产总额为0.00万元，已按要求列入政府采购预算，详见政府采购预算表。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224中共石家庄市藁城区委网络安全和信息化委员会办公室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77</w:t>
            </w:r>
          </w:p>
        </w:tc>
        <w:tc>
          <w:tcPr>
            <w:tcW w:w="2835" w:type="dxa"/>
            <w:vAlign w:val="center"/>
          </w:tcPr>
          <w:p>
            <w:pPr>
              <w:pStyle w:val="13"/>
            </w:pPr>
            <w:r>
              <w:t>25.92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15786"/>
      <w:r>
        <w:rPr>
          <w:rFonts w:ascii="黑体" w:hAnsi="黑体" w:eastAsia="黑体" w:cs="黑体"/>
          <w:color w:val="000000"/>
          <w:sz w:val="32"/>
        </w:rPr>
        <w:t>八、名词解释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15631"/>
      <w:r>
        <w:rPr>
          <w:rFonts w:ascii="黑体" w:hAnsi="黑体" w:eastAsia="黑体" w:cs="黑体"/>
          <w:color w:val="000000"/>
          <w:sz w:val="32"/>
        </w:rPr>
        <w:t>九、其他需要说明的事项</w:t>
      </w:r>
      <w:bookmarkEnd w:id="18"/>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F12E19"/>
    <w:multiLevelType w:val="singleLevel"/>
    <w:tmpl w:val="D5F12E19"/>
    <w:lvl w:ilvl="0" w:tentative="0">
      <w:start w:val="3"/>
      <w:numFmt w:val="chineseCounting"/>
      <w:suff w:val="nothing"/>
      <w:lvlText w:val="%1、"/>
      <w:lvlJc w:val="left"/>
      <w:rPr>
        <w:rFonts w:hint="eastAsia"/>
      </w:rPr>
    </w:lvl>
  </w:abstractNum>
  <w:abstractNum w:abstractNumId="1">
    <w:nsid w:val="20B288D8"/>
    <w:multiLevelType w:val="singleLevel"/>
    <w:tmpl w:val="20B288D8"/>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FhODMyYTNhOTBmNzZjNmI2ZmFkNjRmN2UzZmY1MjgifQ=="/>
  </w:docVars>
  <w:rsids>
    <w:rsidRoot w:val="00000000"/>
    <w:rsid w:val="004A4462"/>
    <w:rsid w:val="007D3A79"/>
    <w:rsid w:val="01B97168"/>
    <w:rsid w:val="055F2BCB"/>
    <w:rsid w:val="057E74F5"/>
    <w:rsid w:val="08E91129"/>
    <w:rsid w:val="10984505"/>
    <w:rsid w:val="124B075F"/>
    <w:rsid w:val="17B62B1E"/>
    <w:rsid w:val="181B2993"/>
    <w:rsid w:val="18C94AD3"/>
    <w:rsid w:val="19137AFC"/>
    <w:rsid w:val="1CC01D49"/>
    <w:rsid w:val="2007060B"/>
    <w:rsid w:val="22043B2A"/>
    <w:rsid w:val="23A3664D"/>
    <w:rsid w:val="23E9569E"/>
    <w:rsid w:val="253E07F5"/>
    <w:rsid w:val="25A03D3B"/>
    <w:rsid w:val="28602F88"/>
    <w:rsid w:val="2D713318"/>
    <w:rsid w:val="2FBE3FAB"/>
    <w:rsid w:val="30354AD0"/>
    <w:rsid w:val="33A81A9A"/>
    <w:rsid w:val="35611C08"/>
    <w:rsid w:val="36874E4E"/>
    <w:rsid w:val="380D6333"/>
    <w:rsid w:val="4021297B"/>
    <w:rsid w:val="49AD5280"/>
    <w:rsid w:val="4A1E1CDA"/>
    <w:rsid w:val="516E79EA"/>
    <w:rsid w:val="552F3B91"/>
    <w:rsid w:val="597436C4"/>
    <w:rsid w:val="597B2CA5"/>
    <w:rsid w:val="5D324D98"/>
    <w:rsid w:val="637349EC"/>
    <w:rsid w:val="63FF2724"/>
    <w:rsid w:val="64FD4BAB"/>
    <w:rsid w:val="6BA70FD1"/>
    <w:rsid w:val="6D9B526C"/>
    <w:rsid w:val="6E702B77"/>
    <w:rsid w:val="70363899"/>
    <w:rsid w:val="706F478E"/>
    <w:rsid w:val="724E4FA2"/>
    <w:rsid w:val="7CC83BA3"/>
    <w:rsid w:val="7CCC5441"/>
    <w:rsid w:val="7D62628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5347af6-f1ca-4327-8c4b-9712bed9d9c4"/>
    <w:autoRedefine/>
    <w:qFormat/>
    <w:uiPriority w:val="0"/>
    <w:rPr>
      <w:rFonts w:ascii="Times New Roman" w:hAnsi="Times New Roman" w:eastAsia="Times New Roman" w:cstheme="minorBidi"/>
      <w:sz w:val="24"/>
      <w:szCs w:val="24"/>
      <w:lang w:val="en-US" w:eastAsia="uk-UA" w:bidi="ar-SA"/>
    </w:rPr>
  </w:style>
  <w:style w:type="paragraph" w:customStyle="1" w:styleId="27">
    <w:name w:val="单元格样式1_002e7823-d353-4a77-a7ed-c406b4e2a0e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068e2d54-4ff7-40b3-891b-e778a98f3144"/>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17217af-54d3-47e1-a7b3-0e872b2a2c76"/>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2022-02-14T17:25:05Z</dcterms:created>
  <dcterms:modified xsi:type="dcterms:W3CDTF">2022-02-14T09:25:04Z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2022-02-14T17:25:19Z</dcterms:created>
  <dcterms:modified xsi:type="dcterms:W3CDTF">2022-02-14T09:25:19Z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2022-02-14T17:25:16Z</dcterms:created>
  <dcterms:modified xsi:type="dcterms:W3CDTF">2022-02-14T09:25:16Z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2022-02-14T17:25:12Z</dcterms:created>
  <dcterms:modified xsi:type="dcterms:W3CDTF">2022-02-14T09:25:12Z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0184e44-767e-4101-b1cc-0c52a85276f3}">
  <ds:schemaRefs/>
</ds:datastoreItem>
</file>

<file path=customXml/itemProps2.xml><?xml version="1.0" encoding="utf-8"?>
<ds:datastoreItem xmlns:ds="http://schemas.openxmlformats.org/officeDocument/2006/customXml" ds:itemID="{bf393d72-5bca-4b49-8ef4-9a0e1d5b1aa2}">
  <ds:schemaRefs/>
</ds:datastoreItem>
</file>

<file path=customXml/itemProps3.xml><?xml version="1.0" encoding="utf-8"?>
<ds:datastoreItem xmlns:ds="http://schemas.openxmlformats.org/officeDocument/2006/customXml" ds:itemID="{d8b89db9-6e84-448e-a6ab-169e9b39b70b}">
  <ds:schemaRefs/>
</ds:datastoreItem>
</file>

<file path=customXml/itemProps4.xml><?xml version="1.0" encoding="utf-8"?>
<ds:datastoreItem xmlns:ds="http://schemas.openxmlformats.org/officeDocument/2006/customXml" ds:itemID="{098155ab-2dd6-48fe-a49c-9f495a3da5d2}">
  <ds:schemaRefs/>
</ds:datastoreItem>
</file>

<file path=customXml/itemProps5.xml><?xml version="1.0" encoding="utf-8"?>
<ds:datastoreItem xmlns:ds="http://schemas.openxmlformats.org/officeDocument/2006/customXml" ds:itemID="{fd2a0148-9297-4fd0-a51c-a7eb028fff0f}">
  <ds:schemaRefs/>
</ds:datastoreItem>
</file>

<file path=customXml/itemProps6.xml><?xml version="1.0" encoding="utf-8"?>
<ds:datastoreItem xmlns:ds="http://schemas.openxmlformats.org/officeDocument/2006/customXml" ds:itemID="{18b34e6d-fccc-4117-9a76-447abc7e5758}">
  <ds:schemaRefs/>
</ds:datastoreItem>
</file>

<file path=customXml/itemProps7.xml><?xml version="1.0" encoding="utf-8"?>
<ds:datastoreItem xmlns:ds="http://schemas.openxmlformats.org/officeDocument/2006/customXml" ds:itemID="{14204682-9603-4a9b-a461-fd12f6ccac70}">
  <ds:schemaRefs/>
</ds:datastoreItem>
</file>

<file path=customXml/itemProps8.xml><?xml version="1.0" encoding="utf-8"?>
<ds:datastoreItem xmlns:ds="http://schemas.openxmlformats.org/officeDocument/2006/customXml" ds:itemID="{31e5fcbf-7339-4c47-9d24-24a7d52ff7ac}">
  <ds:schemaRefs/>
</ds:datastoreItem>
</file>

<file path=docProps/app.xml><?xml version="1.0" encoding="utf-8"?>
<Properties xmlns="http://schemas.openxmlformats.org/officeDocument/2006/extended-properties" xmlns:vt="http://schemas.openxmlformats.org/officeDocument/2006/docPropsVTypes">
  <Pages>35</Pages>
  <Words>8275</Words>
  <Characters>9246</Characters>
  <TotalTime>6</TotalTime>
  <ScaleCrop>false</ScaleCrop>
  <LinksUpToDate>false</LinksUpToDate>
  <CharactersWithSpaces>9934</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wxb5</dc:creator>
  <cp:lastModifiedBy>HP</cp:lastModifiedBy>
  <dcterms:modified xsi:type="dcterms:W3CDTF">2024-02-23T03:06:33Z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8968E57C41404650BEA6E178DBE14C76</vt:lpwstr>
  </property>
</Properties>
</file>