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eastAsia="zh-CN"/>
        </w:rPr>
        <w:t>石家庄市藁城区住房和城乡建设局所属单位</w:t>
      </w:r>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预算公开</w:t>
      </w:r>
    </w:p>
    <w:p>
      <w:pPr>
        <w:pStyle w:val="5"/>
        <w:tabs>
          <w:tab w:val="right" w:leader="dot" w:pos="14572"/>
        </w:tabs>
      </w:pPr>
    </w:p>
    <w:p>
      <w:pPr>
        <w:pStyle w:val="5"/>
        <w:tabs>
          <w:tab w:val="right" w:leader="dot" w:pos="14800"/>
        </w:tabs>
      </w:pPr>
      <w:bookmarkStart w:id="0" w:name="_Toc4283"/>
      <w:r>
        <w:fldChar w:fldCharType="begin"/>
      </w:r>
      <w:r>
        <w:instrText xml:space="preserve">TOC \o "4-4" \h \z \u</w:instrText>
      </w:r>
      <w:r>
        <w:fldChar w:fldCharType="separate"/>
      </w:r>
      <w:r>
        <w:fldChar w:fldCharType="begin"/>
      </w:r>
      <w:r>
        <w:instrText xml:space="preserve"> HYPERLINK \l _Toc26382 </w:instrText>
      </w:r>
      <w:r>
        <w:fldChar w:fldCharType="separate"/>
      </w:r>
      <w:r>
        <w:rPr>
          <w:rFonts w:ascii="方正小标宋_GBK" w:hAnsi="方正小标宋_GBK" w:eastAsia="方正小标宋_GBK" w:cs="方正小标宋_GBK"/>
        </w:rPr>
        <w:t>一、石家庄市藁城区住房和城乡建设局本级收支预算</w:t>
      </w:r>
      <w:r>
        <w:tab/>
      </w:r>
      <w:r>
        <w:fldChar w:fldCharType="begin"/>
      </w:r>
      <w:r>
        <w:instrText xml:space="preserve"> PAGEREF _Toc26382 \h </w:instrText>
      </w:r>
      <w:r>
        <w:fldChar w:fldCharType="separate"/>
      </w:r>
      <w:r>
        <w:t>1</w:t>
      </w:r>
      <w:r>
        <w:fldChar w:fldCharType="end"/>
      </w:r>
      <w:r>
        <w:fldChar w:fldCharType="end"/>
      </w:r>
    </w:p>
    <w:p>
      <w:pPr>
        <w:pStyle w:val="5"/>
        <w:tabs>
          <w:tab w:val="right" w:leader="dot" w:pos="14800"/>
        </w:tabs>
      </w:pPr>
      <w:r>
        <w:fldChar w:fldCharType="begin"/>
      </w:r>
      <w:r>
        <w:instrText xml:space="preserve"> HYPERLINK \l _Toc9739 </w:instrText>
      </w:r>
      <w:r>
        <w:fldChar w:fldCharType="separate"/>
      </w:r>
      <w:r>
        <w:rPr>
          <w:rFonts w:ascii="方正小标宋_GBK" w:hAnsi="方正小标宋_GBK" w:eastAsia="方正小标宋_GBK" w:cs="方正小标宋_GBK"/>
        </w:rPr>
        <w:t>二、石家庄市藁城区人民广场收支预算</w:t>
      </w:r>
      <w:r>
        <w:tab/>
      </w:r>
      <w:r>
        <w:fldChar w:fldCharType="begin"/>
      </w:r>
      <w:r>
        <w:instrText xml:space="preserve"> PAGEREF _Toc9739 \h </w:instrText>
      </w:r>
      <w:r>
        <w:fldChar w:fldCharType="separate"/>
      </w:r>
      <w:r>
        <w:t>88</w:t>
      </w:r>
      <w:r>
        <w:fldChar w:fldCharType="end"/>
      </w:r>
      <w:r>
        <w:fldChar w:fldCharType="end"/>
      </w:r>
    </w:p>
    <w:p>
      <w:pPr>
        <w:spacing w:before="0" w:after="0"/>
        <w:ind w:firstLine="0"/>
        <w:jc w:val="center"/>
        <w:outlineLvl w:val="3"/>
        <w:rPr>
          <w:rFonts w:hint="eastAsia" w:asciiTheme="minorEastAsia" w:hAnsiTheme="minorEastAsia" w:eastAsiaTheme="minorEastAsia"/>
          <w:lang w:eastAsia="zh-CN"/>
        </w:rPr>
      </w:pPr>
      <w:r>
        <w:fldChar w:fldCharType="end"/>
      </w:r>
    </w:p>
    <w:p>
      <w:pPr>
        <w:spacing w:before="0" w:after="0"/>
        <w:ind w:firstLine="0"/>
        <w:jc w:val="center"/>
        <w:outlineLvl w:val="3"/>
        <w:rPr>
          <w:rFonts w:hint="eastAsia" w:asciiTheme="minorEastAsia" w:hAnsiTheme="minorEastAsia" w:eastAsiaTheme="minorEastAsia"/>
          <w:lang w:eastAsia="zh-CN"/>
        </w:rPr>
      </w:pPr>
    </w:p>
    <w:p>
      <w:pPr>
        <w:spacing w:before="0" w:after="0"/>
        <w:ind w:firstLine="0"/>
        <w:jc w:val="center"/>
        <w:outlineLvl w:val="3"/>
        <w:rPr>
          <w:rFonts w:hint="eastAsia" w:asciiTheme="minorEastAsia" w:hAnsiTheme="minorEastAsia" w:eastAsiaTheme="minorEastAsia"/>
          <w:lang w:eastAsia="zh-CN"/>
        </w:rPr>
      </w:pPr>
    </w:p>
    <w:p>
      <w:pPr>
        <w:spacing w:before="0" w:after="0"/>
        <w:ind w:firstLine="0"/>
        <w:jc w:val="center"/>
        <w:outlineLvl w:val="3"/>
        <w:rPr>
          <w:rFonts w:hint="eastAsia" w:asciiTheme="minorEastAsia" w:hAnsiTheme="minorEastAsia" w:eastAsiaTheme="minorEastAsia"/>
          <w:lang w:eastAsia="zh-CN"/>
        </w:rPr>
      </w:pPr>
    </w:p>
    <w:p>
      <w:pPr>
        <w:spacing w:before="0" w:after="0"/>
        <w:ind w:firstLine="0"/>
        <w:jc w:val="center"/>
        <w:outlineLvl w:val="3"/>
        <w:rPr>
          <w:rFonts w:hint="eastAsia" w:asciiTheme="minorEastAsia" w:hAnsiTheme="minorEastAsia" w:eastAsiaTheme="minorEastAsia"/>
          <w:lang w:eastAsia="zh-CN"/>
        </w:rPr>
      </w:pPr>
    </w:p>
    <w:p>
      <w:pPr>
        <w:spacing w:before="0" w:after="0"/>
        <w:ind w:firstLine="0"/>
        <w:jc w:val="center"/>
        <w:outlineLvl w:val="3"/>
        <w:rPr>
          <w:rFonts w:hint="eastAsia" w:asciiTheme="minorEastAsia" w:hAnsiTheme="minorEastAsia" w:eastAsiaTheme="minorEastAsia"/>
          <w:lang w:eastAsia="zh-CN"/>
        </w:rPr>
      </w:pPr>
    </w:p>
    <w:p>
      <w:pPr>
        <w:spacing w:before="0" w:after="0"/>
        <w:ind w:firstLine="0"/>
        <w:jc w:val="center"/>
        <w:outlineLvl w:val="3"/>
        <w:rPr>
          <w:rFonts w:hint="eastAsia" w:asciiTheme="minorEastAsia" w:hAnsiTheme="minorEastAsia" w:eastAsiaTheme="minorEastAsia"/>
          <w:lang w:eastAsia="zh-CN"/>
        </w:rPr>
      </w:pPr>
    </w:p>
    <w:p>
      <w:pPr>
        <w:spacing w:before="0" w:after="0"/>
        <w:ind w:firstLine="0"/>
        <w:jc w:val="center"/>
        <w:outlineLvl w:val="3"/>
        <w:rPr>
          <w:rFonts w:hint="eastAsia" w:asciiTheme="minorEastAsia" w:hAnsiTheme="minorEastAsia" w:eastAsiaTheme="minorEastAsia"/>
          <w:lang w:eastAsia="zh-CN"/>
        </w:rPr>
      </w:pPr>
    </w:p>
    <w:p>
      <w:pPr>
        <w:spacing w:before="0" w:after="0"/>
        <w:ind w:firstLine="0"/>
        <w:jc w:val="center"/>
        <w:outlineLvl w:val="3"/>
        <w:rPr>
          <w:rFonts w:hint="eastAsia" w:asciiTheme="minorEastAsia" w:hAnsiTheme="minorEastAsia" w:eastAsiaTheme="minorEastAsia"/>
          <w:lang w:eastAsia="zh-CN"/>
        </w:rPr>
      </w:pPr>
    </w:p>
    <w:p>
      <w:pPr>
        <w:spacing w:before="0" w:after="0"/>
        <w:ind w:firstLine="0"/>
        <w:jc w:val="center"/>
        <w:outlineLvl w:val="3"/>
        <w:rPr>
          <w:rFonts w:hint="eastAsia" w:asciiTheme="minorEastAsia" w:hAnsiTheme="minorEastAsia" w:eastAsiaTheme="minorEastAsia"/>
          <w:lang w:eastAsia="zh-CN"/>
        </w:rPr>
      </w:pPr>
    </w:p>
    <w:p>
      <w:pPr>
        <w:spacing w:before="0" w:after="0"/>
        <w:ind w:firstLine="0"/>
        <w:jc w:val="center"/>
        <w:outlineLvl w:val="3"/>
        <w:rPr>
          <w:rFonts w:hint="eastAsia" w:asciiTheme="minorEastAsia" w:hAnsiTheme="minorEastAsia" w:eastAsiaTheme="minorEastAsia"/>
          <w:lang w:eastAsia="zh-CN"/>
        </w:rPr>
      </w:pPr>
    </w:p>
    <w:p>
      <w:pPr>
        <w:spacing w:before="0" w:after="0"/>
        <w:ind w:firstLine="0"/>
        <w:jc w:val="center"/>
        <w:outlineLvl w:val="3"/>
        <w:rPr>
          <w:rFonts w:hint="eastAsia" w:asciiTheme="minorEastAsia" w:hAnsiTheme="minorEastAsia" w:eastAsiaTheme="minorEastAsia"/>
          <w:lang w:eastAsia="zh-CN"/>
        </w:rPr>
      </w:pPr>
    </w:p>
    <w:p>
      <w:pPr>
        <w:spacing w:before="0" w:after="0"/>
        <w:ind w:firstLine="0"/>
        <w:jc w:val="center"/>
        <w:outlineLvl w:val="3"/>
        <w:rPr>
          <w:rFonts w:hint="eastAsia" w:asciiTheme="minorEastAsia" w:hAnsiTheme="minorEastAsia" w:eastAsiaTheme="minorEastAsia"/>
          <w:lang w:eastAsia="zh-CN"/>
        </w:rPr>
      </w:pPr>
    </w:p>
    <w:p>
      <w:pPr>
        <w:spacing w:before="0" w:after="0"/>
        <w:ind w:firstLine="0"/>
        <w:jc w:val="center"/>
        <w:outlineLvl w:val="3"/>
        <w:rPr>
          <w:rFonts w:hint="eastAsia" w:asciiTheme="minorEastAsia" w:hAnsiTheme="minorEastAsia" w:eastAsiaTheme="minorEastAsia"/>
          <w:lang w:eastAsia="zh-CN"/>
        </w:rPr>
      </w:pPr>
    </w:p>
    <w:p>
      <w:pPr>
        <w:spacing w:before="0" w:after="0"/>
        <w:ind w:firstLine="0"/>
        <w:jc w:val="center"/>
        <w:outlineLvl w:val="3"/>
        <w:rPr>
          <w:rFonts w:hint="eastAsia" w:asciiTheme="minorEastAsia" w:hAnsiTheme="minorEastAsia" w:eastAsiaTheme="minorEastAsia"/>
          <w:lang w:eastAsia="zh-CN"/>
        </w:rPr>
      </w:pPr>
    </w:p>
    <w:p>
      <w:pPr>
        <w:spacing w:before="0" w:after="0"/>
        <w:ind w:firstLine="0"/>
        <w:jc w:val="center"/>
        <w:outlineLvl w:val="3"/>
        <w:rPr>
          <w:rFonts w:hint="eastAsia" w:asciiTheme="minorEastAsia" w:hAnsiTheme="minorEastAsia" w:eastAsiaTheme="minorEastAsia"/>
          <w:lang w:eastAsia="zh-CN"/>
        </w:rPr>
      </w:pPr>
    </w:p>
    <w:p>
      <w:pPr>
        <w:spacing w:before="0" w:after="0"/>
        <w:ind w:firstLine="0"/>
        <w:jc w:val="center"/>
        <w:outlineLvl w:val="3"/>
        <w:rPr>
          <w:rFonts w:hint="eastAsia" w:asciiTheme="minorEastAsia" w:hAnsiTheme="minorEastAsia" w:eastAsiaTheme="minorEastAsia"/>
          <w:lang w:eastAsia="zh-CN"/>
        </w:rPr>
      </w:pPr>
    </w:p>
    <w:p>
      <w:pPr>
        <w:spacing w:before="0" w:after="0"/>
        <w:ind w:firstLine="0"/>
        <w:jc w:val="center"/>
        <w:outlineLvl w:val="3"/>
        <w:rPr>
          <w:rFonts w:hint="eastAsia" w:asciiTheme="minorEastAsia" w:hAnsiTheme="minorEastAsia" w:eastAsiaTheme="minorEastAsia"/>
          <w:lang w:eastAsia="zh-CN"/>
        </w:rPr>
      </w:pPr>
    </w:p>
    <w:p>
      <w:pPr>
        <w:spacing w:before="0" w:after="0"/>
        <w:ind w:firstLine="0"/>
        <w:jc w:val="center"/>
        <w:outlineLvl w:val="3"/>
        <w:rPr>
          <w:rFonts w:hint="eastAsia" w:asciiTheme="minorEastAsia" w:hAnsiTheme="minorEastAsia" w:eastAsiaTheme="minorEastAsia"/>
          <w:lang w:eastAsia="zh-CN"/>
        </w:rPr>
      </w:pPr>
    </w:p>
    <w:p>
      <w:pPr>
        <w:spacing w:before="0" w:after="0"/>
        <w:ind w:firstLine="0"/>
        <w:jc w:val="center"/>
        <w:outlineLvl w:val="3"/>
        <w:rPr>
          <w:rFonts w:hint="eastAsia" w:asciiTheme="minorEastAsia" w:hAnsiTheme="minorEastAsia" w:eastAsiaTheme="minorEastAsia"/>
          <w:lang w:eastAsia="zh-CN"/>
        </w:rPr>
      </w:pPr>
    </w:p>
    <w:p>
      <w:pPr>
        <w:spacing w:before="0" w:after="0"/>
        <w:ind w:firstLine="0"/>
        <w:jc w:val="center"/>
        <w:outlineLvl w:val="3"/>
        <w:rPr>
          <w:rFonts w:hint="eastAsia" w:asciiTheme="minorEastAsia" w:hAnsiTheme="minorEastAsia" w:eastAsiaTheme="minorEastAsia"/>
          <w:lang w:eastAsia="zh-CN"/>
        </w:rPr>
      </w:pPr>
    </w:p>
    <w:p>
      <w:pPr>
        <w:spacing w:before="0" w:after="0"/>
        <w:ind w:firstLine="0"/>
        <w:jc w:val="center"/>
        <w:outlineLvl w:val="3"/>
        <w:rPr>
          <w:rFonts w:hint="eastAsia" w:asciiTheme="minorEastAsia" w:hAnsiTheme="minorEastAsia" w:eastAsiaTheme="minorEastAsia"/>
          <w:lang w:eastAsia="zh-CN"/>
        </w:rPr>
      </w:pPr>
    </w:p>
    <w:bookmarkEnd w:id="0"/>
    <w:p>
      <w:pPr>
        <w:jc w:val="center"/>
      </w:pPr>
    </w:p>
    <w:p>
      <w:pPr>
        <w:jc w:val="center"/>
        <w:outlineLvl w:val="3"/>
        <w:rPr>
          <w:rFonts w:ascii="方正小标宋_GBK" w:hAnsi="方正小标宋_GBK" w:eastAsia="方正小标宋_GBK" w:cs="方正小标宋_GBK"/>
          <w:color w:val="000000"/>
          <w:sz w:val="44"/>
        </w:rPr>
        <w:sectPr>
          <w:footerReference r:id="rId3" w:type="even"/>
          <w:pgSz w:w="16840" w:h="11900" w:orient="landscape"/>
          <w:pgMar w:top="1361" w:right="1020" w:bottom="1134" w:left="1020" w:header="720" w:footer="720" w:gutter="0"/>
          <w:cols w:space="720" w:num="1"/>
        </w:sectPr>
      </w:pPr>
    </w:p>
    <w:p>
      <w:pPr>
        <w:jc w:val="center"/>
        <w:outlineLvl w:val="3"/>
      </w:pPr>
      <w:bookmarkStart w:id="1" w:name="_Toc26382"/>
      <w:r>
        <w:rPr>
          <w:rFonts w:ascii="方正小标宋_GBK" w:hAnsi="方正小标宋_GBK" w:eastAsia="方正小标宋_GBK" w:cs="方正小标宋_GBK"/>
          <w:color w:val="000000"/>
          <w:sz w:val="44"/>
        </w:rPr>
        <w:t>一、石家庄市藁城区住房和城乡建设局本级收支预算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8"/>
            </w:pPr>
            <w:r>
              <w:t>333001石家庄市藁城区住房和城乡建设局本级</w:t>
            </w:r>
          </w:p>
        </w:tc>
        <w:tc>
          <w:tcPr>
            <w:tcW w:w="2959" w:type="dxa"/>
            <w:tcBorders>
              <w:top w:val="single" w:color="FFFFFF" w:sz="6" w:space="0"/>
              <w:left w:val="single" w:color="FFFFFF" w:sz="6" w:space="0"/>
              <w:right w:val="single" w:color="FFFFFF" w:sz="6" w:space="0"/>
            </w:tcBorders>
            <w:vAlign w:val="center"/>
          </w:tcPr>
          <w:p>
            <w:pPr>
              <w:pStyle w:val="9"/>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w:t>
            </w:r>
          </w:p>
        </w:tc>
        <w:tc>
          <w:tcPr>
            <w:tcW w:w="2959" w:type="dxa"/>
            <w:vAlign w:val="center"/>
          </w:tcPr>
          <w:p>
            <w:pPr>
              <w:pStyle w:val="13"/>
            </w:pPr>
            <w:r>
              <w:t>一、一般公共预算拨款收入</w:t>
            </w:r>
          </w:p>
        </w:tc>
        <w:tc>
          <w:tcPr>
            <w:tcW w:w="2959" w:type="dxa"/>
            <w:vAlign w:val="center"/>
          </w:tcPr>
          <w:p>
            <w:pPr>
              <w:pStyle w:val="14"/>
            </w:pPr>
            <w:r>
              <w:t>3071.45</w:t>
            </w:r>
          </w:p>
        </w:tc>
        <w:tc>
          <w:tcPr>
            <w:tcW w:w="2959" w:type="dxa"/>
            <w:vAlign w:val="center"/>
          </w:tcPr>
          <w:p>
            <w:pPr>
              <w:pStyle w:val="13"/>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w:t>
            </w:r>
          </w:p>
        </w:tc>
        <w:tc>
          <w:tcPr>
            <w:tcW w:w="2959" w:type="dxa"/>
            <w:vAlign w:val="center"/>
          </w:tcPr>
          <w:p>
            <w:pPr>
              <w:pStyle w:val="13"/>
            </w:pPr>
            <w:r>
              <w:t>二、政府性基金预算拨款收入</w:t>
            </w:r>
          </w:p>
        </w:tc>
        <w:tc>
          <w:tcPr>
            <w:tcW w:w="2959" w:type="dxa"/>
            <w:vAlign w:val="center"/>
          </w:tcPr>
          <w:p>
            <w:pPr>
              <w:pStyle w:val="14"/>
            </w:pPr>
            <w:r>
              <w:t>29379.86</w:t>
            </w:r>
          </w:p>
        </w:tc>
        <w:tc>
          <w:tcPr>
            <w:tcW w:w="2959" w:type="dxa"/>
            <w:vAlign w:val="center"/>
          </w:tcPr>
          <w:p>
            <w:pPr>
              <w:pStyle w:val="13"/>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3</w:t>
            </w:r>
          </w:p>
        </w:tc>
        <w:tc>
          <w:tcPr>
            <w:tcW w:w="2959" w:type="dxa"/>
            <w:vAlign w:val="center"/>
          </w:tcPr>
          <w:p>
            <w:pPr>
              <w:pStyle w:val="13"/>
            </w:pPr>
            <w:r>
              <w:t>三、国有资本经营预算拨款收入</w:t>
            </w:r>
          </w:p>
        </w:tc>
        <w:tc>
          <w:tcPr>
            <w:tcW w:w="2959" w:type="dxa"/>
            <w:vAlign w:val="center"/>
          </w:tcPr>
          <w:p>
            <w:pPr>
              <w:pStyle w:val="14"/>
            </w:pPr>
          </w:p>
        </w:tc>
        <w:tc>
          <w:tcPr>
            <w:tcW w:w="2959" w:type="dxa"/>
            <w:vAlign w:val="center"/>
          </w:tcPr>
          <w:p>
            <w:pPr>
              <w:pStyle w:val="13"/>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4</w:t>
            </w:r>
          </w:p>
        </w:tc>
        <w:tc>
          <w:tcPr>
            <w:tcW w:w="2959" w:type="dxa"/>
            <w:vAlign w:val="center"/>
          </w:tcPr>
          <w:p>
            <w:pPr>
              <w:pStyle w:val="13"/>
            </w:pPr>
            <w:r>
              <w:t>四、财政专户管理资金收入</w:t>
            </w:r>
          </w:p>
        </w:tc>
        <w:tc>
          <w:tcPr>
            <w:tcW w:w="2959" w:type="dxa"/>
            <w:vAlign w:val="center"/>
          </w:tcPr>
          <w:p>
            <w:pPr>
              <w:pStyle w:val="14"/>
            </w:pPr>
          </w:p>
        </w:tc>
        <w:tc>
          <w:tcPr>
            <w:tcW w:w="2959" w:type="dxa"/>
            <w:vAlign w:val="center"/>
          </w:tcPr>
          <w:p>
            <w:pPr>
              <w:pStyle w:val="13"/>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5</w:t>
            </w:r>
          </w:p>
        </w:tc>
        <w:tc>
          <w:tcPr>
            <w:tcW w:w="2959" w:type="dxa"/>
            <w:vAlign w:val="center"/>
          </w:tcPr>
          <w:p>
            <w:pPr>
              <w:pStyle w:val="13"/>
            </w:pPr>
            <w:r>
              <w:t>五、事业收入</w:t>
            </w:r>
          </w:p>
        </w:tc>
        <w:tc>
          <w:tcPr>
            <w:tcW w:w="2959" w:type="dxa"/>
            <w:vAlign w:val="center"/>
          </w:tcPr>
          <w:p>
            <w:pPr>
              <w:pStyle w:val="14"/>
            </w:pPr>
          </w:p>
        </w:tc>
        <w:tc>
          <w:tcPr>
            <w:tcW w:w="2959" w:type="dxa"/>
            <w:vAlign w:val="center"/>
          </w:tcPr>
          <w:p>
            <w:pPr>
              <w:pStyle w:val="13"/>
            </w:pPr>
            <w:r>
              <w:t>五、教育支出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6</w:t>
            </w:r>
          </w:p>
        </w:tc>
        <w:tc>
          <w:tcPr>
            <w:tcW w:w="2959" w:type="dxa"/>
            <w:vAlign w:val="center"/>
          </w:tcPr>
          <w:p>
            <w:pPr>
              <w:pStyle w:val="13"/>
            </w:pPr>
            <w:r>
              <w:t>六、事业单位经营收入</w:t>
            </w:r>
          </w:p>
        </w:tc>
        <w:tc>
          <w:tcPr>
            <w:tcW w:w="2959" w:type="dxa"/>
            <w:vAlign w:val="center"/>
          </w:tcPr>
          <w:p>
            <w:pPr>
              <w:pStyle w:val="14"/>
            </w:pPr>
          </w:p>
        </w:tc>
        <w:tc>
          <w:tcPr>
            <w:tcW w:w="2959" w:type="dxa"/>
            <w:vAlign w:val="center"/>
          </w:tcPr>
          <w:p>
            <w:pPr>
              <w:pStyle w:val="13"/>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7</w:t>
            </w:r>
          </w:p>
        </w:tc>
        <w:tc>
          <w:tcPr>
            <w:tcW w:w="2959" w:type="dxa"/>
            <w:vAlign w:val="center"/>
          </w:tcPr>
          <w:p>
            <w:pPr>
              <w:pStyle w:val="13"/>
            </w:pPr>
            <w:r>
              <w:t>七、上级补助收入</w:t>
            </w:r>
          </w:p>
        </w:tc>
        <w:tc>
          <w:tcPr>
            <w:tcW w:w="2959" w:type="dxa"/>
            <w:vAlign w:val="center"/>
          </w:tcPr>
          <w:p>
            <w:pPr>
              <w:pStyle w:val="14"/>
            </w:pPr>
          </w:p>
        </w:tc>
        <w:tc>
          <w:tcPr>
            <w:tcW w:w="2959" w:type="dxa"/>
            <w:vAlign w:val="center"/>
          </w:tcPr>
          <w:p>
            <w:pPr>
              <w:pStyle w:val="13"/>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8</w:t>
            </w:r>
          </w:p>
        </w:tc>
        <w:tc>
          <w:tcPr>
            <w:tcW w:w="2959" w:type="dxa"/>
            <w:vAlign w:val="center"/>
          </w:tcPr>
          <w:p>
            <w:pPr>
              <w:pStyle w:val="13"/>
            </w:pPr>
            <w:r>
              <w:t>八、附属单位上缴收入</w:t>
            </w:r>
          </w:p>
        </w:tc>
        <w:tc>
          <w:tcPr>
            <w:tcW w:w="2959" w:type="dxa"/>
            <w:vAlign w:val="center"/>
          </w:tcPr>
          <w:p>
            <w:pPr>
              <w:pStyle w:val="14"/>
            </w:pPr>
          </w:p>
        </w:tc>
        <w:tc>
          <w:tcPr>
            <w:tcW w:w="2959" w:type="dxa"/>
            <w:vAlign w:val="center"/>
          </w:tcPr>
          <w:p>
            <w:pPr>
              <w:pStyle w:val="13"/>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9</w:t>
            </w:r>
          </w:p>
        </w:tc>
        <w:tc>
          <w:tcPr>
            <w:tcW w:w="2959" w:type="dxa"/>
            <w:vAlign w:val="center"/>
          </w:tcPr>
          <w:p>
            <w:pPr>
              <w:pStyle w:val="13"/>
            </w:pPr>
            <w:r>
              <w:t>九、其他收入</w:t>
            </w:r>
          </w:p>
        </w:tc>
        <w:tc>
          <w:tcPr>
            <w:tcW w:w="2959" w:type="dxa"/>
            <w:vAlign w:val="center"/>
          </w:tcPr>
          <w:p>
            <w:pPr>
              <w:pStyle w:val="14"/>
            </w:pPr>
          </w:p>
        </w:tc>
        <w:tc>
          <w:tcPr>
            <w:tcW w:w="2959" w:type="dxa"/>
            <w:vAlign w:val="center"/>
          </w:tcPr>
          <w:p>
            <w:pPr>
              <w:pStyle w:val="13"/>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10</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11</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十一、节能环保支出</w:t>
            </w:r>
          </w:p>
        </w:tc>
        <w:tc>
          <w:tcPr>
            <w:tcW w:w="2959" w:type="dxa"/>
            <w:vAlign w:val="center"/>
          </w:tcPr>
          <w:p>
            <w:pPr>
              <w:pStyle w:val="14"/>
            </w:pPr>
            <w:r>
              <w:t>1524.40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12</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十二、城乡社区支出</w:t>
            </w:r>
          </w:p>
        </w:tc>
        <w:tc>
          <w:tcPr>
            <w:tcW w:w="2959" w:type="dxa"/>
            <w:vAlign w:val="center"/>
          </w:tcPr>
          <w:p>
            <w:pPr>
              <w:pStyle w:val="14"/>
            </w:pPr>
            <w:r>
              <w:t>19347.33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13</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14</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15</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16</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17</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18</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19</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20</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二十、住房保障支出</w:t>
            </w:r>
          </w:p>
        </w:tc>
        <w:tc>
          <w:tcPr>
            <w:tcW w:w="2959" w:type="dxa"/>
            <w:vAlign w:val="center"/>
          </w:tcPr>
          <w:p>
            <w:pPr>
              <w:pStyle w:val="14"/>
            </w:pPr>
            <w:r>
              <w:t>4653.99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21</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22</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23</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24</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25</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二十五、其他支出</w:t>
            </w:r>
          </w:p>
        </w:tc>
        <w:tc>
          <w:tcPr>
            <w:tcW w:w="2959" w:type="dxa"/>
            <w:vAlign w:val="center"/>
          </w:tcPr>
          <w:p>
            <w:pPr>
              <w:pStyle w:val="14"/>
            </w:pPr>
            <w:r>
              <w:t>16070.79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26</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27</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二十七、债务还本支出</w:t>
            </w:r>
          </w:p>
        </w:tc>
        <w:tc>
          <w:tcPr>
            <w:tcW w:w="2959" w:type="dxa"/>
            <w:vAlign w:val="center"/>
          </w:tcPr>
          <w:p>
            <w:pPr>
              <w:pStyle w:val="14"/>
            </w:pPr>
            <w:r>
              <w:t>7466.00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28</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二十八、债务付息支出</w:t>
            </w:r>
          </w:p>
        </w:tc>
        <w:tc>
          <w:tcPr>
            <w:tcW w:w="2959" w:type="dxa"/>
            <w:vAlign w:val="center"/>
          </w:tcPr>
          <w:p>
            <w:pPr>
              <w:pStyle w:val="14"/>
            </w:pPr>
            <w:r>
              <w:t>4113.58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29</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30</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31</w:t>
            </w:r>
          </w:p>
        </w:tc>
        <w:tc>
          <w:tcPr>
            <w:tcW w:w="2959" w:type="dxa"/>
            <w:vAlign w:val="center"/>
          </w:tcPr>
          <w:p>
            <w:pPr>
              <w:pStyle w:val="15"/>
            </w:pPr>
            <w:r>
              <w:t>本年收入合计</w:t>
            </w:r>
          </w:p>
        </w:tc>
        <w:tc>
          <w:tcPr>
            <w:tcW w:w="2959" w:type="dxa"/>
            <w:vAlign w:val="center"/>
          </w:tcPr>
          <w:p>
            <w:pPr>
              <w:pStyle w:val="16"/>
            </w:pPr>
            <w:r>
              <w:t>32451.31</w:t>
            </w:r>
          </w:p>
        </w:tc>
        <w:tc>
          <w:tcPr>
            <w:tcW w:w="2959" w:type="dxa"/>
            <w:vAlign w:val="center"/>
          </w:tcPr>
          <w:p>
            <w:pPr>
              <w:pStyle w:val="15"/>
            </w:pPr>
            <w:r>
              <w:t>本年支出合计</w:t>
            </w:r>
          </w:p>
        </w:tc>
        <w:tc>
          <w:tcPr>
            <w:tcW w:w="2959" w:type="dxa"/>
            <w:vAlign w:val="center"/>
          </w:tcPr>
          <w:p>
            <w:pPr>
              <w:pStyle w:val="16"/>
            </w:pPr>
            <w:r>
              <w:t>53176.09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32</w:t>
            </w:r>
          </w:p>
        </w:tc>
        <w:tc>
          <w:tcPr>
            <w:tcW w:w="2959" w:type="dxa"/>
            <w:vAlign w:val="center"/>
          </w:tcPr>
          <w:p>
            <w:pPr>
              <w:pStyle w:val="13"/>
            </w:pPr>
            <w:r>
              <w:t>上年结转结余</w:t>
            </w:r>
          </w:p>
        </w:tc>
        <w:tc>
          <w:tcPr>
            <w:tcW w:w="2959" w:type="dxa"/>
            <w:vAlign w:val="center"/>
          </w:tcPr>
          <w:p>
            <w:pPr>
              <w:pStyle w:val="14"/>
            </w:pPr>
            <w:r>
              <w:t>20724.78</w:t>
            </w:r>
          </w:p>
        </w:tc>
        <w:tc>
          <w:tcPr>
            <w:tcW w:w="2959" w:type="dxa"/>
            <w:vAlign w:val="center"/>
          </w:tcPr>
          <w:p>
            <w:pPr>
              <w:pStyle w:val="13"/>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33</w:t>
            </w:r>
          </w:p>
        </w:tc>
        <w:tc>
          <w:tcPr>
            <w:tcW w:w="2959" w:type="dxa"/>
            <w:vAlign w:val="center"/>
          </w:tcPr>
          <w:p>
            <w:pPr>
              <w:pStyle w:val="15"/>
            </w:pPr>
            <w:r>
              <w:t>收入总计</w:t>
            </w:r>
          </w:p>
        </w:tc>
        <w:tc>
          <w:tcPr>
            <w:tcW w:w="2959" w:type="dxa"/>
            <w:vAlign w:val="center"/>
          </w:tcPr>
          <w:p>
            <w:pPr>
              <w:pStyle w:val="16"/>
            </w:pPr>
            <w:r>
              <w:t>53176.09</w:t>
            </w:r>
          </w:p>
        </w:tc>
        <w:tc>
          <w:tcPr>
            <w:tcW w:w="2959" w:type="dxa"/>
            <w:vAlign w:val="center"/>
          </w:tcPr>
          <w:p>
            <w:pPr>
              <w:pStyle w:val="15"/>
            </w:pPr>
            <w:r>
              <w:t>支出总计</w:t>
            </w:r>
          </w:p>
        </w:tc>
        <w:tc>
          <w:tcPr>
            <w:tcW w:w="2959" w:type="dxa"/>
            <w:vAlign w:val="center"/>
          </w:tcPr>
          <w:p>
            <w:pPr>
              <w:pStyle w:val="16"/>
            </w:pPr>
            <w:r>
              <w:t>53176.09</w:t>
            </w:r>
          </w:p>
        </w:tc>
      </w:tr>
    </w:tbl>
    <w:p>
      <w:pPr>
        <w:sectPr>
          <w:footerReference r:id="rId4" w:type="default"/>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8"/>
            </w:pPr>
            <w:r>
              <w:t>333001石家庄市藁城区住房和城乡建设局本级</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53176.09</w:t>
            </w:r>
          </w:p>
        </w:tc>
        <w:tc>
          <w:tcPr>
            <w:tcW w:w="758" w:type="dxa"/>
            <w:vAlign w:val="center"/>
          </w:tcPr>
          <w:p>
            <w:pPr>
              <w:pStyle w:val="16"/>
            </w:pPr>
            <w:r>
              <w:t>32451.31</w:t>
            </w:r>
          </w:p>
        </w:tc>
        <w:tc>
          <w:tcPr>
            <w:tcW w:w="758" w:type="dxa"/>
            <w:vAlign w:val="center"/>
          </w:tcPr>
          <w:p>
            <w:pPr>
              <w:pStyle w:val="16"/>
            </w:pPr>
            <w:r>
              <w:t>32451.31</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r>
              <w:t>20724.78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2</w:t>
            </w:r>
          </w:p>
        </w:tc>
        <w:tc>
          <w:tcPr>
            <w:tcW w:w="758" w:type="dxa"/>
            <w:vAlign w:val="center"/>
          </w:tcPr>
          <w:p>
            <w:pPr>
              <w:pStyle w:val="13"/>
            </w:pPr>
            <w:r>
              <w:t>211</w:t>
            </w:r>
          </w:p>
        </w:tc>
        <w:tc>
          <w:tcPr>
            <w:tcW w:w="758" w:type="dxa"/>
            <w:vAlign w:val="center"/>
          </w:tcPr>
          <w:p>
            <w:pPr>
              <w:pStyle w:val="13"/>
            </w:pPr>
            <w:r>
              <w:t>节能环保支出</w:t>
            </w:r>
          </w:p>
        </w:tc>
        <w:tc>
          <w:tcPr>
            <w:tcW w:w="758" w:type="dxa"/>
            <w:vAlign w:val="center"/>
          </w:tcPr>
          <w:p>
            <w:pPr>
              <w:pStyle w:val="14"/>
            </w:pPr>
            <w:r>
              <w:t>1524.40</w:t>
            </w:r>
          </w:p>
        </w:tc>
        <w:tc>
          <w:tcPr>
            <w:tcW w:w="758" w:type="dxa"/>
            <w:vAlign w:val="center"/>
          </w:tcPr>
          <w:p>
            <w:pPr>
              <w:pStyle w:val="14"/>
            </w:pPr>
            <w:r>
              <w:t>1524.40</w:t>
            </w:r>
          </w:p>
        </w:tc>
        <w:tc>
          <w:tcPr>
            <w:tcW w:w="758" w:type="dxa"/>
            <w:vAlign w:val="center"/>
          </w:tcPr>
          <w:p>
            <w:pPr>
              <w:pStyle w:val="14"/>
            </w:pPr>
            <w:r>
              <w:t>1524.40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3</w:t>
            </w:r>
          </w:p>
        </w:tc>
        <w:tc>
          <w:tcPr>
            <w:tcW w:w="758" w:type="dxa"/>
            <w:vAlign w:val="center"/>
          </w:tcPr>
          <w:p>
            <w:pPr>
              <w:pStyle w:val="13"/>
            </w:pPr>
            <w:r>
              <w:t>21103</w:t>
            </w:r>
          </w:p>
        </w:tc>
        <w:tc>
          <w:tcPr>
            <w:tcW w:w="758" w:type="dxa"/>
            <w:vAlign w:val="center"/>
          </w:tcPr>
          <w:p>
            <w:pPr>
              <w:pStyle w:val="13"/>
            </w:pPr>
            <w:r>
              <w:t>污染防治</w:t>
            </w:r>
          </w:p>
        </w:tc>
        <w:tc>
          <w:tcPr>
            <w:tcW w:w="758" w:type="dxa"/>
            <w:vAlign w:val="center"/>
          </w:tcPr>
          <w:p>
            <w:pPr>
              <w:pStyle w:val="14"/>
            </w:pPr>
            <w:r>
              <w:t>1524.40</w:t>
            </w:r>
          </w:p>
        </w:tc>
        <w:tc>
          <w:tcPr>
            <w:tcW w:w="758" w:type="dxa"/>
            <w:vAlign w:val="center"/>
          </w:tcPr>
          <w:p>
            <w:pPr>
              <w:pStyle w:val="14"/>
            </w:pPr>
            <w:r>
              <w:t>1524.40</w:t>
            </w:r>
          </w:p>
        </w:tc>
        <w:tc>
          <w:tcPr>
            <w:tcW w:w="758" w:type="dxa"/>
            <w:vAlign w:val="center"/>
          </w:tcPr>
          <w:p>
            <w:pPr>
              <w:pStyle w:val="14"/>
            </w:pPr>
            <w:r>
              <w:t>1524.40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4</w:t>
            </w:r>
          </w:p>
        </w:tc>
        <w:tc>
          <w:tcPr>
            <w:tcW w:w="758" w:type="dxa"/>
            <w:vAlign w:val="center"/>
          </w:tcPr>
          <w:p>
            <w:pPr>
              <w:pStyle w:val="13"/>
            </w:pPr>
            <w:r>
              <w:t>2110301</w:t>
            </w:r>
          </w:p>
        </w:tc>
        <w:tc>
          <w:tcPr>
            <w:tcW w:w="758" w:type="dxa"/>
            <w:vAlign w:val="center"/>
          </w:tcPr>
          <w:p>
            <w:pPr>
              <w:pStyle w:val="13"/>
            </w:pPr>
            <w:r>
              <w:t>大气</w:t>
            </w:r>
          </w:p>
        </w:tc>
        <w:tc>
          <w:tcPr>
            <w:tcW w:w="758" w:type="dxa"/>
            <w:vAlign w:val="center"/>
          </w:tcPr>
          <w:p>
            <w:pPr>
              <w:pStyle w:val="14"/>
            </w:pPr>
            <w:r>
              <w:t>1524.40</w:t>
            </w:r>
          </w:p>
        </w:tc>
        <w:tc>
          <w:tcPr>
            <w:tcW w:w="758" w:type="dxa"/>
            <w:vAlign w:val="center"/>
          </w:tcPr>
          <w:p>
            <w:pPr>
              <w:pStyle w:val="14"/>
            </w:pPr>
            <w:r>
              <w:t>1524.40</w:t>
            </w:r>
          </w:p>
        </w:tc>
        <w:tc>
          <w:tcPr>
            <w:tcW w:w="758" w:type="dxa"/>
            <w:vAlign w:val="center"/>
          </w:tcPr>
          <w:p>
            <w:pPr>
              <w:pStyle w:val="14"/>
            </w:pPr>
            <w:r>
              <w:t>1524.40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5</w:t>
            </w:r>
          </w:p>
        </w:tc>
        <w:tc>
          <w:tcPr>
            <w:tcW w:w="758" w:type="dxa"/>
            <w:vAlign w:val="center"/>
          </w:tcPr>
          <w:p>
            <w:pPr>
              <w:pStyle w:val="13"/>
            </w:pPr>
            <w:r>
              <w:t>212</w:t>
            </w:r>
          </w:p>
        </w:tc>
        <w:tc>
          <w:tcPr>
            <w:tcW w:w="758" w:type="dxa"/>
            <w:vAlign w:val="center"/>
          </w:tcPr>
          <w:p>
            <w:pPr>
              <w:pStyle w:val="13"/>
            </w:pPr>
            <w:r>
              <w:t>城乡社区支出</w:t>
            </w:r>
          </w:p>
        </w:tc>
        <w:tc>
          <w:tcPr>
            <w:tcW w:w="758" w:type="dxa"/>
            <w:vAlign w:val="center"/>
          </w:tcPr>
          <w:p>
            <w:pPr>
              <w:pStyle w:val="14"/>
            </w:pPr>
            <w:r>
              <w:t>19347.33</w:t>
            </w:r>
          </w:p>
        </w:tc>
        <w:tc>
          <w:tcPr>
            <w:tcW w:w="758" w:type="dxa"/>
            <w:vAlign w:val="center"/>
          </w:tcPr>
          <w:p>
            <w:pPr>
              <w:pStyle w:val="14"/>
            </w:pPr>
            <w:r>
              <w:t>19347.33</w:t>
            </w:r>
          </w:p>
        </w:tc>
        <w:tc>
          <w:tcPr>
            <w:tcW w:w="758" w:type="dxa"/>
            <w:vAlign w:val="center"/>
          </w:tcPr>
          <w:p>
            <w:pPr>
              <w:pStyle w:val="14"/>
            </w:pPr>
            <w:r>
              <w:t>19347.33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6</w:t>
            </w:r>
          </w:p>
        </w:tc>
        <w:tc>
          <w:tcPr>
            <w:tcW w:w="758" w:type="dxa"/>
            <w:vAlign w:val="center"/>
          </w:tcPr>
          <w:p>
            <w:pPr>
              <w:pStyle w:val="13"/>
            </w:pPr>
            <w:r>
              <w:t>21201</w:t>
            </w:r>
          </w:p>
        </w:tc>
        <w:tc>
          <w:tcPr>
            <w:tcW w:w="758" w:type="dxa"/>
            <w:vAlign w:val="center"/>
          </w:tcPr>
          <w:p>
            <w:pPr>
              <w:pStyle w:val="13"/>
            </w:pPr>
            <w:r>
              <w:t>城乡社区管理事务</w:t>
            </w:r>
          </w:p>
        </w:tc>
        <w:tc>
          <w:tcPr>
            <w:tcW w:w="758" w:type="dxa"/>
            <w:vAlign w:val="center"/>
          </w:tcPr>
          <w:p>
            <w:pPr>
              <w:pStyle w:val="14"/>
            </w:pPr>
            <w:r>
              <w:t>1547.05</w:t>
            </w:r>
          </w:p>
        </w:tc>
        <w:tc>
          <w:tcPr>
            <w:tcW w:w="758" w:type="dxa"/>
            <w:vAlign w:val="center"/>
          </w:tcPr>
          <w:p>
            <w:pPr>
              <w:pStyle w:val="14"/>
            </w:pPr>
            <w:r>
              <w:t>1547.05</w:t>
            </w:r>
          </w:p>
        </w:tc>
        <w:tc>
          <w:tcPr>
            <w:tcW w:w="758" w:type="dxa"/>
            <w:vAlign w:val="center"/>
          </w:tcPr>
          <w:p>
            <w:pPr>
              <w:pStyle w:val="14"/>
            </w:pPr>
            <w:r>
              <w:t>1547.05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7</w:t>
            </w:r>
          </w:p>
        </w:tc>
        <w:tc>
          <w:tcPr>
            <w:tcW w:w="758" w:type="dxa"/>
            <w:vAlign w:val="center"/>
          </w:tcPr>
          <w:p>
            <w:pPr>
              <w:pStyle w:val="13"/>
            </w:pPr>
            <w:r>
              <w:t>2120101</w:t>
            </w:r>
          </w:p>
        </w:tc>
        <w:tc>
          <w:tcPr>
            <w:tcW w:w="758" w:type="dxa"/>
            <w:vAlign w:val="center"/>
          </w:tcPr>
          <w:p>
            <w:pPr>
              <w:pStyle w:val="13"/>
            </w:pPr>
            <w:r>
              <w:t>行政运行</w:t>
            </w:r>
          </w:p>
        </w:tc>
        <w:tc>
          <w:tcPr>
            <w:tcW w:w="758" w:type="dxa"/>
            <w:vAlign w:val="center"/>
          </w:tcPr>
          <w:p>
            <w:pPr>
              <w:pStyle w:val="14"/>
            </w:pPr>
            <w:r>
              <w:t>1085.65</w:t>
            </w:r>
          </w:p>
        </w:tc>
        <w:tc>
          <w:tcPr>
            <w:tcW w:w="758" w:type="dxa"/>
            <w:vAlign w:val="center"/>
          </w:tcPr>
          <w:p>
            <w:pPr>
              <w:pStyle w:val="14"/>
            </w:pPr>
            <w:r>
              <w:t>1085.65</w:t>
            </w:r>
          </w:p>
        </w:tc>
        <w:tc>
          <w:tcPr>
            <w:tcW w:w="758" w:type="dxa"/>
            <w:vAlign w:val="center"/>
          </w:tcPr>
          <w:p>
            <w:pPr>
              <w:pStyle w:val="14"/>
            </w:pPr>
            <w:r>
              <w:t>1085.65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8</w:t>
            </w:r>
          </w:p>
        </w:tc>
        <w:tc>
          <w:tcPr>
            <w:tcW w:w="758" w:type="dxa"/>
            <w:vAlign w:val="center"/>
          </w:tcPr>
          <w:p>
            <w:pPr>
              <w:pStyle w:val="13"/>
            </w:pPr>
            <w:r>
              <w:t>2120109</w:t>
            </w:r>
          </w:p>
        </w:tc>
        <w:tc>
          <w:tcPr>
            <w:tcW w:w="758" w:type="dxa"/>
            <w:vAlign w:val="center"/>
          </w:tcPr>
          <w:p>
            <w:pPr>
              <w:pStyle w:val="13"/>
            </w:pPr>
            <w:r>
              <w:t>住宅建设与房地产市场监管</w:t>
            </w:r>
          </w:p>
        </w:tc>
        <w:tc>
          <w:tcPr>
            <w:tcW w:w="758" w:type="dxa"/>
            <w:vAlign w:val="center"/>
          </w:tcPr>
          <w:p>
            <w:pPr>
              <w:pStyle w:val="14"/>
            </w:pPr>
            <w:r>
              <w:t>461.40</w:t>
            </w:r>
          </w:p>
        </w:tc>
        <w:tc>
          <w:tcPr>
            <w:tcW w:w="758" w:type="dxa"/>
            <w:vAlign w:val="center"/>
          </w:tcPr>
          <w:p>
            <w:pPr>
              <w:pStyle w:val="14"/>
            </w:pPr>
            <w:r>
              <w:t>461.40</w:t>
            </w:r>
          </w:p>
        </w:tc>
        <w:tc>
          <w:tcPr>
            <w:tcW w:w="758" w:type="dxa"/>
            <w:vAlign w:val="center"/>
          </w:tcPr>
          <w:p>
            <w:pPr>
              <w:pStyle w:val="14"/>
            </w:pPr>
            <w:r>
              <w:t>461.40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9</w:t>
            </w:r>
          </w:p>
        </w:tc>
        <w:tc>
          <w:tcPr>
            <w:tcW w:w="758" w:type="dxa"/>
            <w:vAlign w:val="center"/>
          </w:tcPr>
          <w:p>
            <w:pPr>
              <w:pStyle w:val="13"/>
            </w:pPr>
            <w:r>
              <w:t>21208</w:t>
            </w:r>
          </w:p>
        </w:tc>
        <w:tc>
          <w:tcPr>
            <w:tcW w:w="758" w:type="dxa"/>
            <w:vAlign w:val="center"/>
          </w:tcPr>
          <w:p>
            <w:pPr>
              <w:pStyle w:val="13"/>
            </w:pPr>
            <w:r>
              <w:t>国有土地使用权出让收入安排的支出</w:t>
            </w:r>
          </w:p>
        </w:tc>
        <w:tc>
          <w:tcPr>
            <w:tcW w:w="758" w:type="dxa"/>
            <w:vAlign w:val="center"/>
          </w:tcPr>
          <w:p>
            <w:pPr>
              <w:pStyle w:val="14"/>
            </w:pPr>
            <w:r>
              <w:t>16620.53</w:t>
            </w:r>
          </w:p>
        </w:tc>
        <w:tc>
          <w:tcPr>
            <w:tcW w:w="758" w:type="dxa"/>
            <w:vAlign w:val="center"/>
          </w:tcPr>
          <w:p>
            <w:pPr>
              <w:pStyle w:val="14"/>
            </w:pPr>
            <w:r>
              <w:t>16620.53</w:t>
            </w:r>
          </w:p>
        </w:tc>
        <w:tc>
          <w:tcPr>
            <w:tcW w:w="758" w:type="dxa"/>
            <w:vAlign w:val="center"/>
          </w:tcPr>
          <w:p>
            <w:pPr>
              <w:pStyle w:val="14"/>
            </w:pPr>
            <w:r>
              <w:t>16620.53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10</w:t>
            </w:r>
          </w:p>
        </w:tc>
        <w:tc>
          <w:tcPr>
            <w:tcW w:w="758" w:type="dxa"/>
            <w:vAlign w:val="center"/>
          </w:tcPr>
          <w:p>
            <w:pPr>
              <w:pStyle w:val="13"/>
            </w:pPr>
            <w:r>
              <w:t>2120803</w:t>
            </w:r>
          </w:p>
        </w:tc>
        <w:tc>
          <w:tcPr>
            <w:tcW w:w="758" w:type="dxa"/>
            <w:vAlign w:val="center"/>
          </w:tcPr>
          <w:p>
            <w:pPr>
              <w:pStyle w:val="13"/>
            </w:pPr>
            <w:r>
              <w:t>城市建设支出</w:t>
            </w:r>
          </w:p>
        </w:tc>
        <w:tc>
          <w:tcPr>
            <w:tcW w:w="758" w:type="dxa"/>
            <w:vAlign w:val="center"/>
          </w:tcPr>
          <w:p>
            <w:pPr>
              <w:pStyle w:val="14"/>
            </w:pPr>
            <w:r>
              <w:t>13868.19</w:t>
            </w:r>
          </w:p>
        </w:tc>
        <w:tc>
          <w:tcPr>
            <w:tcW w:w="758" w:type="dxa"/>
            <w:vAlign w:val="center"/>
          </w:tcPr>
          <w:p>
            <w:pPr>
              <w:pStyle w:val="14"/>
            </w:pPr>
            <w:r>
              <w:t>13868.19</w:t>
            </w:r>
          </w:p>
        </w:tc>
        <w:tc>
          <w:tcPr>
            <w:tcW w:w="758" w:type="dxa"/>
            <w:vAlign w:val="center"/>
          </w:tcPr>
          <w:p>
            <w:pPr>
              <w:pStyle w:val="14"/>
            </w:pPr>
            <w:r>
              <w:t>13868.19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11</w:t>
            </w:r>
          </w:p>
        </w:tc>
        <w:tc>
          <w:tcPr>
            <w:tcW w:w="758" w:type="dxa"/>
            <w:vAlign w:val="center"/>
          </w:tcPr>
          <w:p>
            <w:pPr>
              <w:pStyle w:val="13"/>
            </w:pPr>
            <w:r>
              <w:t>2120804</w:t>
            </w:r>
          </w:p>
        </w:tc>
        <w:tc>
          <w:tcPr>
            <w:tcW w:w="758" w:type="dxa"/>
            <w:vAlign w:val="center"/>
          </w:tcPr>
          <w:p>
            <w:pPr>
              <w:pStyle w:val="13"/>
            </w:pPr>
            <w:r>
              <w:t>农村基础设施建设支出</w:t>
            </w:r>
          </w:p>
        </w:tc>
        <w:tc>
          <w:tcPr>
            <w:tcW w:w="758" w:type="dxa"/>
            <w:vAlign w:val="center"/>
          </w:tcPr>
          <w:p>
            <w:pPr>
              <w:pStyle w:val="14"/>
            </w:pPr>
            <w:r>
              <w:t>1452.34</w:t>
            </w:r>
          </w:p>
        </w:tc>
        <w:tc>
          <w:tcPr>
            <w:tcW w:w="758" w:type="dxa"/>
            <w:vAlign w:val="center"/>
          </w:tcPr>
          <w:p>
            <w:pPr>
              <w:pStyle w:val="14"/>
            </w:pPr>
            <w:r>
              <w:t>1452.34</w:t>
            </w:r>
          </w:p>
        </w:tc>
        <w:tc>
          <w:tcPr>
            <w:tcW w:w="758" w:type="dxa"/>
            <w:vAlign w:val="center"/>
          </w:tcPr>
          <w:p>
            <w:pPr>
              <w:pStyle w:val="14"/>
            </w:pPr>
            <w:r>
              <w:t>1452.34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12</w:t>
            </w:r>
          </w:p>
        </w:tc>
        <w:tc>
          <w:tcPr>
            <w:tcW w:w="758" w:type="dxa"/>
            <w:vAlign w:val="center"/>
          </w:tcPr>
          <w:p>
            <w:pPr>
              <w:pStyle w:val="13"/>
            </w:pPr>
            <w:r>
              <w:t>2120816</w:t>
            </w:r>
          </w:p>
        </w:tc>
        <w:tc>
          <w:tcPr>
            <w:tcW w:w="758" w:type="dxa"/>
            <w:vAlign w:val="center"/>
          </w:tcPr>
          <w:p>
            <w:pPr>
              <w:pStyle w:val="13"/>
            </w:pPr>
            <w:r>
              <w:t>农业农村生态环境支出</w:t>
            </w:r>
          </w:p>
        </w:tc>
        <w:tc>
          <w:tcPr>
            <w:tcW w:w="758" w:type="dxa"/>
            <w:vAlign w:val="center"/>
          </w:tcPr>
          <w:p>
            <w:pPr>
              <w:pStyle w:val="14"/>
            </w:pPr>
            <w:r>
              <w:t>1300.00</w:t>
            </w:r>
          </w:p>
        </w:tc>
        <w:tc>
          <w:tcPr>
            <w:tcW w:w="758" w:type="dxa"/>
            <w:vAlign w:val="center"/>
          </w:tcPr>
          <w:p>
            <w:pPr>
              <w:pStyle w:val="14"/>
            </w:pPr>
            <w:r>
              <w:t>1300.00</w:t>
            </w:r>
          </w:p>
        </w:tc>
        <w:tc>
          <w:tcPr>
            <w:tcW w:w="758" w:type="dxa"/>
            <w:vAlign w:val="center"/>
          </w:tcPr>
          <w:p>
            <w:pPr>
              <w:pStyle w:val="14"/>
            </w:pPr>
            <w:r>
              <w:t>1300.00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13</w:t>
            </w:r>
          </w:p>
        </w:tc>
        <w:tc>
          <w:tcPr>
            <w:tcW w:w="758" w:type="dxa"/>
            <w:vAlign w:val="center"/>
          </w:tcPr>
          <w:p>
            <w:pPr>
              <w:pStyle w:val="13"/>
            </w:pPr>
            <w:r>
              <w:t>21213</w:t>
            </w:r>
          </w:p>
        </w:tc>
        <w:tc>
          <w:tcPr>
            <w:tcW w:w="758" w:type="dxa"/>
            <w:vAlign w:val="center"/>
          </w:tcPr>
          <w:p>
            <w:pPr>
              <w:pStyle w:val="13"/>
            </w:pPr>
            <w:r>
              <w:t>城市基础设施配套费安排的支出</w:t>
            </w:r>
          </w:p>
        </w:tc>
        <w:tc>
          <w:tcPr>
            <w:tcW w:w="758" w:type="dxa"/>
            <w:vAlign w:val="center"/>
          </w:tcPr>
          <w:p>
            <w:pPr>
              <w:pStyle w:val="14"/>
            </w:pPr>
            <w:r>
              <w:t>1179.75</w:t>
            </w:r>
          </w:p>
        </w:tc>
        <w:tc>
          <w:tcPr>
            <w:tcW w:w="758" w:type="dxa"/>
            <w:vAlign w:val="center"/>
          </w:tcPr>
          <w:p>
            <w:pPr>
              <w:pStyle w:val="14"/>
            </w:pPr>
            <w:r>
              <w:t>1179.75</w:t>
            </w:r>
          </w:p>
        </w:tc>
        <w:tc>
          <w:tcPr>
            <w:tcW w:w="758" w:type="dxa"/>
            <w:vAlign w:val="center"/>
          </w:tcPr>
          <w:p>
            <w:pPr>
              <w:pStyle w:val="14"/>
            </w:pPr>
            <w:r>
              <w:t>1179.75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14</w:t>
            </w:r>
          </w:p>
        </w:tc>
        <w:tc>
          <w:tcPr>
            <w:tcW w:w="758" w:type="dxa"/>
            <w:vAlign w:val="center"/>
          </w:tcPr>
          <w:p>
            <w:pPr>
              <w:pStyle w:val="13"/>
            </w:pPr>
            <w:r>
              <w:t>2121399</w:t>
            </w:r>
          </w:p>
        </w:tc>
        <w:tc>
          <w:tcPr>
            <w:tcW w:w="758" w:type="dxa"/>
            <w:vAlign w:val="center"/>
          </w:tcPr>
          <w:p>
            <w:pPr>
              <w:pStyle w:val="13"/>
            </w:pPr>
            <w:r>
              <w:t>其他城市基础设施配套费安排的支出</w:t>
            </w:r>
          </w:p>
        </w:tc>
        <w:tc>
          <w:tcPr>
            <w:tcW w:w="758" w:type="dxa"/>
            <w:vAlign w:val="center"/>
          </w:tcPr>
          <w:p>
            <w:pPr>
              <w:pStyle w:val="14"/>
            </w:pPr>
            <w:r>
              <w:t>1179.75</w:t>
            </w:r>
          </w:p>
        </w:tc>
        <w:tc>
          <w:tcPr>
            <w:tcW w:w="758" w:type="dxa"/>
            <w:vAlign w:val="center"/>
          </w:tcPr>
          <w:p>
            <w:pPr>
              <w:pStyle w:val="14"/>
            </w:pPr>
            <w:r>
              <w:t>1179.75</w:t>
            </w:r>
          </w:p>
        </w:tc>
        <w:tc>
          <w:tcPr>
            <w:tcW w:w="758" w:type="dxa"/>
            <w:vAlign w:val="center"/>
          </w:tcPr>
          <w:p>
            <w:pPr>
              <w:pStyle w:val="14"/>
            </w:pPr>
            <w:r>
              <w:t>1179.75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15</w:t>
            </w:r>
          </w:p>
        </w:tc>
        <w:tc>
          <w:tcPr>
            <w:tcW w:w="758" w:type="dxa"/>
            <w:vAlign w:val="center"/>
          </w:tcPr>
          <w:p>
            <w:pPr>
              <w:pStyle w:val="13"/>
            </w:pPr>
            <w:r>
              <w:t>221</w:t>
            </w:r>
          </w:p>
        </w:tc>
        <w:tc>
          <w:tcPr>
            <w:tcW w:w="758" w:type="dxa"/>
            <w:vAlign w:val="center"/>
          </w:tcPr>
          <w:p>
            <w:pPr>
              <w:pStyle w:val="13"/>
            </w:pPr>
            <w:r>
              <w:t>住房保障支出</w:t>
            </w:r>
          </w:p>
        </w:tc>
        <w:tc>
          <w:tcPr>
            <w:tcW w:w="758" w:type="dxa"/>
            <w:vAlign w:val="center"/>
          </w:tcPr>
          <w:p>
            <w:pPr>
              <w:pStyle w:val="14"/>
            </w:pPr>
            <w:r>
              <w:t>4653.99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4653.99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16</w:t>
            </w:r>
          </w:p>
        </w:tc>
        <w:tc>
          <w:tcPr>
            <w:tcW w:w="758" w:type="dxa"/>
            <w:vAlign w:val="center"/>
          </w:tcPr>
          <w:p>
            <w:pPr>
              <w:pStyle w:val="13"/>
            </w:pPr>
            <w:r>
              <w:t>22101</w:t>
            </w:r>
          </w:p>
        </w:tc>
        <w:tc>
          <w:tcPr>
            <w:tcW w:w="758" w:type="dxa"/>
            <w:vAlign w:val="center"/>
          </w:tcPr>
          <w:p>
            <w:pPr>
              <w:pStyle w:val="13"/>
            </w:pPr>
            <w:r>
              <w:t>保障性安居工程支出</w:t>
            </w:r>
          </w:p>
        </w:tc>
        <w:tc>
          <w:tcPr>
            <w:tcW w:w="758" w:type="dxa"/>
            <w:vAlign w:val="center"/>
          </w:tcPr>
          <w:p>
            <w:pPr>
              <w:pStyle w:val="14"/>
            </w:pPr>
            <w:r>
              <w:t>4653.99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4653.99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17</w:t>
            </w:r>
          </w:p>
        </w:tc>
        <w:tc>
          <w:tcPr>
            <w:tcW w:w="758" w:type="dxa"/>
            <w:vAlign w:val="center"/>
          </w:tcPr>
          <w:p>
            <w:pPr>
              <w:pStyle w:val="13"/>
            </w:pPr>
            <w:r>
              <w:t>2210109</w:t>
            </w:r>
          </w:p>
        </w:tc>
        <w:tc>
          <w:tcPr>
            <w:tcW w:w="758" w:type="dxa"/>
            <w:vAlign w:val="center"/>
          </w:tcPr>
          <w:p>
            <w:pPr>
              <w:pStyle w:val="13"/>
            </w:pPr>
            <w:r>
              <w:t>住房租赁市场发展</w:t>
            </w:r>
          </w:p>
        </w:tc>
        <w:tc>
          <w:tcPr>
            <w:tcW w:w="758" w:type="dxa"/>
            <w:vAlign w:val="center"/>
          </w:tcPr>
          <w:p>
            <w:pPr>
              <w:pStyle w:val="14"/>
            </w:pPr>
            <w:r>
              <w:t>4653.99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4653.99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18</w:t>
            </w:r>
          </w:p>
        </w:tc>
        <w:tc>
          <w:tcPr>
            <w:tcW w:w="758" w:type="dxa"/>
            <w:vAlign w:val="center"/>
          </w:tcPr>
          <w:p>
            <w:pPr>
              <w:pStyle w:val="13"/>
            </w:pPr>
            <w:r>
              <w:t>229</w:t>
            </w:r>
          </w:p>
        </w:tc>
        <w:tc>
          <w:tcPr>
            <w:tcW w:w="758" w:type="dxa"/>
            <w:vAlign w:val="center"/>
          </w:tcPr>
          <w:p>
            <w:pPr>
              <w:pStyle w:val="13"/>
            </w:pPr>
            <w:r>
              <w:t>其他支出</w:t>
            </w:r>
          </w:p>
        </w:tc>
        <w:tc>
          <w:tcPr>
            <w:tcW w:w="758" w:type="dxa"/>
            <w:vAlign w:val="center"/>
          </w:tcPr>
          <w:p>
            <w:pPr>
              <w:pStyle w:val="14"/>
            </w:pPr>
            <w:r>
              <w:t>16070.79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16070.79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19</w:t>
            </w:r>
          </w:p>
        </w:tc>
        <w:tc>
          <w:tcPr>
            <w:tcW w:w="758" w:type="dxa"/>
            <w:vAlign w:val="center"/>
          </w:tcPr>
          <w:p>
            <w:pPr>
              <w:pStyle w:val="13"/>
            </w:pPr>
            <w:r>
              <w:t>22904</w:t>
            </w:r>
          </w:p>
        </w:tc>
        <w:tc>
          <w:tcPr>
            <w:tcW w:w="758" w:type="dxa"/>
            <w:vAlign w:val="center"/>
          </w:tcPr>
          <w:p>
            <w:pPr>
              <w:pStyle w:val="13"/>
            </w:pPr>
            <w:r>
              <w:t>其他政府性基金及对应专项债务收入安排的支出</w:t>
            </w:r>
          </w:p>
        </w:tc>
        <w:tc>
          <w:tcPr>
            <w:tcW w:w="758" w:type="dxa"/>
            <w:vAlign w:val="center"/>
          </w:tcPr>
          <w:p>
            <w:pPr>
              <w:pStyle w:val="14"/>
            </w:pPr>
            <w:r>
              <w:t>16070.79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16070.79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20</w:t>
            </w:r>
          </w:p>
        </w:tc>
        <w:tc>
          <w:tcPr>
            <w:tcW w:w="758" w:type="dxa"/>
            <w:vAlign w:val="center"/>
          </w:tcPr>
          <w:p>
            <w:pPr>
              <w:pStyle w:val="13"/>
            </w:pPr>
            <w:r>
              <w:t>2290402</w:t>
            </w:r>
          </w:p>
        </w:tc>
        <w:tc>
          <w:tcPr>
            <w:tcW w:w="758" w:type="dxa"/>
            <w:vAlign w:val="center"/>
          </w:tcPr>
          <w:p>
            <w:pPr>
              <w:pStyle w:val="13"/>
            </w:pPr>
            <w:r>
              <w:t>其他地方自行试点项目收益专项债券收入安排的支出</w:t>
            </w:r>
          </w:p>
        </w:tc>
        <w:tc>
          <w:tcPr>
            <w:tcW w:w="758" w:type="dxa"/>
            <w:vAlign w:val="center"/>
          </w:tcPr>
          <w:p>
            <w:pPr>
              <w:pStyle w:val="14"/>
            </w:pPr>
            <w:r>
              <w:t>16070.79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16070.79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21</w:t>
            </w:r>
          </w:p>
        </w:tc>
        <w:tc>
          <w:tcPr>
            <w:tcW w:w="758" w:type="dxa"/>
            <w:vAlign w:val="center"/>
          </w:tcPr>
          <w:p>
            <w:pPr>
              <w:pStyle w:val="13"/>
            </w:pPr>
            <w:r>
              <w:t>231</w:t>
            </w:r>
          </w:p>
        </w:tc>
        <w:tc>
          <w:tcPr>
            <w:tcW w:w="758" w:type="dxa"/>
            <w:vAlign w:val="center"/>
          </w:tcPr>
          <w:p>
            <w:pPr>
              <w:pStyle w:val="13"/>
            </w:pPr>
            <w:r>
              <w:t>债务还本支出</w:t>
            </w:r>
          </w:p>
        </w:tc>
        <w:tc>
          <w:tcPr>
            <w:tcW w:w="758" w:type="dxa"/>
            <w:vAlign w:val="center"/>
          </w:tcPr>
          <w:p>
            <w:pPr>
              <w:pStyle w:val="14"/>
            </w:pPr>
            <w:r>
              <w:t>7466.00</w:t>
            </w:r>
          </w:p>
        </w:tc>
        <w:tc>
          <w:tcPr>
            <w:tcW w:w="758" w:type="dxa"/>
            <w:vAlign w:val="center"/>
          </w:tcPr>
          <w:p>
            <w:pPr>
              <w:pStyle w:val="14"/>
            </w:pPr>
            <w:r>
              <w:t>7466.00</w:t>
            </w:r>
          </w:p>
        </w:tc>
        <w:tc>
          <w:tcPr>
            <w:tcW w:w="758" w:type="dxa"/>
            <w:vAlign w:val="center"/>
          </w:tcPr>
          <w:p>
            <w:pPr>
              <w:pStyle w:val="14"/>
            </w:pPr>
            <w:r>
              <w:t>7466.00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22</w:t>
            </w:r>
          </w:p>
        </w:tc>
        <w:tc>
          <w:tcPr>
            <w:tcW w:w="758" w:type="dxa"/>
            <w:vAlign w:val="center"/>
          </w:tcPr>
          <w:p>
            <w:pPr>
              <w:pStyle w:val="13"/>
            </w:pPr>
            <w:r>
              <w:t>23104</w:t>
            </w:r>
          </w:p>
        </w:tc>
        <w:tc>
          <w:tcPr>
            <w:tcW w:w="758" w:type="dxa"/>
            <w:vAlign w:val="center"/>
          </w:tcPr>
          <w:p>
            <w:pPr>
              <w:pStyle w:val="13"/>
            </w:pPr>
            <w:r>
              <w:t>地方政府专项债务还本支出</w:t>
            </w:r>
          </w:p>
        </w:tc>
        <w:tc>
          <w:tcPr>
            <w:tcW w:w="758" w:type="dxa"/>
            <w:vAlign w:val="center"/>
          </w:tcPr>
          <w:p>
            <w:pPr>
              <w:pStyle w:val="14"/>
            </w:pPr>
            <w:r>
              <w:t>7466.00</w:t>
            </w:r>
          </w:p>
        </w:tc>
        <w:tc>
          <w:tcPr>
            <w:tcW w:w="758" w:type="dxa"/>
            <w:vAlign w:val="center"/>
          </w:tcPr>
          <w:p>
            <w:pPr>
              <w:pStyle w:val="14"/>
            </w:pPr>
            <w:r>
              <w:t>7466.00</w:t>
            </w:r>
          </w:p>
        </w:tc>
        <w:tc>
          <w:tcPr>
            <w:tcW w:w="758" w:type="dxa"/>
            <w:vAlign w:val="center"/>
          </w:tcPr>
          <w:p>
            <w:pPr>
              <w:pStyle w:val="14"/>
            </w:pPr>
            <w:r>
              <w:t>7466.00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23</w:t>
            </w:r>
          </w:p>
        </w:tc>
        <w:tc>
          <w:tcPr>
            <w:tcW w:w="758" w:type="dxa"/>
            <w:vAlign w:val="center"/>
          </w:tcPr>
          <w:p>
            <w:pPr>
              <w:pStyle w:val="13"/>
            </w:pPr>
            <w:r>
              <w:t>2310411</w:t>
            </w:r>
          </w:p>
        </w:tc>
        <w:tc>
          <w:tcPr>
            <w:tcW w:w="758" w:type="dxa"/>
            <w:vAlign w:val="center"/>
          </w:tcPr>
          <w:p>
            <w:pPr>
              <w:pStyle w:val="13"/>
            </w:pPr>
            <w:r>
              <w:t>国有土地使用权出让金债务还本支出</w:t>
            </w:r>
          </w:p>
        </w:tc>
        <w:tc>
          <w:tcPr>
            <w:tcW w:w="758" w:type="dxa"/>
            <w:vAlign w:val="center"/>
          </w:tcPr>
          <w:p>
            <w:pPr>
              <w:pStyle w:val="14"/>
            </w:pPr>
            <w:r>
              <w:t>7466.00</w:t>
            </w:r>
          </w:p>
        </w:tc>
        <w:tc>
          <w:tcPr>
            <w:tcW w:w="758" w:type="dxa"/>
            <w:vAlign w:val="center"/>
          </w:tcPr>
          <w:p>
            <w:pPr>
              <w:pStyle w:val="14"/>
            </w:pPr>
            <w:r>
              <w:t>7466.00</w:t>
            </w:r>
          </w:p>
        </w:tc>
        <w:tc>
          <w:tcPr>
            <w:tcW w:w="758" w:type="dxa"/>
            <w:vAlign w:val="center"/>
          </w:tcPr>
          <w:p>
            <w:pPr>
              <w:pStyle w:val="14"/>
            </w:pPr>
            <w:r>
              <w:t>7466.00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24</w:t>
            </w:r>
          </w:p>
        </w:tc>
        <w:tc>
          <w:tcPr>
            <w:tcW w:w="758" w:type="dxa"/>
            <w:vAlign w:val="center"/>
          </w:tcPr>
          <w:p>
            <w:pPr>
              <w:pStyle w:val="13"/>
            </w:pPr>
            <w:r>
              <w:t>232</w:t>
            </w:r>
          </w:p>
        </w:tc>
        <w:tc>
          <w:tcPr>
            <w:tcW w:w="758" w:type="dxa"/>
            <w:vAlign w:val="center"/>
          </w:tcPr>
          <w:p>
            <w:pPr>
              <w:pStyle w:val="13"/>
            </w:pPr>
            <w:r>
              <w:t>债务付息支出</w:t>
            </w:r>
          </w:p>
        </w:tc>
        <w:tc>
          <w:tcPr>
            <w:tcW w:w="758" w:type="dxa"/>
            <w:vAlign w:val="center"/>
          </w:tcPr>
          <w:p>
            <w:pPr>
              <w:pStyle w:val="14"/>
            </w:pPr>
            <w:r>
              <w:t>4113.58</w:t>
            </w:r>
          </w:p>
        </w:tc>
        <w:tc>
          <w:tcPr>
            <w:tcW w:w="758" w:type="dxa"/>
            <w:vAlign w:val="center"/>
          </w:tcPr>
          <w:p>
            <w:pPr>
              <w:pStyle w:val="14"/>
            </w:pPr>
            <w:r>
              <w:t>4113.58</w:t>
            </w:r>
          </w:p>
        </w:tc>
        <w:tc>
          <w:tcPr>
            <w:tcW w:w="758" w:type="dxa"/>
            <w:vAlign w:val="center"/>
          </w:tcPr>
          <w:p>
            <w:pPr>
              <w:pStyle w:val="14"/>
            </w:pPr>
            <w:r>
              <w:t>4113.58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25</w:t>
            </w:r>
          </w:p>
        </w:tc>
        <w:tc>
          <w:tcPr>
            <w:tcW w:w="758" w:type="dxa"/>
            <w:vAlign w:val="center"/>
          </w:tcPr>
          <w:p>
            <w:pPr>
              <w:pStyle w:val="13"/>
            </w:pPr>
            <w:r>
              <w:t>23204</w:t>
            </w:r>
          </w:p>
        </w:tc>
        <w:tc>
          <w:tcPr>
            <w:tcW w:w="758" w:type="dxa"/>
            <w:vAlign w:val="center"/>
          </w:tcPr>
          <w:p>
            <w:pPr>
              <w:pStyle w:val="13"/>
            </w:pPr>
            <w:r>
              <w:t>地方政府专项债务付息支出</w:t>
            </w:r>
          </w:p>
        </w:tc>
        <w:tc>
          <w:tcPr>
            <w:tcW w:w="758" w:type="dxa"/>
            <w:vAlign w:val="center"/>
          </w:tcPr>
          <w:p>
            <w:pPr>
              <w:pStyle w:val="14"/>
            </w:pPr>
            <w:r>
              <w:t>4113.58</w:t>
            </w:r>
          </w:p>
        </w:tc>
        <w:tc>
          <w:tcPr>
            <w:tcW w:w="758" w:type="dxa"/>
            <w:vAlign w:val="center"/>
          </w:tcPr>
          <w:p>
            <w:pPr>
              <w:pStyle w:val="14"/>
            </w:pPr>
            <w:r>
              <w:t>4113.58</w:t>
            </w:r>
          </w:p>
        </w:tc>
        <w:tc>
          <w:tcPr>
            <w:tcW w:w="758" w:type="dxa"/>
            <w:vAlign w:val="center"/>
          </w:tcPr>
          <w:p>
            <w:pPr>
              <w:pStyle w:val="14"/>
            </w:pPr>
            <w:r>
              <w:t>4113.58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26</w:t>
            </w:r>
          </w:p>
        </w:tc>
        <w:tc>
          <w:tcPr>
            <w:tcW w:w="758" w:type="dxa"/>
            <w:vAlign w:val="center"/>
          </w:tcPr>
          <w:p>
            <w:pPr>
              <w:pStyle w:val="13"/>
            </w:pPr>
            <w:r>
              <w:t>2320411</w:t>
            </w:r>
          </w:p>
        </w:tc>
        <w:tc>
          <w:tcPr>
            <w:tcW w:w="758" w:type="dxa"/>
            <w:vAlign w:val="center"/>
          </w:tcPr>
          <w:p>
            <w:pPr>
              <w:pStyle w:val="13"/>
            </w:pPr>
            <w:r>
              <w:t>国有土地使用权出让金债务付息支出</w:t>
            </w:r>
          </w:p>
        </w:tc>
        <w:tc>
          <w:tcPr>
            <w:tcW w:w="758" w:type="dxa"/>
            <w:vAlign w:val="center"/>
          </w:tcPr>
          <w:p>
            <w:pPr>
              <w:pStyle w:val="14"/>
            </w:pPr>
            <w:r>
              <w:t>4113.58</w:t>
            </w:r>
          </w:p>
        </w:tc>
        <w:tc>
          <w:tcPr>
            <w:tcW w:w="758" w:type="dxa"/>
            <w:vAlign w:val="center"/>
          </w:tcPr>
          <w:p>
            <w:pPr>
              <w:pStyle w:val="14"/>
            </w:pPr>
            <w:r>
              <w:t>4113.58</w:t>
            </w:r>
          </w:p>
        </w:tc>
        <w:tc>
          <w:tcPr>
            <w:tcW w:w="758" w:type="dxa"/>
            <w:vAlign w:val="center"/>
          </w:tcPr>
          <w:p>
            <w:pPr>
              <w:pStyle w:val="14"/>
            </w:pPr>
            <w:r>
              <w:t>4113.58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8"/>
            </w:pPr>
            <w:r>
              <w:t>333001石家庄市藁城区住房和城乡建设局本级</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53176.09</w:t>
            </w:r>
          </w:p>
        </w:tc>
        <w:tc>
          <w:tcPr>
            <w:tcW w:w="1095" w:type="dxa"/>
            <w:vAlign w:val="center"/>
          </w:tcPr>
          <w:p>
            <w:pPr>
              <w:pStyle w:val="16"/>
            </w:pPr>
            <w:r>
              <w:t>1085.65</w:t>
            </w:r>
          </w:p>
        </w:tc>
        <w:tc>
          <w:tcPr>
            <w:tcW w:w="1095" w:type="dxa"/>
            <w:vAlign w:val="center"/>
          </w:tcPr>
          <w:p>
            <w:pPr>
              <w:pStyle w:val="16"/>
            </w:pPr>
            <w:r>
              <w:t>52090.4</w:t>
            </w:r>
            <w:r>
              <w:rPr>
                <w:rFonts w:hint="eastAsia"/>
                <w:lang w:eastAsia="zh-CN"/>
              </w:rPr>
              <w:t>4</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2</w:t>
            </w:r>
          </w:p>
        </w:tc>
        <w:tc>
          <w:tcPr>
            <w:tcW w:w="1095" w:type="dxa"/>
            <w:vAlign w:val="center"/>
          </w:tcPr>
          <w:p>
            <w:pPr>
              <w:pStyle w:val="13"/>
            </w:pPr>
            <w:r>
              <w:t>211</w:t>
            </w:r>
          </w:p>
        </w:tc>
        <w:tc>
          <w:tcPr>
            <w:tcW w:w="1095" w:type="dxa"/>
            <w:vAlign w:val="center"/>
          </w:tcPr>
          <w:p>
            <w:pPr>
              <w:pStyle w:val="13"/>
            </w:pPr>
            <w:r>
              <w:t>节能环保支出</w:t>
            </w:r>
          </w:p>
        </w:tc>
        <w:tc>
          <w:tcPr>
            <w:tcW w:w="1095" w:type="dxa"/>
            <w:vAlign w:val="center"/>
          </w:tcPr>
          <w:p>
            <w:pPr>
              <w:pStyle w:val="14"/>
            </w:pPr>
            <w:r>
              <w:t>1524.40</w:t>
            </w:r>
          </w:p>
        </w:tc>
        <w:tc>
          <w:tcPr>
            <w:tcW w:w="1095" w:type="dxa"/>
            <w:vAlign w:val="center"/>
          </w:tcPr>
          <w:p>
            <w:pPr>
              <w:pStyle w:val="14"/>
            </w:pPr>
          </w:p>
        </w:tc>
        <w:tc>
          <w:tcPr>
            <w:tcW w:w="1095" w:type="dxa"/>
            <w:vAlign w:val="center"/>
          </w:tcPr>
          <w:p>
            <w:pPr>
              <w:pStyle w:val="14"/>
            </w:pPr>
            <w:r>
              <w:t>1524.40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3</w:t>
            </w:r>
          </w:p>
        </w:tc>
        <w:tc>
          <w:tcPr>
            <w:tcW w:w="1095" w:type="dxa"/>
            <w:vAlign w:val="center"/>
          </w:tcPr>
          <w:p>
            <w:pPr>
              <w:pStyle w:val="13"/>
            </w:pPr>
            <w:r>
              <w:t>21103</w:t>
            </w:r>
          </w:p>
        </w:tc>
        <w:tc>
          <w:tcPr>
            <w:tcW w:w="1095" w:type="dxa"/>
            <w:vAlign w:val="center"/>
          </w:tcPr>
          <w:p>
            <w:pPr>
              <w:pStyle w:val="13"/>
            </w:pPr>
            <w:r>
              <w:t>污染防治</w:t>
            </w:r>
          </w:p>
        </w:tc>
        <w:tc>
          <w:tcPr>
            <w:tcW w:w="1095" w:type="dxa"/>
            <w:vAlign w:val="center"/>
          </w:tcPr>
          <w:p>
            <w:pPr>
              <w:pStyle w:val="14"/>
            </w:pPr>
            <w:r>
              <w:t>1524.40</w:t>
            </w:r>
          </w:p>
        </w:tc>
        <w:tc>
          <w:tcPr>
            <w:tcW w:w="1095" w:type="dxa"/>
            <w:vAlign w:val="center"/>
          </w:tcPr>
          <w:p>
            <w:pPr>
              <w:pStyle w:val="14"/>
            </w:pPr>
          </w:p>
        </w:tc>
        <w:tc>
          <w:tcPr>
            <w:tcW w:w="1095" w:type="dxa"/>
            <w:vAlign w:val="center"/>
          </w:tcPr>
          <w:p>
            <w:pPr>
              <w:pStyle w:val="14"/>
            </w:pPr>
            <w:r>
              <w:t>1524.40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4</w:t>
            </w:r>
          </w:p>
        </w:tc>
        <w:tc>
          <w:tcPr>
            <w:tcW w:w="1095" w:type="dxa"/>
            <w:vAlign w:val="center"/>
          </w:tcPr>
          <w:p>
            <w:pPr>
              <w:pStyle w:val="13"/>
            </w:pPr>
            <w:r>
              <w:t>2110301</w:t>
            </w:r>
          </w:p>
        </w:tc>
        <w:tc>
          <w:tcPr>
            <w:tcW w:w="1095" w:type="dxa"/>
            <w:vAlign w:val="center"/>
          </w:tcPr>
          <w:p>
            <w:pPr>
              <w:pStyle w:val="13"/>
            </w:pPr>
            <w:r>
              <w:t>大气</w:t>
            </w:r>
          </w:p>
        </w:tc>
        <w:tc>
          <w:tcPr>
            <w:tcW w:w="1095" w:type="dxa"/>
            <w:vAlign w:val="center"/>
          </w:tcPr>
          <w:p>
            <w:pPr>
              <w:pStyle w:val="14"/>
            </w:pPr>
            <w:r>
              <w:t>1524.40</w:t>
            </w:r>
          </w:p>
        </w:tc>
        <w:tc>
          <w:tcPr>
            <w:tcW w:w="1095" w:type="dxa"/>
            <w:vAlign w:val="center"/>
          </w:tcPr>
          <w:p>
            <w:pPr>
              <w:pStyle w:val="14"/>
            </w:pPr>
          </w:p>
        </w:tc>
        <w:tc>
          <w:tcPr>
            <w:tcW w:w="1095" w:type="dxa"/>
            <w:vAlign w:val="center"/>
          </w:tcPr>
          <w:p>
            <w:pPr>
              <w:pStyle w:val="14"/>
            </w:pPr>
            <w:r>
              <w:t>1524.40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5</w:t>
            </w:r>
          </w:p>
        </w:tc>
        <w:tc>
          <w:tcPr>
            <w:tcW w:w="1095" w:type="dxa"/>
            <w:vAlign w:val="center"/>
          </w:tcPr>
          <w:p>
            <w:pPr>
              <w:pStyle w:val="13"/>
            </w:pPr>
            <w:r>
              <w:t>212</w:t>
            </w:r>
          </w:p>
        </w:tc>
        <w:tc>
          <w:tcPr>
            <w:tcW w:w="1095" w:type="dxa"/>
            <w:vAlign w:val="center"/>
          </w:tcPr>
          <w:p>
            <w:pPr>
              <w:pStyle w:val="13"/>
            </w:pPr>
            <w:r>
              <w:t>城乡社区支出</w:t>
            </w:r>
          </w:p>
        </w:tc>
        <w:tc>
          <w:tcPr>
            <w:tcW w:w="1095" w:type="dxa"/>
            <w:vAlign w:val="center"/>
          </w:tcPr>
          <w:p>
            <w:pPr>
              <w:pStyle w:val="14"/>
            </w:pPr>
            <w:r>
              <w:t>19347.33</w:t>
            </w:r>
          </w:p>
        </w:tc>
        <w:tc>
          <w:tcPr>
            <w:tcW w:w="1095" w:type="dxa"/>
            <w:vAlign w:val="center"/>
          </w:tcPr>
          <w:p>
            <w:pPr>
              <w:pStyle w:val="14"/>
            </w:pPr>
            <w:r>
              <w:t>1085.65</w:t>
            </w:r>
          </w:p>
        </w:tc>
        <w:tc>
          <w:tcPr>
            <w:tcW w:w="1095" w:type="dxa"/>
            <w:vAlign w:val="center"/>
          </w:tcPr>
          <w:p>
            <w:pPr>
              <w:pStyle w:val="14"/>
            </w:pPr>
            <w:r>
              <w:t>18261.68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6</w:t>
            </w:r>
          </w:p>
        </w:tc>
        <w:tc>
          <w:tcPr>
            <w:tcW w:w="1095" w:type="dxa"/>
            <w:vAlign w:val="center"/>
          </w:tcPr>
          <w:p>
            <w:pPr>
              <w:pStyle w:val="13"/>
            </w:pPr>
            <w:r>
              <w:t>21201</w:t>
            </w:r>
          </w:p>
        </w:tc>
        <w:tc>
          <w:tcPr>
            <w:tcW w:w="1095" w:type="dxa"/>
            <w:vAlign w:val="center"/>
          </w:tcPr>
          <w:p>
            <w:pPr>
              <w:pStyle w:val="13"/>
            </w:pPr>
            <w:r>
              <w:t>城乡社区管理事务</w:t>
            </w:r>
          </w:p>
        </w:tc>
        <w:tc>
          <w:tcPr>
            <w:tcW w:w="1095" w:type="dxa"/>
            <w:vAlign w:val="center"/>
          </w:tcPr>
          <w:p>
            <w:pPr>
              <w:pStyle w:val="14"/>
            </w:pPr>
            <w:r>
              <w:t>1547.05</w:t>
            </w:r>
          </w:p>
        </w:tc>
        <w:tc>
          <w:tcPr>
            <w:tcW w:w="1095" w:type="dxa"/>
            <w:vAlign w:val="center"/>
          </w:tcPr>
          <w:p>
            <w:pPr>
              <w:pStyle w:val="14"/>
            </w:pPr>
            <w:r>
              <w:t>1085.65</w:t>
            </w:r>
          </w:p>
        </w:tc>
        <w:tc>
          <w:tcPr>
            <w:tcW w:w="1095" w:type="dxa"/>
            <w:vAlign w:val="center"/>
          </w:tcPr>
          <w:p>
            <w:pPr>
              <w:pStyle w:val="14"/>
            </w:pPr>
            <w:r>
              <w:t>461.40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7</w:t>
            </w:r>
          </w:p>
        </w:tc>
        <w:tc>
          <w:tcPr>
            <w:tcW w:w="1095" w:type="dxa"/>
            <w:vAlign w:val="center"/>
          </w:tcPr>
          <w:p>
            <w:pPr>
              <w:pStyle w:val="13"/>
            </w:pPr>
            <w:r>
              <w:t>2120101</w:t>
            </w:r>
          </w:p>
        </w:tc>
        <w:tc>
          <w:tcPr>
            <w:tcW w:w="1095" w:type="dxa"/>
            <w:vAlign w:val="center"/>
          </w:tcPr>
          <w:p>
            <w:pPr>
              <w:pStyle w:val="13"/>
            </w:pPr>
            <w:r>
              <w:t>行政运行</w:t>
            </w:r>
          </w:p>
        </w:tc>
        <w:tc>
          <w:tcPr>
            <w:tcW w:w="1095" w:type="dxa"/>
            <w:vAlign w:val="center"/>
          </w:tcPr>
          <w:p>
            <w:pPr>
              <w:pStyle w:val="14"/>
            </w:pPr>
            <w:r>
              <w:t>1085.65</w:t>
            </w:r>
          </w:p>
        </w:tc>
        <w:tc>
          <w:tcPr>
            <w:tcW w:w="1095" w:type="dxa"/>
            <w:vAlign w:val="center"/>
          </w:tcPr>
          <w:p>
            <w:pPr>
              <w:pStyle w:val="14"/>
            </w:pPr>
            <w:r>
              <w:t>1085.65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8</w:t>
            </w:r>
          </w:p>
        </w:tc>
        <w:tc>
          <w:tcPr>
            <w:tcW w:w="1095" w:type="dxa"/>
            <w:vAlign w:val="center"/>
          </w:tcPr>
          <w:p>
            <w:pPr>
              <w:pStyle w:val="13"/>
            </w:pPr>
            <w:r>
              <w:t>2120109</w:t>
            </w:r>
          </w:p>
        </w:tc>
        <w:tc>
          <w:tcPr>
            <w:tcW w:w="1095" w:type="dxa"/>
            <w:vAlign w:val="center"/>
          </w:tcPr>
          <w:p>
            <w:pPr>
              <w:pStyle w:val="13"/>
            </w:pPr>
            <w:r>
              <w:t>住宅建设与房地产市场监管</w:t>
            </w:r>
          </w:p>
        </w:tc>
        <w:tc>
          <w:tcPr>
            <w:tcW w:w="1095" w:type="dxa"/>
            <w:vAlign w:val="center"/>
          </w:tcPr>
          <w:p>
            <w:pPr>
              <w:pStyle w:val="14"/>
            </w:pPr>
            <w:r>
              <w:t>461.40</w:t>
            </w:r>
          </w:p>
        </w:tc>
        <w:tc>
          <w:tcPr>
            <w:tcW w:w="1095" w:type="dxa"/>
            <w:vAlign w:val="center"/>
          </w:tcPr>
          <w:p>
            <w:pPr>
              <w:pStyle w:val="14"/>
            </w:pPr>
          </w:p>
        </w:tc>
        <w:tc>
          <w:tcPr>
            <w:tcW w:w="1095" w:type="dxa"/>
            <w:vAlign w:val="center"/>
          </w:tcPr>
          <w:p>
            <w:pPr>
              <w:pStyle w:val="14"/>
            </w:pPr>
            <w:r>
              <w:t>461.40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9</w:t>
            </w:r>
          </w:p>
        </w:tc>
        <w:tc>
          <w:tcPr>
            <w:tcW w:w="1095" w:type="dxa"/>
            <w:vAlign w:val="center"/>
          </w:tcPr>
          <w:p>
            <w:pPr>
              <w:pStyle w:val="13"/>
            </w:pPr>
            <w:r>
              <w:t>21208</w:t>
            </w:r>
          </w:p>
        </w:tc>
        <w:tc>
          <w:tcPr>
            <w:tcW w:w="1095" w:type="dxa"/>
            <w:vAlign w:val="center"/>
          </w:tcPr>
          <w:p>
            <w:pPr>
              <w:pStyle w:val="13"/>
            </w:pPr>
            <w:r>
              <w:t>国有土地使用权出让收入安排的支出</w:t>
            </w:r>
          </w:p>
        </w:tc>
        <w:tc>
          <w:tcPr>
            <w:tcW w:w="1095" w:type="dxa"/>
            <w:vAlign w:val="center"/>
          </w:tcPr>
          <w:p>
            <w:pPr>
              <w:pStyle w:val="14"/>
            </w:pPr>
            <w:r>
              <w:t>16620.53</w:t>
            </w:r>
          </w:p>
        </w:tc>
        <w:tc>
          <w:tcPr>
            <w:tcW w:w="1095" w:type="dxa"/>
            <w:vAlign w:val="center"/>
          </w:tcPr>
          <w:p>
            <w:pPr>
              <w:pStyle w:val="14"/>
            </w:pPr>
          </w:p>
        </w:tc>
        <w:tc>
          <w:tcPr>
            <w:tcW w:w="1095" w:type="dxa"/>
            <w:vAlign w:val="center"/>
          </w:tcPr>
          <w:p>
            <w:pPr>
              <w:pStyle w:val="14"/>
            </w:pPr>
            <w:r>
              <w:t>16620.53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10</w:t>
            </w:r>
          </w:p>
        </w:tc>
        <w:tc>
          <w:tcPr>
            <w:tcW w:w="1095" w:type="dxa"/>
            <w:vAlign w:val="center"/>
          </w:tcPr>
          <w:p>
            <w:pPr>
              <w:pStyle w:val="13"/>
            </w:pPr>
            <w:r>
              <w:t>2120803</w:t>
            </w:r>
          </w:p>
        </w:tc>
        <w:tc>
          <w:tcPr>
            <w:tcW w:w="1095" w:type="dxa"/>
            <w:vAlign w:val="center"/>
          </w:tcPr>
          <w:p>
            <w:pPr>
              <w:pStyle w:val="13"/>
            </w:pPr>
            <w:r>
              <w:t>城市建设支出</w:t>
            </w:r>
          </w:p>
        </w:tc>
        <w:tc>
          <w:tcPr>
            <w:tcW w:w="1095" w:type="dxa"/>
            <w:vAlign w:val="center"/>
          </w:tcPr>
          <w:p>
            <w:pPr>
              <w:pStyle w:val="14"/>
            </w:pPr>
            <w:r>
              <w:t>13868.19</w:t>
            </w:r>
          </w:p>
        </w:tc>
        <w:tc>
          <w:tcPr>
            <w:tcW w:w="1095" w:type="dxa"/>
            <w:vAlign w:val="center"/>
          </w:tcPr>
          <w:p>
            <w:pPr>
              <w:pStyle w:val="14"/>
            </w:pPr>
          </w:p>
        </w:tc>
        <w:tc>
          <w:tcPr>
            <w:tcW w:w="1095" w:type="dxa"/>
            <w:vAlign w:val="center"/>
          </w:tcPr>
          <w:p>
            <w:pPr>
              <w:pStyle w:val="14"/>
            </w:pPr>
            <w:r>
              <w:t>13868.19</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11</w:t>
            </w:r>
          </w:p>
        </w:tc>
        <w:tc>
          <w:tcPr>
            <w:tcW w:w="1095" w:type="dxa"/>
            <w:vAlign w:val="center"/>
          </w:tcPr>
          <w:p>
            <w:pPr>
              <w:pStyle w:val="13"/>
            </w:pPr>
            <w:r>
              <w:t>2120804</w:t>
            </w:r>
          </w:p>
        </w:tc>
        <w:tc>
          <w:tcPr>
            <w:tcW w:w="1095" w:type="dxa"/>
            <w:vAlign w:val="center"/>
          </w:tcPr>
          <w:p>
            <w:pPr>
              <w:pStyle w:val="13"/>
            </w:pPr>
            <w:r>
              <w:t>农村基础设施建设支出</w:t>
            </w:r>
          </w:p>
        </w:tc>
        <w:tc>
          <w:tcPr>
            <w:tcW w:w="1095" w:type="dxa"/>
            <w:vAlign w:val="center"/>
          </w:tcPr>
          <w:p>
            <w:pPr>
              <w:pStyle w:val="14"/>
            </w:pPr>
            <w:r>
              <w:t>1452.34</w:t>
            </w:r>
          </w:p>
        </w:tc>
        <w:tc>
          <w:tcPr>
            <w:tcW w:w="1095" w:type="dxa"/>
            <w:vAlign w:val="center"/>
          </w:tcPr>
          <w:p>
            <w:pPr>
              <w:pStyle w:val="14"/>
            </w:pPr>
          </w:p>
        </w:tc>
        <w:tc>
          <w:tcPr>
            <w:tcW w:w="1095" w:type="dxa"/>
            <w:vAlign w:val="center"/>
          </w:tcPr>
          <w:p>
            <w:pPr>
              <w:pStyle w:val="14"/>
            </w:pPr>
            <w:r>
              <w:t>1452.34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12</w:t>
            </w:r>
          </w:p>
        </w:tc>
        <w:tc>
          <w:tcPr>
            <w:tcW w:w="1095" w:type="dxa"/>
            <w:vAlign w:val="center"/>
          </w:tcPr>
          <w:p>
            <w:pPr>
              <w:pStyle w:val="13"/>
            </w:pPr>
            <w:r>
              <w:t>2120816</w:t>
            </w:r>
          </w:p>
        </w:tc>
        <w:tc>
          <w:tcPr>
            <w:tcW w:w="1095" w:type="dxa"/>
            <w:vAlign w:val="center"/>
          </w:tcPr>
          <w:p>
            <w:pPr>
              <w:pStyle w:val="13"/>
            </w:pPr>
            <w:r>
              <w:t>农业农村生态环境支出</w:t>
            </w:r>
          </w:p>
        </w:tc>
        <w:tc>
          <w:tcPr>
            <w:tcW w:w="1095" w:type="dxa"/>
            <w:vAlign w:val="center"/>
          </w:tcPr>
          <w:p>
            <w:pPr>
              <w:pStyle w:val="14"/>
            </w:pPr>
            <w:r>
              <w:t>1300.00</w:t>
            </w:r>
          </w:p>
        </w:tc>
        <w:tc>
          <w:tcPr>
            <w:tcW w:w="1095" w:type="dxa"/>
            <w:vAlign w:val="center"/>
          </w:tcPr>
          <w:p>
            <w:pPr>
              <w:pStyle w:val="14"/>
            </w:pPr>
          </w:p>
        </w:tc>
        <w:tc>
          <w:tcPr>
            <w:tcW w:w="1095" w:type="dxa"/>
            <w:vAlign w:val="center"/>
          </w:tcPr>
          <w:p>
            <w:pPr>
              <w:pStyle w:val="14"/>
            </w:pPr>
            <w:r>
              <w:t>1300.00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13</w:t>
            </w:r>
          </w:p>
        </w:tc>
        <w:tc>
          <w:tcPr>
            <w:tcW w:w="1095" w:type="dxa"/>
            <w:vAlign w:val="center"/>
          </w:tcPr>
          <w:p>
            <w:pPr>
              <w:pStyle w:val="13"/>
            </w:pPr>
            <w:r>
              <w:t>21213</w:t>
            </w:r>
          </w:p>
        </w:tc>
        <w:tc>
          <w:tcPr>
            <w:tcW w:w="1095" w:type="dxa"/>
            <w:vAlign w:val="center"/>
          </w:tcPr>
          <w:p>
            <w:pPr>
              <w:pStyle w:val="13"/>
            </w:pPr>
            <w:r>
              <w:t>城市基础设施配套费安排的支出</w:t>
            </w:r>
          </w:p>
        </w:tc>
        <w:tc>
          <w:tcPr>
            <w:tcW w:w="1095" w:type="dxa"/>
            <w:vAlign w:val="center"/>
          </w:tcPr>
          <w:p>
            <w:pPr>
              <w:pStyle w:val="14"/>
            </w:pPr>
            <w:r>
              <w:t>1179.75</w:t>
            </w:r>
          </w:p>
        </w:tc>
        <w:tc>
          <w:tcPr>
            <w:tcW w:w="1095" w:type="dxa"/>
            <w:vAlign w:val="center"/>
          </w:tcPr>
          <w:p>
            <w:pPr>
              <w:pStyle w:val="14"/>
            </w:pPr>
          </w:p>
        </w:tc>
        <w:tc>
          <w:tcPr>
            <w:tcW w:w="1095" w:type="dxa"/>
            <w:vAlign w:val="center"/>
          </w:tcPr>
          <w:p>
            <w:pPr>
              <w:pStyle w:val="14"/>
            </w:pPr>
            <w:r>
              <w:t>1179.75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14</w:t>
            </w:r>
          </w:p>
        </w:tc>
        <w:tc>
          <w:tcPr>
            <w:tcW w:w="1095" w:type="dxa"/>
            <w:vAlign w:val="center"/>
          </w:tcPr>
          <w:p>
            <w:pPr>
              <w:pStyle w:val="13"/>
            </w:pPr>
            <w:r>
              <w:t>2121399</w:t>
            </w:r>
          </w:p>
        </w:tc>
        <w:tc>
          <w:tcPr>
            <w:tcW w:w="1095" w:type="dxa"/>
            <w:vAlign w:val="center"/>
          </w:tcPr>
          <w:p>
            <w:pPr>
              <w:pStyle w:val="13"/>
            </w:pPr>
            <w:r>
              <w:t>其他城市基础设施配套费安排的支出</w:t>
            </w:r>
          </w:p>
        </w:tc>
        <w:tc>
          <w:tcPr>
            <w:tcW w:w="1095" w:type="dxa"/>
            <w:vAlign w:val="center"/>
          </w:tcPr>
          <w:p>
            <w:pPr>
              <w:pStyle w:val="14"/>
            </w:pPr>
            <w:r>
              <w:t>1179.75</w:t>
            </w:r>
          </w:p>
        </w:tc>
        <w:tc>
          <w:tcPr>
            <w:tcW w:w="1095" w:type="dxa"/>
            <w:vAlign w:val="center"/>
          </w:tcPr>
          <w:p>
            <w:pPr>
              <w:pStyle w:val="14"/>
            </w:pPr>
          </w:p>
        </w:tc>
        <w:tc>
          <w:tcPr>
            <w:tcW w:w="1095" w:type="dxa"/>
            <w:vAlign w:val="center"/>
          </w:tcPr>
          <w:p>
            <w:pPr>
              <w:pStyle w:val="14"/>
            </w:pPr>
            <w:r>
              <w:t>1179.75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15</w:t>
            </w:r>
          </w:p>
        </w:tc>
        <w:tc>
          <w:tcPr>
            <w:tcW w:w="1095" w:type="dxa"/>
            <w:vAlign w:val="center"/>
          </w:tcPr>
          <w:p>
            <w:pPr>
              <w:pStyle w:val="13"/>
            </w:pPr>
            <w:r>
              <w:t>221</w:t>
            </w:r>
          </w:p>
        </w:tc>
        <w:tc>
          <w:tcPr>
            <w:tcW w:w="1095" w:type="dxa"/>
            <w:vAlign w:val="center"/>
          </w:tcPr>
          <w:p>
            <w:pPr>
              <w:pStyle w:val="13"/>
            </w:pPr>
            <w:r>
              <w:t>住房保障支出</w:t>
            </w:r>
          </w:p>
        </w:tc>
        <w:tc>
          <w:tcPr>
            <w:tcW w:w="1095" w:type="dxa"/>
            <w:vAlign w:val="center"/>
          </w:tcPr>
          <w:p>
            <w:pPr>
              <w:pStyle w:val="14"/>
            </w:pPr>
            <w:r>
              <w:t>4653.99</w:t>
            </w:r>
          </w:p>
        </w:tc>
        <w:tc>
          <w:tcPr>
            <w:tcW w:w="1095" w:type="dxa"/>
            <w:vAlign w:val="center"/>
          </w:tcPr>
          <w:p>
            <w:pPr>
              <w:pStyle w:val="14"/>
            </w:pPr>
          </w:p>
        </w:tc>
        <w:tc>
          <w:tcPr>
            <w:tcW w:w="1095" w:type="dxa"/>
            <w:vAlign w:val="center"/>
          </w:tcPr>
          <w:p>
            <w:pPr>
              <w:pStyle w:val="14"/>
            </w:pPr>
            <w:r>
              <w:t>4653.99</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16</w:t>
            </w:r>
          </w:p>
        </w:tc>
        <w:tc>
          <w:tcPr>
            <w:tcW w:w="1095" w:type="dxa"/>
            <w:vAlign w:val="center"/>
          </w:tcPr>
          <w:p>
            <w:pPr>
              <w:pStyle w:val="13"/>
            </w:pPr>
            <w:r>
              <w:t>22101</w:t>
            </w:r>
          </w:p>
        </w:tc>
        <w:tc>
          <w:tcPr>
            <w:tcW w:w="1095" w:type="dxa"/>
            <w:vAlign w:val="center"/>
          </w:tcPr>
          <w:p>
            <w:pPr>
              <w:pStyle w:val="13"/>
            </w:pPr>
            <w:r>
              <w:t>保障性安居工程支出</w:t>
            </w:r>
          </w:p>
        </w:tc>
        <w:tc>
          <w:tcPr>
            <w:tcW w:w="1095" w:type="dxa"/>
            <w:vAlign w:val="center"/>
          </w:tcPr>
          <w:p>
            <w:pPr>
              <w:pStyle w:val="14"/>
            </w:pPr>
            <w:r>
              <w:t>4653.99</w:t>
            </w:r>
          </w:p>
        </w:tc>
        <w:tc>
          <w:tcPr>
            <w:tcW w:w="1095" w:type="dxa"/>
            <w:vAlign w:val="center"/>
          </w:tcPr>
          <w:p>
            <w:pPr>
              <w:pStyle w:val="14"/>
            </w:pPr>
          </w:p>
        </w:tc>
        <w:tc>
          <w:tcPr>
            <w:tcW w:w="1095" w:type="dxa"/>
            <w:vAlign w:val="center"/>
          </w:tcPr>
          <w:p>
            <w:pPr>
              <w:pStyle w:val="14"/>
            </w:pPr>
            <w:r>
              <w:t>4653.99</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17</w:t>
            </w:r>
          </w:p>
        </w:tc>
        <w:tc>
          <w:tcPr>
            <w:tcW w:w="1095" w:type="dxa"/>
            <w:vAlign w:val="center"/>
          </w:tcPr>
          <w:p>
            <w:pPr>
              <w:pStyle w:val="13"/>
            </w:pPr>
            <w:r>
              <w:t>2210109</w:t>
            </w:r>
          </w:p>
        </w:tc>
        <w:tc>
          <w:tcPr>
            <w:tcW w:w="1095" w:type="dxa"/>
            <w:vAlign w:val="center"/>
          </w:tcPr>
          <w:p>
            <w:pPr>
              <w:pStyle w:val="13"/>
            </w:pPr>
            <w:r>
              <w:t>住房租赁市场发展</w:t>
            </w:r>
          </w:p>
        </w:tc>
        <w:tc>
          <w:tcPr>
            <w:tcW w:w="1095" w:type="dxa"/>
            <w:vAlign w:val="center"/>
          </w:tcPr>
          <w:p>
            <w:pPr>
              <w:pStyle w:val="14"/>
            </w:pPr>
            <w:r>
              <w:t>4653.99</w:t>
            </w:r>
          </w:p>
        </w:tc>
        <w:tc>
          <w:tcPr>
            <w:tcW w:w="1095" w:type="dxa"/>
            <w:vAlign w:val="center"/>
          </w:tcPr>
          <w:p>
            <w:pPr>
              <w:pStyle w:val="14"/>
            </w:pPr>
          </w:p>
        </w:tc>
        <w:tc>
          <w:tcPr>
            <w:tcW w:w="1095" w:type="dxa"/>
            <w:vAlign w:val="center"/>
          </w:tcPr>
          <w:p>
            <w:pPr>
              <w:pStyle w:val="14"/>
            </w:pPr>
            <w:r>
              <w:t>4653.99</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18</w:t>
            </w:r>
          </w:p>
        </w:tc>
        <w:tc>
          <w:tcPr>
            <w:tcW w:w="1095" w:type="dxa"/>
            <w:vAlign w:val="center"/>
          </w:tcPr>
          <w:p>
            <w:pPr>
              <w:pStyle w:val="13"/>
            </w:pPr>
            <w:r>
              <w:t>229</w:t>
            </w:r>
          </w:p>
        </w:tc>
        <w:tc>
          <w:tcPr>
            <w:tcW w:w="1095" w:type="dxa"/>
            <w:vAlign w:val="center"/>
          </w:tcPr>
          <w:p>
            <w:pPr>
              <w:pStyle w:val="13"/>
            </w:pPr>
            <w:r>
              <w:t>其他支出</w:t>
            </w:r>
          </w:p>
        </w:tc>
        <w:tc>
          <w:tcPr>
            <w:tcW w:w="1095" w:type="dxa"/>
            <w:vAlign w:val="center"/>
          </w:tcPr>
          <w:p>
            <w:pPr>
              <w:pStyle w:val="14"/>
            </w:pPr>
            <w:r>
              <w:t>16070.79</w:t>
            </w:r>
          </w:p>
        </w:tc>
        <w:tc>
          <w:tcPr>
            <w:tcW w:w="1095" w:type="dxa"/>
            <w:vAlign w:val="center"/>
          </w:tcPr>
          <w:p>
            <w:pPr>
              <w:pStyle w:val="14"/>
            </w:pPr>
          </w:p>
        </w:tc>
        <w:tc>
          <w:tcPr>
            <w:tcW w:w="1095" w:type="dxa"/>
            <w:vAlign w:val="center"/>
          </w:tcPr>
          <w:p>
            <w:pPr>
              <w:pStyle w:val="14"/>
            </w:pPr>
            <w:r>
              <w:t>16070.79</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19</w:t>
            </w:r>
          </w:p>
        </w:tc>
        <w:tc>
          <w:tcPr>
            <w:tcW w:w="1095" w:type="dxa"/>
            <w:vAlign w:val="center"/>
          </w:tcPr>
          <w:p>
            <w:pPr>
              <w:pStyle w:val="13"/>
            </w:pPr>
            <w:r>
              <w:t>22904</w:t>
            </w:r>
          </w:p>
        </w:tc>
        <w:tc>
          <w:tcPr>
            <w:tcW w:w="1095" w:type="dxa"/>
            <w:vAlign w:val="center"/>
          </w:tcPr>
          <w:p>
            <w:pPr>
              <w:pStyle w:val="13"/>
            </w:pPr>
            <w:r>
              <w:t>其他政府性基金及对应专项债务收入安排的支出</w:t>
            </w:r>
          </w:p>
        </w:tc>
        <w:tc>
          <w:tcPr>
            <w:tcW w:w="1095" w:type="dxa"/>
            <w:vAlign w:val="center"/>
          </w:tcPr>
          <w:p>
            <w:pPr>
              <w:pStyle w:val="14"/>
            </w:pPr>
            <w:r>
              <w:t>16070.79</w:t>
            </w:r>
          </w:p>
        </w:tc>
        <w:tc>
          <w:tcPr>
            <w:tcW w:w="1095" w:type="dxa"/>
            <w:vAlign w:val="center"/>
          </w:tcPr>
          <w:p>
            <w:pPr>
              <w:pStyle w:val="14"/>
            </w:pPr>
          </w:p>
        </w:tc>
        <w:tc>
          <w:tcPr>
            <w:tcW w:w="1095" w:type="dxa"/>
            <w:vAlign w:val="center"/>
          </w:tcPr>
          <w:p>
            <w:pPr>
              <w:pStyle w:val="14"/>
            </w:pPr>
            <w:r>
              <w:t>16070.79</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20</w:t>
            </w:r>
          </w:p>
        </w:tc>
        <w:tc>
          <w:tcPr>
            <w:tcW w:w="1095" w:type="dxa"/>
            <w:vAlign w:val="center"/>
          </w:tcPr>
          <w:p>
            <w:pPr>
              <w:pStyle w:val="13"/>
            </w:pPr>
            <w:r>
              <w:t>2290402</w:t>
            </w:r>
          </w:p>
        </w:tc>
        <w:tc>
          <w:tcPr>
            <w:tcW w:w="1095" w:type="dxa"/>
            <w:vAlign w:val="center"/>
          </w:tcPr>
          <w:p>
            <w:pPr>
              <w:pStyle w:val="13"/>
            </w:pPr>
            <w:r>
              <w:t>其他地方自行试点项目收益专项债券收入安排的支出</w:t>
            </w:r>
          </w:p>
        </w:tc>
        <w:tc>
          <w:tcPr>
            <w:tcW w:w="1095" w:type="dxa"/>
            <w:vAlign w:val="center"/>
          </w:tcPr>
          <w:p>
            <w:pPr>
              <w:pStyle w:val="14"/>
            </w:pPr>
            <w:r>
              <w:t>16070.79</w:t>
            </w:r>
          </w:p>
        </w:tc>
        <w:tc>
          <w:tcPr>
            <w:tcW w:w="1095" w:type="dxa"/>
            <w:vAlign w:val="center"/>
          </w:tcPr>
          <w:p>
            <w:pPr>
              <w:pStyle w:val="14"/>
            </w:pPr>
          </w:p>
        </w:tc>
        <w:tc>
          <w:tcPr>
            <w:tcW w:w="1095" w:type="dxa"/>
            <w:vAlign w:val="center"/>
          </w:tcPr>
          <w:p>
            <w:pPr>
              <w:pStyle w:val="14"/>
            </w:pPr>
            <w:r>
              <w:t>16070.79</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21</w:t>
            </w:r>
          </w:p>
        </w:tc>
        <w:tc>
          <w:tcPr>
            <w:tcW w:w="1095" w:type="dxa"/>
            <w:vAlign w:val="center"/>
          </w:tcPr>
          <w:p>
            <w:pPr>
              <w:pStyle w:val="13"/>
            </w:pPr>
            <w:r>
              <w:t>231</w:t>
            </w:r>
          </w:p>
        </w:tc>
        <w:tc>
          <w:tcPr>
            <w:tcW w:w="1095" w:type="dxa"/>
            <w:vAlign w:val="center"/>
          </w:tcPr>
          <w:p>
            <w:pPr>
              <w:pStyle w:val="13"/>
            </w:pPr>
            <w:r>
              <w:t>债务还本支出</w:t>
            </w:r>
          </w:p>
        </w:tc>
        <w:tc>
          <w:tcPr>
            <w:tcW w:w="1095" w:type="dxa"/>
            <w:vAlign w:val="center"/>
          </w:tcPr>
          <w:p>
            <w:pPr>
              <w:pStyle w:val="14"/>
            </w:pPr>
            <w:r>
              <w:t>7466.00</w:t>
            </w:r>
          </w:p>
        </w:tc>
        <w:tc>
          <w:tcPr>
            <w:tcW w:w="1095" w:type="dxa"/>
            <w:vAlign w:val="center"/>
          </w:tcPr>
          <w:p>
            <w:pPr>
              <w:pStyle w:val="14"/>
            </w:pPr>
          </w:p>
        </w:tc>
        <w:tc>
          <w:tcPr>
            <w:tcW w:w="1095" w:type="dxa"/>
            <w:vAlign w:val="center"/>
          </w:tcPr>
          <w:p>
            <w:pPr>
              <w:pStyle w:val="14"/>
            </w:pPr>
            <w:r>
              <w:t>7466.00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22</w:t>
            </w:r>
          </w:p>
        </w:tc>
        <w:tc>
          <w:tcPr>
            <w:tcW w:w="1095" w:type="dxa"/>
            <w:vAlign w:val="center"/>
          </w:tcPr>
          <w:p>
            <w:pPr>
              <w:pStyle w:val="13"/>
            </w:pPr>
            <w:r>
              <w:t>23104</w:t>
            </w:r>
          </w:p>
        </w:tc>
        <w:tc>
          <w:tcPr>
            <w:tcW w:w="1095" w:type="dxa"/>
            <w:vAlign w:val="center"/>
          </w:tcPr>
          <w:p>
            <w:pPr>
              <w:pStyle w:val="13"/>
            </w:pPr>
            <w:r>
              <w:t>地方政府专项债务还本支出</w:t>
            </w:r>
          </w:p>
        </w:tc>
        <w:tc>
          <w:tcPr>
            <w:tcW w:w="1095" w:type="dxa"/>
            <w:vAlign w:val="center"/>
          </w:tcPr>
          <w:p>
            <w:pPr>
              <w:pStyle w:val="14"/>
            </w:pPr>
            <w:r>
              <w:t>7466.00</w:t>
            </w:r>
          </w:p>
        </w:tc>
        <w:tc>
          <w:tcPr>
            <w:tcW w:w="1095" w:type="dxa"/>
            <w:vAlign w:val="center"/>
          </w:tcPr>
          <w:p>
            <w:pPr>
              <w:pStyle w:val="14"/>
            </w:pPr>
          </w:p>
        </w:tc>
        <w:tc>
          <w:tcPr>
            <w:tcW w:w="1095" w:type="dxa"/>
            <w:vAlign w:val="center"/>
          </w:tcPr>
          <w:p>
            <w:pPr>
              <w:pStyle w:val="14"/>
            </w:pPr>
            <w:r>
              <w:t>7466.00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23</w:t>
            </w:r>
          </w:p>
        </w:tc>
        <w:tc>
          <w:tcPr>
            <w:tcW w:w="1095" w:type="dxa"/>
            <w:vAlign w:val="center"/>
          </w:tcPr>
          <w:p>
            <w:pPr>
              <w:pStyle w:val="13"/>
            </w:pPr>
            <w:r>
              <w:t>2310411</w:t>
            </w:r>
          </w:p>
        </w:tc>
        <w:tc>
          <w:tcPr>
            <w:tcW w:w="1095" w:type="dxa"/>
            <w:vAlign w:val="center"/>
          </w:tcPr>
          <w:p>
            <w:pPr>
              <w:pStyle w:val="13"/>
            </w:pPr>
            <w:r>
              <w:t>国有土地使用权出让金债务还本支出</w:t>
            </w:r>
          </w:p>
        </w:tc>
        <w:tc>
          <w:tcPr>
            <w:tcW w:w="1095" w:type="dxa"/>
            <w:vAlign w:val="center"/>
          </w:tcPr>
          <w:p>
            <w:pPr>
              <w:pStyle w:val="14"/>
            </w:pPr>
            <w:r>
              <w:t>7466.00</w:t>
            </w:r>
          </w:p>
        </w:tc>
        <w:tc>
          <w:tcPr>
            <w:tcW w:w="1095" w:type="dxa"/>
            <w:vAlign w:val="center"/>
          </w:tcPr>
          <w:p>
            <w:pPr>
              <w:pStyle w:val="14"/>
            </w:pPr>
          </w:p>
        </w:tc>
        <w:tc>
          <w:tcPr>
            <w:tcW w:w="1095" w:type="dxa"/>
            <w:vAlign w:val="center"/>
          </w:tcPr>
          <w:p>
            <w:pPr>
              <w:pStyle w:val="14"/>
            </w:pPr>
            <w:r>
              <w:t>7466.00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24</w:t>
            </w:r>
          </w:p>
        </w:tc>
        <w:tc>
          <w:tcPr>
            <w:tcW w:w="1095" w:type="dxa"/>
            <w:vAlign w:val="center"/>
          </w:tcPr>
          <w:p>
            <w:pPr>
              <w:pStyle w:val="13"/>
            </w:pPr>
            <w:r>
              <w:t>232</w:t>
            </w:r>
          </w:p>
        </w:tc>
        <w:tc>
          <w:tcPr>
            <w:tcW w:w="1095" w:type="dxa"/>
            <w:vAlign w:val="center"/>
          </w:tcPr>
          <w:p>
            <w:pPr>
              <w:pStyle w:val="13"/>
            </w:pPr>
            <w:r>
              <w:t>债务付息支出</w:t>
            </w:r>
          </w:p>
        </w:tc>
        <w:tc>
          <w:tcPr>
            <w:tcW w:w="1095" w:type="dxa"/>
            <w:vAlign w:val="center"/>
          </w:tcPr>
          <w:p>
            <w:pPr>
              <w:pStyle w:val="14"/>
            </w:pPr>
            <w:r>
              <w:t>4113.58</w:t>
            </w:r>
          </w:p>
        </w:tc>
        <w:tc>
          <w:tcPr>
            <w:tcW w:w="1095" w:type="dxa"/>
            <w:vAlign w:val="center"/>
          </w:tcPr>
          <w:p>
            <w:pPr>
              <w:pStyle w:val="14"/>
            </w:pPr>
          </w:p>
        </w:tc>
        <w:tc>
          <w:tcPr>
            <w:tcW w:w="1095" w:type="dxa"/>
            <w:vAlign w:val="center"/>
          </w:tcPr>
          <w:p>
            <w:pPr>
              <w:pStyle w:val="14"/>
            </w:pPr>
            <w:r>
              <w:t>4113.58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25</w:t>
            </w:r>
          </w:p>
        </w:tc>
        <w:tc>
          <w:tcPr>
            <w:tcW w:w="1095" w:type="dxa"/>
            <w:vAlign w:val="center"/>
          </w:tcPr>
          <w:p>
            <w:pPr>
              <w:pStyle w:val="13"/>
            </w:pPr>
            <w:r>
              <w:t>23204</w:t>
            </w:r>
          </w:p>
        </w:tc>
        <w:tc>
          <w:tcPr>
            <w:tcW w:w="1095" w:type="dxa"/>
            <w:vAlign w:val="center"/>
          </w:tcPr>
          <w:p>
            <w:pPr>
              <w:pStyle w:val="13"/>
            </w:pPr>
            <w:r>
              <w:t>地方政府专项债务付息支出</w:t>
            </w:r>
          </w:p>
        </w:tc>
        <w:tc>
          <w:tcPr>
            <w:tcW w:w="1095" w:type="dxa"/>
            <w:vAlign w:val="center"/>
          </w:tcPr>
          <w:p>
            <w:pPr>
              <w:pStyle w:val="14"/>
            </w:pPr>
            <w:r>
              <w:t>4113.58</w:t>
            </w:r>
          </w:p>
        </w:tc>
        <w:tc>
          <w:tcPr>
            <w:tcW w:w="1095" w:type="dxa"/>
            <w:vAlign w:val="center"/>
          </w:tcPr>
          <w:p>
            <w:pPr>
              <w:pStyle w:val="14"/>
            </w:pPr>
          </w:p>
        </w:tc>
        <w:tc>
          <w:tcPr>
            <w:tcW w:w="1095" w:type="dxa"/>
            <w:vAlign w:val="center"/>
          </w:tcPr>
          <w:p>
            <w:pPr>
              <w:pStyle w:val="14"/>
            </w:pPr>
            <w:r>
              <w:t>4113.58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26</w:t>
            </w:r>
          </w:p>
        </w:tc>
        <w:tc>
          <w:tcPr>
            <w:tcW w:w="1095" w:type="dxa"/>
            <w:vAlign w:val="center"/>
          </w:tcPr>
          <w:p>
            <w:pPr>
              <w:pStyle w:val="13"/>
            </w:pPr>
            <w:r>
              <w:t>2320411</w:t>
            </w:r>
          </w:p>
        </w:tc>
        <w:tc>
          <w:tcPr>
            <w:tcW w:w="1095" w:type="dxa"/>
            <w:vAlign w:val="center"/>
          </w:tcPr>
          <w:p>
            <w:pPr>
              <w:pStyle w:val="13"/>
            </w:pPr>
            <w:r>
              <w:t>国有土地使用权出让金债务付息支出</w:t>
            </w:r>
          </w:p>
        </w:tc>
        <w:tc>
          <w:tcPr>
            <w:tcW w:w="1095" w:type="dxa"/>
            <w:vAlign w:val="center"/>
          </w:tcPr>
          <w:p>
            <w:pPr>
              <w:pStyle w:val="14"/>
            </w:pPr>
            <w:r>
              <w:t>4113.58</w:t>
            </w:r>
          </w:p>
        </w:tc>
        <w:tc>
          <w:tcPr>
            <w:tcW w:w="1095" w:type="dxa"/>
            <w:vAlign w:val="center"/>
          </w:tcPr>
          <w:p>
            <w:pPr>
              <w:pStyle w:val="14"/>
            </w:pPr>
          </w:p>
        </w:tc>
        <w:tc>
          <w:tcPr>
            <w:tcW w:w="1095" w:type="dxa"/>
            <w:vAlign w:val="center"/>
          </w:tcPr>
          <w:p>
            <w:pPr>
              <w:pStyle w:val="14"/>
            </w:pPr>
            <w:r>
              <w:t>4113.58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8"/>
            </w:pPr>
            <w:r>
              <w:t>333001石家庄市藁城区住房和城乡建设局本级</w:t>
            </w:r>
          </w:p>
        </w:tc>
        <w:tc>
          <w:tcPr>
            <w:tcW w:w="1232" w:type="dxa"/>
            <w:tcBorders>
              <w:top w:val="single" w:color="FFFFFF" w:sz="6" w:space="0"/>
              <w:left w:val="single" w:color="FFFFFF" w:sz="6" w:space="0"/>
              <w:right w:val="single" w:color="FFFFFF" w:sz="6" w:space="0"/>
            </w:tcBorders>
            <w:vAlign w:val="center"/>
          </w:tcPr>
          <w:p>
            <w:pPr>
              <w:pStyle w:val="9"/>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w:t>
            </w:r>
          </w:p>
        </w:tc>
        <w:tc>
          <w:tcPr>
            <w:tcW w:w="1232" w:type="dxa"/>
            <w:vAlign w:val="center"/>
          </w:tcPr>
          <w:p>
            <w:pPr>
              <w:pStyle w:val="13"/>
            </w:pPr>
            <w:r>
              <w:t>一、一般公共预算拨款</w:t>
            </w:r>
          </w:p>
        </w:tc>
        <w:tc>
          <w:tcPr>
            <w:tcW w:w="1232" w:type="dxa"/>
            <w:vAlign w:val="center"/>
          </w:tcPr>
          <w:p>
            <w:pPr>
              <w:pStyle w:val="14"/>
            </w:pPr>
            <w:r>
              <w:t>3071.45</w:t>
            </w:r>
          </w:p>
        </w:tc>
        <w:tc>
          <w:tcPr>
            <w:tcW w:w="1232" w:type="dxa"/>
            <w:vAlign w:val="center"/>
          </w:tcPr>
          <w:p>
            <w:pPr>
              <w:pStyle w:val="13"/>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w:t>
            </w:r>
          </w:p>
        </w:tc>
        <w:tc>
          <w:tcPr>
            <w:tcW w:w="1232" w:type="dxa"/>
            <w:vAlign w:val="center"/>
          </w:tcPr>
          <w:p>
            <w:pPr>
              <w:pStyle w:val="13"/>
            </w:pPr>
            <w:r>
              <w:t>二、政府性基金预算拨款</w:t>
            </w:r>
          </w:p>
        </w:tc>
        <w:tc>
          <w:tcPr>
            <w:tcW w:w="1232" w:type="dxa"/>
            <w:vAlign w:val="center"/>
          </w:tcPr>
          <w:p>
            <w:pPr>
              <w:pStyle w:val="14"/>
            </w:pPr>
            <w:r>
              <w:t>29379.86</w:t>
            </w:r>
          </w:p>
        </w:tc>
        <w:tc>
          <w:tcPr>
            <w:tcW w:w="1232" w:type="dxa"/>
            <w:vAlign w:val="center"/>
          </w:tcPr>
          <w:p>
            <w:pPr>
              <w:pStyle w:val="13"/>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w:t>
            </w:r>
          </w:p>
        </w:tc>
        <w:tc>
          <w:tcPr>
            <w:tcW w:w="1232" w:type="dxa"/>
            <w:vAlign w:val="center"/>
          </w:tcPr>
          <w:p>
            <w:pPr>
              <w:pStyle w:val="13"/>
            </w:pPr>
            <w:r>
              <w:t>三、国有资本经营预算拨款</w:t>
            </w:r>
          </w:p>
        </w:tc>
        <w:tc>
          <w:tcPr>
            <w:tcW w:w="1232" w:type="dxa"/>
            <w:vAlign w:val="center"/>
          </w:tcPr>
          <w:p>
            <w:pPr>
              <w:pStyle w:val="14"/>
            </w:pPr>
          </w:p>
        </w:tc>
        <w:tc>
          <w:tcPr>
            <w:tcW w:w="1232" w:type="dxa"/>
            <w:vAlign w:val="center"/>
          </w:tcPr>
          <w:p>
            <w:pPr>
              <w:pStyle w:val="13"/>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4</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5</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6</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7</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8</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9</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10</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11</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十一、节能环保支出</w:t>
            </w:r>
          </w:p>
        </w:tc>
        <w:tc>
          <w:tcPr>
            <w:tcW w:w="1232" w:type="dxa"/>
            <w:vAlign w:val="center"/>
          </w:tcPr>
          <w:p>
            <w:pPr>
              <w:pStyle w:val="14"/>
            </w:pPr>
            <w:r>
              <w:t>1524.40</w:t>
            </w:r>
          </w:p>
        </w:tc>
        <w:tc>
          <w:tcPr>
            <w:tcW w:w="1232" w:type="dxa"/>
            <w:vAlign w:val="center"/>
          </w:tcPr>
          <w:p>
            <w:pPr>
              <w:pStyle w:val="14"/>
            </w:pPr>
            <w:r>
              <w:t>1524.40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12</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十二、城乡社区支出</w:t>
            </w:r>
          </w:p>
        </w:tc>
        <w:tc>
          <w:tcPr>
            <w:tcW w:w="1232" w:type="dxa"/>
            <w:vAlign w:val="center"/>
          </w:tcPr>
          <w:p>
            <w:pPr>
              <w:pStyle w:val="14"/>
            </w:pPr>
            <w:r>
              <w:t>19347.33</w:t>
            </w:r>
          </w:p>
        </w:tc>
        <w:tc>
          <w:tcPr>
            <w:tcW w:w="1232" w:type="dxa"/>
            <w:vAlign w:val="center"/>
          </w:tcPr>
          <w:p>
            <w:pPr>
              <w:pStyle w:val="14"/>
            </w:pPr>
            <w:r>
              <w:t>1547.05</w:t>
            </w:r>
          </w:p>
        </w:tc>
        <w:tc>
          <w:tcPr>
            <w:tcW w:w="1232" w:type="dxa"/>
            <w:vAlign w:val="center"/>
          </w:tcPr>
          <w:p>
            <w:pPr>
              <w:pStyle w:val="14"/>
            </w:pPr>
            <w:r>
              <w:t>17800.28</w:t>
            </w: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13</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14</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15</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16</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17</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18</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19</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20</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二十、住房保障支出</w:t>
            </w:r>
          </w:p>
        </w:tc>
        <w:tc>
          <w:tcPr>
            <w:tcW w:w="1232" w:type="dxa"/>
            <w:vAlign w:val="center"/>
          </w:tcPr>
          <w:p>
            <w:pPr>
              <w:pStyle w:val="14"/>
            </w:pPr>
            <w:r>
              <w:t>4653.99</w:t>
            </w:r>
          </w:p>
        </w:tc>
        <w:tc>
          <w:tcPr>
            <w:tcW w:w="1232" w:type="dxa"/>
            <w:vAlign w:val="center"/>
          </w:tcPr>
          <w:p>
            <w:pPr>
              <w:pStyle w:val="14"/>
            </w:pPr>
            <w:r>
              <w:t>4653.99</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21</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22</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23</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24</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25</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二十五、其他支出</w:t>
            </w:r>
          </w:p>
        </w:tc>
        <w:tc>
          <w:tcPr>
            <w:tcW w:w="1232" w:type="dxa"/>
            <w:vAlign w:val="center"/>
          </w:tcPr>
          <w:p>
            <w:pPr>
              <w:pStyle w:val="14"/>
            </w:pPr>
            <w:r>
              <w:t>16070.79</w:t>
            </w:r>
          </w:p>
        </w:tc>
        <w:tc>
          <w:tcPr>
            <w:tcW w:w="1232" w:type="dxa"/>
            <w:vAlign w:val="center"/>
          </w:tcPr>
          <w:p>
            <w:pPr>
              <w:pStyle w:val="14"/>
            </w:pPr>
          </w:p>
        </w:tc>
        <w:tc>
          <w:tcPr>
            <w:tcW w:w="1232" w:type="dxa"/>
            <w:vAlign w:val="center"/>
          </w:tcPr>
          <w:p>
            <w:pPr>
              <w:pStyle w:val="14"/>
            </w:pPr>
            <w:r>
              <w:t>16070.79</w:t>
            </w: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26</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27</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二十七、债务还本支出</w:t>
            </w:r>
          </w:p>
        </w:tc>
        <w:tc>
          <w:tcPr>
            <w:tcW w:w="1232" w:type="dxa"/>
            <w:vAlign w:val="center"/>
          </w:tcPr>
          <w:p>
            <w:pPr>
              <w:pStyle w:val="14"/>
            </w:pPr>
            <w:r>
              <w:t>7466.00</w:t>
            </w:r>
          </w:p>
        </w:tc>
        <w:tc>
          <w:tcPr>
            <w:tcW w:w="1232" w:type="dxa"/>
            <w:vAlign w:val="center"/>
          </w:tcPr>
          <w:p>
            <w:pPr>
              <w:pStyle w:val="14"/>
            </w:pPr>
          </w:p>
        </w:tc>
        <w:tc>
          <w:tcPr>
            <w:tcW w:w="1232" w:type="dxa"/>
            <w:vAlign w:val="center"/>
          </w:tcPr>
          <w:p>
            <w:pPr>
              <w:pStyle w:val="14"/>
            </w:pPr>
            <w:r>
              <w:t>7466.00</w:t>
            </w: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28</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二十八、债务付息支出</w:t>
            </w:r>
          </w:p>
        </w:tc>
        <w:tc>
          <w:tcPr>
            <w:tcW w:w="1232" w:type="dxa"/>
            <w:vAlign w:val="center"/>
          </w:tcPr>
          <w:p>
            <w:pPr>
              <w:pStyle w:val="14"/>
            </w:pPr>
            <w:r>
              <w:t>4113.58</w:t>
            </w:r>
          </w:p>
        </w:tc>
        <w:tc>
          <w:tcPr>
            <w:tcW w:w="1232" w:type="dxa"/>
            <w:vAlign w:val="center"/>
          </w:tcPr>
          <w:p>
            <w:pPr>
              <w:pStyle w:val="14"/>
            </w:pPr>
          </w:p>
        </w:tc>
        <w:tc>
          <w:tcPr>
            <w:tcW w:w="1232" w:type="dxa"/>
            <w:vAlign w:val="center"/>
          </w:tcPr>
          <w:p>
            <w:pPr>
              <w:pStyle w:val="14"/>
            </w:pPr>
            <w:r>
              <w:t>4113.58</w:t>
            </w: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29</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30</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31</w:t>
            </w:r>
          </w:p>
        </w:tc>
        <w:tc>
          <w:tcPr>
            <w:tcW w:w="1232" w:type="dxa"/>
            <w:vAlign w:val="center"/>
          </w:tcPr>
          <w:p>
            <w:pPr>
              <w:pStyle w:val="15"/>
            </w:pPr>
            <w:r>
              <w:t>本年收入合计</w:t>
            </w:r>
          </w:p>
        </w:tc>
        <w:tc>
          <w:tcPr>
            <w:tcW w:w="1232" w:type="dxa"/>
            <w:vAlign w:val="center"/>
          </w:tcPr>
          <w:p>
            <w:pPr>
              <w:pStyle w:val="16"/>
            </w:pPr>
            <w:r>
              <w:t>32451.31</w:t>
            </w:r>
          </w:p>
        </w:tc>
        <w:tc>
          <w:tcPr>
            <w:tcW w:w="1232" w:type="dxa"/>
            <w:vAlign w:val="center"/>
          </w:tcPr>
          <w:p>
            <w:pPr>
              <w:pStyle w:val="15"/>
            </w:pPr>
            <w:r>
              <w:t>本年支出合计</w:t>
            </w:r>
          </w:p>
        </w:tc>
        <w:tc>
          <w:tcPr>
            <w:tcW w:w="1232" w:type="dxa"/>
            <w:vAlign w:val="center"/>
          </w:tcPr>
          <w:p>
            <w:pPr>
              <w:pStyle w:val="16"/>
            </w:pPr>
            <w:r>
              <w:t>53176.09</w:t>
            </w:r>
          </w:p>
        </w:tc>
        <w:tc>
          <w:tcPr>
            <w:tcW w:w="1232" w:type="dxa"/>
            <w:vAlign w:val="center"/>
          </w:tcPr>
          <w:p>
            <w:pPr>
              <w:pStyle w:val="16"/>
            </w:pPr>
            <w:r>
              <w:t>7725.44</w:t>
            </w:r>
          </w:p>
        </w:tc>
        <w:tc>
          <w:tcPr>
            <w:tcW w:w="1232" w:type="dxa"/>
            <w:vAlign w:val="center"/>
          </w:tcPr>
          <w:p>
            <w:pPr>
              <w:pStyle w:val="16"/>
            </w:pPr>
            <w:r>
              <w:t>45450.65</w:t>
            </w: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32</w:t>
            </w:r>
          </w:p>
        </w:tc>
        <w:tc>
          <w:tcPr>
            <w:tcW w:w="1232" w:type="dxa"/>
            <w:vAlign w:val="center"/>
          </w:tcPr>
          <w:p>
            <w:pPr>
              <w:pStyle w:val="13"/>
            </w:pPr>
            <w:r>
              <w:t>年初财政拨款结转和结余</w:t>
            </w:r>
          </w:p>
        </w:tc>
        <w:tc>
          <w:tcPr>
            <w:tcW w:w="1232" w:type="dxa"/>
            <w:vAlign w:val="center"/>
          </w:tcPr>
          <w:p>
            <w:pPr>
              <w:pStyle w:val="14"/>
            </w:pPr>
            <w:r>
              <w:t>20724.78</w:t>
            </w:r>
          </w:p>
        </w:tc>
        <w:tc>
          <w:tcPr>
            <w:tcW w:w="1232" w:type="dxa"/>
            <w:vAlign w:val="center"/>
          </w:tcPr>
          <w:p>
            <w:pPr>
              <w:pStyle w:val="13"/>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33</w:t>
            </w:r>
          </w:p>
        </w:tc>
        <w:tc>
          <w:tcPr>
            <w:tcW w:w="1232" w:type="dxa"/>
            <w:vAlign w:val="center"/>
          </w:tcPr>
          <w:p>
            <w:pPr>
              <w:pStyle w:val="13"/>
            </w:pPr>
            <w:r>
              <w:t>一、一般公共预算拨款</w:t>
            </w:r>
          </w:p>
        </w:tc>
        <w:tc>
          <w:tcPr>
            <w:tcW w:w="1232" w:type="dxa"/>
            <w:vAlign w:val="center"/>
          </w:tcPr>
          <w:p>
            <w:pPr>
              <w:pStyle w:val="14"/>
            </w:pPr>
            <w:r>
              <w:t>4653.99</w:t>
            </w:r>
          </w:p>
        </w:tc>
        <w:tc>
          <w:tcPr>
            <w:tcW w:w="1232" w:type="dxa"/>
            <w:vAlign w:val="center"/>
          </w:tcPr>
          <w:p>
            <w:pPr>
              <w:pStyle w:val="13"/>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34</w:t>
            </w:r>
          </w:p>
        </w:tc>
        <w:tc>
          <w:tcPr>
            <w:tcW w:w="1232" w:type="dxa"/>
            <w:vAlign w:val="center"/>
          </w:tcPr>
          <w:p>
            <w:pPr>
              <w:pStyle w:val="13"/>
            </w:pPr>
            <w:r>
              <w:t>二、政府性基金预算拨款</w:t>
            </w:r>
          </w:p>
        </w:tc>
        <w:tc>
          <w:tcPr>
            <w:tcW w:w="1232" w:type="dxa"/>
            <w:vAlign w:val="center"/>
          </w:tcPr>
          <w:p>
            <w:pPr>
              <w:pStyle w:val="14"/>
            </w:pPr>
            <w:r>
              <w:t>16070.79</w:t>
            </w:r>
          </w:p>
        </w:tc>
        <w:tc>
          <w:tcPr>
            <w:tcW w:w="1232" w:type="dxa"/>
            <w:vAlign w:val="center"/>
          </w:tcPr>
          <w:p>
            <w:pPr>
              <w:pStyle w:val="13"/>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35</w:t>
            </w:r>
          </w:p>
        </w:tc>
        <w:tc>
          <w:tcPr>
            <w:tcW w:w="1232" w:type="dxa"/>
            <w:vAlign w:val="center"/>
          </w:tcPr>
          <w:p>
            <w:pPr>
              <w:pStyle w:val="13"/>
            </w:pPr>
            <w:r>
              <w:t>三、国有资本经营预算拨款</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36</w:t>
            </w:r>
          </w:p>
        </w:tc>
        <w:tc>
          <w:tcPr>
            <w:tcW w:w="1232" w:type="dxa"/>
            <w:vAlign w:val="center"/>
          </w:tcPr>
          <w:p>
            <w:pPr>
              <w:pStyle w:val="15"/>
            </w:pPr>
            <w:r>
              <w:t>收入总计</w:t>
            </w:r>
          </w:p>
        </w:tc>
        <w:tc>
          <w:tcPr>
            <w:tcW w:w="1232" w:type="dxa"/>
            <w:vAlign w:val="center"/>
          </w:tcPr>
          <w:p>
            <w:pPr>
              <w:pStyle w:val="16"/>
            </w:pPr>
            <w:r>
              <w:t>53176.09</w:t>
            </w:r>
          </w:p>
        </w:tc>
        <w:tc>
          <w:tcPr>
            <w:tcW w:w="1232" w:type="dxa"/>
            <w:vAlign w:val="center"/>
          </w:tcPr>
          <w:p>
            <w:pPr>
              <w:pStyle w:val="15"/>
            </w:pPr>
            <w:r>
              <w:t>支出总计</w:t>
            </w:r>
          </w:p>
        </w:tc>
        <w:tc>
          <w:tcPr>
            <w:tcW w:w="1232" w:type="dxa"/>
            <w:vAlign w:val="center"/>
          </w:tcPr>
          <w:p>
            <w:pPr>
              <w:pStyle w:val="16"/>
            </w:pPr>
            <w:r>
              <w:t>53176.09</w:t>
            </w:r>
          </w:p>
        </w:tc>
        <w:tc>
          <w:tcPr>
            <w:tcW w:w="1232" w:type="dxa"/>
            <w:vAlign w:val="center"/>
          </w:tcPr>
          <w:p>
            <w:pPr>
              <w:pStyle w:val="16"/>
            </w:pPr>
            <w:r>
              <w:t>7725.44</w:t>
            </w:r>
          </w:p>
        </w:tc>
        <w:tc>
          <w:tcPr>
            <w:tcW w:w="1232" w:type="dxa"/>
            <w:vAlign w:val="center"/>
          </w:tcPr>
          <w:p>
            <w:pPr>
              <w:pStyle w:val="16"/>
            </w:pPr>
            <w:r>
              <w:t>45450.65</w:t>
            </w: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333001石家庄市藁城区住房和城乡建设局本级</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7725.44</w:t>
            </w:r>
          </w:p>
        </w:tc>
        <w:tc>
          <w:tcPr>
            <w:tcW w:w="1643" w:type="dxa"/>
            <w:vAlign w:val="center"/>
          </w:tcPr>
          <w:p>
            <w:pPr>
              <w:pStyle w:val="16"/>
            </w:pPr>
            <w:r>
              <w:t>1085.65</w:t>
            </w:r>
          </w:p>
        </w:tc>
        <w:tc>
          <w:tcPr>
            <w:tcW w:w="1643" w:type="dxa"/>
            <w:vAlign w:val="center"/>
          </w:tcPr>
          <w:p>
            <w:pPr>
              <w:pStyle w:val="16"/>
            </w:pPr>
            <w:r>
              <w:t>6639.79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2</w:t>
            </w:r>
          </w:p>
        </w:tc>
        <w:tc>
          <w:tcPr>
            <w:tcW w:w="1643" w:type="dxa"/>
            <w:vAlign w:val="center"/>
          </w:tcPr>
          <w:p>
            <w:pPr>
              <w:pStyle w:val="13"/>
            </w:pPr>
            <w:r>
              <w:t>211</w:t>
            </w:r>
          </w:p>
        </w:tc>
        <w:tc>
          <w:tcPr>
            <w:tcW w:w="1643" w:type="dxa"/>
            <w:vAlign w:val="center"/>
          </w:tcPr>
          <w:p>
            <w:pPr>
              <w:pStyle w:val="13"/>
            </w:pPr>
            <w:r>
              <w:t>节能环保支出</w:t>
            </w:r>
          </w:p>
        </w:tc>
        <w:tc>
          <w:tcPr>
            <w:tcW w:w="1643" w:type="dxa"/>
            <w:vAlign w:val="center"/>
          </w:tcPr>
          <w:p>
            <w:pPr>
              <w:pStyle w:val="14"/>
            </w:pPr>
            <w:r>
              <w:t>1524.40</w:t>
            </w:r>
          </w:p>
        </w:tc>
        <w:tc>
          <w:tcPr>
            <w:tcW w:w="1643" w:type="dxa"/>
            <w:vAlign w:val="center"/>
          </w:tcPr>
          <w:p>
            <w:pPr>
              <w:pStyle w:val="14"/>
            </w:pPr>
          </w:p>
        </w:tc>
        <w:tc>
          <w:tcPr>
            <w:tcW w:w="1643" w:type="dxa"/>
            <w:vAlign w:val="center"/>
          </w:tcPr>
          <w:p>
            <w:pPr>
              <w:pStyle w:val="14"/>
            </w:pPr>
            <w:r>
              <w:t>1524.40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3</w:t>
            </w:r>
          </w:p>
        </w:tc>
        <w:tc>
          <w:tcPr>
            <w:tcW w:w="1643" w:type="dxa"/>
            <w:vAlign w:val="center"/>
          </w:tcPr>
          <w:p>
            <w:pPr>
              <w:pStyle w:val="13"/>
            </w:pPr>
            <w:r>
              <w:t>21103</w:t>
            </w:r>
          </w:p>
        </w:tc>
        <w:tc>
          <w:tcPr>
            <w:tcW w:w="1643" w:type="dxa"/>
            <w:vAlign w:val="center"/>
          </w:tcPr>
          <w:p>
            <w:pPr>
              <w:pStyle w:val="13"/>
            </w:pPr>
            <w:r>
              <w:t>污染防治</w:t>
            </w:r>
          </w:p>
        </w:tc>
        <w:tc>
          <w:tcPr>
            <w:tcW w:w="1643" w:type="dxa"/>
            <w:vAlign w:val="center"/>
          </w:tcPr>
          <w:p>
            <w:pPr>
              <w:pStyle w:val="14"/>
            </w:pPr>
            <w:r>
              <w:t>1524.40</w:t>
            </w:r>
          </w:p>
        </w:tc>
        <w:tc>
          <w:tcPr>
            <w:tcW w:w="1643" w:type="dxa"/>
            <w:vAlign w:val="center"/>
          </w:tcPr>
          <w:p>
            <w:pPr>
              <w:pStyle w:val="14"/>
            </w:pPr>
          </w:p>
        </w:tc>
        <w:tc>
          <w:tcPr>
            <w:tcW w:w="1643" w:type="dxa"/>
            <w:vAlign w:val="center"/>
          </w:tcPr>
          <w:p>
            <w:pPr>
              <w:pStyle w:val="14"/>
            </w:pPr>
            <w:r>
              <w:t>1524.40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4</w:t>
            </w:r>
          </w:p>
        </w:tc>
        <w:tc>
          <w:tcPr>
            <w:tcW w:w="1643" w:type="dxa"/>
            <w:vAlign w:val="center"/>
          </w:tcPr>
          <w:p>
            <w:pPr>
              <w:pStyle w:val="13"/>
            </w:pPr>
            <w:r>
              <w:t>2110301</w:t>
            </w:r>
          </w:p>
        </w:tc>
        <w:tc>
          <w:tcPr>
            <w:tcW w:w="1643" w:type="dxa"/>
            <w:vAlign w:val="center"/>
          </w:tcPr>
          <w:p>
            <w:pPr>
              <w:pStyle w:val="13"/>
            </w:pPr>
            <w:r>
              <w:t>大气</w:t>
            </w:r>
          </w:p>
        </w:tc>
        <w:tc>
          <w:tcPr>
            <w:tcW w:w="1643" w:type="dxa"/>
            <w:vAlign w:val="center"/>
          </w:tcPr>
          <w:p>
            <w:pPr>
              <w:pStyle w:val="14"/>
            </w:pPr>
            <w:r>
              <w:t>1524.40</w:t>
            </w:r>
          </w:p>
        </w:tc>
        <w:tc>
          <w:tcPr>
            <w:tcW w:w="1643" w:type="dxa"/>
            <w:vAlign w:val="center"/>
          </w:tcPr>
          <w:p>
            <w:pPr>
              <w:pStyle w:val="14"/>
            </w:pPr>
          </w:p>
        </w:tc>
        <w:tc>
          <w:tcPr>
            <w:tcW w:w="1643" w:type="dxa"/>
            <w:vAlign w:val="center"/>
          </w:tcPr>
          <w:p>
            <w:pPr>
              <w:pStyle w:val="14"/>
            </w:pPr>
            <w:r>
              <w:t>1524.40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5</w:t>
            </w:r>
          </w:p>
        </w:tc>
        <w:tc>
          <w:tcPr>
            <w:tcW w:w="1643" w:type="dxa"/>
            <w:vAlign w:val="center"/>
          </w:tcPr>
          <w:p>
            <w:pPr>
              <w:pStyle w:val="13"/>
            </w:pPr>
            <w:r>
              <w:t>212</w:t>
            </w:r>
          </w:p>
        </w:tc>
        <w:tc>
          <w:tcPr>
            <w:tcW w:w="1643" w:type="dxa"/>
            <w:vAlign w:val="center"/>
          </w:tcPr>
          <w:p>
            <w:pPr>
              <w:pStyle w:val="13"/>
            </w:pPr>
            <w:r>
              <w:t>城乡社区支出</w:t>
            </w:r>
          </w:p>
        </w:tc>
        <w:tc>
          <w:tcPr>
            <w:tcW w:w="1643" w:type="dxa"/>
            <w:vAlign w:val="center"/>
          </w:tcPr>
          <w:p>
            <w:pPr>
              <w:pStyle w:val="14"/>
            </w:pPr>
            <w:r>
              <w:t>1547.05</w:t>
            </w:r>
          </w:p>
        </w:tc>
        <w:tc>
          <w:tcPr>
            <w:tcW w:w="1643" w:type="dxa"/>
            <w:vAlign w:val="center"/>
          </w:tcPr>
          <w:p>
            <w:pPr>
              <w:pStyle w:val="14"/>
            </w:pPr>
            <w:r>
              <w:t>1085.65</w:t>
            </w:r>
          </w:p>
        </w:tc>
        <w:tc>
          <w:tcPr>
            <w:tcW w:w="1643" w:type="dxa"/>
            <w:vAlign w:val="center"/>
          </w:tcPr>
          <w:p>
            <w:pPr>
              <w:pStyle w:val="14"/>
            </w:pPr>
            <w:r>
              <w:t>461.40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6</w:t>
            </w:r>
          </w:p>
        </w:tc>
        <w:tc>
          <w:tcPr>
            <w:tcW w:w="1643" w:type="dxa"/>
            <w:vAlign w:val="center"/>
          </w:tcPr>
          <w:p>
            <w:pPr>
              <w:pStyle w:val="13"/>
            </w:pPr>
            <w:r>
              <w:t>21201</w:t>
            </w:r>
          </w:p>
        </w:tc>
        <w:tc>
          <w:tcPr>
            <w:tcW w:w="1643" w:type="dxa"/>
            <w:vAlign w:val="center"/>
          </w:tcPr>
          <w:p>
            <w:pPr>
              <w:pStyle w:val="13"/>
            </w:pPr>
            <w:r>
              <w:t>城乡社区管理事务</w:t>
            </w:r>
          </w:p>
        </w:tc>
        <w:tc>
          <w:tcPr>
            <w:tcW w:w="1643" w:type="dxa"/>
            <w:vAlign w:val="center"/>
          </w:tcPr>
          <w:p>
            <w:pPr>
              <w:pStyle w:val="14"/>
            </w:pPr>
            <w:r>
              <w:t>1547.05</w:t>
            </w:r>
          </w:p>
        </w:tc>
        <w:tc>
          <w:tcPr>
            <w:tcW w:w="1643" w:type="dxa"/>
            <w:vAlign w:val="center"/>
          </w:tcPr>
          <w:p>
            <w:pPr>
              <w:pStyle w:val="14"/>
            </w:pPr>
            <w:r>
              <w:t>1085.65</w:t>
            </w:r>
          </w:p>
        </w:tc>
        <w:tc>
          <w:tcPr>
            <w:tcW w:w="1643" w:type="dxa"/>
            <w:vAlign w:val="center"/>
          </w:tcPr>
          <w:p>
            <w:pPr>
              <w:pStyle w:val="14"/>
            </w:pPr>
            <w:r>
              <w:t>461.40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7</w:t>
            </w:r>
          </w:p>
        </w:tc>
        <w:tc>
          <w:tcPr>
            <w:tcW w:w="1643" w:type="dxa"/>
            <w:vAlign w:val="center"/>
          </w:tcPr>
          <w:p>
            <w:pPr>
              <w:pStyle w:val="13"/>
            </w:pPr>
            <w:r>
              <w:t>2120101</w:t>
            </w:r>
          </w:p>
        </w:tc>
        <w:tc>
          <w:tcPr>
            <w:tcW w:w="1643" w:type="dxa"/>
            <w:vAlign w:val="center"/>
          </w:tcPr>
          <w:p>
            <w:pPr>
              <w:pStyle w:val="13"/>
            </w:pPr>
            <w:r>
              <w:t>行政运行</w:t>
            </w:r>
          </w:p>
        </w:tc>
        <w:tc>
          <w:tcPr>
            <w:tcW w:w="1643" w:type="dxa"/>
            <w:vAlign w:val="center"/>
          </w:tcPr>
          <w:p>
            <w:pPr>
              <w:pStyle w:val="14"/>
            </w:pPr>
            <w:r>
              <w:t>1085.65</w:t>
            </w:r>
          </w:p>
        </w:tc>
        <w:tc>
          <w:tcPr>
            <w:tcW w:w="1643" w:type="dxa"/>
            <w:vAlign w:val="center"/>
          </w:tcPr>
          <w:p>
            <w:pPr>
              <w:pStyle w:val="14"/>
            </w:pPr>
            <w:r>
              <w:t>1085.65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8</w:t>
            </w:r>
          </w:p>
        </w:tc>
        <w:tc>
          <w:tcPr>
            <w:tcW w:w="1643" w:type="dxa"/>
            <w:vAlign w:val="center"/>
          </w:tcPr>
          <w:p>
            <w:pPr>
              <w:pStyle w:val="13"/>
            </w:pPr>
            <w:r>
              <w:t>2120109</w:t>
            </w:r>
          </w:p>
        </w:tc>
        <w:tc>
          <w:tcPr>
            <w:tcW w:w="1643" w:type="dxa"/>
            <w:vAlign w:val="center"/>
          </w:tcPr>
          <w:p>
            <w:pPr>
              <w:pStyle w:val="13"/>
            </w:pPr>
            <w:r>
              <w:t>住宅建设与房地产市场监管</w:t>
            </w:r>
          </w:p>
        </w:tc>
        <w:tc>
          <w:tcPr>
            <w:tcW w:w="1643" w:type="dxa"/>
            <w:vAlign w:val="center"/>
          </w:tcPr>
          <w:p>
            <w:pPr>
              <w:pStyle w:val="14"/>
            </w:pPr>
            <w:r>
              <w:t>461.40</w:t>
            </w:r>
          </w:p>
        </w:tc>
        <w:tc>
          <w:tcPr>
            <w:tcW w:w="1643" w:type="dxa"/>
            <w:vAlign w:val="center"/>
          </w:tcPr>
          <w:p>
            <w:pPr>
              <w:pStyle w:val="14"/>
            </w:pPr>
          </w:p>
        </w:tc>
        <w:tc>
          <w:tcPr>
            <w:tcW w:w="1643" w:type="dxa"/>
            <w:vAlign w:val="center"/>
          </w:tcPr>
          <w:p>
            <w:pPr>
              <w:pStyle w:val="14"/>
            </w:pPr>
            <w:r>
              <w:t>461.40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9</w:t>
            </w:r>
          </w:p>
        </w:tc>
        <w:tc>
          <w:tcPr>
            <w:tcW w:w="1643" w:type="dxa"/>
            <w:vAlign w:val="center"/>
          </w:tcPr>
          <w:p>
            <w:pPr>
              <w:pStyle w:val="13"/>
            </w:pPr>
            <w:r>
              <w:t>221</w:t>
            </w:r>
          </w:p>
        </w:tc>
        <w:tc>
          <w:tcPr>
            <w:tcW w:w="1643" w:type="dxa"/>
            <w:vAlign w:val="center"/>
          </w:tcPr>
          <w:p>
            <w:pPr>
              <w:pStyle w:val="13"/>
            </w:pPr>
            <w:r>
              <w:t>住房保障支出</w:t>
            </w:r>
          </w:p>
        </w:tc>
        <w:tc>
          <w:tcPr>
            <w:tcW w:w="1643" w:type="dxa"/>
            <w:vAlign w:val="center"/>
          </w:tcPr>
          <w:p>
            <w:pPr>
              <w:pStyle w:val="14"/>
            </w:pPr>
            <w:r>
              <w:t>4653.99</w:t>
            </w:r>
          </w:p>
        </w:tc>
        <w:tc>
          <w:tcPr>
            <w:tcW w:w="1643" w:type="dxa"/>
            <w:vAlign w:val="center"/>
          </w:tcPr>
          <w:p>
            <w:pPr>
              <w:pStyle w:val="14"/>
            </w:pPr>
          </w:p>
        </w:tc>
        <w:tc>
          <w:tcPr>
            <w:tcW w:w="1643" w:type="dxa"/>
            <w:vAlign w:val="center"/>
          </w:tcPr>
          <w:p>
            <w:pPr>
              <w:pStyle w:val="14"/>
            </w:pPr>
            <w:r>
              <w:t>4653.99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10</w:t>
            </w:r>
          </w:p>
        </w:tc>
        <w:tc>
          <w:tcPr>
            <w:tcW w:w="1643" w:type="dxa"/>
            <w:vAlign w:val="center"/>
          </w:tcPr>
          <w:p>
            <w:pPr>
              <w:pStyle w:val="13"/>
            </w:pPr>
            <w:r>
              <w:t>22101</w:t>
            </w:r>
          </w:p>
        </w:tc>
        <w:tc>
          <w:tcPr>
            <w:tcW w:w="1643" w:type="dxa"/>
            <w:vAlign w:val="center"/>
          </w:tcPr>
          <w:p>
            <w:pPr>
              <w:pStyle w:val="13"/>
            </w:pPr>
            <w:r>
              <w:t>保障性安居工程支出</w:t>
            </w:r>
          </w:p>
        </w:tc>
        <w:tc>
          <w:tcPr>
            <w:tcW w:w="1643" w:type="dxa"/>
            <w:vAlign w:val="center"/>
          </w:tcPr>
          <w:p>
            <w:pPr>
              <w:pStyle w:val="14"/>
            </w:pPr>
            <w:r>
              <w:t>4653.99</w:t>
            </w:r>
          </w:p>
        </w:tc>
        <w:tc>
          <w:tcPr>
            <w:tcW w:w="1643" w:type="dxa"/>
            <w:vAlign w:val="center"/>
          </w:tcPr>
          <w:p>
            <w:pPr>
              <w:pStyle w:val="14"/>
            </w:pPr>
          </w:p>
        </w:tc>
        <w:tc>
          <w:tcPr>
            <w:tcW w:w="1643" w:type="dxa"/>
            <w:vAlign w:val="center"/>
          </w:tcPr>
          <w:p>
            <w:pPr>
              <w:pStyle w:val="14"/>
            </w:pPr>
            <w:r>
              <w:t>4653.99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11</w:t>
            </w:r>
          </w:p>
        </w:tc>
        <w:tc>
          <w:tcPr>
            <w:tcW w:w="1643" w:type="dxa"/>
            <w:vAlign w:val="center"/>
          </w:tcPr>
          <w:p>
            <w:pPr>
              <w:pStyle w:val="13"/>
            </w:pPr>
            <w:r>
              <w:t>2210109</w:t>
            </w:r>
          </w:p>
        </w:tc>
        <w:tc>
          <w:tcPr>
            <w:tcW w:w="1643" w:type="dxa"/>
            <w:vAlign w:val="center"/>
          </w:tcPr>
          <w:p>
            <w:pPr>
              <w:pStyle w:val="13"/>
            </w:pPr>
            <w:r>
              <w:t>住房租赁市场发展</w:t>
            </w:r>
          </w:p>
        </w:tc>
        <w:tc>
          <w:tcPr>
            <w:tcW w:w="1643" w:type="dxa"/>
            <w:vAlign w:val="center"/>
          </w:tcPr>
          <w:p>
            <w:pPr>
              <w:pStyle w:val="14"/>
            </w:pPr>
            <w:r>
              <w:t>4653.99</w:t>
            </w:r>
          </w:p>
        </w:tc>
        <w:tc>
          <w:tcPr>
            <w:tcW w:w="1643" w:type="dxa"/>
            <w:vAlign w:val="center"/>
          </w:tcPr>
          <w:p>
            <w:pPr>
              <w:pStyle w:val="14"/>
            </w:pPr>
          </w:p>
        </w:tc>
        <w:tc>
          <w:tcPr>
            <w:tcW w:w="1643" w:type="dxa"/>
            <w:vAlign w:val="center"/>
          </w:tcPr>
          <w:p>
            <w:pPr>
              <w:pStyle w:val="14"/>
            </w:pPr>
            <w:r>
              <w:t>4653.99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333001石家庄市藁城区住房和城乡建设局本级</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1085.65</w:t>
            </w:r>
          </w:p>
        </w:tc>
        <w:tc>
          <w:tcPr>
            <w:tcW w:w="1643" w:type="dxa"/>
            <w:vAlign w:val="center"/>
          </w:tcPr>
          <w:p>
            <w:pPr>
              <w:pStyle w:val="16"/>
            </w:pPr>
            <w:r>
              <w:t>1022.16</w:t>
            </w:r>
          </w:p>
        </w:tc>
        <w:tc>
          <w:tcPr>
            <w:tcW w:w="1643" w:type="dxa"/>
            <w:vAlign w:val="center"/>
          </w:tcPr>
          <w:p>
            <w:pPr>
              <w:pStyle w:val="16"/>
            </w:pPr>
            <w:r>
              <w:t>63.49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4"/>
            </w:pPr>
            <w:r>
              <w:t>1020.32</w:t>
            </w:r>
          </w:p>
        </w:tc>
        <w:tc>
          <w:tcPr>
            <w:tcW w:w="1643" w:type="dxa"/>
            <w:vAlign w:val="center"/>
          </w:tcPr>
          <w:p>
            <w:pPr>
              <w:pStyle w:val="14"/>
            </w:pPr>
            <w:r>
              <w:t>1020.32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4"/>
            </w:pPr>
            <w:r>
              <w:t>232.51</w:t>
            </w:r>
          </w:p>
        </w:tc>
        <w:tc>
          <w:tcPr>
            <w:tcW w:w="1643" w:type="dxa"/>
            <w:vAlign w:val="center"/>
          </w:tcPr>
          <w:p>
            <w:pPr>
              <w:pStyle w:val="14"/>
            </w:pPr>
            <w:r>
              <w:t>232.51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4"/>
            </w:pPr>
            <w:r>
              <w:t>310.82</w:t>
            </w:r>
          </w:p>
        </w:tc>
        <w:tc>
          <w:tcPr>
            <w:tcW w:w="1643" w:type="dxa"/>
            <w:vAlign w:val="center"/>
          </w:tcPr>
          <w:p>
            <w:pPr>
              <w:pStyle w:val="14"/>
            </w:pPr>
            <w:r>
              <w:t>310.82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4"/>
            </w:pPr>
            <w:r>
              <w:t>19.38</w:t>
            </w:r>
          </w:p>
        </w:tc>
        <w:tc>
          <w:tcPr>
            <w:tcW w:w="1643" w:type="dxa"/>
            <w:vAlign w:val="center"/>
          </w:tcPr>
          <w:p>
            <w:pPr>
              <w:pStyle w:val="14"/>
            </w:pPr>
            <w:r>
              <w:t>19.38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4"/>
            </w:pPr>
            <w:r>
              <w:t>127.97</w:t>
            </w:r>
          </w:p>
        </w:tc>
        <w:tc>
          <w:tcPr>
            <w:tcW w:w="1643" w:type="dxa"/>
            <w:vAlign w:val="center"/>
          </w:tcPr>
          <w:p>
            <w:pPr>
              <w:pStyle w:val="14"/>
            </w:pPr>
            <w:r>
              <w:t>127.97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4"/>
            </w:pPr>
            <w:r>
              <w:t>90.03</w:t>
            </w:r>
          </w:p>
        </w:tc>
        <w:tc>
          <w:tcPr>
            <w:tcW w:w="1643" w:type="dxa"/>
            <w:vAlign w:val="center"/>
          </w:tcPr>
          <w:p>
            <w:pPr>
              <w:pStyle w:val="14"/>
            </w:pPr>
            <w:r>
              <w:t>90.03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8</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4"/>
            </w:pPr>
            <w:r>
              <w:t>47.26</w:t>
            </w:r>
          </w:p>
        </w:tc>
        <w:tc>
          <w:tcPr>
            <w:tcW w:w="1643" w:type="dxa"/>
            <w:vAlign w:val="center"/>
          </w:tcPr>
          <w:p>
            <w:pPr>
              <w:pStyle w:val="14"/>
            </w:pPr>
            <w:r>
              <w:t>47.26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9</w:t>
            </w:r>
          </w:p>
        </w:tc>
        <w:tc>
          <w:tcPr>
            <w:tcW w:w="1643" w:type="dxa"/>
            <w:vAlign w:val="center"/>
          </w:tcPr>
          <w:p>
            <w:pPr>
              <w:pStyle w:val="13"/>
            </w:pPr>
            <w:r>
              <w:t>30111</w:t>
            </w:r>
          </w:p>
        </w:tc>
        <w:tc>
          <w:tcPr>
            <w:tcW w:w="1643" w:type="dxa"/>
            <w:vAlign w:val="center"/>
          </w:tcPr>
          <w:p>
            <w:pPr>
              <w:pStyle w:val="13"/>
            </w:pPr>
            <w:r>
              <w:t>公务员医疗补助缴费</w:t>
            </w:r>
          </w:p>
        </w:tc>
        <w:tc>
          <w:tcPr>
            <w:tcW w:w="1643" w:type="dxa"/>
            <w:vAlign w:val="center"/>
          </w:tcPr>
          <w:p>
            <w:pPr>
              <w:pStyle w:val="14"/>
            </w:pPr>
            <w:r>
              <w:t>36.57</w:t>
            </w:r>
          </w:p>
        </w:tc>
        <w:tc>
          <w:tcPr>
            <w:tcW w:w="1643" w:type="dxa"/>
            <w:vAlign w:val="center"/>
          </w:tcPr>
          <w:p>
            <w:pPr>
              <w:pStyle w:val="14"/>
            </w:pPr>
            <w:r>
              <w:t>36.57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10</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4"/>
            </w:pPr>
            <w:r>
              <w:t>81.15</w:t>
            </w:r>
          </w:p>
        </w:tc>
        <w:tc>
          <w:tcPr>
            <w:tcW w:w="1643" w:type="dxa"/>
            <w:vAlign w:val="center"/>
          </w:tcPr>
          <w:p>
            <w:pPr>
              <w:pStyle w:val="14"/>
            </w:pPr>
            <w:r>
              <w:t>81.15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11</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4"/>
            </w:pPr>
            <w:r>
              <w:t>74.63</w:t>
            </w:r>
          </w:p>
        </w:tc>
        <w:tc>
          <w:tcPr>
            <w:tcW w:w="1643" w:type="dxa"/>
            <w:vAlign w:val="center"/>
          </w:tcPr>
          <w:p>
            <w:pPr>
              <w:pStyle w:val="14"/>
            </w:pPr>
            <w:r>
              <w:t>74.63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12</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4"/>
            </w:pPr>
            <w:r>
              <w:t>63.49</w:t>
            </w:r>
          </w:p>
        </w:tc>
        <w:tc>
          <w:tcPr>
            <w:tcW w:w="1643" w:type="dxa"/>
            <w:vAlign w:val="center"/>
          </w:tcPr>
          <w:p>
            <w:pPr>
              <w:pStyle w:val="14"/>
            </w:pPr>
          </w:p>
        </w:tc>
        <w:tc>
          <w:tcPr>
            <w:tcW w:w="1643" w:type="dxa"/>
            <w:vAlign w:val="center"/>
          </w:tcPr>
          <w:p>
            <w:pPr>
              <w:pStyle w:val="14"/>
            </w:pPr>
            <w:r>
              <w:t>63.49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13</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4"/>
            </w:pPr>
            <w:r>
              <w:t>14.00</w:t>
            </w:r>
          </w:p>
        </w:tc>
        <w:tc>
          <w:tcPr>
            <w:tcW w:w="1643" w:type="dxa"/>
            <w:vAlign w:val="center"/>
          </w:tcPr>
          <w:p>
            <w:pPr>
              <w:pStyle w:val="14"/>
            </w:pPr>
          </w:p>
        </w:tc>
        <w:tc>
          <w:tcPr>
            <w:tcW w:w="1643" w:type="dxa"/>
            <w:vAlign w:val="center"/>
          </w:tcPr>
          <w:p>
            <w:pPr>
              <w:pStyle w:val="14"/>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14</w:t>
            </w:r>
          </w:p>
        </w:tc>
        <w:tc>
          <w:tcPr>
            <w:tcW w:w="1643" w:type="dxa"/>
            <w:vAlign w:val="center"/>
          </w:tcPr>
          <w:p>
            <w:pPr>
              <w:pStyle w:val="13"/>
            </w:pPr>
            <w:r>
              <w:t>30205</w:t>
            </w:r>
          </w:p>
        </w:tc>
        <w:tc>
          <w:tcPr>
            <w:tcW w:w="1643" w:type="dxa"/>
            <w:vAlign w:val="center"/>
          </w:tcPr>
          <w:p>
            <w:pPr>
              <w:pStyle w:val="13"/>
            </w:pPr>
            <w:r>
              <w:t>水费</w:t>
            </w:r>
          </w:p>
        </w:tc>
        <w:tc>
          <w:tcPr>
            <w:tcW w:w="1643" w:type="dxa"/>
            <w:vAlign w:val="center"/>
          </w:tcPr>
          <w:p>
            <w:pPr>
              <w:pStyle w:val="14"/>
            </w:pPr>
            <w:r>
              <w:t>2.00</w:t>
            </w:r>
          </w:p>
        </w:tc>
        <w:tc>
          <w:tcPr>
            <w:tcW w:w="1643" w:type="dxa"/>
            <w:vAlign w:val="center"/>
          </w:tcPr>
          <w:p>
            <w:pPr>
              <w:pStyle w:val="14"/>
            </w:pPr>
          </w:p>
        </w:tc>
        <w:tc>
          <w:tcPr>
            <w:tcW w:w="1643"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15</w:t>
            </w:r>
          </w:p>
        </w:tc>
        <w:tc>
          <w:tcPr>
            <w:tcW w:w="1643" w:type="dxa"/>
            <w:vAlign w:val="center"/>
          </w:tcPr>
          <w:p>
            <w:pPr>
              <w:pStyle w:val="13"/>
            </w:pPr>
            <w:r>
              <w:t>30206</w:t>
            </w:r>
          </w:p>
        </w:tc>
        <w:tc>
          <w:tcPr>
            <w:tcW w:w="1643" w:type="dxa"/>
            <w:vAlign w:val="center"/>
          </w:tcPr>
          <w:p>
            <w:pPr>
              <w:pStyle w:val="13"/>
            </w:pPr>
            <w:r>
              <w:t>电费</w:t>
            </w:r>
          </w:p>
        </w:tc>
        <w:tc>
          <w:tcPr>
            <w:tcW w:w="1643" w:type="dxa"/>
            <w:vAlign w:val="center"/>
          </w:tcPr>
          <w:p>
            <w:pPr>
              <w:pStyle w:val="14"/>
            </w:pPr>
            <w:r>
              <w:t>2.00</w:t>
            </w:r>
          </w:p>
        </w:tc>
        <w:tc>
          <w:tcPr>
            <w:tcW w:w="1643" w:type="dxa"/>
            <w:vAlign w:val="center"/>
          </w:tcPr>
          <w:p>
            <w:pPr>
              <w:pStyle w:val="14"/>
            </w:pPr>
          </w:p>
        </w:tc>
        <w:tc>
          <w:tcPr>
            <w:tcW w:w="1643"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16</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4"/>
            </w:pPr>
            <w:r>
              <w:t>10.38</w:t>
            </w:r>
          </w:p>
        </w:tc>
        <w:tc>
          <w:tcPr>
            <w:tcW w:w="1643" w:type="dxa"/>
            <w:vAlign w:val="center"/>
          </w:tcPr>
          <w:p>
            <w:pPr>
              <w:pStyle w:val="14"/>
            </w:pPr>
          </w:p>
        </w:tc>
        <w:tc>
          <w:tcPr>
            <w:tcW w:w="1643" w:type="dxa"/>
            <w:vAlign w:val="center"/>
          </w:tcPr>
          <w:p>
            <w:pPr>
              <w:pStyle w:val="14"/>
            </w:pPr>
            <w:r>
              <w:t>10.38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17</w:t>
            </w:r>
          </w:p>
        </w:tc>
        <w:tc>
          <w:tcPr>
            <w:tcW w:w="1643" w:type="dxa"/>
            <w:vAlign w:val="center"/>
          </w:tcPr>
          <w:p>
            <w:pPr>
              <w:pStyle w:val="13"/>
            </w:pPr>
            <w:r>
              <w:t>30208</w:t>
            </w:r>
          </w:p>
        </w:tc>
        <w:tc>
          <w:tcPr>
            <w:tcW w:w="1643" w:type="dxa"/>
            <w:vAlign w:val="center"/>
          </w:tcPr>
          <w:p>
            <w:pPr>
              <w:pStyle w:val="13"/>
            </w:pPr>
            <w:r>
              <w:t>取暖费</w:t>
            </w:r>
          </w:p>
        </w:tc>
        <w:tc>
          <w:tcPr>
            <w:tcW w:w="1643" w:type="dxa"/>
            <w:vAlign w:val="center"/>
          </w:tcPr>
          <w:p>
            <w:pPr>
              <w:pStyle w:val="14"/>
            </w:pPr>
            <w:r>
              <w:t>6.00</w:t>
            </w:r>
          </w:p>
        </w:tc>
        <w:tc>
          <w:tcPr>
            <w:tcW w:w="1643" w:type="dxa"/>
            <w:vAlign w:val="center"/>
          </w:tcPr>
          <w:p>
            <w:pPr>
              <w:pStyle w:val="14"/>
            </w:pPr>
          </w:p>
        </w:tc>
        <w:tc>
          <w:tcPr>
            <w:tcW w:w="1643" w:type="dxa"/>
            <w:vAlign w:val="center"/>
          </w:tcPr>
          <w:p>
            <w:pPr>
              <w:pStyle w:val="14"/>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18</w:t>
            </w:r>
          </w:p>
        </w:tc>
        <w:tc>
          <w:tcPr>
            <w:tcW w:w="1643" w:type="dxa"/>
            <w:vAlign w:val="center"/>
          </w:tcPr>
          <w:p>
            <w:pPr>
              <w:pStyle w:val="13"/>
            </w:pPr>
            <w:r>
              <w:t>30211</w:t>
            </w:r>
          </w:p>
        </w:tc>
        <w:tc>
          <w:tcPr>
            <w:tcW w:w="1643" w:type="dxa"/>
            <w:vAlign w:val="center"/>
          </w:tcPr>
          <w:p>
            <w:pPr>
              <w:pStyle w:val="13"/>
            </w:pPr>
            <w:r>
              <w:t>差旅费</w:t>
            </w:r>
          </w:p>
        </w:tc>
        <w:tc>
          <w:tcPr>
            <w:tcW w:w="1643" w:type="dxa"/>
            <w:vAlign w:val="center"/>
          </w:tcPr>
          <w:p>
            <w:pPr>
              <w:pStyle w:val="14"/>
            </w:pPr>
            <w:r>
              <w:t>0.80</w:t>
            </w:r>
          </w:p>
        </w:tc>
        <w:tc>
          <w:tcPr>
            <w:tcW w:w="1643" w:type="dxa"/>
            <w:vAlign w:val="center"/>
          </w:tcPr>
          <w:p>
            <w:pPr>
              <w:pStyle w:val="14"/>
            </w:pPr>
          </w:p>
        </w:tc>
        <w:tc>
          <w:tcPr>
            <w:tcW w:w="1643" w:type="dxa"/>
            <w:vAlign w:val="center"/>
          </w:tcPr>
          <w:p>
            <w:pPr>
              <w:pStyle w:val="14"/>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19</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4"/>
            </w:pPr>
            <w:r>
              <w:t>5.25</w:t>
            </w:r>
          </w:p>
        </w:tc>
        <w:tc>
          <w:tcPr>
            <w:tcW w:w="1643" w:type="dxa"/>
            <w:vAlign w:val="center"/>
          </w:tcPr>
          <w:p>
            <w:pPr>
              <w:pStyle w:val="14"/>
            </w:pPr>
          </w:p>
        </w:tc>
        <w:tc>
          <w:tcPr>
            <w:tcW w:w="1643" w:type="dxa"/>
            <w:vAlign w:val="center"/>
          </w:tcPr>
          <w:p>
            <w:pPr>
              <w:pStyle w:val="14"/>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20</w:t>
            </w:r>
          </w:p>
        </w:tc>
        <w:tc>
          <w:tcPr>
            <w:tcW w:w="1643" w:type="dxa"/>
            <w:vAlign w:val="center"/>
          </w:tcPr>
          <w:p>
            <w:pPr>
              <w:pStyle w:val="13"/>
            </w:pPr>
            <w:r>
              <w:t>30229</w:t>
            </w:r>
          </w:p>
        </w:tc>
        <w:tc>
          <w:tcPr>
            <w:tcW w:w="1643" w:type="dxa"/>
            <w:vAlign w:val="center"/>
          </w:tcPr>
          <w:p>
            <w:pPr>
              <w:pStyle w:val="13"/>
            </w:pPr>
            <w:r>
              <w:t>福利费</w:t>
            </w:r>
          </w:p>
        </w:tc>
        <w:tc>
          <w:tcPr>
            <w:tcW w:w="1643" w:type="dxa"/>
            <w:vAlign w:val="center"/>
          </w:tcPr>
          <w:p>
            <w:pPr>
              <w:pStyle w:val="14"/>
            </w:pPr>
            <w:r>
              <w:t>5.81</w:t>
            </w:r>
          </w:p>
        </w:tc>
        <w:tc>
          <w:tcPr>
            <w:tcW w:w="1643" w:type="dxa"/>
            <w:vAlign w:val="center"/>
          </w:tcPr>
          <w:p>
            <w:pPr>
              <w:pStyle w:val="14"/>
            </w:pPr>
          </w:p>
        </w:tc>
        <w:tc>
          <w:tcPr>
            <w:tcW w:w="1643" w:type="dxa"/>
            <w:vAlign w:val="center"/>
          </w:tcPr>
          <w:p>
            <w:pPr>
              <w:pStyle w:val="14"/>
            </w:pPr>
            <w:r>
              <w:t>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21</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4"/>
            </w:pPr>
            <w:r>
              <w:t>13.68</w:t>
            </w:r>
          </w:p>
        </w:tc>
        <w:tc>
          <w:tcPr>
            <w:tcW w:w="1643" w:type="dxa"/>
            <w:vAlign w:val="center"/>
          </w:tcPr>
          <w:p>
            <w:pPr>
              <w:pStyle w:val="14"/>
            </w:pPr>
          </w:p>
        </w:tc>
        <w:tc>
          <w:tcPr>
            <w:tcW w:w="1643" w:type="dxa"/>
            <w:vAlign w:val="center"/>
          </w:tcPr>
          <w:p>
            <w:pPr>
              <w:pStyle w:val="14"/>
            </w:pPr>
            <w:r>
              <w:t>13.68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22</w:t>
            </w:r>
          </w:p>
        </w:tc>
        <w:tc>
          <w:tcPr>
            <w:tcW w:w="1643" w:type="dxa"/>
            <w:vAlign w:val="center"/>
          </w:tcPr>
          <w:p>
            <w:pPr>
              <w:pStyle w:val="13"/>
            </w:pPr>
            <w:r>
              <w:t>30299</w:t>
            </w:r>
          </w:p>
        </w:tc>
        <w:tc>
          <w:tcPr>
            <w:tcW w:w="1643" w:type="dxa"/>
            <w:vAlign w:val="center"/>
          </w:tcPr>
          <w:p>
            <w:pPr>
              <w:pStyle w:val="13"/>
            </w:pPr>
            <w:r>
              <w:t>其他商品和服务支出</w:t>
            </w:r>
          </w:p>
        </w:tc>
        <w:tc>
          <w:tcPr>
            <w:tcW w:w="1643" w:type="dxa"/>
            <w:vAlign w:val="center"/>
          </w:tcPr>
          <w:p>
            <w:pPr>
              <w:pStyle w:val="14"/>
            </w:pPr>
            <w:r>
              <w:t>3.57</w:t>
            </w:r>
          </w:p>
        </w:tc>
        <w:tc>
          <w:tcPr>
            <w:tcW w:w="1643" w:type="dxa"/>
            <w:vAlign w:val="center"/>
          </w:tcPr>
          <w:p>
            <w:pPr>
              <w:pStyle w:val="14"/>
            </w:pPr>
          </w:p>
        </w:tc>
        <w:tc>
          <w:tcPr>
            <w:tcW w:w="1643" w:type="dxa"/>
            <w:vAlign w:val="center"/>
          </w:tcPr>
          <w:p>
            <w:pPr>
              <w:pStyle w:val="14"/>
            </w:pPr>
            <w:r>
              <w:t>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23</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4"/>
            </w:pPr>
            <w:r>
              <w:t>1.84</w:t>
            </w:r>
          </w:p>
        </w:tc>
        <w:tc>
          <w:tcPr>
            <w:tcW w:w="1643" w:type="dxa"/>
            <w:vAlign w:val="center"/>
          </w:tcPr>
          <w:p>
            <w:pPr>
              <w:pStyle w:val="14"/>
            </w:pPr>
            <w:r>
              <w:t>1.84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24</w:t>
            </w:r>
          </w:p>
        </w:tc>
        <w:tc>
          <w:tcPr>
            <w:tcW w:w="1643" w:type="dxa"/>
            <w:vAlign w:val="center"/>
          </w:tcPr>
          <w:p>
            <w:pPr>
              <w:pStyle w:val="13"/>
            </w:pPr>
            <w:r>
              <w:t>30305</w:t>
            </w:r>
          </w:p>
        </w:tc>
        <w:tc>
          <w:tcPr>
            <w:tcW w:w="1643" w:type="dxa"/>
            <w:vAlign w:val="center"/>
          </w:tcPr>
          <w:p>
            <w:pPr>
              <w:pStyle w:val="13"/>
            </w:pPr>
            <w:r>
              <w:t>生活补助</w:t>
            </w:r>
          </w:p>
        </w:tc>
        <w:tc>
          <w:tcPr>
            <w:tcW w:w="1643" w:type="dxa"/>
            <w:vAlign w:val="center"/>
          </w:tcPr>
          <w:p>
            <w:pPr>
              <w:pStyle w:val="14"/>
            </w:pPr>
            <w:r>
              <w:t>1.84</w:t>
            </w:r>
          </w:p>
        </w:tc>
        <w:tc>
          <w:tcPr>
            <w:tcW w:w="1643" w:type="dxa"/>
            <w:vAlign w:val="center"/>
          </w:tcPr>
          <w:p>
            <w:pPr>
              <w:pStyle w:val="14"/>
            </w:pPr>
            <w:r>
              <w:t>1.84</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333001石家庄市藁城区住房和城乡建设局本级</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45450.65</w:t>
            </w:r>
          </w:p>
        </w:tc>
        <w:tc>
          <w:tcPr>
            <w:tcW w:w="1643" w:type="dxa"/>
            <w:vAlign w:val="center"/>
          </w:tcPr>
          <w:p>
            <w:pPr>
              <w:pStyle w:val="16"/>
            </w:pPr>
          </w:p>
        </w:tc>
        <w:tc>
          <w:tcPr>
            <w:tcW w:w="1643" w:type="dxa"/>
            <w:vAlign w:val="center"/>
          </w:tcPr>
          <w:p>
            <w:pPr>
              <w:pStyle w:val="16"/>
            </w:pPr>
            <w:r>
              <w:t>45450.65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2</w:t>
            </w:r>
          </w:p>
        </w:tc>
        <w:tc>
          <w:tcPr>
            <w:tcW w:w="1643" w:type="dxa"/>
            <w:vAlign w:val="center"/>
          </w:tcPr>
          <w:p>
            <w:pPr>
              <w:pStyle w:val="13"/>
            </w:pPr>
            <w:r>
              <w:t>212</w:t>
            </w:r>
          </w:p>
        </w:tc>
        <w:tc>
          <w:tcPr>
            <w:tcW w:w="1643" w:type="dxa"/>
            <w:vAlign w:val="center"/>
          </w:tcPr>
          <w:p>
            <w:pPr>
              <w:pStyle w:val="13"/>
            </w:pPr>
            <w:r>
              <w:t>城乡社区支出</w:t>
            </w:r>
          </w:p>
        </w:tc>
        <w:tc>
          <w:tcPr>
            <w:tcW w:w="1643" w:type="dxa"/>
            <w:vAlign w:val="center"/>
          </w:tcPr>
          <w:p>
            <w:pPr>
              <w:pStyle w:val="14"/>
            </w:pPr>
            <w:r>
              <w:t>17800.28</w:t>
            </w:r>
          </w:p>
        </w:tc>
        <w:tc>
          <w:tcPr>
            <w:tcW w:w="1643" w:type="dxa"/>
            <w:vAlign w:val="center"/>
          </w:tcPr>
          <w:p>
            <w:pPr>
              <w:pStyle w:val="14"/>
            </w:pPr>
          </w:p>
        </w:tc>
        <w:tc>
          <w:tcPr>
            <w:tcW w:w="1643" w:type="dxa"/>
            <w:vAlign w:val="center"/>
          </w:tcPr>
          <w:p>
            <w:pPr>
              <w:pStyle w:val="14"/>
            </w:pPr>
            <w:r>
              <w:t>17800.28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3</w:t>
            </w:r>
          </w:p>
        </w:tc>
        <w:tc>
          <w:tcPr>
            <w:tcW w:w="1643" w:type="dxa"/>
            <w:vAlign w:val="center"/>
          </w:tcPr>
          <w:p>
            <w:pPr>
              <w:pStyle w:val="13"/>
            </w:pPr>
            <w:r>
              <w:t>21208</w:t>
            </w:r>
          </w:p>
        </w:tc>
        <w:tc>
          <w:tcPr>
            <w:tcW w:w="1643" w:type="dxa"/>
            <w:vAlign w:val="center"/>
          </w:tcPr>
          <w:p>
            <w:pPr>
              <w:pStyle w:val="13"/>
            </w:pPr>
            <w:r>
              <w:t>国有土地使用权出让收入安排的支出</w:t>
            </w:r>
          </w:p>
        </w:tc>
        <w:tc>
          <w:tcPr>
            <w:tcW w:w="1643" w:type="dxa"/>
            <w:vAlign w:val="center"/>
          </w:tcPr>
          <w:p>
            <w:pPr>
              <w:pStyle w:val="14"/>
            </w:pPr>
            <w:r>
              <w:t>16620.53</w:t>
            </w:r>
          </w:p>
        </w:tc>
        <w:tc>
          <w:tcPr>
            <w:tcW w:w="1643" w:type="dxa"/>
            <w:vAlign w:val="center"/>
          </w:tcPr>
          <w:p>
            <w:pPr>
              <w:pStyle w:val="14"/>
            </w:pPr>
          </w:p>
        </w:tc>
        <w:tc>
          <w:tcPr>
            <w:tcW w:w="1643" w:type="dxa"/>
            <w:vAlign w:val="center"/>
          </w:tcPr>
          <w:p>
            <w:pPr>
              <w:pStyle w:val="14"/>
            </w:pPr>
            <w:r>
              <w:t>16620.53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4</w:t>
            </w:r>
          </w:p>
        </w:tc>
        <w:tc>
          <w:tcPr>
            <w:tcW w:w="1643" w:type="dxa"/>
            <w:vAlign w:val="center"/>
          </w:tcPr>
          <w:p>
            <w:pPr>
              <w:pStyle w:val="13"/>
            </w:pPr>
            <w:r>
              <w:t>2120803</w:t>
            </w:r>
          </w:p>
        </w:tc>
        <w:tc>
          <w:tcPr>
            <w:tcW w:w="1643" w:type="dxa"/>
            <w:vAlign w:val="center"/>
          </w:tcPr>
          <w:p>
            <w:pPr>
              <w:pStyle w:val="13"/>
            </w:pPr>
            <w:r>
              <w:t>城市建设支出</w:t>
            </w:r>
          </w:p>
        </w:tc>
        <w:tc>
          <w:tcPr>
            <w:tcW w:w="1643" w:type="dxa"/>
            <w:vAlign w:val="center"/>
          </w:tcPr>
          <w:p>
            <w:pPr>
              <w:pStyle w:val="14"/>
            </w:pPr>
            <w:r>
              <w:t>13868.19</w:t>
            </w:r>
          </w:p>
        </w:tc>
        <w:tc>
          <w:tcPr>
            <w:tcW w:w="1643" w:type="dxa"/>
            <w:vAlign w:val="center"/>
          </w:tcPr>
          <w:p>
            <w:pPr>
              <w:pStyle w:val="14"/>
            </w:pPr>
          </w:p>
        </w:tc>
        <w:tc>
          <w:tcPr>
            <w:tcW w:w="1643" w:type="dxa"/>
            <w:vAlign w:val="center"/>
          </w:tcPr>
          <w:p>
            <w:pPr>
              <w:pStyle w:val="14"/>
            </w:pPr>
            <w:r>
              <w:t>13868.19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5</w:t>
            </w:r>
          </w:p>
        </w:tc>
        <w:tc>
          <w:tcPr>
            <w:tcW w:w="1643" w:type="dxa"/>
            <w:vAlign w:val="center"/>
          </w:tcPr>
          <w:p>
            <w:pPr>
              <w:pStyle w:val="13"/>
            </w:pPr>
            <w:r>
              <w:t>2120804</w:t>
            </w:r>
          </w:p>
        </w:tc>
        <w:tc>
          <w:tcPr>
            <w:tcW w:w="1643" w:type="dxa"/>
            <w:vAlign w:val="center"/>
          </w:tcPr>
          <w:p>
            <w:pPr>
              <w:pStyle w:val="13"/>
            </w:pPr>
            <w:r>
              <w:t>农村基础设施建设支出</w:t>
            </w:r>
          </w:p>
        </w:tc>
        <w:tc>
          <w:tcPr>
            <w:tcW w:w="1643" w:type="dxa"/>
            <w:vAlign w:val="center"/>
          </w:tcPr>
          <w:p>
            <w:pPr>
              <w:pStyle w:val="14"/>
            </w:pPr>
            <w:r>
              <w:t>1452.34</w:t>
            </w:r>
          </w:p>
        </w:tc>
        <w:tc>
          <w:tcPr>
            <w:tcW w:w="1643" w:type="dxa"/>
            <w:vAlign w:val="center"/>
          </w:tcPr>
          <w:p>
            <w:pPr>
              <w:pStyle w:val="14"/>
            </w:pPr>
          </w:p>
        </w:tc>
        <w:tc>
          <w:tcPr>
            <w:tcW w:w="1643" w:type="dxa"/>
            <w:vAlign w:val="center"/>
          </w:tcPr>
          <w:p>
            <w:pPr>
              <w:pStyle w:val="14"/>
            </w:pPr>
            <w:r>
              <w:t>1452.34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6</w:t>
            </w:r>
          </w:p>
        </w:tc>
        <w:tc>
          <w:tcPr>
            <w:tcW w:w="1643" w:type="dxa"/>
            <w:vAlign w:val="center"/>
          </w:tcPr>
          <w:p>
            <w:pPr>
              <w:pStyle w:val="13"/>
            </w:pPr>
            <w:r>
              <w:t>2120816</w:t>
            </w:r>
          </w:p>
        </w:tc>
        <w:tc>
          <w:tcPr>
            <w:tcW w:w="1643" w:type="dxa"/>
            <w:vAlign w:val="center"/>
          </w:tcPr>
          <w:p>
            <w:pPr>
              <w:pStyle w:val="13"/>
            </w:pPr>
            <w:r>
              <w:t>农业农村生态环境支出</w:t>
            </w:r>
          </w:p>
        </w:tc>
        <w:tc>
          <w:tcPr>
            <w:tcW w:w="1643" w:type="dxa"/>
            <w:vAlign w:val="center"/>
          </w:tcPr>
          <w:p>
            <w:pPr>
              <w:pStyle w:val="14"/>
            </w:pPr>
            <w:r>
              <w:t>1300.00</w:t>
            </w:r>
          </w:p>
        </w:tc>
        <w:tc>
          <w:tcPr>
            <w:tcW w:w="1643" w:type="dxa"/>
            <w:vAlign w:val="center"/>
          </w:tcPr>
          <w:p>
            <w:pPr>
              <w:pStyle w:val="14"/>
            </w:pPr>
          </w:p>
        </w:tc>
        <w:tc>
          <w:tcPr>
            <w:tcW w:w="1643" w:type="dxa"/>
            <w:vAlign w:val="center"/>
          </w:tcPr>
          <w:p>
            <w:pPr>
              <w:pStyle w:val="14"/>
            </w:pPr>
            <w:r>
              <w:t>1300.00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7</w:t>
            </w:r>
          </w:p>
        </w:tc>
        <w:tc>
          <w:tcPr>
            <w:tcW w:w="1643" w:type="dxa"/>
            <w:vAlign w:val="center"/>
          </w:tcPr>
          <w:p>
            <w:pPr>
              <w:pStyle w:val="13"/>
            </w:pPr>
            <w:r>
              <w:t>21213</w:t>
            </w:r>
          </w:p>
        </w:tc>
        <w:tc>
          <w:tcPr>
            <w:tcW w:w="1643" w:type="dxa"/>
            <w:vAlign w:val="center"/>
          </w:tcPr>
          <w:p>
            <w:pPr>
              <w:pStyle w:val="13"/>
            </w:pPr>
            <w:r>
              <w:t>城市基础设施配套费安排的支出</w:t>
            </w:r>
          </w:p>
        </w:tc>
        <w:tc>
          <w:tcPr>
            <w:tcW w:w="1643" w:type="dxa"/>
            <w:vAlign w:val="center"/>
          </w:tcPr>
          <w:p>
            <w:pPr>
              <w:pStyle w:val="14"/>
            </w:pPr>
            <w:r>
              <w:t>1179.75</w:t>
            </w:r>
          </w:p>
        </w:tc>
        <w:tc>
          <w:tcPr>
            <w:tcW w:w="1643" w:type="dxa"/>
            <w:vAlign w:val="center"/>
          </w:tcPr>
          <w:p>
            <w:pPr>
              <w:pStyle w:val="14"/>
            </w:pPr>
          </w:p>
        </w:tc>
        <w:tc>
          <w:tcPr>
            <w:tcW w:w="1643" w:type="dxa"/>
            <w:vAlign w:val="center"/>
          </w:tcPr>
          <w:p>
            <w:pPr>
              <w:pStyle w:val="14"/>
            </w:pPr>
            <w:r>
              <w:t>1179.75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8</w:t>
            </w:r>
          </w:p>
        </w:tc>
        <w:tc>
          <w:tcPr>
            <w:tcW w:w="1643" w:type="dxa"/>
            <w:vAlign w:val="center"/>
          </w:tcPr>
          <w:p>
            <w:pPr>
              <w:pStyle w:val="13"/>
            </w:pPr>
            <w:r>
              <w:t>2121399</w:t>
            </w:r>
          </w:p>
        </w:tc>
        <w:tc>
          <w:tcPr>
            <w:tcW w:w="1643" w:type="dxa"/>
            <w:vAlign w:val="center"/>
          </w:tcPr>
          <w:p>
            <w:pPr>
              <w:pStyle w:val="13"/>
            </w:pPr>
            <w:r>
              <w:t>其他城市基础设施配套费安排的支出</w:t>
            </w:r>
          </w:p>
        </w:tc>
        <w:tc>
          <w:tcPr>
            <w:tcW w:w="1643" w:type="dxa"/>
            <w:vAlign w:val="center"/>
          </w:tcPr>
          <w:p>
            <w:pPr>
              <w:pStyle w:val="14"/>
            </w:pPr>
            <w:r>
              <w:t>1179.75</w:t>
            </w:r>
          </w:p>
        </w:tc>
        <w:tc>
          <w:tcPr>
            <w:tcW w:w="1643" w:type="dxa"/>
            <w:vAlign w:val="center"/>
          </w:tcPr>
          <w:p>
            <w:pPr>
              <w:pStyle w:val="14"/>
            </w:pPr>
          </w:p>
        </w:tc>
        <w:tc>
          <w:tcPr>
            <w:tcW w:w="1643" w:type="dxa"/>
            <w:vAlign w:val="center"/>
          </w:tcPr>
          <w:p>
            <w:pPr>
              <w:pStyle w:val="14"/>
            </w:pPr>
            <w:r>
              <w:t>1179.75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9</w:t>
            </w:r>
          </w:p>
        </w:tc>
        <w:tc>
          <w:tcPr>
            <w:tcW w:w="1643" w:type="dxa"/>
            <w:vAlign w:val="center"/>
          </w:tcPr>
          <w:p>
            <w:pPr>
              <w:pStyle w:val="13"/>
            </w:pPr>
            <w:r>
              <w:t>229</w:t>
            </w:r>
          </w:p>
        </w:tc>
        <w:tc>
          <w:tcPr>
            <w:tcW w:w="1643" w:type="dxa"/>
            <w:vAlign w:val="center"/>
          </w:tcPr>
          <w:p>
            <w:pPr>
              <w:pStyle w:val="13"/>
            </w:pPr>
            <w:r>
              <w:t>其他支出</w:t>
            </w:r>
          </w:p>
        </w:tc>
        <w:tc>
          <w:tcPr>
            <w:tcW w:w="1643" w:type="dxa"/>
            <w:vAlign w:val="center"/>
          </w:tcPr>
          <w:p>
            <w:pPr>
              <w:pStyle w:val="14"/>
            </w:pPr>
            <w:r>
              <w:t>16070.79</w:t>
            </w:r>
          </w:p>
        </w:tc>
        <w:tc>
          <w:tcPr>
            <w:tcW w:w="1643" w:type="dxa"/>
            <w:vAlign w:val="center"/>
          </w:tcPr>
          <w:p>
            <w:pPr>
              <w:pStyle w:val="14"/>
            </w:pPr>
          </w:p>
        </w:tc>
        <w:tc>
          <w:tcPr>
            <w:tcW w:w="1643" w:type="dxa"/>
            <w:vAlign w:val="center"/>
          </w:tcPr>
          <w:p>
            <w:pPr>
              <w:pStyle w:val="14"/>
            </w:pPr>
            <w:r>
              <w:t>16070.79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10</w:t>
            </w:r>
          </w:p>
        </w:tc>
        <w:tc>
          <w:tcPr>
            <w:tcW w:w="1643" w:type="dxa"/>
            <w:vAlign w:val="center"/>
          </w:tcPr>
          <w:p>
            <w:pPr>
              <w:pStyle w:val="13"/>
            </w:pPr>
            <w:r>
              <w:t>22904</w:t>
            </w:r>
          </w:p>
        </w:tc>
        <w:tc>
          <w:tcPr>
            <w:tcW w:w="1643" w:type="dxa"/>
            <w:vAlign w:val="center"/>
          </w:tcPr>
          <w:p>
            <w:pPr>
              <w:pStyle w:val="13"/>
            </w:pPr>
            <w:r>
              <w:t>其他政府性基金及对应专项债务收入安排的支出</w:t>
            </w:r>
          </w:p>
        </w:tc>
        <w:tc>
          <w:tcPr>
            <w:tcW w:w="1643" w:type="dxa"/>
            <w:vAlign w:val="center"/>
          </w:tcPr>
          <w:p>
            <w:pPr>
              <w:pStyle w:val="14"/>
            </w:pPr>
            <w:r>
              <w:t>16070.79</w:t>
            </w:r>
          </w:p>
        </w:tc>
        <w:tc>
          <w:tcPr>
            <w:tcW w:w="1643" w:type="dxa"/>
            <w:vAlign w:val="center"/>
          </w:tcPr>
          <w:p>
            <w:pPr>
              <w:pStyle w:val="14"/>
            </w:pPr>
          </w:p>
        </w:tc>
        <w:tc>
          <w:tcPr>
            <w:tcW w:w="1643" w:type="dxa"/>
            <w:vAlign w:val="center"/>
          </w:tcPr>
          <w:p>
            <w:pPr>
              <w:pStyle w:val="14"/>
            </w:pPr>
            <w:r>
              <w:t>16070.79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11</w:t>
            </w:r>
          </w:p>
        </w:tc>
        <w:tc>
          <w:tcPr>
            <w:tcW w:w="1643" w:type="dxa"/>
            <w:vAlign w:val="center"/>
          </w:tcPr>
          <w:p>
            <w:pPr>
              <w:pStyle w:val="13"/>
            </w:pPr>
            <w:r>
              <w:t>2290402</w:t>
            </w:r>
          </w:p>
        </w:tc>
        <w:tc>
          <w:tcPr>
            <w:tcW w:w="1643" w:type="dxa"/>
            <w:vAlign w:val="center"/>
          </w:tcPr>
          <w:p>
            <w:pPr>
              <w:pStyle w:val="13"/>
            </w:pPr>
            <w:r>
              <w:t>其他地方自行试点项目收益专项债券收入安排的支出</w:t>
            </w:r>
          </w:p>
        </w:tc>
        <w:tc>
          <w:tcPr>
            <w:tcW w:w="1643" w:type="dxa"/>
            <w:vAlign w:val="center"/>
          </w:tcPr>
          <w:p>
            <w:pPr>
              <w:pStyle w:val="14"/>
            </w:pPr>
            <w:r>
              <w:t>16070.79</w:t>
            </w:r>
          </w:p>
        </w:tc>
        <w:tc>
          <w:tcPr>
            <w:tcW w:w="1643" w:type="dxa"/>
            <w:vAlign w:val="center"/>
          </w:tcPr>
          <w:p>
            <w:pPr>
              <w:pStyle w:val="14"/>
            </w:pPr>
          </w:p>
        </w:tc>
        <w:tc>
          <w:tcPr>
            <w:tcW w:w="1643" w:type="dxa"/>
            <w:vAlign w:val="center"/>
          </w:tcPr>
          <w:p>
            <w:pPr>
              <w:pStyle w:val="14"/>
            </w:pPr>
            <w:r>
              <w:t>16070.79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12</w:t>
            </w:r>
          </w:p>
        </w:tc>
        <w:tc>
          <w:tcPr>
            <w:tcW w:w="1643" w:type="dxa"/>
            <w:vAlign w:val="center"/>
          </w:tcPr>
          <w:p>
            <w:pPr>
              <w:pStyle w:val="13"/>
            </w:pPr>
            <w:r>
              <w:t>231</w:t>
            </w:r>
          </w:p>
        </w:tc>
        <w:tc>
          <w:tcPr>
            <w:tcW w:w="1643" w:type="dxa"/>
            <w:vAlign w:val="center"/>
          </w:tcPr>
          <w:p>
            <w:pPr>
              <w:pStyle w:val="13"/>
            </w:pPr>
            <w:r>
              <w:t>债务还本支出</w:t>
            </w:r>
          </w:p>
        </w:tc>
        <w:tc>
          <w:tcPr>
            <w:tcW w:w="1643" w:type="dxa"/>
            <w:vAlign w:val="center"/>
          </w:tcPr>
          <w:p>
            <w:pPr>
              <w:pStyle w:val="14"/>
            </w:pPr>
            <w:r>
              <w:t>7466.00</w:t>
            </w:r>
          </w:p>
        </w:tc>
        <w:tc>
          <w:tcPr>
            <w:tcW w:w="1643" w:type="dxa"/>
            <w:vAlign w:val="center"/>
          </w:tcPr>
          <w:p>
            <w:pPr>
              <w:pStyle w:val="14"/>
            </w:pPr>
          </w:p>
        </w:tc>
        <w:tc>
          <w:tcPr>
            <w:tcW w:w="1643" w:type="dxa"/>
            <w:vAlign w:val="center"/>
          </w:tcPr>
          <w:p>
            <w:pPr>
              <w:pStyle w:val="14"/>
            </w:pPr>
            <w:r>
              <w:t>7466.00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13</w:t>
            </w:r>
          </w:p>
        </w:tc>
        <w:tc>
          <w:tcPr>
            <w:tcW w:w="1643" w:type="dxa"/>
            <w:vAlign w:val="center"/>
          </w:tcPr>
          <w:p>
            <w:pPr>
              <w:pStyle w:val="13"/>
            </w:pPr>
            <w:r>
              <w:t>23104</w:t>
            </w:r>
          </w:p>
        </w:tc>
        <w:tc>
          <w:tcPr>
            <w:tcW w:w="1643" w:type="dxa"/>
            <w:vAlign w:val="center"/>
          </w:tcPr>
          <w:p>
            <w:pPr>
              <w:pStyle w:val="13"/>
            </w:pPr>
            <w:r>
              <w:t>地方政府专项债务还本支出</w:t>
            </w:r>
          </w:p>
        </w:tc>
        <w:tc>
          <w:tcPr>
            <w:tcW w:w="1643" w:type="dxa"/>
            <w:vAlign w:val="center"/>
          </w:tcPr>
          <w:p>
            <w:pPr>
              <w:pStyle w:val="14"/>
            </w:pPr>
            <w:r>
              <w:t>7466.00</w:t>
            </w:r>
          </w:p>
        </w:tc>
        <w:tc>
          <w:tcPr>
            <w:tcW w:w="1643" w:type="dxa"/>
            <w:vAlign w:val="center"/>
          </w:tcPr>
          <w:p>
            <w:pPr>
              <w:pStyle w:val="14"/>
            </w:pPr>
          </w:p>
        </w:tc>
        <w:tc>
          <w:tcPr>
            <w:tcW w:w="1643" w:type="dxa"/>
            <w:vAlign w:val="center"/>
          </w:tcPr>
          <w:p>
            <w:pPr>
              <w:pStyle w:val="14"/>
            </w:pPr>
            <w:r>
              <w:t>7466.00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14</w:t>
            </w:r>
          </w:p>
        </w:tc>
        <w:tc>
          <w:tcPr>
            <w:tcW w:w="1643" w:type="dxa"/>
            <w:vAlign w:val="center"/>
          </w:tcPr>
          <w:p>
            <w:pPr>
              <w:pStyle w:val="13"/>
            </w:pPr>
            <w:r>
              <w:t>2310411</w:t>
            </w:r>
          </w:p>
        </w:tc>
        <w:tc>
          <w:tcPr>
            <w:tcW w:w="1643" w:type="dxa"/>
            <w:vAlign w:val="center"/>
          </w:tcPr>
          <w:p>
            <w:pPr>
              <w:pStyle w:val="13"/>
            </w:pPr>
            <w:r>
              <w:t>国有土地使用权出让金债务还本支出</w:t>
            </w:r>
          </w:p>
        </w:tc>
        <w:tc>
          <w:tcPr>
            <w:tcW w:w="1643" w:type="dxa"/>
            <w:vAlign w:val="center"/>
          </w:tcPr>
          <w:p>
            <w:pPr>
              <w:pStyle w:val="14"/>
            </w:pPr>
            <w:r>
              <w:t>7466.00</w:t>
            </w:r>
          </w:p>
        </w:tc>
        <w:tc>
          <w:tcPr>
            <w:tcW w:w="1643" w:type="dxa"/>
            <w:vAlign w:val="center"/>
          </w:tcPr>
          <w:p>
            <w:pPr>
              <w:pStyle w:val="14"/>
            </w:pPr>
          </w:p>
        </w:tc>
        <w:tc>
          <w:tcPr>
            <w:tcW w:w="1643" w:type="dxa"/>
            <w:vAlign w:val="center"/>
          </w:tcPr>
          <w:p>
            <w:pPr>
              <w:pStyle w:val="14"/>
            </w:pPr>
            <w:r>
              <w:t>7466.00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15</w:t>
            </w:r>
          </w:p>
        </w:tc>
        <w:tc>
          <w:tcPr>
            <w:tcW w:w="1643" w:type="dxa"/>
            <w:vAlign w:val="center"/>
          </w:tcPr>
          <w:p>
            <w:pPr>
              <w:pStyle w:val="13"/>
            </w:pPr>
            <w:r>
              <w:t>232</w:t>
            </w:r>
          </w:p>
        </w:tc>
        <w:tc>
          <w:tcPr>
            <w:tcW w:w="1643" w:type="dxa"/>
            <w:vAlign w:val="center"/>
          </w:tcPr>
          <w:p>
            <w:pPr>
              <w:pStyle w:val="13"/>
            </w:pPr>
            <w:r>
              <w:t>债务付息支出</w:t>
            </w:r>
          </w:p>
        </w:tc>
        <w:tc>
          <w:tcPr>
            <w:tcW w:w="1643" w:type="dxa"/>
            <w:vAlign w:val="center"/>
          </w:tcPr>
          <w:p>
            <w:pPr>
              <w:pStyle w:val="14"/>
            </w:pPr>
            <w:r>
              <w:t>4113.58</w:t>
            </w:r>
          </w:p>
        </w:tc>
        <w:tc>
          <w:tcPr>
            <w:tcW w:w="1643" w:type="dxa"/>
            <w:vAlign w:val="center"/>
          </w:tcPr>
          <w:p>
            <w:pPr>
              <w:pStyle w:val="14"/>
            </w:pPr>
          </w:p>
        </w:tc>
        <w:tc>
          <w:tcPr>
            <w:tcW w:w="1643" w:type="dxa"/>
            <w:vAlign w:val="center"/>
          </w:tcPr>
          <w:p>
            <w:pPr>
              <w:pStyle w:val="14"/>
            </w:pPr>
            <w:r>
              <w:t>4113.58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16</w:t>
            </w:r>
          </w:p>
        </w:tc>
        <w:tc>
          <w:tcPr>
            <w:tcW w:w="1643" w:type="dxa"/>
            <w:vAlign w:val="center"/>
          </w:tcPr>
          <w:p>
            <w:pPr>
              <w:pStyle w:val="13"/>
            </w:pPr>
            <w:r>
              <w:t>23204</w:t>
            </w:r>
          </w:p>
        </w:tc>
        <w:tc>
          <w:tcPr>
            <w:tcW w:w="1643" w:type="dxa"/>
            <w:vAlign w:val="center"/>
          </w:tcPr>
          <w:p>
            <w:pPr>
              <w:pStyle w:val="13"/>
            </w:pPr>
            <w:r>
              <w:t>地方政府专项债务付息支出</w:t>
            </w:r>
          </w:p>
        </w:tc>
        <w:tc>
          <w:tcPr>
            <w:tcW w:w="1643" w:type="dxa"/>
            <w:vAlign w:val="center"/>
          </w:tcPr>
          <w:p>
            <w:pPr>
              <w:pStyle w:val="14"/>
            </w:pPr>
            <w:r>
              <w:t>4113.58</w:t>
            </w:r>
          </w:p>
        </w:tc>
        <w:tc>
          <w:tcPr>
            <w:tcW w:w="1643" w:type="dxa"/>
            <w:vAlign w:val="center"/>
          </w:tcPr>
          <w:p>
            <w:pPr>
              <w:pStyle w:val="14"/>
            </w:pPr>
          </w:p>
        </w:tc>
        <w:tc>
          <w:tcPr>
            <w:tcW w:w="1643" w:type="dxa"/>
            <w:vAlign w:val="center"/>
          </w:tcPr>
          <w:p>
            <w:pPr>
              <w:pStyle w:val="14"/>
            </w:pPr>
            <w:r>
              <w:t>4113.58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17</w:t>
            </w:r>
          </w:p>
        </w:tc>
        <w:tc>
          <w:tcPr>
            <w:tcW w:w="1643" w:type="dxa"/>
            <w:vAlign w:val="center"/>
          </w:tcPr>
          <w:p>
            <w:pPr>
              <w:pStyle w:val="13"/>
            </w:pPr>
            <w:r>
              <w:t>2320411</w:t>
            </w:r>
          </w:p>
        </w:tc>
        <w:tc>
          <w:tcPr>
            <w:tcW w:w="1643" w:type="dxa"/>
            <w:vAlign w:val="center"/>
          </w:tcPr>
          <w:p>
            <w:pPr>
              <w:pStyle w:val="13"/>
            </w:pPr>
            <w:r>
              <w:t>国有土地使用权出让金债务付息支出</w:t>
            </w:r>
          </w:p>
        </w:tc>
        <w:tc>
          <w:tcPr>
            <w:tcW w:w="1643" w:type="dxa"/>
            <w:vAlign w:val="center"/>
          </w:tcPr>
          <w:p>
            <w:pPr>
              <w:pStyle w:val="14"/>
            </w:pPr>
            <w:r>
              <w:t>4113.58</w:t>
            </w:r>
          </w:p>
        </w:tc>
        <w:tc>
          <w:tcPr>
            <w:tcW w:w="1643" w:type="dxa"/>
            <w:vAlign w:val="center"/>
          </w:tcPr>
          <w:p>
            <w:pPr>
              <w:pStyle w:val="14"/>
            </w:pPr>
          </w:p>
        </w:tc>
        <w:tc>
          <w:tcPr>
            <w:tcW w:w="1643" w:type="dxa"/>
            <w:vAlign w:val="center"/>
          </w:tcPr>
          <w:p>
            <w:pPr>
              <w:pStyle w:val="14"/>
            </w:pPr>
            <w:r>
              <w:t>4113.58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333001石家庄市藁城区住房和城乡建设局本级</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333001石家庄市藁城区住房和城乡建设局本级</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2"/>
            </w:pPr>
          </w:p>
        </w:tc>
        <w:tc>
          <w:tcPr>
            <w:tcW w:w="1643" w:type="dxa"/>
            <w:vAlign w:val="center"/>
          </w:tcPr>
          <w:p>
            <w:pPr>
              <w:pStyle w:val="13"/>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石家庄市藁城区住房和城乡建设局本级2022年单位预算信息公开情况说明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》、《地方预决算公开操作规程》和《关于进一步推进预算公开工作的实施意见》规定，现将石家庄市藁城区住房和城乡建设局本级2022年单位预算公开如下：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8"/>
      </w:pPr>
      <w:r>
        <w:t>一、单位职责</w:t>
      </w:r>
    </w:p>
    <w:p>
      <w:pPr>
        <w:pStyle w:val="18"/>
      </w:pPr>
      <w:r>
        <w:t>(一)监管建筑市场</w:t>
      </w:r>
      <w:r>
        <w:tab/>
      </w:r>
      <w:r>
        <w:t>监督管理建筑市场、规范市场各方主体行为。规范建筑市场，办理施工许可、竣工备案、监督、管理建筑市场准入、工程招投标、工程咨询、工程监理、工程质量、工程稽查和安全；组织或参与重大工程质量事故的调查处理；负责工程质量的审核与评定及对工程质量纠纷的仲裁；负责建筑安装、建筑装饰的行业管理，包括对建筑安装、建筑装饰企业的资质管理；监督检查工程质量及施工安全。移交建设项目档案、工程档案预验收、对市区建设工程（含市政工程）档案监管。</w:t>
      </w:r>
      <w:r>
        <w:tab/>
      </w:r>
    </w:p>
    <w:p>
      <w:pPr>
        <w:pStyle w:val="18"/>
      </w:pPr>
      <w:r>
        <w:t>(二)推进建筑节能、城镇减排</w:t>
      </w:r>
      <w:r>
        <w:tab/>
      </w:r>
      <w:r>
        <w:t>承担推进建筑节能、城镇减排的责任。会同有关单位拟定建筑节能的政策、规划并监督实施；指导房屋墙体材料革新工作；组织实施重大建筑节能项目、推进城镇减排。完成建筑节能、城镇减排目标任务。</w:t>
      </w:r>
    </w:p>
    <w:p>
      <w:pPr>
        <w:pStyle w:val="18"/>
      </w:pPr>
      <w:r>
        <w:t>(三)城市基础设施建设 对城市建设和科学发展进行综合性研究，组织开展以城乡建设为主要内容的研究活动，提供相关咨询服务等，为区委区政府提供城市建设决策建议。</w:t>
      </w:r>
    </w:p>
    <w:p>
      <w:pPr>
        <w:pStyle w:val="18"/>
      </w:pPr>
      <w:r>
        <w:t>(四)规范、指导村镇建设</w:t>
      </w:r>
      <w:r>
        <w:tab/>
      </w:r>
      <w:r>
        <w:t xml:space="preserve"> 承担规范、指导村镇建设工作指导全区乡镇和村庄的建设与管理，推动村镇建设的改革与发展规范指导村镇建设。</w:t>
      </w:r>
    </w:p>
    <w:p>
      <w:pPr>
        <w:pStyle w:val="18"/>
      </w:pPr>
      <w:r>
        <w:t>(五)区住房和城乡建设工作综合事务管理</w:t>
      </w:r>
      <w:r>
        <w:tab/>
      </w:r>
      <w:r>
        <w:t>负责住建系统综合业务管理和机关综合事务管理，提升住房和城乡建设工作综合事务管理水平。</w:t>
      </w:r>
    </w:p>
    <w:p>
      <w:pPr>
        <w:pStyle w:val="18"/>
      </w:pPr>
      <w:r>
        <w:t>(六)决算、审计职能</w:t>
      </w:r>
      <w:bookmarkStart w:id="3" w:name="_GoBack"/>
      <w:r>
        <w:tab/>
      </w:r>
      <w:bookmarkEnd w:id="3"/>
      <w:r>
        <w:t>负责我市建设工程项目的概、预算编制，代理编制预算、审核标底，竣工建设项目的决算工作，为建设经济纠纷提出法律依据。</w:t>
      </w:r>
      <w:r>
        <w:tab/>
      </w:r>
    </w:p>
    <w:p>
      <w:pPr>
        <w:pStyle w:val="18"/>
      </w:pPr>
      <w:r>
        <w:t>(七)燃气热力市场监管 负责全市燃气热力市场的监管工作</w:t>
      </w:r>
      <w:r>
        <w:tab/>
      </w:r>
      <w:r>
        <w:t>规范燃气热力市场，维护燃气热力市场秩序。</w:t>
      </w:r>
    </w:p>
    <w:p>
      <w:pPr>
        <w:pStyle w:val="18"/>
      </w:pPr>
      <w:r>
        <w:t>(八)广场养护管理</w:t>
      </w:r>
      <w:r>
        <w:tab/>
      </w:r>
      <w:r>
        <w:t>负责人民广场内的卫生、园林绿化、安全秩序、小品设施管护，广场日常养护管理达到河北省二级管理标准。</w:t>
      </w:r>
    </w:p>
    <w:p>
      <w:pPr>
        <w:pStyle w:val="18"/>
      </w:pPr>
      <w:r>
        <w:t>(九)保障性住房建设管理</w:t>
      </w:r>
      <w:r>
        <w:rPr>
          <w:rFonts w:hint="eastAsia"/>
          <w:lang w:val="en-US" w:eastAsia="zh-CN"/>
        </w:rPr>
        <w:t xml:space="preserve"> </w:t>
      </w:r>
      <w:r>
        <w:t>负责辖区保障性住房购建、分配、管理工作，以及建立完善住房保障体系。负责城镇廉租住房申请人资格审核及住房租赁补贴工作。</w:t>
      </w:r>
      <w:r>
        <w:tab/>
      </w:r>
      <w:r>
        <w:t>加强保障性住房建设管理工作。</w:t>
      </w:r>
    </w:p>
    <w:p>
      <w:pPr>
        <w:pStyle w:val="18"/>
      </w:pPr>
      <w:r>
        <w:t>(十)房地产管理</w:t>
      </w:r>
      <w:r>
        <w:tab/>
      </w:r>
      <w:r>
        <w:t xml:space="preserve"> 负责辖区房屋登记及房产交易管理、房地产开发经营管理，房屋交易、登记管理。</w:t>
      </w:r>
    </w:p>
    <w:p>
      <w:pPr>
        <w:pStyle w:val="18"/>
      </w:pPr>
      <w:r>
        <w:t>（十一）开展建筑市场的行政执法和处罚。</w:t>
      </w:r>
    </w:p>
    <w:p>
      <w:pPr>
        <w:pStyle w:val="18"/>
      </w:pPr>
      <w:r>
        <w:t>（十二）负责拟制城市基础设施维护的发展战略和中长期规划；负责城区道路、桥涵、泵站、城市排水、城市路灯等市政公用设施的建设、维修养护及管理工作。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石家庄市藁城区住房和城乡建设局本级</w:t>
            </w:r>
          </w:p>
        </w:tc>
        <w:tc>
          <w:tcPr>
            <w:tcW w:w="2464" w:type="dxa"/>
            <w:vAlign w:val="center"/>
          </w:tcPr>
          <w:p>
            <w:pPr>
              <w:pStyle w:val="12"/>
            </w:pPr>
            <w:r>
              <w:t>行政</w:t>
            </w:r>
          </w:p>
        </w:tc>
        <w:tc>
          <w:tcPr>
            <w:tcW w:w="2464" w:type="dxa"/>
            <w:vAlign w:val="center"/>
          </w:tcPr>
          <w:p>
            <w:pPr>
              <w:pStyle w:val="12"/>
            </w:pPr>
            <w:r>
              <w:t>正科级</w:t>
            </w:r>
          </w:p>
        </w:tc>
        <w:tc>
          <w:tcPr>
            <w:tcW w:w="2464" w:type="dxa"/>
            <w:vAlign w:val="center"/>
          </w:tcPr>
          <w:p>
            <w:pPr>
              <w:pStyle w:val="12"/>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spacing w:line="500" w:lineRule="exact"/>
        <w:ind w:firstLine="560"/>
        <w:rPr>
          <w:rFonts w:eastAsia="方正仿宋_GBK" w:cs="Times New Roman"/>
          <w:color w:val="000000"/>
          <w:sz w:val="28"/>
        </w:rPr>
      </w:pPr>
      <w:r>
        <w:rPr>
          <w:rFonts w:hint="eastAsia" w:eastAsia="方正仿宋_GBK" w:cs="Times New Roman"/>
          <w:color w:val="000000"/>
          <w:sz w:val="28"/>
        </w:rPr>
        <w:t>1、</w:t>
      </w:r>
      <w:r>
        <w:rPr>
          <w:rFonts w:eastAsia="方正仿宋_GBK" w:cs="Times New Roman"/>
          <w:color w:val="000000"/>
          <w:sz w:val="28"/>
        </w:rPr>
        <w:t>收入说明</w:t>
      </w:r>
    </w:p>
    <w:p>
      <w:pPr>
        <w:spacing w:line="500" w:lineRule="exact"/>
        <w:ind w:firstLine="560"/>
        <w:rPr>
          <w:rFonts w:eastAsia="方正仿宋_GBK" w:cs="Times New Roman"/>
          <w:color w:val="000000"/>
          <w:sz w:val="28"/>
        </w:rPr>
      </w:pPr>
      <w:r>
        <w:rPr>
          <w:rFonts w:hint="eastAsia" w:eastAsia="方正仿宋_GBK" w:cs="Times New Roman"/>
          <w:color w:val="000000"/>
          <w:sz w:val="28"/>
        </w:rPr>
        <w:t>反映本</w:t>
      </w:r>
      <w:r>
        <w:rPr>
          <w:rFonts w:hint="eastAsia" w:eastAsia="方正仿宋_GBK" w:cs="Times New Roman"/>
          <w:color w:val="000000"/>
          <w:sz w:val="28"/>
          <w:lang w:eastAsia="zh-CN"/>
        </w:rPr>
        <w:t>单位</w:t>
      </w:r>
      <w:r>
        <w:rPr>
          <w:rFonts w:hint="eastAsia" w:eastAsia="方正仿宋_GBK" w:cs="Times New Roman"/>
          <w:color w:val="000000"/>
          <w:sz w:val="28"/>
        </w:rPr>
        <w:t>当年全部收入。2022年预算收入</w:t>
      </w:r>
      <w:r>
        <w:rPr>
          <w:rFonts w:eastAsia="方正仿宋_GBK" w:cs="Times New Roman"/>
          <w:color w:val="000000"/>
          <w:sz w:val="28"/>
          <w:lang w:eastAsia="zh-CN"/>
        </w:rPr>
        <w:t>53176.09</w:t>
      </w:r>
      <w:r>
        <w:rPr>
          <w:rFonts w:hint="eastAsia" w:eastAsia="方正仿宋_GBK" w:cs="Times New Roman"/>
          <w:color w:val="000000"/>
          <w:sz w:val="28"/>
        </w:rPr>
        <w:t>万元，其中：一般公共预算收入</w:t>
      </w:r>
      <w:r>
        <w:rPr>
          <w:rFonts w:eastAsia="方正仿宋_GBK" w:cs="Times New Roman"/>
          <w:color w:val="000000"/>
          <w:sz w:val="28"/>
          <w:lang w:eastAsia="zh-CN"/>
        </w:rPr>
        <w:t>3071.45</w:t>
      </w:r>
      <w:r>
        <w:rPr>
          <w:rFonts w:hint="eastAsia" w:eastAsia="方正仿宋_GBK" w:cs="Times New Roman"/>
          <w:color w:val="000000"/>
          <w:sz w:val="28"/>
        </w:rPr>
        <w:t>万元，基金预算收入</w:t>
      </w:r>
      <w:r>
        <w:rPr>
          <w:rFonts w:eastAsia="方正仿宋_GBK" w:cs="Times New Roman"/>
          <w:color w:val="000000"/>
          <w:sz w:val="28"/>
          <w:lang w:eastAsia="zh-CN"/>
        </w:rPr>
        <w:t>29379.86</w:t>
      </w:r>
      <w:r>
        <w:rPr>
          <w:rFonts w:hint="eastAsia" w:eastAsia="方正仿宋_GBK" w:cs="Times New Roman"/>
          <w:color w:val="000000"/>
          <w:sz w:val="28"/>
        </w:rPr>
        <w:t>万元，财政专户核拨收入0万元，其他来源收入0万元</w:t>
      </w:r>
      <w:r>
        <w:rPr>
          <w:rFonts w:hint="eastAsia" w:eastAsia="方正仿宋_GBK" w:cs="Times New Roman"/>
          <w:color w:val="000000"/>
          <w:sz w:val="28"/>
          <w:lang w:eastAsia="zh-CN"/>
        </w:rPr>
        <w:t>,上年结转结余</w:t>
      </w:r>
      <w:r>
        <w:rPr>
          <w:rFonts w:eastAsia="方正仿宋_GBK" w:cs="Times New Roman"/>
          <w:color w:val="000000"/>
          <w:sz w:val="28"/>
          <w:lang w:eastAsia="zh-CN"/>
        </w:rPr>
        <w:t>20724.78</w:t>
      </w:r>
      <w:r>
        <w:rPr>
          <w:rFonts w:hint="eastAsia" w:eastAsia="方正仿宋_GBK" w:cs="Times New Roman"/>
          <w:color w:val="000000"/>
          <w:sz w:val="28"/>
          <w:lang w:eastAsia="zh-CN"/>
        </w:rPr>
        <w:t>万元</w:t>
      </w:r>
      <w:r>
        <w:rPr>
          <w:rFonts w:hint="eastAsia" w:eastAsia="方正仿宋_GBK" w:cs="Times New Roman"/>
          <w:color w:val="000000"/>
          <w:sz w:val="28"/>
        </w:rPr>
        <w:t>。</w:t>
      </w:r>
    </w:p>
    <w:p>
      <w:pPr>
        <w:spacing w:line="500" w:lineRule="exact"/>
        <w:ind w:firstLine="560"/>
        <w:rPr>
          <w:rFonts w:eastAsia="方正仿宋_GBK" w:cs="Times New Roman"/>
          <w:color w:val="000000"/>
          <w:sz w:val="28"/>
        </w:rPr>
      </w:pPr>
      <w:r>
        <w:rPr>
          <w:rFonts w:hint="eastAsia" w:eastAsia="方正仿宋_GBK" w:cs="Times New Roman"/>
          <w:color w:val="000000"/>
          <w:sz w:val="28"/>
        </w:rPr>
        <w:t>2、</w:t>
      </w:r>
      <w:r>
        <w:rPr>
          <w:rFonts w:eastAsia="方正仿宋_GBK" w:cs="Times New Roman"/>
          <w:color w:val="000000"/>
          <w:sz w:val="28"/>
        </w:rPr>
        <w:t>支出说明</w:t>
      </w:r>
    </w:p>
    <w:p>
      <w:pPr>
        <w:spacing w:line="500" w:lineRule="exact"/>
        <w:ind w:firstLine="560"/>
        <w:rPr>
          <w:rFonts w:eastAsia="方正仿宋_GBK" w:cs="Times New Roman"/>
          <w:color w:val="000000"/>
          <w:sz w:val="28"/>
        </w:rPr>
      </w:pPr>
      <w:r>
        <w:rPr>
          <w:rFonts w:hint="eastAsia" w:eastAsia="方正仿宋_GBK" w:cs="Times New Roman"/>
          <w:color w:val="000000"/>
          <w:sz w:val="28"/>
        </w:rPr>
        <w:t>收支预算总表支出栏、基本支出表、项目支出表按经济分类和支出功能分类科目编制，反映本</w:t>
      </w:r>
      <w:r>
        <w:rPr>
          <w:rFonts w:hint="eastAsia" w:eastAsia="方正仿宋_GBK" w:cs="Times New Roman"/>
          <w:color w:val="000000"/>
          <w:sz w:val="28"/>
          <w:lang w:eastAsia="zh-CN"/>
        </w:rPr>
        <w:t>单位</w:t>
      </w:r>
      <w:r>
        <w:rPr>
          <w:rFonts w:hint="eastAsia" w:eastAsia="方正仿宋_GBK" w:cs="Times New Roman"/>
          <w:color w:val="000000"/>
          <w:sz w:val="28"/>
        </w:rPr>
        <w:t>预算中支出预算的总体情况。2022年</w:t>
      </w:r>
      <w:r>
        <w:rPr>
          <w:rFonts w:hint="eastAsia" w:eastAsia="方正仿宋_GBK" w:cs="Times New Roman"/>
          <w:color w:val="000000"/>
          <w:sz w:val="28"/>
          <w:lang w:eastAsia="zh-CN"/>
        </w:rPr>
        <w:t>单位</w:t>
      </w:r>
      <w:r>
        <w:rPr>
          <w:rFonts w:hint="eastAsia" w:eastAsia="方正仿宋_GBK" w:cs="Times New Roman"/>
          <w:color w:val="000000"/>
          <w:sz w:val="28"/>
        </w:rPr>
        <w:t>支出预算为</w:t>
      </w:r>
      <w:r>
        <w:rPr>
          <w:rFonts w:eastAsia="方正仿宋_GBK" w:cs="Times New Roman"/>
          <w:color w:val="000000"/>
          <w:sz w:val="28"/>
          <w:lang w:eastAsia="zh-CN"/>
        </w:rPr>
        <w:t>53176.09</w:t>
      </w:r>
      <w:r>
        <w:rPr>
          <w:rFonts w:hint="eastAsia" w:eastAsia="方正仿宋_GBK" w:cs="Times New Roman"/>
          <w:color w:val="000000"/>
          <w:sz w:val="28"/>
        </w:rPr>
        <w:t>万元，其中基本支出</w:t>
      </w:r>
      <w:r>
        <w:rPr>
          <w:rFonts w:eastAsia="方正仿宋_GBK" w:cs="Times New Roman"/>
          <w:color w:val="000000"/>
          <w:sz w:val="28"/>
        </w:rPr>
        <w:t>1085.65</w:t>
      </w:r>
      <w:r>
        <w:rPr>
          <w:rFonts w:hint="eastAsia" w:eastAsia="方正仿宋_GBK" w:cs="Times New Roman"/>
          <w:color w:val="000000"/>
          <w:sz w:val="28"/>
        </w:rPr>
        <w:t>万元，包括人员经费</w:t>
      </w:r>
      <w:r>
        <w:rPr>
          <w:rFonts w:eastAsia="方正仿宋_GBK" w:cs="Times New Roman"/>
          <w:color w:val="000000"/>
          <w:sz w:val="28"/>
        </w:rPr>
        <w:t>1</w:t>
      </w:r>
      <w:r>
        <w:rPr>
          <w:rFonts w:hint="eastAsia" w:eastAsia="方正仿宋_GBK" w:cs="Times New Roman"/>
          <w:color w:val="000000"/>
          <w:sz w:val="28"/>
          <w:lang w:eastAsia="zh-CN"/>
        </w:rPr>
        <w:t>022.16</w:t>
      </w:r>
      <w:r>
        <w:rPr>
          <w:rFonts w:hint="eastAsia" w:eastAsia="方正仿宋_GBK" w:cs="Times New Roman"/>
          <w:color w:val="000000"/>
          <w:sz w:val="28"/>
        </w:rPr>
        <w:t>万元和日常公用经费</w:t>
      </w:r>
      <w:r>
        <w:rPr>
          <w:rFonts w:hint="eastAsia" w:eastAsia="方正仿宋_GBK" w:cs="Times New Roman"/>
          <w:color w:val="000000"/>
          <w:sz w:val="28"/>
          <w:lang w:eastAsia="zh-CN"/>
        </w:rPr>
        <w:t>63.49</w:t>
      </w:r>
      <w:r>
        <w:rPr>
          <w:rFonts w:hint="eastAsia" w:eastAsia="方正仿宋_GBK" w:cs="Times New Roman"/>
          <w:color w:val="000000"/>
          <w:sz w:val="28"/>
        </w:rPr>
        <w:t>万元；项目支出</w:t>
      </w:r>
      <w:r>
        <w:rPr>
          <w:rFonts w:eastAsia="方正仿宋_GBK" w:cs="Times New Roman"/>
          <w:color w:val="000000"/>
          <w:sz w:val="28"/>
          <w:lang w:eastAsia="zh-CN"/>
        </w:rPr>
        <w:t>52090.44</w:t>
      </w:r>
      <w:r>
        <w:rPr>
          <w:rFonts w:hint="eastAsia" w:eastAsia="方正仿宋_GBK" w:cs="Times New Roman"/>
          <w:color w:val="000000"/>
          <w:sz w:val="28"/>
        </w:rPr>
        <w:t>万元，主要为节能环保支出1</w:t>
      </w:r>
      <w:r>
        <w:rPr>
          <w:rFonts w:hint="eastAsia" w:eastAsia="方正仿宋_GBK" w:cs="Times New Roman"/>
          <w:color w:val="000000"/>
          <w:sz w:val="28"/>
          <w:lang w:eastAsia="zh-CN"/>
        </w:rPr>
        <w:t>524.4</w:t>
      </w:r>
      <w:r>
        <w:rPr>
          <w:rFonts w:hint="eastAsia" w:eastAsia="方正仿宋_GBK" w:cs="Times New Roman"/>
          <w:color w:val="000000"/>
          <w:sz w:val="28"/>
        </w:rPr>
        <w:t>万元，城乡社区支出</w:t>
      </w:r>
      <w:r>
        <w:rPr>
          <w:rFonts w:hint="eastAsia" w:eastAsia="方正仿宋_GBK" w:cs="Times New Roman"/>
          <w:color w:val="000000"/>
          <w:sz w:val="28"/>
          <w:lang w:eastAsia="zh-CN"/>
        </w:rPr>
        <w:t>18261.68</w:t>
      </w:r>
      <w:r>
        <w:rPr>
          <w:rFonts w:hint="eastAsia" w:eastAsia="方正仿宋_GBK" w:cs="Times New Roman"/>
          <w:color w:val="000000"/>
          <w:sz w:val="28"/>
        </w:rPr>
        <w:t>万元，住房保障支出</w:t>
      </w:r>
      <w:r>
        <w:rPr>
          <w:rFonts w:hint="eastAsia" w:eastAsia="方正仿宋_GBK" w:cs="Times New Roman"/>
          <w:color w:val="000000"/>
          <w:sz w:val="28"/>
          <w:lang w:eastAsia="zh-CN"/>
        </w:rPr>
        <w:t>4653.99</w:t>
      </w:r>
      <w:r>
        <w:rPr>
          <w:rFonts w:hint="eastAsia" w:eastAsia="方正仿宋_GBK" w:cs="Times New Roman"/>
          <w:color w:val="000000"/>
          <w:sz w:val="28"/>
        </w:rPr>
        <w:t>万元，其他支出</w:t>
      </w:r>
      <w:r>
        <w:rPr>
          <w:rFonts w:hint="eastAsia" w:eastAsia="方正仿宋_GBK" w:cs="Times New Roman"/>
          <w:color w:val="000000"/>
          <w:sz w:val="28"/>
          <w:lang w:eastAsia="zh-CN"/>
        </w:rPr>
        <w:t>(专项债务支出)16070.79</w:t>
      </w:r>
      <w:r>
        <w:rPr>
          <w:rFonts w:hint="eastAsia" w:eastAsia="方正仿宋_GBK" w:cs="Times New Roman"/>
          <w:color w:val="000000"/>
          <w:sz w:val="28"/>
        </w:rPr>
        <w:t>万元，债务还本支出</w:t>
      </w:r>
      <w:r>
        <w:rPr>
          <w:rFonts w:hint="eastAsia" w:eastAsia="方正仿宋_GBK" w:cs="Times New Roman"/>
          <w:color w:val="000000"/>
          <w:sz w:val="28"/>
          <w:lang w:eastAsia="zh-CN"/>
        </w:rPr>
        <w:t>7466</w:t>
      </w:r>
      <w:r>
        <w:rPr>
          <w:rFonts w:hint="eastAsia" w:eastAsia="方正仿宋_GBK" w:cs="Times New Roman"/>
          <w:color w:val="000000"/>
          <w:sz w:val="28"/>
        </w:rPr>
        <w:t>万元；债务付息支出</w:t>
      </w:r>
      <w:r>
        <w:rPr>
          <w:rFonts w:hint="eastAsia" w:eastAsia="方正仿宋_GBK" w:cs="Times New Roman"/>
          <w:color w:val="000000"/>
          <w:sz w:val="28"/>
          <w:lang w:eastAsia="zh-CN"/>
        </w:rPr>
        <w:t>4113.58万元；</w:t>
      </w:r>
      <w:r>
        <w:rPr>
          <w:rFonts w:hint="eastAsia" w:eastAsia="方正仿宋_GBK" w:cs="Times New Roman"/>
          <w:color w:val="000000"/>
          <w:sz w:val="28"/>
        </w:rPr>
        <w:t>其他支出0万元。</w:t>
      </w:r>
    </w:p>
    <w:p>
      <w:pPr>
        <w:spacing w:line="500" w:lineRule="exact"/>
        <w:ind w:firstLine="560"/>
        <w:rPr>
          <w:rFonts w:eastAsia="方正仿宋_GBK" w:cs="Times New Roman"/>
          <w:color w:val="000000"/>
          <w:sz w:val="28"/>
        </w:rPr>
      </w:pPr>
      <w:r>
        <w:rPr>
          <w:rFonts w:hint="eastAsia" w:eastAsia="方正仿宋_GBK" w:cs="Times New Roman"/>
          <w:color w:val="000000"/>
          <w:sz w:val="28"/>
        </w:rPr>
        <w:t>3、</w:t>
      </w:r>
      <w:r>
        <w:rPr>
          <w:rFonts w:eastAsia="方正仿宋_GBK" w:cs="Times New Roman"/>
          <w:color w:val="000000"/>
          <w:sz w:val="28"/>
        </w:rPr>
        <w:t>比上年增减情况</w:t>
      </w:r>
    </w:p>
    <w:p>
      <w:pPr>
        <w:spacing w:line="500" w:lineRule="exact"/>
        <w:ind w:firstLine="560"/>
        <w:rPr>
          <w:rFonts w:eastAsia="方正仿宋_GBK" w:cs="Times New Roman"/>
          <w:color w:val="000000"/>
          <w:sz w:val="28"/>
          <w:lang w:eastAsia="zh-CN"/>
        </w:rPr>
      </w:pPr>
      <w:r>
        <w:rPr>
          <w:rFonts w:hint="eastAsia" w:eastAsia="方正仿宋_GBK" w:cs="Times New Roman"/>
          <w:color w:val="000000"/>
          <w:sz w:val="28"/>
        </w:rPr>
        <w:t>2022年</w:t>
      </w:r>
      <w:r>
        <w:rPr>
          <w:rFonts w:hint="eastAsia" w:eastAsia="方正仿宋_GBK" w:cs="Times New Roman"/>
          <w:color w:val="000000"/>
          <w:sz w:val="28"/>
          <w:lang w:eastAsia="zh-CN"/>
        </w:rPr>
        <w:t>单位</w:t>
      </w:r>
      <w:r>
        <w:rPr>
          <w:rFonts w:hint="eastAsia" w:eastAsia="方正仿宋_GBK" w:cs="Times New Roman"/>
          <w:color w:val="000000"/>
          <w:sz w:val="28"/>
        </w:rPr>
        <w:t>预算收支安排</w:t>
      </w:r>
      <w:r>
        <w:rPr>
          <w:rFonts w:eastAsia="方正仿宋_GBK" w:cs="Times New Roman"/>
          <w:color w:val="000000"/>
          <w:sz w:val="28"/>
          <w:lang w:eastAsia="zh-CN"/>
        </w:rPr>
        <w:t>5</w:t>
      </w:r>
      <w:r>
        <w:rPr>
          <w:rFonts w:hint="eastAsia" w:eastAsia="方正仿宋_GBK" w:cs="Times New Roman"/>
          <w:color w:val="000000"/>
          <w:sz w:val="28"/>
          <w:lang w:eastAsia="zh-CN"/>
        </w:rPr>
        <w:t>3176.09</w:t>
      </w:r>
      <w:r>
        <w:rPr>
          <w:rFonts w:hint="eastAsia" w:eastAsia="方正仿宋_GBK" w:cs="Times New Roman"/>
          <w:color w:val="000000"/>
          <w:sz w:val="28"/>
        </w:rPr>
        <w:t>万元，较2021年</w:t>
      </w:r>
      <w:r>
        <w:rPr>
          <w:rFonts w:hint="eastAsia" w:eastAsia="方正仿宋_GBK" w:cs="Times New Roman"/>
          <w:color w:val="000000"/>
          <w:sz w:val="28"/>
          <w:lang w:val="uk-UA" w:eastAsia="zh-CN"/>
        </w:rPr>
        <w:t>增加</w:t>
      </w:r>
      <w:r>
        <w:rPr>
          <w:rFonts w:hint="eastAsia" w:eastAsia="方正仿宋_GBK" w:cs="Times New Roman"/>
          <w:color w:val="000000"/>
          <w:sz w:val="28"/>
          <w:lang w:eastAsia="zh-CN"/>
        </w:rPr>
        <w:t>24671.7</w:t>
      </w:r>
      <w:r>
        <w:rPr>
          <w:rFonts w:hint="eastAsia" w:eastAsia="方正仿宋_GBK" w:cs="Times New Roman"/>
          <w:color w:val="000000"/>
          <w:sz w:val="28"/>
        </w:rPr>
        <w:t>万元，其中：基本支出</w:t>
      </w:r>
      <w:r>
        <w:rPr>
          <w:rFonts w:hint="eastAsia" w:eastAsia="方正仿宋_GBK" w:cs="Times New Roman"/>
          <w:color w:val="000000"/>
          <w:sz w:val="28"/>
          <w:lang w:val="uk-UA" w:eastAsia="zh-CN"/>
        </w:rPr>
        <w:t>增加69.2</w:t>
      </w:r>
      <w:r>
        <w:rPr>
          <w:rFonts w:hint="eastAsia" w:eastAsia="方正仿宋_GBK" w:cs="Times New Roman"/>
          <w:color w:val="000000"/>
          <w:sz w:val="28"/>
        </w:rPr>
        <w:t>万元，主要是人员</w:t>
      </w:r>
      <w:r>
        <w:rPr>
          <w:rFonts w:hint="eastAsia" w:eastAsia="方正仿宋_GBK" w:cs="Times New Roman"/>
          <w:color w:val="000000"/>
          <w:sz w:val="28"/>
          <w:lang w:eastAsia="zh-CN"/>
        </w:rPr>
        <w:t>增加</w:t>
      </w:r>
      <w:r>
        <w:rPr>
          <w:rFonts w:hint="eastAsia" w:eastAsia="方正仿宋_GBK" w:cs="Times New Roman"/>
          <w:color w:val="000000"/>
          <w:sz w:val="28"/>
        </w:rPr>
        <w:t>，相应</w:t>
      </w:r>
      <w:r>
        <w:rPr>
          <w:rFonts w:hint="eastAsia" w:eastAsia="方正仿宋_GBK" w:cs="Times New Roman"/>
          <w:color w:val="000000"/>
          <w:sz w:val="28"/>
          <w:lang w:eastAsia="zh-CN"/>
        </w:rPr>
        <w:t>增加</w:t>
      </w:r>
      <w:r>
        <w:rPr>
          <w:rFonts w:hint="eastAsia" w:eastAsia="方正仿宋_GBK" w:cs="Times New Roman"/>
          <w:color w:val="000000"/>
          <w:sz w:val="28"/>
        </w:rPr>
        <w:t>人员经费和日常公用经费；项目支出</w:t>
      </w:r>
      <w:r>
        <w:rPr>
          <w:rFonts w:hint="eastAsia" w:eastAsia="方正仿宋_GBK" w:cs="Times New Roman"/>
          <w:color w:val="000000"/>
          <w:sz w:val="28"/>
          <w:lang w:eastAsia="zh-CN"/>
        </w:rPr>
        <w:t>增加24602.5</w:t>
      </w:r>
      <w:r>
        <w:rPr>
          <w:rFonts w:hint="eastAsia" w:eastAsia="方正仿宋_GBK" w:cs="Times New Roman"/>
          <w:color w:val="000000"/>
          <w:sz w:val="28"/>
        </w:rPr>
        <w:t>万元，主要是</w:t>
      </w:r>
      <w:r>
        <w:rPr>
          <w:rFonts w:hint="eastAsia" w:eastAsia="方正仿宋_GBK" w:cs="Times New Roman"/>
          <w:color w:val="000000"/>
          <w:sz w:val="28"/>
          <w:lang w:eastAsia="zh-CN"/>
        </w:rPr>
        <w:t>双代资金和城市建设支出</w:t>
      </w:r>
      <w:r>
        <w:rPr>
          <w:rFonts w:hint="eastAsia" w:eastAsia="方正仿宋_GBK" w:cs="Times New Roman"/>
          <w:color w:val="000000"/>
          <w:sz w:val="28"/>
        </w:rPr>
        <w:t>资金</w:t>
      </w:r>
      <w:r>
        <w:rPr>
          <w:rFonts w:hint="eastAsia" w:eastAsia="方正仿宋_GBK" w:cs="Times New Roman"/>
          <w:color w:val="000000"/>
          <w:sz w:val="28"/>
          <w:lang w:eastAsia="zh-CN"/>
        </w:rPr>
        <w:t>减少</w:t>
      </w:r>
      <w:r>
        <w:rPr>
          <w:rFonts w:hint="eastAsia" w:eastAsia="方正仿宋_GBK" w:cs="Times New Roman"/>
          <w:color w:val="000000"/>
          <w:sz w:val="28"/>
        </w:rPr>
        <w:t>；其他支出无增减变化。</w:t>
      </w:r>
    </w:p>
    <w:p>
      <w:pPr>
        <w:spacing w:line="500" w:lineRule="exact"/>
        <w:ind w:firstLine="560"/>
        <w:rPr>
          <w:rFonts w:eastAsia="方正仿宋_GBK" w:cs="Times New Roman"/>
          <w:color w:val="000000"/>
          <w:sz w:val="28"/>
        </w:rPr>
      </w:pPr>
      <w:r>
        <w:rPr>
          <w:rFonts w:eastAsia="方正仿宋_GBK" w:cs="Times New Roman"/>
          <w:color w:val="000000"/>
          <w:sz w:val="28"/>
        </w:rPr>
        <w:t>三、机关运行经费安排情况</w:t>
      </w:r>
    </w:p>
    <w:p>
      <w:pPr>
        <w:spacing w:line="500" w:lineRule="exact"/>
        <w:ind w:firstLine="560"/>
        <w:rPr>
          <w:rFonts w:eastAsia="方正仿宋_GBK" w:cs="Times New Roman"/>
          <w:color w:val="000000"/>
          <w:sz w:val="28"/>
        </w:rPr>
      </w:pPr>
      <w:r>
        <w:rPr>
          <w:rFonts w:hint="eastAsia" w:eastAsia="方正仿宋_GBK" w:cs="Times New Roman"/>
          <w:color w:val="000000"/>
          <w:sz w:val="28"/>
          <w:lang w:eastAsia="zh-CN"/>
        </w:rPr>
        <w:t>2022</w:t>
      </w:r>
      <w:r>
        <w:rPr>
          <w:rFonts w:hint="eastAsia" w:eastAsia="方正仿宋_GBK" w:cs="Times New Roman"/>
          <w:color w:val="000000"/>
          <w:sz w:val="28"/>
        </w:rPr>
        <w:t>年，我</w:t>
      </w:r>
      <w:r>
        <w:rPr>
          <w:rFonts w:hint="eastAsia" w:eastAsia="方正仿宋_GBK" w:cs="Times New Roman"/>
          <w:color w:val="000000"/>
          <w:sz w:val="28"/>
          <w:lang w:eastAsia="zh-CN"/>
        </w:rPr>
        <w:t>单位</w:t>
      </w:r>
      <w:r>
        <w:rPr>
          <w:rFonts w:hint="eastAsia" w:eastAsia="方正仿宋_GBK" w:cs="Times New Roman"/>
          <w:color w:val="000000"/>
          <w:sz w:val="28"/>
        </w:rPr>
        <w:t>机关运行经费共计安排</w:t>
      </w:r>
      <w:r>
        <w:rPr>
          <w:rFonts w:hint="eastAsia" w:eastAsia="方正仿宋_GBK" w:cs="Times New Roman"/>
          <w:color w:val="000000"/>
          <w:sz w:val="28"/>
          <w:lang w:eastAsia="zh-CN"/>
        </w:rPr>
        <w:t>63.49</w:t>
      </w:r>
      <w:r>
        <w:rPr>
          <w:rFonts w:hint="eastAsia" w:eastAsia="方正仿宋_GBK" w:cs="Times New Roman"/>
          <w:color w:val="000000"/>
          <w:sz w:val="28"/>
        </w:rPr>
        <w:t>万元，主要用于保证机关正常运转的办公及印刷费、邮电费、差旅费、会议费、福利费、专用材料及一般设备购置费、办公用房水电费、办公用房取暖费、日常维修费、办公楼物业管理费等支出。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4"/>
      </w:pPr>
      <w:r>
        <w:rPr>
          <w:rFonts w:hint="eastAsia" w:ascii="Times New Roman" w:hAnsi="Times New Roman" w:eastAsia="方正仿宋_GBK" w:cs="Times New Roman"/>
          <w:color w:val="000000"/>
          <w:sz w:val="28"/>
          <w:szCs w:val="24"/>
          <w:lang w:val="en-US" w:eastAsia="zh-CN" w:bidi="ar-SA"/>
        </w:rPr>
        <w:t>2022年本单位财政拨款“三公”经费预算安排0万元，其中：因公出国（境）费0万元，与上年持平；公务用车购置及运维费0万元（其中：公务用车购置费0万元，与上年持平；公务用车运行费0万元，与上年持平) ；公务接待费0万元，与上年持平。与2021年相比，“三公”经费与上年持平，无增减变化。</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五、预算</w:t>
      </w:r>
      <w:r>
        <w:rPr>
          <w:rFonts w:hint="eastAsia" w:ascii="黑体" w:hAnsi="黑体" w:eastAsia="黑体" w:cs="黑体"/>
          <w:color w:val="000000"/>
          <w:sz w:val="32"/>
          <w:lang w:eastAsia="zh-CN"/>
        </w:rPr>
        <w:t>项目</w:t>
      </w:r>
      <w:r>
        <w:rPr>
          <w:rFonts w:ascii="黑体" w:hAnsi="黑体" w:eastAsia="黑体" w:cs="黑体"/>
          <w:color w:val="000000"/>
          <w:sz w:val="32"/>
        </w:rPr>
        <w:t>绩效</w:t>
      </w:r>
      <w:r>
        <w:rPr>
          <w:rFonts w:hint="eastAsia" w:ascii="黑体" w:hAnsi="黑体" w:eastAsia="黑体" w:cs="黑体"/>
          <w:color w:val="000000"/>
          <w:sz w:val="32"/>
          <w:lang w:eastAsia="zh-CN"/>
        </w:rPr>
        <w:t>目标</w:t>
      </w:r>
    </w:p>
    <w:p>
      <w:pPr>
        <w:spacing w:before="10" w:after="10"/>
        <w:ind w:firstLine="640"/>
        <w:outlineLvl w:val="5"/>
        <w:rPr>
          <w:rFonts w:ascii="黑体" w:hAnsi="黑体" w:eastAsia="黑体" w:cs="黑体"/>
          <w:color w:val="000000"/>
          <w:sz w:val="32"/>
          <w:lang w:eastAsia="zh-CN"/>
        </w:rPr>
      </w:pPr>
    </w:p>
    <w:p>
      <w:pPr>
        <w:pStyle w:val="25"/>
        <w:ind w:firstLine="560"/>
      </w:pPr>
      <w:r>
        <w:rPr>
          <w:rFonts w:ascii="方正仿宋_GBK" w:hAnsi="方正仿宋_GBK" w:eastAsia="方正仿宋_GBK" w:cs="方正仿宋_GBK"/>
          <w:b/>
          <w:color w:val="000000"/>
          <w:sz w:val="28"/>
        </w:rPr>
        <w:t>1、房产交易中心人员劳务费绩效目标表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1.保障单位人员经费和办公经费的支出。</w:t>
            </w:r>
          </w:p>
          <w:p>
            <w:pPr>
              <w:pStyle w:val="27"/>
            </w:pPr>
            <w:r>
              <w:t>2.保障单位的正常运行。</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在职22人，退休27人，遗属3人</w:t>
            </w:r>
          </w:p>
        </w:tc>
        <w:tc>
          <w:tcPr>
            <w:tcW w:w="2835" w:type="dxa"/>
            <w:vAlign w:val="center"/>
          </w:tcPr>
          <w:p>
            <w:pPr>
              <w:pStyle w:val="27"/>
            </w:pPr>
            <w:r>
              <w:t>在职22人，退休27人，遗属3人</w:t>
            </w:r>
          </w:p>
        </w:tc>
        <w:tc>
          <w:tcPr>
            <w:tcW w:w="2551" w:type="dxa"/>
            <w:vAlign w:val="center"/>
          </w:tcPr>
          <w:p>
            <w:pPr>
              <w:pStyle w:val="27"/>
            </w:pPr>
            <w:r>
              <w:t>≥52人</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各项支付工作完成率</w:t>
            </w:r>
          </w:p>
        </w:tc>
        <w:tc>
          <w:tcPr>
            <w:tcW w:w="2835" w:type="dxa"/>
            <w:vAlign w:val="center"/>
          </w:tcPr>
          <w:p>
            <w:pPr>
              <w:pStyle w:val="27"/>
            </w:pPr>
            <w:r>
              <w:t>按时支付职工工资交纳职工保险，保障职工利益。</w:t>
            </w:r>
          </w:p>
        </w:tc>
        <w:tc>
          <w:tcPr>
            <w:tcW w:w="2551" w:type="dxa"/>
            <w:vAlign w:val="center"/>
          </w:tcPr>
          <w:p>
            <w:pPr>
              <w:pStyle w:val="27"/>
            </w:pPr>
            <w:r>
              <w:t>≥95%</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按时支出劳务费，及时发放人员的工资、交纳社会保险，保障我区房产交易和住房保障工作的顺利进行。</w:t>
            </w:r>
          </w:p>
        </w:tc>
        <w:tc>
          <w:tcPr>
            <w:tcW w:w="2835" w:type="dxa"/>
            <w:vAlign w:val="center"/>
          </w:tcPr>
          <w:p>
            <w:pPr>
              <w:pStyle w:val="27"/>
            </w:pPr>
            <w:r>
              <w:t>按时支出劳务费，保障单位人员经费和办公经费的支出率</w:t>
            </w:r>
          </w:p>
        </w:tc>
        <w:tc>
          <w:tcPr>
            <w:tcW w:w="2551" w:type="dxa"/>
            <w:vAlign w:val="center"/>
          </w:tcPr>
          <w:p>
            <w:pPr>
              <w:pStyle w:val="27"/>
            </w:pPr>
            <w:r>
              <w:t>≥90完成预算指标的90%以上</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房产交易中心人员劳务费成本</w:t>
            </w:r>
          </w:p>
        </w:tc>
        <w:tc>
          <w:tcPr>
            <w:tcW w:w="2551" w:type="dxa"/>
            <w:vAlign w:val="center"/>
          </w:tcPr>
          <w:p>
            <w:pPr>
              <w:pStyle w:val="27"/>
            </w:pPr>
            <w:r>
              <w:t>≤458.18万元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单位正常运行率</w:t>
            </w:r>
          </w:p>
        </w:tc>
        <w:tc>
          <w:tcPr>
            <w:tcW w:w="2835" w:type="dxa"/>
            <w:vAlign w:val="center"/>
          </w:tcPr>
          <w:p>
            <w:pPr>
              <w:pStyle w:val="27"/>
            </w:pPr>
            <w:r>
              <w:t>保障单位正常运行</w:t>
            </w:r>
          </w:p>
        </w:tc>
        <w:tc>
          <w:tcPr>
            <w:tcW w:w="2551" w:type="dxa"/>
            <w:vAlign w:val="center"/>
          </w:tcPr>
          <w:p>
            <w:pPr>
              <w:pStyle w:val="27"/>
            </w:pPr>
            <w:r>
              <w:t>≥90%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所提供服务的满意程度</w:t>
            </w:r>
          </w:p>
        </w:tc>
        <w:tc>
          <w:tcPr>
            <w:tcW w:w="2551" w:type="dxa"/>
            <w:vAlign w:val="center"/>
          </w:tcPr>
          <w:p>
            <w:pPr>
              <w:pStyle w:val="27"/>
            </w:pPr>
            <w:r>
              <w:t>≥85%</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2、房产交易中心系统网络费绩效目标表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1.保障我区房产交易系统畅通使用，交易信息、房产档案存储的安全。</w:t>
            </w:r>
          </w:p>
          <w:p>
            <w:pPr>
              <w:pStyle w:val="27"/>
            </w:pPr>
            <w:r>
              <w:t>2.保障我区与石家庄市房产信息中心的数据维护的网络畅通。</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所需支付系统网络费数量</w:t>
            </w:r>
          </w:p>
        </w:tc>
        <w:tc>
          <w:tcPr>
            <w:tcW w:w="2835" w:type="dxa"/>
            <w:vAlign w:val="center"/>
          </w:tcPr>
          <w:p>
            <w:pPr>
              <w:pStyle w:val="27"/>
            </w:pPr>
            <w:r>
              <w:t>支付全年系统网络费</w:t>
            </w:r>
          </w:p>
        </w:tc>
        <w:tc>
          <w:tcPr>
            <w:tcW w:w="2551" w:type="dxa"/>
            <w:vAlign w:val="center"/>
          </w:tcPr>
          <w:p>
            <w:pPr>
              <w:pStyle w:val="27"/>
            </w:pPr>
            <w:r>
              <w:t>1年</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网络质量</w:t>
            </w:r>
          </w:p>
        </w:tc>
        <w:tc>
          <w:tcPr>
            <w:tcW w:w="2835" w:type="dxa"/>
            <w:vAlign w:val="center"/>
          </w:tcPr>
          <w:p>
            <w:pPr>
              <w:pStyle w:val="27"/>
            </w:pPr>
            <w:r>
              <w:t>网络运行情况</w:t>
            </w:r>
          </w:p>
        </w:tc>
        <w:tc>
          <w:tcPr>
            <w:tcW w:w="2551" w:type="dxa"/>
            <w:vAlign w:val="center"/>
          </w:tcPr>
          <w:p>
            <w:pPr>
              <w:pStyle w:val="27"/>
            </w:pPr>
            <w:r>
              <w:t>网络运行良好</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按时完成大厅网络专线运行</w:t>
            </w:r>
          </w:p>
        </w:tc>
        <w:tc>
          <w:tcPr>
            <w:tcW w:w="2835" w:type="dxa"/>
            <w:vAlign w:val="center"/>
          </w:tcPr>
          <w:p>
            <w:pPr>
              <w:pStyle w:val="27"/>
            </w:pPr>
            <w:r>
              <w:t>保证大厅网络正常运行</w:t>
            </w:r>
          </w:p>
        </w:tc>
        <w:tc>
          <w:tcPr>
            <w:tcW w:w="2551" w:type="dxa"/>
            <w:vAlign w:val="center"/>
          </w:tcPr>
          <w:p>
            <w:pPr>
              <w:pStyle w:val="27"/>
            </w:pPr>
            <w:r>
              <w:t>按时完成大厅网络专线运行</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房产交易系统网络费成本</w:t>
            </w:r>
          </w:p>
        </w:tc>
        <w:tc>
          <w:tcPr>
            <w:tcW w:w="2551" w:type="dxa"/>
            <w:vAlign w:val="center"/>
          </w:tcPr>
          <w:p>
            <w:pPr>
              <w:pStyle w:val="27"/>
            </w:pPr>
            <w:r>
              <w:t>≤3.22 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住房交易市场秩序稳定信息畅通</w:t>
            </w:r>
          </w:p>
        </w:tc>
        <w:tc>
          <w:tcPr>
            <w:tcW w:w="2835" w:type="dxa"/>
            <w:vAlign w:val="center"/>
          </w:tcPr>
          <w:p>
            <w:pPr>
              <w:pStyle w:val="27"/>
            </w:pPr>
            <w:r>
              <w:t>住房交易市场秩序稳定信息畅通</w:t>
            </w:r>
          </w:p>
        </w:tc>
        <w:tc>
          <w:tcPr>
            <w:tcW w:w="2551" w:type="dxa"/>
            <w:vAlign w:val="center"/>
          </w:tcPr>
          <w:p>
            <w:pPr>
              <w:pStyle w:val="27"/>
            </w:pPr>
            <w:r>
              <w:t>≥90%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可持续影响指标</w:t>
            </w:r>
          </w:p>
        </w:tc>
        <w:tc>
          <w:tcPr>
            <w:tcW w:w="2835" w:type="dxa"/>
            <w:vAlign w:val="center"/>
          </w:tcPr>
          <w:p>
            <w:pPr>
              <w:pStyle w:val="27"/>
            </w:pPr>
            <w:r>
              <w:t>房产网络数据存储与大数据联网</w:t>
            </w:r>
          </w:p>
        </w:tc>
        <w:tc>
          <w:tcPr>
            <w:tcW w:w="2835" w:type="dxa"/>
            <w:vAlign w:val="center"/>
          </w:tcPr>
          <w:p>
            <w:pPr>
              <w:pStyle w:val="27"/>
            </w:pPr>
            <w:r>
              <w:t>房产网络数据存储与大数据联网</w:t>
            </w:r>
          </w:p>
        </w:tc>
        <w:tc>
          <w:tcPr>
            <w:tcW w:w="2551" w:type="dxa"/>
            <w:vAlign w:val="center"/>
          </w:tcPr>
          <w:p>
            <w:pPr>
              <w:pStyle w:val="27"/>
            </w:pPr>
            <w:r>
              <w:t>房产网络数据存储与大数据联网</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群众满意数量占总数量的比例</w:t>
            </w:r>
          </w:p>
        </w:tc>
        <w:tc>
          <w:tcPr>
            <w:tcW w:w="2551" w:type="dxa"/>
            <w:vAlign w:val="center"/>
          </w:tcPr>
          <w:p>
            <w:pPr>
              <w:pStyle w:val="27"/>
            </w:pPr>
            <w:r>
              <w:t>≥89%</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3、住建局劳务费绩效目标表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1.保障单位人员经费和办公经费的支出。</w:t>
            </w:r>
          </w:p>
          <w:p>
            <w:pPr>
              <w:pStyle w:val="27"/>
            </w:pPr>
            <w:r>
              <w:t>2.保障单位的正常运行。</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在职65人，退休36人，遗属1.5人</w:t>
            </w:r>
          </w:p>
        </w:tc>
        <w:tc>
          <w:tcPr>
            <w:tcW w:w="2835" w:type="dxa"/>
            <w:vAlign w:val="center"/>
          </w:tcPr>
          <w:p>
            <w:pPr>
              <w:pStyle w:val="27"/>
            </w:pPr>
            <w:r>
              <w:t>在职65人，退休36人，遗属1.5人</w:t>
            </w:r>
          </w:p>
        </w:tc>
        <w:tc>
          <w:tcPr>
            <w:tcW w:w="2551" w:type="dxa"/>
            <w:vAlign w:val="center"/>
          </w:tcPr>
          <w:p>
            <w:pPr>
              <w:pStyle w:val="27"/>
            </w:pPr>
            <w:r>
              <w:t>≥102.5人</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支出规范性情况</w:t>
            </w:r>
          </w:p>
        </w:tc>
        <w:tc>
          <w:tcPr>
            <w:tcW w:w="2835" w:type="dxa"/>
            <w:vAlign w:val="center"/>
          </w:tcPr>
          <w:p>
            <w:pPr>
              <w:pStyle w:val="27"/>
            </w:pPr>
            <w:r>
              <w:t>按单位资金管理制度支出劳务费</w:t>
            </w:r>
          </w:p>
        </w:tc>
        <w:tc>
          <w:tcPr>
            <w:tcW w:w="2551" w:type="dxa"/>
            <w:vAlign w:val="center"/>
          </w:tcPr>
          <w:p>
            <w:pPr>
              <w:pStyle w:val="27"/>
            </w:pPr>
            <w:r>
              <w:t>支出规范性</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支出及时率</w:t>
            </w:r>
          </w:p>
        </w:tc>
        <w:tc>
          <w:tcPr>
            <w:tcW w:w="2835" w:type="dxa"/>
            <w:vAlign w:val="center"/>
          </w:tcPr>
          <w:p>
            <w:pPr>
              <w:pStyle w:val="27"/>
            </w:pPr>
            <w:r>
              <w:t>按时间节点及时拨付劳务费</w:t>
            </w:r>
          </w:p>
        </w:tc>
        <w:tc>
          <w:tcPr>
            <w:tcW w:w="2551" w:type="dxa"/>
            <w:vAlign w:val="center"/>
          </w:tcPr>
          <w:p>
            <w:pPr>
              <w:pStyle w:val="27"/>
            </w:pPr>
            <w:r>
              <w:t>≥95%</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住建局劳务费成本</w:t>
            </w:r>
          </w:p>
        </w:tc>
        <w:tc>
          <w:tcPr>
            <w:tcW w:w="2551" w:type="dxa"/>
            <w:vAlign w:val="center"/>
          </w:tcPr>
          <w:p>
            <w:pPr>
              <w:pStyle w:val="27"/>
            </w:pPr>
            <w:r>
              <w:t>≤1179.75万元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社会效益指标</w:t>
            </w:r>
          </w:p>
        </w:tc>
        <w:tc>
          <w:tcPr>
            <w:tcW w:w="2835" w:type="dxa"/>
            <w:vAlign w:val="center"/>
          </w:tcPr>
          <w:p>
            <w:pPr>
              <w:pStyle w:val="27"/>
            </w:pPr>
            <w:r>
              <w:t>保障单位正常运行</w:t>
            </w:r>
          </w:p>
        </w:tc>
        <w:tc>
          <w:tcPr>
            <w:tcW w:w="2551" w:type="dxa"/>
            <w:vAlign w:val="center"/>
          </w:tcPr>
          <w:p>
            <w:pPr>
              <w:pStyle w:val="27"/>
            </w:pPr>
            <w:r>
              <w:t>单位实际情况</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服务对象满意度</w:t>
            </w:r>
          </w:p>
        </w:tc>
        <w:tc>
          <w:tcPr>
            <w:tcW w:w="2551" w:type="dxa"/>
            <w:vAlign w:val="center"/>
          </w:tcPr>
          <w:p>
            <w:pPr>
              <w:pStyle w:val="27"/>
            </w:pPr>
            <w:r>
              <w:t>≥85%</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4、19-2020延时供暖补贴绩效目标表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1.保障自行供暖小区居民如期供暖。</w:t>
            </w:r>
          </w:p>
          <w:p>
            <w:pPr>
              <w:pStyle w:val="27"/>
            </w:pPr>
            <w:r>
              <w:t>2.保障居民供暖质量。</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自行供暖小区数量</w:t>
            </w:r>
          </w:p>
        </w:tc>
        <w:tc>
          <w:tcPr>
            <w:tcW w:w="2835" w:type="dxa"/>
            <w:vAlign w:val="center"/>
          </w:tcPr>
          <w:p>
            <w:pPr>
              <w:pStyle w:val="27"/>
            </w:pPr>
            <w:r>
              <w:t>自行供暖小区数量</w:t>
            </w:r>
          </w:p>
        </w:tc>
        <w:tc>
          <w:tcPr>
            <w:tcW w:w="2551" w:type="dxa"/>
            <w:vAlign w:val="center"/>
          </w:tcPr>
          <w:p>
            <w:pPr>
              <w:pStyle w:val="27"/>
            </w:pPr>
            <w:r>
              <w:t>≥4个</w:t>
            </w:r>
          </w:p>
        </w:tc>
        <w:tc>
          <w:tcPr>
            <w:tcW w:w="2268" w:type="dxa"/>
            <w:vAlign w:val="center"/>
          </w:tcPr>
          <w:p>
            <w:pPr>
              <w:pStyle w:val="27"/>
            </w:pPr>
            <w:r>
              <w:t>关于自行供暖小区2019-2020年度延迟供暖补贴的请示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供暖质量</w:t>
            </w:r>
          </w:p>
        </w:tc>
        <w:tc>
          <w:tcPr>
            <w:tcW w:w="2835" w:type="dxa"/>
            <w:vAlign w:val="center"/>
          </w:tcPr>
          <w:p>
            <w:pPr>
              <w:pStyle w:val="27"/>
            </w:pPr>
            <w:r>
              <w:t>居民室内温度不低于18℃</w:t>
            </w:r>
          </w:p>
        </w:tc>
        <w:tc>
          <w:tcPr>
            <w:tcW w:w="2551" w:type="dxa"/>
            <w:vAlign w:val="center"/>
          </w:tcPr>
          <w:p>
            <w:pPr>
              <w:pStyle w:val="27"/>
            </w:pPr>
            <w:r>
              <w:t>≥18℃</w:t>
            </w:r>
          </w:p>
        </w:tc>
        <w:tc>
          <w:tcPr>
            <w:tcW w:w="2268" w:type="dxa"/>
            <w:vAlign w:val="center"/>
          </w:tcPr>
          <w:p>
            <w:pPr>
              <w:pStyle w:val="27"/>
            </w:pPr>
            <w:r>
              <w:t>抽查测温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按时供暖</w:t>
            </w:r>
          </w:p>
        </w:tc>
        <w:tc>
          <w:tcPr>
            <w:tcW w:w="2835" w:type="dxa"/>
            <w:vAlign w:val="center"/>
          </w:tcPr>
          <w:p>
            <w:pPr>
              <w:pStyle w:val="27"/>
            </w:pPr>
            <w:r>
              <w:t>按规定提前和延长供暖</w:t>
            </w:r>
          </w:p>
        </w:tc>
        <w:tc>
          <w:tcPr>
            <w:tcW w:w="2551" w:type="dxa"/>
            <w:vAlign w:val="center"/>
          </w:tcPr>
          <w:p>
            <w:pPr>
              <w:pStyle w:val="27"/>
            </w:pPr>
            <w:r>
              <w:t>供暖及时情况</w:t>
            </w:r>
          </w:p>
        </w:tc>
        <w:tc>
          <w:tcPr>
            <w:tcW w:w="2268" w:type="dxa"/>
            <w:vAlign w:val="center"/>
          </w:tcPr>
          <w:p>
            <w:pPr>
              <w:pStyle w:val="27"/>
            </w:pPr>
            <w:r>
              <w:t>供暖开始和结束时间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19-2020延时供暖补贴成本</w:t>
            </w:r>
          </w:p>
        </w:tc>
        <w:tc>
          <w:tcPr>
            <w:tcW w:w="2551" w:type="dxa"/>
            <w:vAlign w:val="center"/>
          </w:tcPr>
          <w:p>
            <w:pPr>
              <w:pStyle w:val="27"/>
            </w:pPr>
            <w:r>
              <w:t>≤390万元</w:t>
            </w:r>
          </w:p>
        </w:tc>
        <w:tc>
          <w:tcPr>
            <w:tcW w:w="2268" w:type="dxa"/>
            <w:vAlign w:val="center"/>
          </w:tcPr>
          <w:p>
            <w:pPr>
              <w:pStyle w:val="27"/>
            </w:pPr>
            <w:r>
              <w:t>以评审结果书为准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保障供暖</w:t>
            </w:r>
          </w:p>
        </w:tc>
        <w:tc>
          <w:tcPr>
            <w:tcW w:w="2835" w:type="dxa"/>
            <w:vAlign w:val="center"/>
          </w:tcPr>
          <w:p>
            <w:pPr>
              <w:pStyle w:val="27"/>
            </w:pPr>
            <w:r>
              <w:t>保障自行供暖小区居民如期供暖。</w:t>
            </w:r>
          </w:p>
        </w:tc>
        <w:tc>
          <w:tcPr>
            <w:tcW w:w="2551" w:type="dxa"/>
            <w:vAlign w:val="center"/>
          </w:tcPr>
          <w:p>
            <w:pPr>
              <w:pStyle w:val="27"/>
            </w:pPr>
            <w:r>
              <w:t>保证正常供暖</w:t>
            </w:r>
          </w:p>
        </w:tc>
        <w:tc>
          <w:tcPr>
            <w:tcW w:w="2268" w:type="dxa"/>
            <w:vAlign w:val="center"/>
          </w:tcPr>
          <w:p>
            <w:pPr>
              <w:pStyle w:val="27"/>
            </w:pPr>
            <w:r>
              <w:t>实际反馈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群众供暖满意情况</w:t>
            </w:r>
          </w:p>
        </w:tc>
        <w:tc>
          <w:tcPr>
            <w:tcW w:w="2551" w:type="dxa"/>
            <w:vAlign w:val="center"/>
          </w:tcPr>
          <w:p>
            <w:pPr>
              <w:pStyle w:val="27"/>
            </w:pPr>
            <w:r>
              <w:t>≥85%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5、2019年既有建筑节能改造项目绩效目标表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1.对住宅楼进行外围护结构改造，改造后能效提高30%</w:t>
            </w:r>
          </w:p>
          <w:p>
            <w:pPr>
              <w:pStyle w:val="27"/>
            </w:pPr>
            <w:r>
              <w:t>2.改造工程质量达到合格标准</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改造面积</w:t>
            </w:r>
          </w:p>
        </w:tc>
        <w:tc>
          <w:tcPr>
            <w:tcW w:w="2835" w:type="dxa"/>
            <w:vAlign w:val="center"/>
          </w:tcPr>
          <w:p>
            <w:pPr>
              <w:pStyle w:val="27"/>
            </w:pPr>
            <w:r>
              <w:t>改造面积</w:t>
            </w:r>
          </w:p>
        </w:tc>
        <w:tc>
          <w:tcPr>
            <w:tcW w:w="2551" w:type="dxa"/>
            <w:vAlign w:val="center"/>
          </w:tcPr>
          <w:p>
            <w:pPr>
              <w:pStyle w:val="27"/>
            </w:pPr>
            <w:r>
              <w:t>15.14万平方米</w:t>
            </w:r>
          </w:p>
        </w:tc>
        <w:tc>
          <w:tcPr>
            <w:tcW w:w="2268" w:type="dxa"/>
            <w:vAlign w:val="center"/>
          </w:tcPr>
          <w:p>
            <w:pPr>
              <w:pStyle w:val="27"/>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工程竣工后质量达到合格标准</w:t>
            </w:r>
          </w:p>
        </w:tc>
        <w:tc>
          <w:tcPr>
            <w:tcW w:w="2835" w:type="dxa"/>
            <w:vAlign w:val="center"/>
          </w:tcPr>
          <w:p>
            <w:pPr>
              <w:pStyle w:val="27"/>
            </w:pPr>
            <w:r>
              <w:t>工程质量必须达到合格标准</w:t>
            </w:r>
          </w:p>
        </w:tc>
        <w:tc>
          <w:tcPr>
            <w:tcW w:w="2551" w:type="dxa"/>
            <w:vAlign w:val="center"/>
          </w:tcPr>
          <w:p>
            <w:pPr>
              <w:pStyle w:val="27"/>
            </w:pPr>
            <w:r>
              <w:t>≥90%</w:t>
            </w:r>
          </w:p>
        </w:tc>
        <w:tc>
          <w:tcPr>
            <w:tcW w:w="2268" w:type="dxa"/>
            <w:vAlign w:val="center"/>
          </w:tcPr>
          <w:p>
            <w:pPr>
              <w:pStyle w:val="27"/>
            </w:pPr>
            <w:r>
              <w:t>设计图纸和建筑施工规范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 xml:space="preserve"> 按时完成</w:t>
            </w:r>
          </w:p>
        </w:tc>
        <w:tc>
          <w:tcPr>
            <w:tcW w:w="2835" w:type="dxa"/>
            <w:vAlign w:val="center"/>
          </w:tcPr>
          <w:p>
            <w:pPr>
              <w:pStyle w:val="27"/>
            </w:pPr>
            <w:r>
              <w:t>按时完成</w:t>
            </w:r>
          </w:p>
        </w:tc>
        <w:tc>
          <w:tcPr>
            <w:tcW w:w="2551" w:type="dxa"/>
            <w:vAlign w:val="center"/>
          </w:tcPr>
          <w:p>
            <w:pPr>
              <w:pStyle w:val="27"/>
            </w:pPr>
            <w:r>
              <w:t>按合同时间完成</w:t>
            </w:r>
          </w:p>
        </w:tc>
        <w:tc>
          <w:tcPr>
            <w:tcW w:w="2268" w:type="dxa"/>
            <w:vAlign w:val="center"/>
          </w:tcPr>
          <w:p>
            <w:pPr>
              <w:pStyle w:val="27"/>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控制预算数</w:t>
            </w:r>
          </w:p>
        </w:tc>
        <w:tc>
          <w:tcPr>
            <w:tcW w:w="2835" w:type="dxa"/>
            <w:vAlign w:val="center"/>
          </w:tcPr>
          <w:p>
            <w:pPr>
              <w:pStyle w:val="27"/>
            </w:pPr>
            <w:r>
              <w:t>控制在年初预算范围内</w:t>
            </w:r>
          </w:p>
        </w:tc>
        <w:tc>
          <w:tcPr>
            <w:tcW w:w="2551" w:type="dxa"/>
            <w:vAlign w:val="center"/>
          </w:tcPr>
          <w:p>
            <w:pPr>
              <w:pStyle w:val="27"/>
            </w:pPr>
            <w:r>
              <w:t>控制在年初预算范围内</w:t>
            </w:r>
          </w:p>
        </w:tc>
        <w:tc>
          <w:tcPr>
            <w:tcW w:w="2268" w:type="dxa"/>
            <w:vAlign w:val="center"/>
          </w:tcPr>
          <w:p>
            <w:pPr>
              <w:pStyle w:val="27"/>
            </w:pPr>
            <w:r>
              <w:t>以评审结果书为准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生态效益指标</w:t>
            </w:r>
          </w:p>
        </w:tc>
        <w:tc>
          <w:tcPr>
            <w:tcW w:w="2835" w:type="dxa"/>
            <w:vAlign w:val="center"/>
          </w:tcPr>
          <w:p>
            <w:pPr>
              <w:pStyle w:val="27"/>
            </w:pPr>
            <w:r>
              <w:t>竣工后能效提升30%</w:t>
            </w:r>
          </w:p>
        </w:tc>
        <w:tc>
          <w:tcPr>
            <w:tcW w:w="2835" w:type="dxa"/>
            <w:vAlign w:val="center"/>
          </w:tcPr>
          <w:p>
            <w:pPr>
              <w:pStyle w:val="27"/>
            </w:pPr>
            <w:r>
              <w:t>竣工后能效最低提升30%</w:t>
            </w:r>
          </w:p>
        </w:tc>
        <w:tc>
          <w:tcPr>
            <w:tcW w:w="2551" w:type="dxa"/>
            <w:vAlign w:val="center"/>
          </w:tcPr>
          <w:p>
            <w:pPr>
              <w:pStyle w:val="27"/>
            </w:pPr>
            <w:r>
              <w:t>≥90%</w:t>
            </w:r>
          </w:p>
        </w:tc>
        <w:tc>
          <w:tcPr>
            <w:tcW w:w="2268" w:type="dxa"/>
            <w:vAlign w:val="center"/>
          </w:tcPr>
          <w:p>
            <w:pPr>
              <w:pStyle w:val="27"/>
            </w:pPr>
            <w:r>
              <w:t>《石家庄市人民政府办公厅关于加快推进冬季清洁取暖既有建筑节能改造工作的通知》石政办传【2018】139号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受益对象满意度</w:t>
            </w:r>
          </w:p>
        </w:tc>
        <w:tc>
          <w:tcPr>
            <w:tcW w:w="2835" w:type="dxa"/>
            <w:vAlign w:val="center"/>
          </w:tcPr>
          <w:p>
            <w:pPr>
              <w:pStyle w:val="27"/>
            </w:pPr>
            <w:r>
              <w:t>达到多数群众满意</w:t>
            </w:r>
          </w:p>
        </w:tc>
        <w:tc>
          <w:tcPr>
            <w:tcW w:w="2551" w:type="dxa"/>
            <w:vAlign w:val="center"/>
          </w:tcPr>
          <w:p>
            <w:pPr>
              <w:pStyle w:val="27"/>
            </w:pPr>
            <w:r>
              <w:t>≥85%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6、2019年人民广场提升改造项目绩效目标表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1.改造后有效满足市民精神文化生活的需求</w:t>
            </w:r>
          </w:p>
          <w:p>
            <w:pPr>
              <w:pStyle w:val="27"/>
            </w:pPr>
            <w:r>
              <w:t>2.改造工程质量达到合格标准</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完成人民广场基础设施改造数量</w:t>
            </w:r>
          </w:p>
        </w:tc>
        <w:tc>
          <w:tcPr>
            <w:tcW w:w="2835" w:type="dxa"/>
            <w:vAlign w:val="center"/>
          </w:tcPr>
          <w:p>
            <w:pPr>
              <w:pStyle w:val="27"/>
            </w:pPr>
            <w:r>
              <w:t>改造老旧甬路面积4100㎡，花架2个；新建景亭2座，长廊1座；提升绿化景观5400㎡，喷泉外池花带景观400㎡，隐泉绿化景观2600㎡；改造喷泉1座。</w:t>
            </w:r>
          </w:p>
        </w:tc>
        <w:tc>
          <w:tcPr>
            <w:tcW w:w="2551" w:type="dxa"/>
            <w:vAlign w:val="center"/>
          </w:tcPr>
          <w:p>
            <w:pPr>
              <w:pStyle w:val="27"/>
            </w:pPr>
            <w:r>
              <w:t>改造老旧甬路面积4100㎡，花架2个；新建景亭2座，长廊1座；提升绿化景观5400㎡，喷泉外池花带景观400㎡，隐泉绿化景观2600㎡；改造喷泉1座。</w:t>
            </w:r>
          </w:p>
        </w:tc>
        <w:tc>
          <w:tcPr>
            <w:tcW w:w="2268" w:type="dxa"/>
            <w:vAlign w:val="center"/>
          </w:tcPr>
          <w:p>
            <w:pPr>
              <w:pStyle w:val="27"/>
            </w:pPr>
            <w:r>
              <w:t>决算书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完成喷泉设备安装率</w:t>
            </w:r>
          </w:p>
        </w:tc>
        <w:tc>
          <w:tcPr>
            <w:tcW w:w="2835" w:type="dxa"/>
            <w:vAlign w:val="center"/>
          </w:tcPr>
          <w:p>
            <w:pPr>
              <w:pStyle w:val="27"/>
            </w:pPr>
            <w:r>
              <w:t>喷泉改造项目消除安全隐患</w:t>
            </w:r>
          </w:p>
        </w:tc>
        <w:tc>
          <w:tcPr>
            <w:tcW w:w="2551" w:type="dxa"/>
            <w:vAlign w:val="center"/>
          </w:tcPr>
          <w:p>
            <w:pPr>
              <w:pStyle w:val="27"/>
            </w:pPr>
            <w:r>
              <w:t>≥90%</w:t>
            </w:r>
          </w:p>
        </w:tc>
        <w:tc>
          <w:tcPr>
            <w:tcW w:w="2268" w:type="dxa"/>
            <w:vAlign w:val="center"/>
          </w:tcPr>
          <w:p>
            <w:pPr>
              <w:pStyle w:val="27"/>
            </w:pPr>
            <w:r>
              <w:t>竣工验收规范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完成甬路花架改造，</w:t>
            </w:r>
          </w:p>
        </w:tc>
        <w:tc>
          <w:tcPr>
            <w:tcW w:w="2835" w:type="dxa"/>
            <w:vAlign w:val="center"/>
          </w:tcPr>
          <w:p>
            <w:pPr>
              <w:pStyle w:val="27"/>
            </w:pPr>
            <w:r>
              <w:t>甬路改造提升城市形象，方便市民健身，</w:t>
            </w:r>
          </w:p>
        </w:tc>
        <w:tc>
          <w:tcPr>
            <w:tcW w:w="2551" w:type="dxa"/>
            <w:vAlign w:val="center"/>
          </w:tcPr>
          <w:p>
            <w:pPr>
              <w:pStyle w:val="27"/>
            </w:pPr>
            <w:r>
              <w:t>≥90%</w:t>
            </w:r>
          </w:p>
        </w:tc>
        <w:tc>
          <w:tcPr>
            <w:tcW w:w="2268" w:type="dxa"/>
            <w:vAlign w:val="center"/>
          </w:tcPr>
          <w:p>
            <w:pPr>
              <w:pStyle w:val="27"/>
            </w:pPr>
            <w:r>
              <w:t>竣工验收规范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完成绿化景观</w:t>
            </w:r>
          </w:p>
        </w:tc>
        <w:tc>
          <w:tcPr>
            <w:tcW w:w="2835" w:type="dxa"/>
            <w:vAlign w:val="center"/>
          </w:tcPr>
          <w:p>
            <w:pPr>
              <w:pStyle w:val="27"/>
            </w:pPr>
            <w:r>
              <w:t>绿化成活率</w:t>
            </w:r>
          </w:p>
        </w:tc>
        <w:tc>
          <w:tcPr>
            <w:tcW w:w="2551" w:type="dxa"/>
            <w:vAlign w:val="center"/>
          </w:tcPr>
          <w:p>
            <w:pPr>
              <w:pStyle w:val="27"/>
            </w:pPr>
            <w:r>
              <w:t>≥90%</w:t>
            </w:r>
          </w:p>
        </w:tc>
        <w:tc>
          <w:tcPr>
            <w:tcW w:w="2268" w:type="dxa"/>
            <w:vAlign w:val="center"/>
          </w:tcPr>
          <w:p>
            <w:pPr>
              <w:pStyle w:val="27"/>
            </w:pPr>
            <w:r>
              <w:t>竣工验收规范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按时完成情况</w:t>
            </w:r>
          </w:p>
        </w:tc>
        <w:tc>
          <w:tcPr>
            <w:tcW w:w="2835" w:type="dxa"/>
            <w:vAlign w:val="center"/>
          </w:tcPr>
          <w:p>
            <w:pPr>
              <w:pStyle w:val="27"/>
            </w:pPr>
            <w:r>
              <w:t>提升改造工程按时完成</w:t>
            </w:r>
          </w:p>
        </w:tc>
        <w:tc>
          <w:tcPr>
            <w:tcW w:w="2551" w:type="dxa"/>
            <w:vAlign w:val="center"/>
          </w:tcPr>
          <w:p>
            <w:pPr>
              <w:pStyle w:val="27"/>
            </w:pPr>
            <w:r>
              <w:t>按时完成</w:t>
            </w:r>
          </w:p>
        </w:tc>
        <w:tc>
          <w:tcPr>
            <w:tcW w:w="2268" w:type="dxa"/>
            <w:vAlign w:val="center"/>
          </w:tcPr>
          <w:p>
            <w:pPr>
              <w:pStyle w:val="27"/>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2019年人民广场提升改造项目成本</w:t>
            </w:r>
          </w:p>
        </w:tc>
        <w:tc>
          <w:tcPr>
            <w:tcW w:w="2551" w:type="dxa"/>
            <w:vAlign w:val="center"/>
          </w:tcPr>
          <w:p>
            <w:pPr>
              <w:pStyle w:val="27"/>
            </w:pPr>
            <w:r>
              <w:t>≤83.64万元</w:t>
            </w:r>
          </w:p>
        </w:tc>
        <w:tc>
          <w:tcPr>
            <w:tcW w:w="2268" w:type="dxa"/>
            <w:vAlign w:val="center"/>
          </w:tcPr>
          <w:p>
            <w:pPr>
              <w:pStyle w:val="27"/>
            </w:pPr>
            <w:r>
              <w:t>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广场条件改善</w:t>
            </w:r>
          </w:p>
        </w:tc>
        <w:tc>
          <w:tcPr>
            <w:tcW w:w="2835" w:type="dxa"/>
            <w:vAlign w:val="center"/>
          </w:tcPr>
          <w:p>
            <w:pPr>
              <w:pStyle w:val="27"/>
            </w:pPr>
            <w:r>
              <w:t>改善城市环境，提升服务功能</w:t>
            </w:r>
          </w:p>
        </w:tc>
        <w:tc>
          <w:tcPr>
            <w:tcW w:w="2551" w:type="dxa"/>
            <w:vAlign w:val="center"/>
          </w:tcPr>
          <w:p>
            <w:pPr>
              <w:pStyle w:val="27"/>
            </w:pPr>
            <w:r>
              <w:t>实际反馈</w:t>
            </w:r>
          </w:p>
        </w:tc>
        <w:tc>
          <w:tcPr>
            <w:tcW w:w="2268" w:type="dxa"/>
            <w:vAlign w:val="center"/>
          </w:tcPr>
          <w:p>
            <w:pPr>
              <w:pStyle w:val="27"/>
            </w:pPr>
            <w:r>
              <w:t>实地查验，竣工前后对比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服务对象满意度</w:t>
            </w:r>
          </w:p>
        </w:tc>
        <w:tc>
          <w:tcPr>
            <w:tcW w:w="2551" w:type="dxa"/>
            <w:vAlign w:val="center"/>
          </w:tcPr>
          <w:p>
            <w:pPr>
              <w:pStyle w:val="27"/>
            </w:pPr>
            <w:r>
              <w:t>≥85%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7、2020年既有建筑节能改造项目绩效目标表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1.对住宅楼进行外围护结构改造，改造后能效提高30%</w:t>
            </w:r>
          </w:p>
          <w:p>
            <w:pPr>
              <w:pStyle w:val="27"/>
            </w:pPr>
            <w:r>
              <w:t>2.改造工程质量达到合格标准</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改造面积</w:t>
            </w:r>
          </w:p>
        </w:tc>
        <w:tc>
          <w:tcPr>
            <w:tcW w:w="2835" w:type="dxa"/>
            <w:vAlign w:val="center"/>
          </w:tcPr>
          <w:p>
            <w:pPr>
              <w:pStyle w:val="27"/>
            </w:pPr>
            <w:r>
              <w:t>改造面积</w:t>
            </w:r>
          </w:p>
        </w:tc>
        <w:tc>
          <w:tcPr>
            <w:tcW w:w="2551" w:type="dxa"/>
            <w:vAlign w:val="center"/>
          </w:tcPr>
          <w:p>
            <w:pPr>
              <w:pStyle w:val="27"/>
            </w:pPr>
            <w:r>
              <w:t>约69600平方米</w:t>
            </w:r>
          </w:p>
        </w:tc>
        <w:tc>
          <w:tcPr>
            <w:tcW w:w="2268" w:type="dxa"/>
            <w:vAlign w:val="center"/>
          </w:tcPr>
          <w:p>
            <w:pPr>
              <w:pStyle w:val="27"/>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工程竣工后质量达到合格标准</w:t>
            </w:r>
          </w:p>
        </w:tc>
        <w:tc>
          <w:tcPr>
            <w:tcW w:w="2835" w:type="dxa"/>
            <w:vAlign w:val="center"/>
          </w:tcPr>
          <w:p>
            <w:pPr>
              <w:pStyle w:val="27"/>
            </w:pPr>
            <w:r>
              <w:t>工程竣工后质量达到合格标准</w:t>
            </w:r>
          </w:p>
        </w:tc>
        <w:tc>
          <w:tcPr>
            <w:tcW w:w="2551" w:type="dxa"/>
            <w:vAlign w:val="center"/>
          </w:tcPr>
          <w:p>
            <w:pPr>
              <w:pStyle w:val="27"/>
            </w:pPr>
            <w:r>
              <w:t>工程质量必须达到合格标准</w:t>
            </w:r>
          </w:p>
        </w:tc>
        <w:tc>
          <w:tcPr>
            <w:tcW w:w="2268" w:type="dxa"/>
            <w:vAlign w:val="center"/>
          </w:tcPr>
          <w:p>
            <w:pPr>
              <w:pStyle w:val="27"/>
            </w:pPr>
            <w:r>
              <w:t>建筑施工规范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项目按时完成</w:t>
            </w:r>
          </w:p>
        </w:tc>
        <w:tc>
          <w:tcPr>
            <w:tcW w:w="2835" w:type="dxa"/>
            <w:vAlign w:val="center"/>
          </w:tcPr>
          <w:p>
            <w:pPr>
              <w:pStyle w:val="27"/>
            </w:pPr>
            <w:r>
              <w:t>依据合同按时完成</w:t>
            </w:r>
          </w:p>
        </w:tc>
        <w:tc>
          <w:tcPr>
            <w:tcW w:w="2551" w:type="dxa"/>
            <w:vAlign w:val="center"/>
          </w:tcPr>
          <w:p>
            <w:pPr>
              <w:pStyle w:val="27"/>
            </w:pPr>
            <w:r>
              <w:t>100%</w:t>
            </w:r>
          </w:p>
        </w:tc>
        <w:tc>
          <w:tcPr>
            <w:tcW w:w="2268" w:type="dxa"/>
            <w:vAlign w:val="center"/>
          </w:tcPr>
          <w:p>
            <w:pPr>
              <w:pStyle w:val="27"/>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2020年既有建筑节能改造项目成本</w:t>
            </w:r>
          </w:p>
        </w:tc>
        <w:tc>
          <w:tcPr>
            <w:tcW w:w="2551" w:type="dxa"/>
            <w:vAlign w:val="center"/>
          </w:tcPr>
          <w:p>
            <w:pPr>
              <w:pStyle w:val="27"/>
            </w:pPr>
            <w:r>
              <w:t>≤200万元</w:t>
            </w:r>
          </w:p>
        </w:tc>
        <w:tc>
          <w:tcPr>
            <w:tcW w:w="2268" w:type="dxa"/>
            <w:vAlign w:val="center"/>
          </w:tcPr>
          <w:p>
            <w:pPr>
              <w:pStyle w:val="27"/>
            </w:pPr>
            <w:r>
              <w:t>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生态效益指标</w:t>
            </w:r>
          </w:p>
        </w:tc>
        <w:tc>
          <w:tcPr>
            <w:tcW w:w="2835" w:type="dxa"/>
            <w:vAlign w:val="center"/>
          </w:tcPr>
          <w:p>
            <w:pPr>
              <w:pStyle w:val="27"/>
            </w:pPr>
            <w:r>
              <w:t>生态效益指标</w:t>
            </w:r>
          </w:p>
        </w:tc>
        <w:tc>
          <w:tcPr>
            <w:tcW w:w="2835" w:type="dxa"/>
            <w:vAlign w:val="center"/>
          </w:tcPr>
          <w:p>
            <w:pPr>
              <w:pStyle w:val="27"/>
            </w:pPr>
            <w:r>
              <w:t>竣工后能效提升30%</w:t>
            </w:r>
          </w:p>
        </w:tc>
        <w:tc>
          <w:tcPr>
            <w:tcW w:w="2551" w:type="dxa"/>
            <w:vAlign w:val="center"/>
          </w:tcPr>
          <w:p>
            <w:pPr>
              <w:pStyle w:val="27"/>
            </w:pPr>
            <w:r>
              <w:t>≥100竣工后能效最低提升30%</w:t>
            </w:r>
          </w:p>
        </w:tc>
        <w:tc>
          <w:tcPr>
            <w:tcW w:w="2268" w:type="dxa"/>
            <w:vAlign w:val="center"/>
          </w:tcPr>
          <w:p>
            <w:pPr>
              <w:pStyle w:val="27"/>
            </w:pPr>
            <w:r>
              <w:t>《石家庄市人民政府办公厅关于加快推进冬季清洁取暖既有建筑节能改造工作的通知》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服务对象的满意度</w:t>
            </w:r>
          </w:p>
        </w:tc>
        <w:tc>
          <w:tcPr>
            <w:tcW w:w="2835" w:type="dxa"/>
            <w:vAlign w:val="center"/>
          </w:tcPr>
          <w:p>
            <w:pPr>
              <w:pStyle w:val="27"/>
            </w:pPr>
            <w:r>
              <w:t>达到多数群众满意</w:t>
            </w:r>
          </w:p>
        </w:tc>
        <w:tc>
          <w:tcPr>
            <w:tcW w:w="2551" w:type="dxa"/>
            <w:vAlign w:val="center"/>
          </w:tcPr>
          <w:p>
            <w:pPr>
              <w:pStyle w:val="27"/>
            </w:pPr>
            <w:r>
              <w:t>≥85%</w:t>
            </w:r>
          </w:p>
        </w:tc>
        <w:tc>
          <w:tcPr>
            <w:tcW w:w="2268" w:type="dxa"/>
            <w:vAlign w:val="center"/>
          </w:tcPr>
          <w:p>
            <w:pPr>
              <w:pStyle w:val="27"/>
            </w:pPr>
            <w:r>
              <w:t>群众满意度测评</w:t>
            </w:r>
          </w:p>
        </w:tc>
      </w:tr>
    </w:tbl>
    <w:p>
      <w:pPr>
        <w:pStyle w:val="25"/>
      </w:pPr>
    </w:p>
    <w:p>
      <w:pPr>
        <w:pStyle w:val="25"/>
        <w:ind w:firstLine="560"/>
      </w:pPr>
      <w:r>
        <w:rPr>
          <w:rFonts w:ascii="方正仿宋_GBK" w:hAnsi="方正仿宋_GBK" w:eastAsia="方正仿宋_GBK" w:cs="方正仿宋_GBK"/>
          <w:b/>
          <w:color w:val="000000"/>
          <w:sz w:val="28"/>
        </w:rPr>
        <w:t>8、2021-2022年冬季供热补贴绩效目标表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1.按时达标供暖</w:t>
            </w:r>
          </w:p>
          <w:p>
            <w:pPr>
              <w:pStyle w:val="27"/>
            </w:pPr>
            <w:r>
              <w:t>2.保障民生正常供暖</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城区供热站数量</w:t>
            </w:r>
          </w:p>
        </w:tc>
        <w:tc>
          <w:tcPr>
            <w:tcW w:w="2835" w:type="dxa"/>
            <w:vAlign w:val="center"/>
          </w:tcPr>
          <w:p>
            <w:pPr>
              <w:pStyle w:val="27"/>
            </w:pPr>
            <w:r>
              <w:t>城区冬季供暖供热站数量</w:t>
            </w:r>
          </w:p>
        </w:tc>
        <w:tc>
          <w:tcPr>
            <w:tcW w:w="2551" w:type="dxa"/>
            <w:vAlign w:val="center"/>
          </w:tcPr>
          <w:p>
            <w:pPr>
              <w:pStyle w:val="27"/>
            </w:pPr>
            <w:r>
              <w:t>≥16座</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居民室温达标率</w:t>
            </w:r>
          </w:p>
        </w:tc>
        <w:tc>
          <w:tcPr>
            <w:tcW w:w="2835" w:type="dxa"/>
            <w:vAlign w:val="center"/>
          </w:tcPr>
          <w:p>
            <w:pPr>
              <w:pStyle w:val="27"/>
            </w:pPr>
            <w:r>
              <w:t>居民室温达标</w:t>
            </w:r>
          </w:p>
        </w:tc>
        <w:tc>
          <w:tcPr>
            <w:tcW w:w="2551" w:type="dxa"/>
            <w:vAlign w:val="center"/>
          </w:tcPr>
          <w:p>
            <w:pPr>
              <w:pStyle w:val="27"/>
            </w:pPr>
            <w:r>
              <w:t>项</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按时供暖</w:t>
            </w:r>
          </w:p>
        </w:tc>
        <w:tc>
          <w:tcPr>
            <w:tcW w:w="2835" w:type="dxa"/>
            <w:vAlign w:val="center"/>
          </w:tcPr>
          <w:p>
            <w:pPr>
              <w:pStyle w:val="27"/>
            </w:pPr>
            <w:r>
              <w:t>按要求时间供暖</w:t>
            </w:r>
          </w:p>
        </w:tc>
        <w:tc>
          <w:tcPr>
            <w:tcW w:w="2551" w:type="dxa"/>
            <w:vAlign w:val="center"/>
          </w:tcPr>
          <w:p>
            <w:pPr>
              <w:pStyle w:val="27"/>
            </w:pPr>
            <w:r>
              <w:t>项</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2021-2022年冬季供热补贴成本</w:t>
            </w:r>
          </w:p>
        </w:tc>
        <w:tc>
          <w:tcPr>
            <w:tcW w:w="2551" w:type="dxa"/>
            <w:vAlign w:val="center"/>
          </w:tcPr>
          <w:p>
            <w:pPr>
              <w:pStyle w:val="27"/>
            </w:pPr>
            <w:r>
              <w:t>≤7030万元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保障供暖</w:t>
            </w:r>
          </w:p>
        </w:tc>
        <w:tc>
          <w:tcPr>
            <w:tcW w:w="2835" w:type="dxa"/>
            <w:vAlign w:val="center"/>
          </w:tcPr>
          <w:p>
            <w:pPr>
              <w:pStyle w:val="27"/>
            </w:pPr>
            <w:r>
              <w:t>保障居民正常取暖</w:t>
            </w:r>
          </w:p>
        </w:tc>
        <w:tc>
          <w:tcPr>
            <w:tcW w:w="2551" w:type="dxa"/>
            <w:vAlign w:val="center"/>
          </w:tcPr>
          <w:p>
            <w:pPr>
              <w:pStyle w:val="27"/>
            </w:pPr>
            <w:r>
              <w:t>项</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采暖用户满意情况</w:t>
            </w:r>
          </w:p>
        </w:tc>
        <w:tc>
          <w:tcPr>
            <w:tcW w:w="2551" w:type="dxa"/>
            <w:vAlign w:val="center"/>
          </w:tcPr>
          <w:p>
            <w:pPr>
              <w:pStyle w:val="27"/>
            </w:pPr>
            <w:r>
              <w:t>≥85%</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9、2021年老旧小区改造项目第二批前期费用及监理费绩效目标表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1.按设计要求按时保质报量完成</w:t>
            </w:r>
          </w:p>
          <w:p>
            <w:pPr>
              <w:pStyle w:val="27"/>
            </w:pPr>
            <w:r>
              <w:t>2.对我区33个楼院进行老旧小区改造的前期费用及监理费</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项目范围</w:t>
            </w:r>
          </w:p>
        </w:tc>
        <w:tc>
          <w:tcPr>
            <w:tcW w:w="2835" w:type="dxa"/>
            <w:vAlign w:val="center"/>
          </w:tcPr>
          <w:p>
            <w:pPr>
              <w:pStyle w:val="27"/>
            </w:pPr>
            <w:r>
              <w:t>我区第二批老旧小区改造33个楼院前期费用及监理费</w:t>
            </w:r>
          </w:p>
        </w:tc>
        <w:tc>
          <w:tcPr>
            <w:tcW w:w="2551" w:type="dxa"/>
            <w:vAlign w:val="center"/>
          </w:tcPr>
          <w:p>
            <w:pPr>
              <w:pStyle w:val="27"/>
            </w:pPr>
            <w:r>
              <w:t>≥33个</w:t>
            </w:r>
          </w:p>
        </w:tc>
        <w:tc>
          <w:tcPr>
            <w:tcW w:w="2268" w:type="dxa"/>
            <w:vAlign w:val="center"/>
          </w:tcPr>
          <w:p>
            <w:pPr>
              <w:pStyle w:val="2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验收合格率</w:t>
            </w:r>
          </w:p>
        </w:tc>
        <w:tc>
          <w:tcPr>
            <w:tcW w:w="2835" w:type="dxa"/>
            <w:vAlign w:val="center"/>
          </w:tcPr>
          <w:p>
            <w:pPr>
              <w:pStyle w:val="27"/>
            </w:pPr>
            <w:r>
              <w:t>符合要求</w:t>
            </w:r>
          </w:p>
        </w:tc>
        <w:tc>
          <w:tcPr>
            <w:tcW w:w="2551" w:type="dxa"/>
            <w:vAlign w:val="center"/>
          </w:tcPr>
          <w:p>
            <w:pPr>
              <w:pStyle w:val="27"/>
            </w:pPr>
            <w:r>
              <w:t>≥95%</w:t>
            </w:r>
          </w:p>
        </w:tc>
        <w:tc>
          <w:tcPr>
            <w:tcW w:w="2268" w:type="dxa"/>
            <w:vAlign w:val="center"/>
          </w:tcPr>
          <w:p>
            <w:pPr>
              <w:pStyle w:val="2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w:t>
            </w:r>
          </w:p>
        </w:tc>
        <w:tc>
          <w:tcPr>
            <w:tcW w:w="2835" w:type="dxa"/>
            <w:vAlign w:val="center"/>
          </w:tcPr>
          <w:p>
            <w:pPr>
              <w:pStyle w:val="27"/>
            </w:pPr>
            <w:r>
              <w:t>按时间要求完成</w:t>
            </w:r>
          </w:p>
        </w:tc>
        <w:tc>
          <w:tcPr>
            <w:tcW w:w="2551" w:type="dxa"/>
            <w:vAlign w:val="center"/>
          </w:tcPr>
          <w:p>
            <w:pPr>
              <w:pStyle w:val="27"/>
            </w:pPr>
            <w:r>
              <w:t>＝100%</w:t>
            </w:r>
          </w:p>
        </w:tc>
        <w:tc>
          <w:tcPr>
            <w:tcW w:w="2268" w:type="dxa"/>
            <w:vAlign w:val="center"/>
          </w:tcPr>
          <w:p>
            <w:pPr>
              <w:pStyle w:val="2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2021年老旧小区改造项目第二批前期费用及监理费成本</w:t>
            </w:r>
          </w:p>
        </w:tc>
        <w:tc>
          <w:tcPr>
            <w:tcW w:w="2551" w:type="dxa"/>
            <w:vAlign w:val="center"/>
          </w:tcPr>
          <w:p>
            <w:pPr>
              <w:pStyle w:val="27"/>
            </w:pPr>
            <w:r>
              <w:t>≤40万元</w:t>
            </w:r>
          </w:p>
        </w:tc>
        <w:tc>
          <w:tcPr>
            <w:tcW w:w="2268" w:type="dxa"/>
            <w:vAlign w:val="center"/>
          </w:tcPr>
          <w:p>
            <w:pPr>
              <w:pStyle w:val="27"/>
            </w:pPr>
            <w:r>
              <w:t>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做好我区老旧小区改造项目</w:t>
            </w:r>
          </w:p>
        </w:tc>
        <w:tc>
          <w:tcPr>
            <w:tcW w:w="2835" w:type="dxa"/>
            <w:vAlign w:val="center"/>
          </w:tcPr>
          <w:p>
            <w:pPr>
              <w:pStyle w:val="27"/>
            </w:pPr>
            <w:r>
              <w:t>改善居民居住环境</w:t>
            </w:r>
          </w:p>
        </w:tc>
        <w:tc>
          <w:tcPr>
            <w:tcW w:w="2551" w:type="dxa"/>
            <w:vAlign w:val="center"/>
          </w:tcPr>
          <w:p>
            <w:pPr>
              <w:pStyle w:val="27"/>
            </w:pPr>
            <w:r>
              <w:t>改善居民居住环境</w:t>
            </w:r>
          </w:p>
        </w:tc>
        <w:tc>
          <w:tcPr>
            <w:tcW w:w="2268" w:type="dxa"/>
            <w:vAlign w:val="center"/>
          </w:tcPr>
          <w:p>
            <w:pPr>
              <w:pStyle w:val="27"/>
            </w:pPr>
            <w:r>
              <w:t>改善居民居住环境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服务对象满意度</w:t>
            </w:r>
          </w:p>
        </w:tc>
        <w:tc>
          <w:tcPr>
            <w:tcW w:w="2551" w:type="dxa"/>
            <w:vAlign w:val="center"/>
          </w:tcPr>
          <w:p>
            <w:pPr>
              <w:pStyle w:val="27"/>
            </w:pPr>
            <w:r>
              <w:t>≥95%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10、2021年老旧小区改造项目第一批费用绩效目标表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1.对2021年的27个楼院进行老旧小区改造</w:t>
            </w:r>
          </w:p>
          <w:p>
            <w:pPr>
              <w:pStyle w:val="27"/>
            </w:pPr>
            <w:r>
              <w:t>2.按设计要求按时保质报量完成</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项目范围</w:t>
            </w:r>
          </w:p>
        </w:tc>
        <w:tc>
          <w:tcPr>
            <w:tcW w:w="2835" w:type="dxa"/>
            <w:vAlign w:val="center"/>
          </w:tcPr>
          <w:p>
            <w:pPr>
              <w:pStyle w:val="27"/>
            </w:pPr>
            <w:r>
              <w:t>我区第一批老旧小区改造27个楼院费用</w:t>
            </w:r>
          </w:p>
        </w:tc>
        <w:tc>
          <w:tcPr>
            <w:tcW w:w="2551" w:type="dxa"/>
            <w:vAlign w:val="center"/>
          </w:tcPr>
          <w:p>
            <w:pPr>
              <w:pStyle w:val="27"/>
            </w:pPr>
            <w:r>
              <w:t>≥27个</w:t>
            </w:r>
          </w:p>
        </w:tc>
        <w:tc>
          <w:tcPr>
            <w:tcW w:w="2268" w:type="dxa"/>
            <w:vAlign w:val="center"/>
          </w:tcPr>
          <w:p>
            <w:pPr>
              <w:pStyle w:val="2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验收合格率</w:t>
            </w:r>
          </w:p>
        </w:tc>
        <w:tc>
          <w:tcPr>
            <w:tcW w:w="2835" w:type="dxa"/>
            <w:vAlign w:val="center"/>
          </w:tcPr>
          <w:p>
            <w:pPr>
              <w:pStyle w:val="27"/>
            </w:pPr>
            <w:r>
              <w:t>符合要求</w:t>
            </w:r>
          </w:p>
        </w:tc>
        <w:tc>
          <w:tcPr>
            <w:tcW w:w="2551" w:type="dxa"/>
            <w:vAlign w:val="center"/>
          </w:tcPr>
          <w:p>
            <w:pPr>
              <w:pStyle w:val="27"/>
            </w:pPr>
            <w:r>
              <w:t>≥95%</w:t>
            </w:r>
          </w:p>
        </w:tc>
        <w:tc>
          <w:tcPr>
            <w:tcW w:w="2268" w:type="dxa"/>
            <w:vAlign w:val="center"/>
          </w:tcPr>
          <w:p>
            <w:pPr>
              <w:pStyle w:val="2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w:t>
            </w:r>
          </w:p>
        </w:tc>
        <w:tc>
          <w:tcPr>
            <w:tcW w:w="2835" w:type="dxa"/>
            <w:vAlign w:val="center"/>
          </w:tcPr>
          <w:p>
            <w:pPr>
              <w:pStyle w:val="27"/>
            </w:pPr>
            <w:r>
              <w:t>按时间要求完成</w:t>
            </w:r>
          </w:p>
        </w:tc>
        <w:tc>
          <w:tcPr>
            <w:tcW w:w="2551" w:type="dxa"/>
            <w:vAlign w:val="center"/>
          </w:tcPr>
          <w:p>
            <w:pPr>
              <w:pStyle w:val="27"/>
            </w:pPr>
            <w:r>
              <w:t>＝100%</w:t>
            </w:r>
          </w:p>
        </w:tc>
        <w:tc>
          <w:tcPr>
            <w:tcW w:w="2268" w:type="dxa"/>
            <w:vAlign w:val="center"/>
          </w:tcPr>
          <w:p>
            <w:pPr>
              <w:pStyle w:val="2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2021年老旧小区改造项目第一批费用成本</w:t>
            </w:r>
          </w:p>
        </w:tc>
        <w:tc>
          <w:tcPr>
            <w:tcW w:w="2551" w:type="dxa"/>
            <w:vAlign w:val="center"/>
          </w:tcPr>
          <w:p>
            <w:pPr>
              <w:pStyle w:val="27"/>
            </w:pPr>
            <w:r>
              <w:t>≤30万元</w:t>
            </w:r>
          </w:p>
        </w:tc>
        <w:tc>
          <w:tcPr>
            <w:tcW w:w="2268" w:type="dxa"/>
            <w:vAlign w:val="center"/>
          </w:tcPr>
          <w:p>
            <w:pPr>
              <w:pStyle w:val="27"/>
            </w:pPr>
            <w:r>
              <w:t>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做好我区老旧小区改造项目</w:t>
            </w:r>
          </w:p>
        </w:tc>
        <w:tc>
          <w:tcPr>
            <w:tcW w:w="2835" w:type="dxa"/>
            <w:vAlign w:val="center"/>
          </w:tcPr>
          <w:p>
            <w:pPr>
              <w:pStyle w:val="27"/>
            </w:pPr>
            <w:r>
              <w:t>改善居民居住环境</w:t>
            </w:r>
          </w:p>
        </w:tc>
        <w:tc>
          <w:tcPr>
            <w:tcW w:w="2551" w:type="dxa"/>
            <w:vAlign w:val="center"/>
          </w:tcPr>
          <w:p>
            <w:pPr>
              <w:pStyle w:val="27"/>
            </w:pPr>
            <w:r>
              <w:t>改善居民居住环境</w:t>
            </w:r>
          </w:p>
        </w:tc>
        <w:tc>
          <w:tcPr>
            <w:tcW w:w="2268" w:type="dxa"/>
            <w:vAlign w:val="center"/>
          </w:tcPr>
          <w:p>
            <w:pPr>
              <w:pStyle w:val="27"/>
            </w:pPr>
            <w:r>
              <w:t>改善居民居住环境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受益群体调查中，满意和较满意的人数占全部调查人数的比率</w:t>
            </w:r>
          </w:p>
        </w:tc>
        <w:tc>
          <w:tcPr>
            <w:tcW w:w="2551" w:type="dxa"/>
            <w:vAlign w:val="center"/>
          </w:tcPr>
          <w:p>
            <w:pPr>
              <w:pStyle w:val="27"/>
            </w:pPr>
            <w:r>
              <w:t>≥85%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11、2021年老旧小区改造项目事前绩效评估报告费用绩效目标表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1.完成事前绩效评估报告</w:t>
            </w:r>
          </w:p>
          <w:p>
            <w:pPr>
              <w:pStyle w:val="27"/>
            </w:pPr>
            <w:r>
              <w:t>2.为我区老旧小区改造项目做好前期评估工作</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项目范围</w:t>
            </w:r>
          </w:p>
        </w:tc>
        <w:tc>
          <w:tcPr>
            <w:tcW w:w="2835" w:type="dxa"/>
            <w:vAlign w:val="center"/>
          </w:tcPr>
          <w:p>
            <w:pPr>
              <w:pStyle w:val="27"/>
            </w:pPr>
            <w:r>
              <w:t>事前绩效评估报告编制费用</w:t>
            </w:r>
          </w:p>
        </w:tc>
        <w:tc>
          <w:tcPr>
            <w:tcW w:w="2551" w:type="dxa"/>
            <w:vAlign w:val="center"/>
          </w:tcPr>
          <w:p>
            <w:pPr>
              <w:pStyle w:val="27"/>
            </w:pPr>
            <w:r>
              <w:t>≤16万元</w:t>
            </w:r>
          </w:p>
        </w:tc>
        <w:tc>
          <w:tcPr>
            <w:tcW w:w="2268" w:type="dxa"/>
            <w:vAlign w:val="center"/>
          </w:tcPr>
          <w:p>
            <w:pPr>
              <w:pStyle w:val="27"/>
            </w:pPr>
            <w:r>
              <w:t>以最终评审结果为准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验收合格率</w:t>
            </w:r>
          </w:p>
        </w:tc>
        <w:tc>
          <w:tcPr>
            <w:tcW w:w="2835" w:type="dxa"/>
            <w:vAlign w:val="center"/>
          </w:tcPr>
          <w:p>
            <w:pPr>
              <w:pStyle w:val="27"/>
            </w:pPr>
            <w:r>
              <w:t>符合要求</w:t>
            </w:r>
          </w:p>
        </w:tc>
        <w:tc>
          <w:tcPr>
            <w:tcW w:w="2551" w:type="dxa"/>
            <w:vAlign w:val="center"/>
          </w:tcPr>
          <w:p>
            <w:pPr>
              <w:pStyle w:val="27"/>
            </w:pPr>
            <w:r>
              <w:t>≥95%</w:t>
            </w:r>
          </w:p>
        </w:tc>
        <w:tc>
          <w:tcPr>
            <w:tcW w:w="2268" w:type="dxa"/>
            <w:vAlign w:val="center"/>
          </w:tcPr>
          <w:p>
            <w:pPr>
              <w:pStyle w:val="27"/>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依据合同要求按时完成</w:t>
            </w:r>
          </w:p>
        </w:tc>
        <w:tc>
          <w:tcPr>
            <w:tcW w:w="2835" w:type="dxa"/>
            <w:vAlign w:val="center"/>
          </w:tcPr>
          <w:p>
            <w:pPr>
              <w:pStyle w:val="27"/>
            </w:pPr>
            <w:r>
              <w:t>依据合同要求按时完成</w:t>
            </w:r>
          </w:p>
        </w:tc>
        <w:tc>
          <w:tcPr>
            <w:tcW w:w="2551" w:type="dxa"/>
            <w:vAlign w:val="center"/>
          </w:tcPr>
          <w:p>
            <w:pPr>
              <w:pStyle w:val="27"/>
            </w:pPr>
            <w:r>
              <w:t>＝100%</w:t>
            </w:r>
          </w:p>
        </w:tc>
        <w:tc>
          <w:tcPr>
            <w:tcW w:w="2268" w:type="dxa"/>
            <w:vAlign w:val="center"/>
          </w:tcPr>
          <w:p>
            <w:pPr>
              <w:pStyle w:val="2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2021年老旧小区改造项目事前绩效评估报告费用成本</w:t>
            </w:r>
          </w:p>
        </w:tc>
        <w:tc>
          <w:tcPr>
            <w:tcW w:w="2551" w:type="dxa"/>
            <w:vAlign w:val="center"/>
          </w:tcPr>
          <w:p>
            <w:pPr>
              <w:pStyle w:val="27"/>
            </w:pPr>
            <w:r>
              <w:t>≤16万元</w:t>
            </w:r>
          </w:p>
        </w:tc>
        <w:tc>
          <w:tcPr>
            <w:tcW w:w="2268" w:type="dxa"/>
            <w:vAlign w:val="center"/>
          </w:tcPr>
          <w:p>
            <w:pPr>
              <w:pStyle w:val="27"/>
            </w:pPr>
            <w:r>
              <w:t>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社会效益指标</w:t>
            </w:r>
          </w:p>
        </w:tc>
        <w:tc>
          <w:tcPr>
            <w:tcW w:w="2835" w:type="dxa"/>
            <w:vAlign w:val="center"/>
          </w:tcPr>
          <w:p>
            <w:pPr>
              <w:pStyle w:val="27"/>
            </w:pPr>
            <w:r>
              <w:t>改善居民居住环境</w:t>
            </w:r>
          </w:p>
        </w:tc>
        <w:tc>
          <w:tcPr>
            <w:tcW w:w="2551" w:type="dxa"/>
            <w:vAlign w:val="center"/>
          </w:tcPr>
          <w:p>
            <w:pPr>
              <w:pStyle w:val="27"/>
            </w:pPr>
            <w:r>
              <w:t>改善居民居住环境</w:t>
            </w:r>
          </w:p>
        </w:tc>
        <w:tc>
          <w:tcPr>
            <w:tcW w:w="2268" w:type="dxa"/>
            <w:vAlign w:val="center"/>
          </w:tcPr>
          <w:p>
            <w:pPr>
              <w:pStyle w:val="27"/>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服务对象满意度</w:t>
            </w:r>
          </w:p>
        </w:tc>
        <w:tc>
          <w:tcPr>
            <w:tcW w:w="2551" w:type="dxa"/>
            <w:vAlign w:val="center"/>
          </w:tcPr>
          <w:p>
            <w:pPr>
              <w:pStyle w:val="27"/>
            </w:pPr>
            <w:r>
              <w:t>≥95%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12、2021年老旧小区改造争引中央发改资金报告咨询项目费绩效目标表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1.藁城区2021年老旧小区改造项目争引中央发改资金</w:t>
            </w:r>
          </w:p>
          <w:p>
            <w:pPr>
              <w:pStyle w:val="27"/>
            </w:pPr>
            <w:r>
              <w:t>2.争取中央资金支持我区老旧小区改造</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项目范围</w:t>
            </w:r>
          </w:p>
        </w:tc>
        <w:tc>
          <w:tcPr>
            <w:tcW w:w="2835" w:type="dxa"/>
            <w:vAlign w:val="center"/>
          </w:tcPr>
          <w:p>
            <w:pPr>
              <w:pStyle w:val="27"/>
            </w:pPr>
            <w:r>
              <w:t>编制老旧小区改造争引中央资金报告费用</w:t>
            </w:r>
          </w:p>
        </w:tc>
        <w:tc>
          <w:tcPr>
            <w:tcW w:w="2551" w:type="dxa"/>
            <w:vAlign w:val="center"/>
          </w:tcPr>
          <w:p>
            <w:pPr>
              <w:pStyle w:val="27"/>
            </w:pPr>
            <w:r>
              <w:t>≤12.21万元</w:t>
            </w:r>
          </w:p>
        </w:tc>
        <w:tc>
          <w:tcPr>
            <w:tcW w:w="2268" w:type="dxa"/>
            <w:vAlign w:val="center"/>
          </w:tcPr>
          <w:p>
            <w:pPr>
              <w:pStyle w:val="2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验收合格率</w:t>
            </w:r>
          </w:p>
        </w:tc>
        <w:tc>
          <w:tcPr>
            <w:tcW w:w="2835" w:type="dxa"/>
            <w:vAlign w:val="center"/>
          </w:tcPr>
          <w:p>
            <w:pPr>
              <w:pStyle w:val="27"/>
            </w:pPr>
            <w:r>
              <w:t>符合要求</w:t>
            </w:r>
          </w:p>
        </w:tc>
        <w:tc>
          <w:tcPr>
            <w:tcW w:w="2551" w:type="dxa"/>
            <w:vAlign w:val="center"/>
          </w:tcPr>
          <w:p>
            <w:pPr>
              <w:pStyle w:val="27"/>
            </w:pPr>
            <w:r>
              <w:t>≥95%</w:t>
            </w:r>
          </w:p>
        </w:tc>
        <w:tc>
          <w:tcPr>
            <w:tcW w:w="2268" w:type="dxa"/>
            <w:vAlign w:val="center"/>
          </w:tcPr>
          <w:p>
            <w:pPr>
              <w:pStyle w:val="2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w:t>
            </w:r>
          </w:p>
        </w:tc>
        <w:tc>
          <w:tcPr>
            <w:tcW w:w="2835" w:type="dxa"/>
            <w:vAlign w:val="center"/>
          </w:tcPr>
          <w:p>
            <w:pPr>
              <w:pStyle w:val="27"/>
            </w:pPr>
            <w:r>
              <w:t>按时间要求完成</w:t>
            </w:r>
          </w:p>
        </w:tc>
        <w:tc>
          <w:tcPr>
            <w:tcW w:w="2551" w:type="dxa"/>
            <w:vAlign w:val="center"/>
          </w:tcPr>
          <w:p>
            <w:pPr>
              <w:pStyle w:val="27"/>
            </w:pPr>
            <w:r>
              <w:t>＝100%</w:t>
            </w:r>
          </w:p>
        </w:tc>
        <w:tc>
          <w:tcPr>
            <w:tcW w:w="2268" w:type="dxa"/>
            <w:vAlign w:val="center"/>
          </w:tcPr>
          <w:p>
            <w:pPr>
              <w:pStyle w:val="2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2021年老旧小区改造争引中央发改资金报告咨询项目费成本</w:t>
            </w:r>
          </w:p>
        </w:tc>
        <w:tc>
          <w:tcPr>
            <w:tcW w:w="2551" w:type="dxa"/>
            <w:vAlign w:val="center"/>
          </w:tcPr>
          <w:p>
            <w:pPr>
              <w:pStyle w:val="27"/>
            </w:pPr>
            <w:r>
              <w:t>≤12.21万元</w:t>
            </w:r>
          </w:p>
        </w:tc>
        <w:tc>
          <w:tcPr>
            <w:tcW w:w="2268" w:type="dxa"/>
            <w:vAlign w:val="center"/>
          </w:tcPr>
          <w:p>
            <w:pPr>
              <w:pStyle w:val="27"/>
            </w:pPr>
            <w:r>
              <w:t>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符合使用要求</w:t>
            </w:r>
          </w:p>
        </w:tc>
        <w:tc>
          <w:tcPr>
            <w:tcW w:w="2835" w:type="dxa"/>
            <w:vAlign w:val="center"/>
          </w:tcPr>
          <w:p>
            <w:pPr>
              <w:pStyle w:val="27"/>
            </w:pPr>
            <w:r>
              <w:t>能够满足使用要求</w:t>
            </w:r>
          </w:p>
        </w:tc>
        <w:tc>
          <w:tcPr>
            <w:tcW w:w="2551" w:type="dxa"/>
            <w:vAlign w:val="center"/>
          </w:tcPr>
          <w:p>
            <w:pPr>
              <w:pStyle w:val="27"/>
            </w:pPr>
            <w:r>
              <w:t>能够满足使用要求</w:t>
            </w:r>
          </w:p>
        </w:tc>
        <w:tc>
          <w:tcPr>
            <w:tcW w:w="2268" w:type="dxa"/>
            <w:vAlign w:val="center"/>
          </w:tcPr>
          <w:p>
            <w:pPr>
              <w:pStyle w:val="27"/>
            </w:pPr>
            <w:r>
              <w:t>审核通过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符合使用要求</w:t>
            </w:r>
          </w:p>
        </w:tc>
        <w:tc>
          <w:tcPr>
            <w:tcW w:w="2835" w:type="dxa"/>
            <w:vAlign w:val="center"/>
          </w:tcPr>
          <w:p>
            <w:pPr>
              <w:pStyle w:val="27"/>
            </w:pPr>
            <w:r>
              <w:t>审核通过</w:t>
            </w:r>
          </w:p>
        </w:tc>
        <w:tc>
          <w:tcPr>
            <w:tcW w:w="2551" w:type="dxa"/>
            <w:vAlign w:val="center"/>
          </w:tcPr>
          <w:p>
            <w:pPr>
              <w:pStyle w:val="27"/>
            </w:pPr>
            <w:r>
              <w:t>≥95%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13、“急难险重”工作任务费用绩效目标表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1.完成区委、区政府交办的2021年“急难险重”工作任务。</w:t>
            </w:r>
          </w:p>
          <w:p>
            <w:pPr>
              <w:pStyle w:val="27"/>
            </w:pPr>
            <w:r>
              <w:t>2.完成区委、区政府交办的5项“急难险重”的工作任务。保障强降雨期间危房居民的生命安全，对城区内住宅小区裸露地面绿化硬化、完成创城工作任务。</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完成5项工作任务</w:t>
            </w:r>
          </w:p>
        </w:tc>
        <w:tc>
          <w:tcPr>
            <w:tcW w:w="2835" w:type="dxa"/>
            <w:vAlign w:val="center"/>
          </w:tcPr>
          <w:p>
            <w:pPr>
              <w:pStyle w:val="27"/>
            </w:pPr>
            <w:r>
              <w:t>2021年区委、区政府交办的5项“急难险重”工作任务，所需费用共计572860元</w:t>
            </w:r>
          </w:p>
        </w:tc>
        <w:tc>
          <w:tcPr>
            <w:tcW w:w="2551" w:type="dxa"/>
            <w:vAlign w:val="center"/>
          </w:tcPr>
          <w:p>
            <w:pPr>
              <w:pStyle w:val="27"/>
            </w:pPr>
            <w:r>
              <w:t>5项</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完成创城工作、危房鉴定工作、极端天气人员转移工作、县道两侧机井房整修工作</w:t>
            </w:r>
          </w:p>
        </w:tc>
        <w:tc>
          <w:tcPr>
            <w:tcW w:w="2835" w:type="dxa"/>
            <w:vAlign w:val="center"/>
          </w:tcPr>
          <w:p>
            <w:pPr>
              <w:pStyle w:val="27"/>
            </w:pPr>
            <w:r>
              <w:t>根据区委、区政府的要求，严格执行，按时完成。</w:t>
            </w:r>
          </w:p>
        </w:tc>
        <w:tc>
          <w:tcPr>
            <w:tcW w:w="2551" w:type="dxa"/>
            <w:vAlign w:val="center"/>
          </w:tcPr>
          <w:p>
            <w:pPr>
              <w:pStyle w:val="27"/>
            </w:pPr>
            <w:r>
              <w:t>5项工作任务</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“急难险重”工作任务费用成本</w:t>
            </w:r>
          </w:p>
        </w:tc>
        <w:tc>
          <w:tcPr>
            <w:tcW w:w="2551" w:type="dxa"/>
            <w:vAlign w:val="center"/>
          </w:tcPr>
          <w:p>
            <w:pPr>
              <w:pStyle w:val="27"/>
            </w:pPr>
            <w:r>
              <w:t>≤50万元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w:t>
            </w:r>
          </w:p>
        </w:tc>
        <w:tc>
          <w:tcPr>
            <w:tcW w:w="2835" w:type="dxa"/>
            <w:vAlign w:val="center"/>
          </w:tcPr>
          <w:p>
            <w:pPr>
              <w:pStyle w:val="27"/>
            </w:pPr>
            <w:r>
              <w:t>按政府要交及时完成工作任务</w:t>
            </w:r>
          </w:p>
        </w:tc>
        <w:tc>
          <w:tcPr>
            <w:tcW w:w="2551" w:type="dxa"/>
            <w:vAlign w:val="center"/>
          </w:tcPr>
          <w:p>
            <w:pPr>
              <w:pStyle w:val="27"/>
            </w:pPr>
            <w:r>
              <w:t>及时完成避免拖拉</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创建文明城市、关爱危旧小区居民</w:t>
            </w:r>
          </w:p>
        </w:tc>
        <w:tc>
          <w:tcPr>
            <w:tcW w:w="2835" w:type="dxa"/>
            <w:vAlign w:val="center"/>
          </w:tcPr>
          <w:p>
            <w:pPr>
              <w:pStyle w:val="27"/>
            </w:pPr>
            <w:r>
              <w:t>区委、区政府将老百姓的生命安全放到第一位，极端天气及时转移危旧小区居民，保障人民的生命安全</w:t>
            </w:r>
          </w:p>
        </w:tc>
        <w:tc>
          <w:tcPr>
            <w:tcW w:w="2551" w:type="dxa"/>
            <w:vAlign w:val="center"/>
          </w:tcPr>
          <w:p>
            <w:pPr>
              <w:pStyle w:val="27"/>
            </w:pPr>
            <w:r>
              <w:t>完成区委、区政府安排的工作任务，涉及居民安全满意</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涉及危房及创城的小区居民满意度</w:t>
            </w:r>
          </w:p>
        </w:tc>
        <w:tc>
          <w:tcPr>
            <w:tcW w:w="2835" w:type="dxa"/>
            <w:vAlign w:val="center"/>
          </w:tcPr>
          <w:p>
            <w:pPr>
              <w:pStyle w:val="27"/>
            </w:pPr>
            <w:r>
              <w:t>涉及危房及创城的小区居民满意度调查</w:t>
            </w:r>
          </w:p>
        </w:tc>
        <w:tc>
          <w:tcPr>
            <w:tcW w:w="2551" w:type="dxa"/>
            <w:vAlign w:val="center"/>
          </w:tcPr>
          <w:p>
            <w:pPr>
              <w:pStyle w:val="27"/>
            </w:pPr>
            <w:r>
              <w:t>≥85%</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14、安全生产监督平台网络运行费绩效目标表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1.提高安全生产质量</w:t>
            </w:r>
          </w:p>
          <w:p>
            <w:pPr>
              <w:pStyle w:val="27"/>
            </w:pPr>
            <w:r>
              <w:t>2.加强施工扬尘管控</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22个工地网络全覆盖</w:t>
            </w:r>
          </w:p>
        </w:tc>
        <w:tc>
          <w:tcPr>
            <w:tcW w:w="2835" w:type="dxa"/>
            <w:vAlign w:val="center"/>
          </w:tcPr>
          <w:p>
            <w:pPr>
              <w:pStyle w:val="27"/>
            </w:pPr>
            <w:r>
              <w:t>22个工地网络全覆盖</w:t>
            </w:r>
          </w:p>
        </w:tc>
        <w:tc>
          <w:tcPr>
            <w:tcW w:w="2551" w:type="dxa"/>
            <w:vAlign w:val="center"/>
          </w:tcPr>
          <w:p>
            <w:pPr>
              <w:pStyle w:val="27"/>
            </w:pPr>
            <w:r>
              <w:t>≥22个</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监督平台运行正常</w:t>
            </w:r>
          </w:p>
        </w:tc>
        <w:tc>
          <w:tcPr>
            <w:tcW w:w="2835" w:type="dxa"/>
            <w:vAlign w:val="center"/>
          </w:tcPr>
          <w:p>
            <w:pPr>
              <w:pStyle w:val="27"/>
            </w:pPr>
            <w:r>
              <w:t>运行正常</w:t>
            </w:r>
          </w:p>
        </w:tc>
        <w:tc>
          <w:tcPr>
            <w:tcW w:w="2551" w:type="dxa"/>
            <w:vAlign w:val="center"/>
          </w:tcPr>
          <w:p>
            <w:pPr>
              <w:pStyle w:val="27"/>
            </w:pPr>
            <w:r>
              <w:t>运行正常</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及时发现工地扬尘污染问题</w:t>
            </w:r>
          </w:p>
        </w:tc>
        <w:tc>
          <w:tcPr>
            <w:tcW w:w="2835" w:type="dxa"/>
            <w:vAlign w:val="center"/>
          </w:tcPr>
          <w:p>
            <w:pPr>
              <w:pStyle w:val="27"/>
            </w:pPr>
            <w:r>
              <w:t>及时发现工地扬尘污染问题</w:t>
            </w:r>
          </w:p>
        </w:tc>
        <w:tc>
          <w:tcPr>
            <w:tcW w:w="2551" w:type="dxa"/>
            <w:vAlign w:val="center"/>
          </w:tcPr>
          <w:p>
            <w:pPr>
              <w:pStyle w:val="27"/>
            </w:pPr>
            <w:r>
              <w:t>及时发现工地现场污染问题</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网络运行费用</w:t>
            </w:r>
          </w:p>
        </w:tc>
        <w:tc>
          <w:tcPr>
            <w:tcW w:w="2835" w:type="dxa"/>
            <w:vAlign w:val="center"/>
          </w:tcPr>
          <w:p>
            <w:pPr>
              <w:pStyle w:val="27"/>
            </w:pPr>
            <w:r>
              <w:t>网络运行费用</w:t>
            </w:r>
          </w:p>
        </w:tc>
        <w:tc>
          <w:tcPr>
            <w:tcW w:w="2551" w:type="dxa"/>
            <w:vAlign w:val="center"/>
          </w:tcPr>
          <w:p>
            <w:pPr>
              <w:pStyle w:val="27"/>
            </w:pPr>
            <w:r>
              <w:t>11.7万元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对施工工地扬尘监控</w:t>
            </w:r>
          </w:p>
        </w:tc>
        <w:tc>
          <w:tcPr>
            <w:tcW w:w="2835" w:type="dxa"/>
            <w:vAlign w:val="center"/>
          </w:tcPr>
          <w:p>
            <w:pPr>
              <w:pStyle w:val="27"/>
            </w:pPr>
            <w:r>
              <w:t>及时发现工地现场污染问题</w:t>
            </w:r>
          </w:p>
        </w:tc>
        <w:tc>
          <w:tcPr>
            <w:tcW w:w="2551" w:type="dxa"/>
            <w:vAlign w:val="center"/>
          </w:tcPr>
          <w:p>
            <w:pPr>
              <w:pStyle w:val="27"/>
            </w:pPr>
            <w:r>
              <w:t>对施工工地扬尘监控效果提高</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施工企业对监督平台的满意度</w:t>
            </w:r>
          </w:p>
        </w:tc>
        <w:tc>
          <w:tcPr>
            <w:tcW w:w="2835" w:type="dxa"/>
            <w:vAlign w:val="center"/>
          </w:tcPr>
          <w:p>
            <w:pPr>
              <w:pStyle w:val="27"/>
            </w:pPr>
            <w:r>
              <w:t>对施工工地扬尘监控效果提高</w:t>
            </w:r>
          </w:p>
        </w:tc>
        <w:tc>
          <w:tcPr>
            <w:tcW w:w="2551" w:type="dxa"/>
            <w:vAlign w:val="center"/>
          </w:tcPr>
          <w:p>
            <w:pPr>
              <w:pStyle w:val="27"/>
            </w:pPr>
            <w:r>
              <w:t>≥85%</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15、编制藁城区燃气专项规划（2021-2035年）绩效目标表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1.解决我区市政管网不合理、加气站选址不规范</w:t>
            </w:r>
          </w:p>
          <w:p>
            <w:pPr>
              <w:pStyle w:val="27"/>
            </w:pPr>
            <w:r>
              <w:t>2.未预留调峰调压设备选址等问题</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数量指标</w:t>
            </w:r>
          </w:p>
        </w:tc>
        <w:tc>
          <w:tcPr>
            <w:tcW w:w="2835" w:type="dxa"/>
            <w:vAlign w:val="center"/>
          </w:tcPr>
          <w:p>
            <w:pPr>
              <w:pStyle w:val="27"/>
            </w:pPr>
            <w:r>
              <w:t>对全区燃气发展进行规划的数量</w:t>
            </w:r>
          </w:p>
        </w:tc>
        <w:tc>
          <w:tcPr>
            <w:tcW w:w="2551" w:type="dxa"/>
            <w:vAlign w:val="center"/>
          </w:tcPr>
          <w:p>
            <w:pPr>
              <w:pStyle w:val="27"/>
            </w:pPr>
            <w:r>
              <w:t>1个</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质量指标</w:t>
            </w:r>
          </w:p>
        </w:tc>
        <w:tc>
          <w:tcPr>
            <w:tcW w:w="2835" w:type="dxa"/>
            <w:vAlign w:val="center"/>
          </w:tcPr>
          <w:p>
            <w:pPr>
              <w:pStyle w:val="27"/>
            </w:pPr>
            <w:r>
              <w:t>合理布局燃气行业未来发展构架。解决我区市政管网布局不合理、加气站选址不规范、未预留调峰调压设备选址等问题，实现我区燃气行业健康有序发展</w:t>
            </w:r>
          </w:p>
        </w:tc>
        <w:tc>
          <w:tcPr>
            <w:tcW w:w="2551" w:type="dxa"/>
            <w:vAlign w:val="center"/>
          </w:tcPr>
          <w:p>
            <w:pPr>
              <w:pStyle w:val="27"/>
            </w:pPr>
            <w:r>
              <w:t>按要求完成</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时效指标</w:t>
            </w:r>
          </w:p>
        </w:tc>
        <w:tc>
          <w:tcPr>
            <w:tcW w:w="2835" w:type="dxa"/>
            <w:vAlign w:val="center"/>
          </w:tcPr>
          <w:p>
            <w:pPr>
              <w:pStyle w:val="27"/>
            </w:pPr>
            <w:r>
              <w:t>规划（2021-2035年）燃气发展</w:t>
            </w:r>
          </w:p>
        </w:tc>
        <w:tc>
          <w:tcPr>
            <w:tcW w:w="2551" w:type="dxa"/>
            <w:vAlign w:val="center"/>
          </w:tcPr>
          <w:p>
            <w:pPr>
              <w:pStyle w:val="27"/>
            </w:pPr>
            <w:r>
              <w:t>按照规定时间完成</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编制藁城区燃气专项规划（2021-2035年）成本</w:t>
            </w:r>
          </w:p>
        </w:tc>
        <w:tc>
          <w:tcPr>
            <w:tcW w:w="2551" w:type="dxa"/>
            <w:vAlign w:val="center"/>
          </w:tcPr>
          <w:p>
            <w:pPr>
              <w:pStyle w:val="27"/>
            </w:pPr>
            <w:r>
              <w:t>≤20万元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社会效益指标</w:t>
            </w:r>
          </w:p>
        </w:tc>
        <w:tc>
          <w:tcPr>
            <w:tcW w:w="2835" w:type="dxa"/>
            <w:vAlign w:val="center"/>
          </w:tcPr>
          <w:p>
            <w:pPr>
              <w:pStyle w:val="27"/>
            </w:pPr>
            <w:r>
              <w:t>燃气行业高质量发展、整规燃气市场秩序</w:t>
            </w:r>
          </w:p>
        </w:tc>
        <w:tc>
          <w:tcPr>
            <w:tcW w:w="2551" w:type="dxa"/>
            <w:vAlign w:val="center"/>
          </w:tcPr>
          <w:p>
            <w:pPr>
              <w:pStyle w:val="27"/>
            </w:pPr>
            <w:r>
              <w:t>燃气行业有序发展</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服务对象满意情况</w:t>
            </w:r>
          </w:p>
        </w:tc>
        <w:tc>
          <w:tcPr>
            <w:tcW w:w="2551" w:type="dxa"/>
            <w:vAlign w:val="center"/>
          </w:tcPr>
          <w:p>
            <w:pPr>
              <w:pStyle w:val="27"/>
            </w:pPr>
            <w:r>
              <w:t>≥90%</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16、城区集中供热燃气锅炉安装氮氧化物连续检测系统绩效目标表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1.完成城区集中供热燃气锅炉氮氧化物连续监测系统安装</w:t>
            </w:r>
          </w:p>
          <w:p>
            <w:pPr>
              <w:pStyle w:val="27"/>
            </w:pPr>
            <w:r>
              <w:t>2.进一步加强供暖燃气锅炉监管</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安装监测设备数量</w:t>
            </w:r>
          </w:p>
        </w:tc>
        <w:tc>
          <w:tcPr>
            <w:tcW w:w="2835" w:type="dxa"/>
            <w:vAlign w:val="center"/>
          </w:tcPr>
          <w:p>
            <w:pPr>
              <w:pStyle w:val="27"/>
            </w:pPr>
            <w:r>
              <w:t>安装监测设备数量</w:t>
            </w:r>
          </w:p>
        </w:tc>
        <w:tc>
          <w:tcPr>
            <w:tcW w:w="2551" w:type="dxa"/>
            <w:vAlign w:val="center"/>
          </w:tcPr>
          <w:p>
            <w:pPr>
              <w:pStyle w:val="27"/>
            </w:pPr>
            <w:r>
              <w:t>50台</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质量合格</w:t>
            </w:r>
          </w:p>
        </w:tc>
        <w:tc>
          <w:tcPr>
            <w:tcW w:w="2835" w:type="dxa"/>
            <w:vAlign w:val="center"/>
          </w:tcPr>
          <w:p>
            <w:pPr>
              <w:pStyle w:val="27"/>
            </w:pPr>
            <w:r>
              <w:t>质量合格，达到使用要求。</w:t>
            </w:r>
          </w:p>
        </w:tc>
        <w:tc>
          <w:tcPr>
            <w:tcW w:w="2551" w:type="dxa"/>
            <w:vAlign w:val="center"/>
          </w:tcPr>
          <w:p>
            <w:pPr>
              <w:pStyle w:val="27"/>
            </w:pPr>
            <w:r>
              <w:t>实际使用情况</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w:t>
            </w:r>
          </w:p>
        </w:tc>
        <w:tc>
          <w:tcPr>
            <w:tcW w:w="2835" w:type="dxa"/>
            <w:vAlign w:val="center"/>
          </w:tcPr>
          <w:p>
            <w:pPr>
              <w:pStyle w:val="27"/>
            </w:pPr>
            <w:r>
              <w:t>按时完成</w:t>
            </w:r>
          </w:p>
        </w:tc>
        <w:tc>
          <w:tcPr>
            <w:tcW w:w="2551" w:type="dxa"/>
            <w:vAlign w:val="center"/>
          </w:tcPr>
          <w:p>
            <w:pPr>
              <w:pStyle w:val="27"/>
            </w:pPr>
            <w:r>
              <w:t>实际完成时间</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城区集中供热燃气锅炉安装氮氧化物连续检测系统成本</w:t>
            </w:r>
          </w:p>
        </w:tc>
        <w:tc>
          <w:tcPr>
            <w:tcW w:w="2551" w:type="dxa"/>
            <w:vAlign w:val="center"/>
          </w:tcPr>
          <w:p>
            <w:pPr>
              <w:pStyle w:val="27"/>
            </w:pPr>
            <w:r>
              <w:t>≤300万元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加强锅炉监管</w:t>
            </w:r>
          </w:p>
        </w:tc>
        <w:tc>
          <w:tcPr>
            <w:tcW w:w="2835" w:type="dxa"/>
            <w:vAlign w:val="center"/>
          </w:tcPr>
          <w:p>
            <w:pPr>
              <w:pStyle w:val="27"/>
            </w:pPr>
            <w:r>
              <w:t>进一步加强供暖燃气锅炉监管</w:t>
            </w:r>
          </w:p>
        </w:tc>
        <w:tc>
          <w:tcPr>
            <w:tcW w:w="2551" w:type="dxa"/>
            <w:vAlign w:val="center"/>
          </w:tcPr>
          <w:p>
            <w:pPr>
              <w:pStyle w:val="27"/>
            </w:pPr>
            <w:r>
              <w:t>实际成效</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安装满意度</w:t>
            </w:r>
          </w:p>
        </w:tc>
        <w:tc>
          <w:tcPr>
            <w:tcW w:w="2835" w:type="dxa"/>
            <w:vAlign w:val="center"/>
          </w:tcPr>
          <w:p>
            <w:pPr>
              <w:pStyle w:val="27"/>
            </w:pPr>
            <w:r>
              <w:t>群众对锅炉安装监测设备满意情况</w:t>
            </w:r>
          </w:p>
        </w:tc>
        <w:tc>
          <w:tcPr>
            <w:tcW w:w="2551" w:type="dxa"/>
            <w:vAlign w:val="center"/>
          </w:tcPr>
          <w:p>
            <w:pPr>
              <w:pStyle w:val="27"/>
            </w:pPr>
            <w:r>
              <w:t>≥85%</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17、城中村、棚户区改造盈亏分析评估费绩效目标表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1.进行城中村和棚户区改造盈亏平衡分析，评估可行性。</w:t>
            </w:r>
          </w:p>
          <w:p>
            <w:pPr>
              <w:pStyle w:val="27"/>
            </w:pPr>
            <w:r>
              <w:t>2.得出城中村和棚户区改造盈亏数据，为藁城区城中村和棚户区发展提供数据支持</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村庄个数</w:t>
            </w:r>
          </w:p>
        </w:tc>
        <w:tc>
          <w:tcPr>
            <w:tcW w:w="2835" w:type="dxa"/>
            <w:vAlign w:val="center"/>
          </w:tcPr>
          <w:p>
            <w:pPr>
              <w:pStyle w:val="27"/>
            </w:pPr>
            <w:r>
              <w:t>需评估的村庄个数</w:t>
            </w:r>
          </w:p>
        </w:tc>
        <w:tc>
          <w:tcPr>
            <w:tcW w:w="2551" w:type="dxa"/>
            <w:vAlign w:val="center"/>
          </w:tcPr>
          <w:p>
            <w:pPr>
              <w:pStyle w:val="27"/>
            </w:pPr>
            <w:r>
              <w:t>11需评估的村庄个数</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评估完成率</w:t>
            </w:r>
          </w:p>
        </w:tc>
        <w:tc>
          <w:tcPr>
            <w:tcW w:w="2835" w:type="dxa"/>
            <w:vAlign w:val="center"/>
          </w:tcPr>
          <w:p>
            <w:pPr>
              <w:pStyle w:val="27"/>
            </w:pPr>
            <w:r>
              <w:t>完成盈亏平衡测算数据</w:t>
            </w:r>
          </w:p>
        </w:tc>
        <w:tc>
          <w:tcPr>
            <w:tcW w:w="2551" w:type="dxa"/>
            <w:vAlign w:val="center"/>
          </w:tcPr>
          <w:p>
            <w:pPr>
              <w:pStyle w:val="27"/>
            </w:pPr>
            <w:r>
              <w:t>≥95%</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w:t>
            </w:r>
          </w:p>
        </w:tc>
        <w:tc>
          <w:tcPr>
            <w:tcW w:w="2835" w:type="dxa"/>
            <w:vAlign w:val="center"/>
          </w:tcPr>
          <w:p>
            <w:pPr>
              <w:pStyle w:val="27"/>
            </w:pPr>
            <w:r>
              <w:t>按规定时间报告出具评估报告</w:t>
            </w:r>
          </w:p>
        </w:tc>
        <w:tc>
          <w:tcPr>
            <w:tcW w:w="2551" w:type="dxa"/>
            <w:vAlign w:val="center"/>
          </w:tcPr>
          <w:p>
            <w:pPr>
              <w:pStyle w:val="27"/>
            </w:pPr>
            <w:r>
              <w:t>100%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城中村、棚户区改造盈亏分析评估费成本</w:t>
            </w:r>
          </w:p>
        </w:tc>
        <w:tc>
          <w:tcPr>
            <w:tcW w:w="2551" w:type="dxa"/>
            <w:vAlign w:val="center"/>
          </w:tcPr>
          <w:p>
            <w:pPr>
              <w:pStyle w:val="27"/>
            </w:pPr>
            <w:r>
              <w:t>≤6万元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社会持续发展情况</w:t>
            </w:r>
          </w:p>
        </w:tc>
        <w:tc>
          <w:tcPr>
            <w:tcW w:w="2835" w:type="dxa"/>
            <w:vAlign w:val="center"/>
          </w:tcPr>
          <w:p>
            <w:pPr>
              <w:pStyle w:val="27"/>
            </w:pPr>
            <w:r>
              <w:t>区域发展更加合理，改善居民生活环境，促进城市面貌更新</w:t>
            </w:r>
          </w:p>
        </w:tc>
        <w:tc>
          <w:tcPr>
            <w:tcW w:w="2551" w:type="dxa"/>
            <w:vAlign w:val="center"/>
          </w:tcPr>
          <w:p>
            <w:pPr>
              <w:pStyle w:val="27"/>
            </w:pPr>
            <w:r>
              <w:t>≥90%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可持续影响指标</w:t>
            </w:r>
          </w:p>
        </w:tc>
        <w:tc>
          <w:tcPr>
            <w:tcW w:w="2835" w:type="dxa"/>
            <w:vAlign w:val="center"/>
          </w:tcPr>
          <w:p>
            <w:pPr>
              <w:pStyle w:val="27"/>
            </w:pPr>
            <w:r>
              <w:t>为改造提供数据支持</w:t>
            </w:r>
          </w:p>
        </w:tc>
        <w:tc>
          <w:tcPr>
            <w:tcW w:w="2835" w:type="dxa"/>
            <w:vAlign w:val="center"/>
          </w:tcPr>
          <w:p>
            <w:pPr>
              <w:pStyle w:val="27"/>
            </w:pPr>
            <w:r>
              <w:t>城中村和棚户区改造支持藁城高质量发展</w:t>
            </w:r>
          </w:p>
        </w:tc>
        <w:tc>
          <w:tcPr>
            <w:tcW w:w="2551" w:type="dxa"/>
            <w:vAlign w:val="center"/>
          </w:tcPr>
          <w:p>
            <w:pPr>
              <w:pStyle w:val="27"/>
            </w:pPr>
            <w:r>
              <w:t>≥90%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达到满意</w:t>
            </w:r>
          </w:p>
        </w:tc>
        <w:tc>
          <w:tcPr>
            <w:tcW w:w="2551" w:type="dxa"/>
            <w:vAlign w:val="center"/>
          </w:tcPr>
          <w:p>
            <w:pPr>
              <w:pStyle w:val="27"/>
            </w:pPr>
            <w:r>
              <w:t>≥90%</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18、成立区城中村改造指挥部工作经费绩效目标表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1.设立藁城区城中村改造指挥部，提供城中村改造办公地点</w:t>
            </w:r>
          </w:p>
          <w:p>
            <w:pPr>
              <w:pStyle w:val="27"/>
            </w:pPr>
            <w:r>
              <w:t>2.为工作人员提供办公场所，持续推动城中村改造项目</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项目个数</w:t>
            </w:r>
          </w:p>
        </w:tc>
        <w:tc>
          <w:tcPr>
            <w:tcW w:w="2835" w:type="dxa"/>
            <w:vAlign w:val="center"/>
          </w:tcPr>
          <w:p>
            <w:pPr>
              <w:pStyle w:val="27"/>
            </w:pPr>
            <w:r>
              <w:t>建成城中村改造指挥部个数</w:t>
            </w:r>
          </w:p>
        </w:tc>
        <w:tc>
          <w:tcPr>
            <w:tcW w:w="2551" w:type="dxa"/>
            <w:vAlign w:val="center"/>
          </w:tcPr>
          <w:p>
            <w:pPr>
              <w:pStyle w:val="27"/>
            </w:pPr>
            <w:r>
              <w:t>1个</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具备办公条件</w:t>
            </w:r>
          </w:p>
        </w:tc>
        <w:tc>
          <w:tcPr>
            <w:tcW w:w="2835" w:type="dxa"/>
            <w:vAlign w:val="center"/>
          </w:tcPr>
          <w:p>
            <w:pPr>
              <w:pStyle w:val="27"/>
            </w:pPr>
            <w:r>
              <w:t>为工作人员提供办公场所</w:t>
            </w:r>
          </w:p>
        </w:tc>
        <w:tc>
          <w:tcPr>
            <w:tcW w:w="2551" w:type="dxa"/>
            <w:vAlign w:val="center"/>
          </w:tcPr>
          <w:p>
            <w:pPr>
              <w:pStyle w:val="27"/>
            </w:pPr>
            <w:r>
              <w:t>≥1具备办公条件告</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完成城中村改造指挥部建设</w:t>
            </w:r>
          </w:p>
        </w:tc>
        <w:tc>
          <w:tcPr>
            <w:tcW w:w="2835" w:type="dxa"/>
            <w:vAlign w:val="center"/>
          </w:tcPr>
          <w:p>
            <w:pPr>
              <w:pStyle w:val="27"/>
            </w:pPr>
            <w:r>
              <w:t>保证城中村改造正常运行</w:t>
            </w:r>
          </w:p>
        </w:tc>
        <w:tc>
          <w:tcPr>
            <w:tcW w:w="2551" w:type="dxa"/>
            <w:vAlign w:val="center"/>
          </w:tcPr>
          <w:p>
            <w:pPr>
              <w:pStyle w:val="27"/>
            </w:pPr>
            <w:r>
              <w:t>≥1城中村改造顺利进行</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成立区城中村改造指挥部工作经费成本</w:t>
            </w:r>
          </w:p>
        </w:tc>
        <w:tc>
          <w:tcPr>
            <w:tcW w:w="2551" w:type="dxa"/>
            <w:vAlign w:val="center"/>
          </w:tcPr>
          <w:p>
            <w:pPr>
              <w:pStyle w:val="27"/>
            </w:pPr>
            <w:r>
              <w:t>≤20 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促进城中村改造，提升城市形象</w:t>
            </w:r>
          </w:p>
        </w:tc>
        <w:tc>
          <w:tcPr>
            <w:tcW w:w="2835" w:type="dxa"/>
            <w:vAlign w:val="center"/>
          </w:tcPr>
          <w:p>
            <w:pPr>
              <w:pStyle w:val="27"/>
            </w:pPr>
            <w:r>
              <w:t>区域发展更加合理，改善居民生活环境，促进城市面貌更新</w:t>
            </w:r>
          </w:p>
        </w:tc>
        <w:tc>
          <w:tcPr>
            <w:tcW w:w="2551" w:type="dxa"/>
            <w:vAlign w:val="center"/>
          </w:tcPr>
          <w:p>
            <w:pPr>
              <w:pStyle w:val="27"/>
            </w:pPr>
            <w:r>
              <w:t>≥90%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可持续影响指标</w:t>
            </w:r>
          </w:p>
        </w:tc>
        <w:tc>
          <w:tcPr>
            <w:tcW w:w="2835" w:type="dxa"/>
            <w:vAlign w:val="center"/>
          </w:tcPr>
          <w:p>
            <w:pPr>
              <w:pStyle w:val="27"/>
            </w:pPr>
            <w:r>
              <w:t>推动城中村改造持续进行</w:t>
            </w:r>
          </w:p>
        </w:tc>
        <w:tc>
          <w:tcPr>
            <w:tcW w:w="2835" w:type="dxa"/>
            <w:vAlign w:val="center"/>
          </w:tcPr>
          <w:p>
            <w:pPr>
              <w:pStyle w:val="27"/>
            </w:pPr>
            <w:r>
              <w:t>区域发展更加合理，改善居民生活环境，促进城市面貌更新</w:t>
            </w:r>
          </w:p>
        </w:tc>
        <w:tc>
          <w:tcPr>
            <w:tcW w:w="2551" w:type="dxa"/>
            <w:vAlign w:val="center"/>
          </w:tcPr>
          <w:p>
            <w:pPr>
              <w:pStyle w:val="27"/>
            </w:pPr>
            <w:r>
              <w:t>≥90%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达到满意</w:t>
            </w:r>
          </w:p>
        </w:tc>
        <w:tc>
          <w:tcPr>
            <w:tcW w:w="2551" w:type="dxa"/>
            <w:vAlign w:val="center"/>
          </w:tcPr>
          <w:p>
            <w:pPr>
              <w:pStyle w:val="27"/>
            </w:pPr>
            <w:r>
              <w:t>≥90%</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19、儿童公园供热站绩效目标表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1.儿童公园供热站建设完成</w:t>
            </w:r>
          </w:p>
          <w:p>
            <w:pPr>
              <w:pStyle w:val="27"/>
            </w:pPr>
            <w:r>
              <w:t>2.按时供暖</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供热站数量</w:t>
            </w:r>
          </w:p>
        </w:tc>
        <w:tc>
          <w:tcPr>
            <w:tcW w:w="2835" w:type="dxa"/>
            <w:vAlign w:val="center"/>
          </w:tcPr>
          <w:p>
            <w:pPr>
              <w:pStyle w:val="27"/>
            </w:pPr>
            <w:r>
              <w:t>建设供热站数量</w:t>
            </w:r>
          </w:p>
        </w:tc>
        <w:tc>
          <w:tcPr>
            <w:tcW w:w="2551" w:type="dxa"/>
            <w:vAlign w:val="center"/>
          </w:tcPr>
          <w:p>
            <w:pPr>
              <w:pStyle w:val="27"/>
            </w:pPr>
            <w:r>
              <w:t>≥1座</w:t>
            </w:r>
          </w:p>
        </w:tc>
        <w:tc>
          <w:tcPr>
            <w:tcW w:w="2268" w:type="dxa"/>
            <w:vAlign w:val="center"/>
          </w:tcPr>
          <w:p>
            <w:pPr>
              <w:pStyle w:val="27"/>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工程验收合格</w:t>
            </w:r>
          </w:p>
        </w:tc>
        <w:tc>
          <w:tcPr>
            <w:tcW w:w="2835" w:type="dxa"/>
            <w:vAlign w:val="center"/>
          </w:tcPr>
          <w:p>
            <w:pPr>
              <w:pStyle w:val="27"/>
            </w:pPr>
            <w:r>
              <w:t>工程质量符合验收标准</w:t>
            </w:r>
          </w:p>
        </w:tc>
        <w:tc>
          <w:tcPr>
            <w:tcW w:w="2551" w:type="dxa"/>
            <w:vAlign w:val="center"/>
          </w:tcPr>
          <w:p>
            <w:pPr>
              <w:pStyle w:val="27"/>
            </w:pPr>
            <w:r>
              <w:t>≥90%</w:t>
            </w:r>
          </w:p>
        </w:tc>
        <w:tc>
          <w:tcPr>
            <w:tcW w:w="2268" w:type="dxa"/>
            <w:vAlign w:val="center"/>
          </w:tcPr>
          <w:p>
            <w:pPr>
              <w:pStyle w:val="27"/>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按时完工</w:t>
            </w:r>
          </w:p>
        </w:tc>
        <w:tc>
          <w:tcPr>
            <w:tcW w:w="2835" w:type="dxa"/>
            <w:vAlign w:val="center"/>
          </w:tcPr>
          <w:p>
            <w:pPr>
              <w:pStyle w:val="27"/>
            </w:pPr>
            <w:r>
              <w:t>供暖前完工</w:t>
            </w:r>
          </w:p>
        </w:tc>
        <w:tc>
          <w:tcPr>
            <w:tcW w:w="2551" w:type="dxa"/>
            <w:vAlign w:val="center"/>
          </w:tcPr>
          <w:p>
            <w:pPr>
              <w:pStyle w:val="27"/>
            </w:pPr>
            <w:r>
              <w:t>≥90%</w:t>
            </w:r>
          </w:p>
        </w:tc>
        <w:tc>
          <w:tcPr>
            <w:tcW w:w="2268" w:type="dxa"/>
            <w:vAlign w:val="center"/>
          </w:tcPr>
          <w:p>
            <w:pPr>
              <w:pStyle w:val="27"/>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控制预算数</w:t>
            </w:r>
          </w:p>
        </w:tc>
        <w:tc>
          <w:tcPr>
            <w:tcW w:w="2835" w:type="dxa"/>
            <w:vAlign w:val="center"/>
          </w:tcPr>
          <w:p>
            <w:pPr>
              <w:pStyle w:val="27"/>
            </w:pPr>
            <w:r>
              <w:t>控制在年初预算范围内</w:t>
            </w:r>
          </w:p>
        </w:tc>
        <w:tc>
          <w:tcPr>
            <w:tcW w:w="2551" w:type="dxa"/>
            <w:vAlign w:val="center"/>
          </w:tcPr>
          <w:p>
            <w:pPr>
              <w:pStyle w:val="27"/>
            </w:pPr>
            <w:r>
              <w:t>控制在年初预算范围内</w:t>
            </w:r>
          </w:p>
        </w:tc>
        <w:tc>
          <w:tcPr>
            <w:tcW w:w="2268" w:type="dxa"/>
            <w:vAlign w:val="center"/>
          </w:tcPr>
          <w:p>
            <w:pPr>
              <w:pStyle w:val="27"/>
            </w:pPr>
            <w:r>
              <w:t>以评审结果书为准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保障供暖</w:t>
            </w:r>
          </w:p>
        </w:tc>
        <w:tc>
          <w:tcPr>
            <w:tcW w:w="2835" w:type="dxa"/>
            <w:vAlign w:val="center"/>
          </w:tcPr>
          <w:p>
            <w:pPr>
              <w:pStyle w:val="27"/>
            </w:pPr>
            <w:r>
              <w:t>集中供热区域内居民正常按时取暖</w:t>
            </w:r>
          </w:p>
        </w:tc>
        <w:tc>
          <w:tcPr>
            <w:tcW w:w="2551" w:type="dxa"/>
            <w:vAlign w:val="center"/>
          </w:tcPr>
          <w:p>
            <w:pPr>
              <w:pStyle w:val="27"/>
            </w:pPr>
            <w:r>
              <w:t>保证正常供暖</w:t>
            </w:r>
          </w:p>
        </w:tc>
        <w:tc>
          <w:tcPr>
            <w:tcW w:w="2268" w:type="dxa"/>
            <w:vAlign w:val="center"/>
          </w:tcPr>
          <w:p>
            <w:pPr>
              <w:pStyle w:val="27"/>
            </w:pPr>
            <w:r>
              <w:t>实际反馈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供暖满意度</w:t>
            </w:r>
          </w:p>
        </w:tc>
        <w:tc>
          <w:tcPr>
            <w:tcW w:w="2835" w:type="dxa"/>
            <w:vAlign w:val="center"/>
          </w:tcPr>
          <w:p>
            <w:pPr>
              <w:pStyle w:val="27"/>
            </w:pPr>
            <w:r>
              <w:t>群众供暖满意情况</w:t>
            </w:r>
          </w:p>
        </w:tc>
        <w:tc>
          <w:tcPr>
            <w:tcW w:w="2551" w:type="dxa"/>
            <w:vAlign w:val="center"/>
          </w:tcPr>
          <w:p>
            <w:pPr>
              <w:pStyle w:val="27"/>
            </w:pPr>
            <w:r>
              <w:t>≥85%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20、房产交易中心物业费绩效目标表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1.实现房产交易中心后勤保障工作。</w:t>
            </w:r>
          </w:p>
          <w:p>
            <w:pPr>
              <w:pStyle w:val="27"/>
            </w:pPr>
            <w:r>
              <w:t>2.使房产市场规范、有序、健康发展。</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所需支付物业费数量</w:t>
            </w:r>
          </w:p>
        </w:tc>
        <w:tc>
          <w:tcPr>
            <w:tcW w:w="2835" w:type="dxa"/>
            <w:vAlign w:val="center"/>
          </w:tcPr>
          <w:p>
            <w:pPr>
              <w:pStyle w:val="27"/>
            </w:pPr>
            <w:r>
              <w:t>支付全年物业费</w:t>
            </w:r>
          </w:p>
        </w:tc>
        <w:tc>
          <w:tcPr>
            <w:tcW w:w="2551" w:type="dxa"/>
            <w:vAlign w:val="center"/>
          </w:tcPr>
          <w:p>
            <w:pPr>
              <w:pStyle w:val="27"/>
            </w:pPr>
            <w:r>
              <w:t>1年</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保障我区房产交易中心工作持续运转</w:t>
            </w:r>
          </w:p>
        </w:tc>
        <w:tc>
          <w:tcPr>
            <w:tcW w:w="2835" w:type="dxa"/>
            <w:vAlign w:val="center"/>
          </w:tcPr>
          <w:p>
            <w:pPr>
              <w:pStyle w:val="27"/>
            </w:pPr>
            <w:r>
              <w:t>房产交易中心工作持续开展，秩序稳定，信息畅通。</w:t>
            </w:r>
          </w:p>
        </w:tc>
        <w:tc>
          <w:tcPr>
            <w:tcW w:w="2551" w:type="dxa"/>
            <w:vAlign w:val="center"/>
          </w:tcPr>
          <w:p>
            <w:pPr>
              <w:pStyle w:val="27"/>
            </w:pPr>
            <w:r>
              <w:t>≥90%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按时完成情况</w:t>
            </w:r>
          </w:p>
        </w:tc>
        <w:tc>
          <w:tcPr>
            <w:tcW w:w="2835" w:type="dxa"/>
            <w:vAlign w:val="center"/>
          </w:tcPr>
          <w:p>
            <w:pPr>
              <w:pStyle w:val="27"/>
            </w:pPr>
            <w:r>
              <w:t>按照合同规定时间节点完成支付</w:t>
            </w:r>
          </w:p>
        </w:tc>
        <w:tc>
          <w:tcPr>
            <w:tcW w:w="2551" w:type="dxa"/>
            <w:vAlign w:val="center"/>
          </w:tcPr>
          <w:p>
            <w:pPr>
              <w:pStyle w:val="27"/>
            </w:pPr>
            <w:r>
              <w:t>及时完成</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房产交易中心物业费成本</w:t>
            </w:r>
          </w:p>
        </w:tc>
        <w:tc>
          <w:tcPr>
            <w:tcW w:w="2551" w:type="dxa"/>
            <w:vAlign w:val="center"/>
          </w:tcPr>
          <w:p>
            <w:pPr>
              <w:pStyle w:val="27"/>
            </w:pPr>
            <w:r>
              <w:t>≤13.5万元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按时完成房产交易工作，对房产市场规范有序、健康起到促进作用</w:t>
            </w:r>
          </w:p>
        </w:tc>
        <w:tc>
          <w:tcPr>
            <w:tcW w:w="2835" w:type="dxa"/>
            <w:vAlign w:val="center"/>
          </w:tcPr>
          <w:p>
            <w:pPr>
              <w:pStyle w:val="27"/>
            </w:pPr>
            <w:r>
              <w:t>房产交易中心完成政府交给的各项任务，提升工作效率，实现高效服务。</w:t>
            </w:r>
          </w:p>
        </w:tc>
        <w:tc>
          <w:tcPr>
            <w:tcW w:w="2551" w:type="dxa"/>
            <w:vAlign w:val="center"/>
          </w:tcPr>
          <w:p>
            <w:pPr>
              <w:pStyle w:val="27"/>
            </w:pPr>
            <w:r>
              <w:t>≥90%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群众满意数量占总数的比例。</w:t>
            </w:r>
          </w:p>
        </w:tc>
        <w:tc>
          <w:tcPr>
            <w:tcW w:w="2551" w:type="dxa"/>
            <w:vAlign w:val="center"/>
          </w:tcPr>
          <w:p>
            <w:pPr>
              <w:pStyle w:val="27"/>
            </w:pPr>
            <w:r>
              <w:t>≥90%</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21、房产交易中心招聘人员劳务费绩效目标表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1.保障工作人员劳务费支出，提高服务质量。</w:t>
            </w:r>
          </w:p>
          <w:p>
            <w:pPr>
              <w:pStyle w:val="27"/>
            </w:pPr>
            <w:r>
              <w:t>2.保障单位正常运行。</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支出人数</w:t>
            </w:r>
          </w:p>
        </w:tc>
        <w:tc>
          <w:tcPr>
            <w:tcW w:w="2835" w:type="dxa"/>
            <w:vAlign w:val="center"/>
          </w:tcPr>
          <w:p>
            <w:pPr>
              <w:pStyle w:val="27"/>
            </w:pPr>
            <w:r>
              <w:t>7人劳务费</w:t>
            </w:r>
          </w:p>
        </w:tc>
        <w:tc>
          <w:tcPr>
            <w:tcW w:w="2551" w:type="dxa"/>
            <w:vAlign w:val="center"/>
          </w:tcPr>
          <w:p>
            <w:pPr>
              <w:pStyle w:val="27"/>
            </w:pPr>
            <w:r>
              <w:t>7人</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工作质量</w:t>
            </w:r>
          </w:p>
        </w:tc>
        <w:tc>
          <w:tcPr>
            <w:tcW w:w="2835" w:type="dxa"/>
            <w:vAlign w:val="center"/>
          </w:tcPr>
          <w:p>
            <w:pPr>
              <w:pStyle w:val="27"/>
            </w:pPr>
            <w:r>
              <w:t>提高工作效率，保证工作质量</w:t>
            </w:r>
          </w:p>
        </w:tc>
        <w:tc>
          <w:tcPr>
            <w:tcW w:w="2551" w:type="dxa"/>
            <w:vAlign w:val="center"/>
          </w:tcPr>
          <w:p>
            <w:pPr>
              <w:pStyle w:val="27"/>
            </w:pPr>
            <w:r>
              <w:t>100%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及时率</w:t>
            </w:r>
          </w:p>
        </w:tc>
        <w:tc>
          <w:tcPr>
            <w:tcW w:w="2835" w:type="dxa"/>
            <w:vAlign w:val="center"/>
          </w:tcPr>
          <w:p>
            <w:pPr>
              <w:pStyle w:val="27"/>
            </w:pPr>
            <w:r>
              <w:t>工作人员劳务费按时支出情况</w:t>
            </w:r>
          </w:p>
        </w:tc>
        <w:tc>
          <w:tcPr>
            <w:tcW w:w="2551" w:type="dxa"/>
            <w:vAlign w:val="center"/>
          </w:tcPr>
          <w:p>
            <w:pPr>
              <w:pStyle w:val="27"/>
            </w:pPr>
            <w:r>
              <w:t>≥95%</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房产交易中心招聘人员劳务费成本</w:t>
            </w:r>
          </w:p>
        </w:tc>
        <w:tc>
          <w:tcPr>
            <w:tcW w:w="2551" w:type="dxa"/>
            <w:vAlign w:val="center"/>
          </w:tcPr>
          <w:p>
            <w:pPr>
              <w:pStyle w:val="27"/>
            </w:pPr>
            <w:r>
              <w:t>≤30.42万元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单位正常运行率</w:t>
            </w:r>
          </w:p>
        </w:tc>
        <w:tc>
          <w:tcPr>
            <w:tcW w:w="2835" w:type="dxa"/>
            <w:vAlign w:val="center"/>
          </w:tcPr>
          <w:p>
            <w:pPr>
              <w:pStyle w:val="27"/>
            </w:pPr>
            <w:r>
              <w:t>保障单位正常运行</w:t>
            </w:r>
          </w:p>
        </w:tc>
        <w:tc>
          <w:tcPr>
            <w:tcW w:w="2551" w:type="dxa"/>
            <w:vAlign w:val="center"/>
          </w:tcPr>
          <w:p>
            <w:pPr>
              <w:pStyle w:val="27"/>
            </w:pPr>
            <w:r>
              <w:t>≥95%</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实际受益人调查中，满意和较满意的人数占全部调查人数的比率</w:t>
            </w:r>
          </w:p>
        </w:tc>
        <w:tc>
          <w:tcPr>
            <w:tcW w:w="2551" w:type="dxa"/>
            <w:vAlign w:val="center"/>
          </w:tcPr>
          <w:p>
            <w:pPr>
              <w:pStyle w:val="27"/>
            </w:pPr>
            <w:r>
              <w:t>≥95%</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22、房产交易中心租赁办公用房租金绩效目标表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1.保障房产交易中心正常开展工作。</w:t>
            </w:r>
          </w:p>
          <w:p>
            <w:pPr>
              <w:pStyle w:val="27"/>
            </w:pPr>
            <w:r>
              <w:t>2.使房产市场规范、有序、健康发展。</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数量指标</w:t>
            </w:r>
          </w:p>
        </w:tc>
        <w:tc>
          <w:tcPr>
            <w:tcW w:w="2835" w:type="dxa"/>
            <w:vAlign w:val="center"/>
          </w:tcPr>
          <w:p>
            <w:pPr>
              <w:pStyle w:val="27"/>
            </w:pPr>
            <w:r>
              <w:t>租赁面积</w:t>
            </w:r>
          </w:p>
        </w:tc>
        <w:tc>
          <w:tcPr>
            <w:tcW w:w="2551" w:type="dxa"/>
            <w:vAlign w:val="center"/>
          </w:tcPr>
          <w:p>
            <w:pPr>
              <w:pStyle w:val="27"/>
            </w:pPr>
            <w:r>
              <w:t>≥299.24平方米</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保障房产交易中心工作持续运转</w:t>
            </w:r>
          </w:p>
        </w:tc>
        <w:tc>
          <w:tcPr>
            <w:tcW w:w="2835" w:type="dxa"/>
            <w:vAlign w:val="center"/>
          </w:tcPr>
          <w:p>
            <w:pPr>
              <w:pStyle w:val="27"/>
            </w:pPr>
            <w:r>
              <w:t>房产交易中心工作持续开展，秩序稳定，信息畅通。</w:t>
            </w:r>
          </w:p>
        </w:tc>
        <w:tc>
          <w:tcPr>
            <w:tcW w:w="2551" w:type="dxa"/>
            <w:vAlign w:val="center"/>
          </w:tcPr>
          <w:p>
            <w:pPr>
              <w:pStyle w:val="27"/>
            </w:pPr>
            <w:r>
              <w:t>≥90%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按时完成情况</w:t>
            </w:r>
          </w:p>
        </w:tc>
        <w:tc>
          <w:tcPr>
            <w:tcW w:w="2835" w:type="dxa"/>
            <w:vAlign w:val="center"/>
          </w:tcPr>
          <w:p>
            <w:pPr>
              <w:pStyle w:val="27"/>
            </w:pPr>
            <w:r>
              <w:t>按照合同规定时间节点完成支付</w:t>
            </w:r>
          </w:p>
        </w:tc>
        <w:tc>
          <w:tcPr>
            <w:tcW w:w="2551" w:type="dxa"/>
            <w:vAlign w:val="center"/>
          </w:tcPr>
          <w:p>
            <w:pPr>
              <w:pStyle w:val="27"/>
            </w:pPr>
            <w:r>
              <w:t>及时完成</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控制预算数</w:t>
            </w:r>
          </w:p>
        </w:tc>
        <w:tc>
          <w:tcPr>
            <w:tcW w:w="2835" w:type="dxa"/>
            <w:vAlign w:val="center"/>
          </w:tcPr>
          <w:p>
            <w:pPr>
              <w:pStyle w:val="27"/>
            </w:pPr>
            <w:r>
              <w:t>控制在年初预算范围内</w:t>
            </w:r>
          </w:p>
        </w:tc>
        <w:tc>
          <w:tcPr>
            <w:tcW w:w="2551" w:type="dxa"/>
            <w:vAlign w:val="center"/>
          </w:tcPr>
          <w:p>
            <w:pPr>
              <w:pStyle w:val="27"/>
            </w:pPr>
            <w:r>
              <w:t>控制在年初预算范围内</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社会效益指标</w:t>
            </w:r>
          </w:p>
        </w:tc>
        <w:tc>
          <w:tcPr>
            <w:tcW w:w="2835" w:type="dxa"/>
            <w:vAlign w:val="center"/>
          </w:tcPr>
          <w:p>
            <w:pPr>
              <w:pStyle w:val="27"/>
            </w:pPr>
            <w:r>
              <w:t>按时完成房产交易工作，对房产市场规范有序、健康起到促进作用</w:t>
            </w:r>
          </w:p>
        </w:tc>
        <w:tc>
          <w:tcPr>
            <w:tcW w:w="2551" w:type="dxa"/>
            <w:vAlign w:val="center"/>
          </w:tcPr>
          <w:p>
            <w:pPr>
              <w:pStyle w:val="27"/>
            </w:pPr>
            <w:r>
              <w:t>≥90%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服务对象满意度指标</w:t>
            </w:r>
          </w:p>
        </w:tc>
        <w:tc>
          <w:tcPr>
            <w:tcW w:w="2835" w:type="dxa"/>
            <w:vAlign w:val="center"/>
          </w:tcPr>
          <w:p>
            <w:pPr>
              <w:pStyle w:val="27"/>
            </w:pPr>
            <w:r>
              <w:t>服务对象满意度</w:t>
            </w:r>
          </w:p>
        </w:tc>
        <w:tc>
          <w:tcPr>
            <w:tcW w:w="2551" w:type="dxa"/>
            <w:vAlign w:val="center"/>
          </w:tcPr>
          <w:p>
            <w:pPr>
              <w:pStyle w:val="27"/>
            </w:pPr>
            <w:r>
              <w:t>≥90%</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23、工业路东伸及尚东街南延工程绩效目标表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1.提升城市交通能力，畅通主干路</w:t>
            </w:r>
          </w:p>
          <w:p>
            <w:pPr>
              <w:pStyle w:val="27"/>
            </w:pPr>
            <w:r>
              <w:t>2.完善城区照明设施</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工程量完成率</w:t>
            </w:r>
          </w:p>
        </w:tc>
        <w:tc>
          <w:tcPr>
            <w:tcW w:w="2835" w:type="dxa"/>
            <w:vAlign w:val="center"/>
          </w:tcPr>
          <w:p>
            <w:pPr>
              <w:pStyle w:val="27"/>
            </w:pPr>
            <w:r>
              <w:t>实际完成工程连占计划完成工程量的比率</w:t>
            </w:r>
          </w:p>
        </w:tc>
        <w:tc>
          <w:tcPr>
            <w:tcW w:w="2551" w:type="dxa"/>
            <w:vAlign w:val="center"/>
          </w:tcPr>
          <w:p>
            <w:pPr>
              <w:pStyle w:val="27"/>
            </w:pPr>
            <w:r>
              <w:t>≥90%</w:t>
            </w:r>
          </w:p>
        </w:tc>
        <w:tc>
          <w:tcPr>
            <w:tcW w:w="2268" w:type="dxa"/>
            <w:vAlign w:val="center"/>
          </w:tcPr>
          <w:p>
            <w:pPr>
              <w:pStyle w:val="27"/>
            </w:pPr>
            <w:r>
              <w:t>竣工验收证书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工程验收合格率</w:t>
            </w:r>
          </w:p>
        </w:tc>
        <w:tc>
          <w:tcPr>
            <w:tcW w:w="2835" w:type="dxa"/>
            <w:vAlign w:val="center"/>
          </w:tcPr>
          <w:p>
            <w:pPr>
              <w:pStyle w:val="27"/>
            </w:pPr>
            <w:r>
              <w:t>通过验收的工程量占建设、改造、修缮总量的比率。</w:t>
            </w:r>
          </w:p>
        </w:tc>
        <w:tc>
          <w:tcPr>
            <w:tcW w:w="2551" w:type="dxa"/>
            <w:vAlign w:val="center"/>
          </w:tcPr>
          <w:p>
            <w:pPr>
              <w:pStyle w:val="27"/>
            </w:pPr>
            <w:r>
              <w:t>≥90%</w:t>
            </w:r>
          </w:p>
        </w:tc>
        <w:tc>
          <w:tcPr>
            <w:tcW w:w="2268" w:type="dxa"/>
            <w:vAlign w:val="center"/>
          </w:tcPr>
          <w:p>
            <w:pPr>
              <w:pStyle w:val="27"/>
            </w:pPr>
            <w:r>
              <w:t>市政工程验评标准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按时完工</w:t>
            </w:r>
          </w:p>
        </w:tc>
        <w:tc>
          <w:tcPr>
            <w:tcW w:w="2835" w:type="dxa"/>
            <w:vAlign w:val="center"/>
          </w:tcPr>
          <w:p>
            <w:pPr>
              <w:pStyle w:val="27"/>
            </w:pPr>
            <w:r>
              <w:t>按时完工</w:t>
            </w:r>
          </w:p>
        </w:tc>
        <w:tc>
          <w:tcPr>
            <w:tcW w:w="2551" w:type="dxa"/>
            <w:vAlign w:val="center"/>
          </w:tcPr>
          <w:p>
            <w:pPr>
              <w:pStyle w:val="27"/>
            </w:pPr>
            <w:r>
              <w:t>按照合同时间完工</w:t>
            </w:r>
          </w:p>
        </w:tc>
        <w:tc>
          <w:tcPr>
            <w:tcW w:w="2268" w:type="dxa"/>
            <w:vAlign w:val="center"/>
          </w:tcPr>
          <w:p>
            <w:pPr>
              <w:pStyle w:val="27"/>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工业路东伸及尚东街南延工程成本</w:t>
            </w:r>
          </w:p>
        </w:tc>
        <w:tc>
          <w:tcPr>
            <w:tcW w:w="2551" w:type="dxa"/>
            <w:vAlign w:val="center"/>
          </w:tcPr>
          <w:p>
            <w:pPr>
              <w:pStyle w:val="27"/>
            </w:pPr>
            <w:r>
              <w:t>≤54.34万元</w:t>
            </w:r>
          </w:p>
        </w:tc>
        <w:tc>
          <w:tcPr>
            <w:tcW w:w="2268" w:type="dxa"/>
            <w:vAlign w:val="center"/>
          </w:tcPr>
          <w:p>
            <w:pPr>
              <w:pStyle w:val="27"/>
            </w:pPr>
            <w:r>
              <w:t>以评审结果书为准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解决居民安全出行</w:t>
            </w:r>
          </w:p>
        </w:tc>
        <w:tc>
          <w:tcPr>
            <w:tcW w:w="2835" w:type="dxa"/>
            <w:vAlign w:val="center"/>
          </w:tcPr>
          <w:p>
            <w:pPr>
              <w:pStyle w:val="27"/>
            </w:pPr>
            <w:r>
              <w:t>连通工业路至育才路安装交通设施</w:t>
            </w:r>
          </w:p>
        </w:tc>
        <w:tc>
          <w:tcPr>
            <w:tcW w:w="2551" w:type="dxa"/>
            <w:vAlign w:val="center"/>
          </w:tcPr>
          <w:p>
            <w:pPr>
              <w:pStyle w:val="27"/>
            </w:pPr>
            <w:r>
              <w:t>解决居民安全出行</w:t>
            </w:r>
          </w:p>
        </w:tc>
        <w:tc>
          <w:tcPr>
            <w:tcW w:w="2268" w:type="dxa"/>
            <w:vAlign w:val="center"/>
          </w:tcPr>
          <w:p>
            <w:pPr>
              <w:pStyle w:val="27"/>
            </w:pPr>
            <w:r>
              <w:t>现场查看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受益群众满意度</w:t>
            </w:r>
          </w:p>
        </w:tc>
        <w:tc>
          <w:tcPr>
            <w:tcW w:w="2835" w:type="dxa"/>
            <w:vAlign w:val="center"/>
          </w:tcPr>
          <w:p>
            <w:pPr>
              <w:pStyle w:val="27"/>
            </w:pPr>
            <w:r>
              <w:t>服务群体调查中满意度和较满意度的人数占全部调查人数的比率</w:t>
            </w:r>
          </w:p>
        </w:tc>
        <w:tc>
          <w:tcPr>
            <w:tcW w:w="2551" w:type="dxa"/>
            <w:vAlign w:val="center"/>
          </w:tcPr>
          <w:p>
            <w:pPr>
              <w:pStyle w:val="27"/>
            </w:pPr>
            <w:r>
              <w:t>≥85%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24、工业路中段供热站绩效目标表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1.工业路中段供热站建设完成</w:t>
            </w:r>
          </w:p>
          <w:p>
            <w:pPr>
              <w:pStyle w:val="27"/>
            </w:pPr>
            <w:r>
              <w:t>2.按时供暖</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配套供热管道长度</w:t>
            </w:r>
          </w:p>
        </w:tc>
        <w:tc>
          <w:tcPr>
            <w:tcW w:w="2835" w:type="dxa"/>
            <w:vAlign w:val="center"/>
          </w:tcPr>
          <w:p>
            <w:pPr>
              <w:pStyle w:val="27"/>
            </w:pPr>
            <w:r>
              <w:t>实际铺设管道长度</w:t>
            </w:r>
          </w:p>
        </w:tc>
        <w:tc>
          <w:tcPr>
            <w:tcW w:w="2551" w:type="dxa"/>
            <w:vAlign w:val="center"/>
          </w:tcPr>
          <w:p>
            <w:pPr>
              <w:pStyle w:val="27"/>
            </w:pPr>
            <w:r>
              <w:t>≥8000米</w:t>
            </w:r>
          </w:p>
        </w:tc>
        <w:tc>
          <w:tcPr>
            <w:tcW w:w="2268" w:type="dxa"/>
            <w:vAlign w:val="center"/>
          </w:tcPr>
          <w:p>
            <w:pPr>
              <w:pStyle w:val="27"/>
            </w:pPr>
            <w:r>
              <w:t>可行性研究报告的批复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工程验收合格</w:t>
            </w:r>
          </w:p>
        </w:tc>
        <w:tc>
          <w:tcPr>
            <w:tcW w:w="2835" w:type="dxa"/>
            <w:vAlign w:val="center"/>
          </w:tcPr>
          <w:p>
            <w:pPr>
              <w:pStyle w:val="27"/>
            </w:pPr>
            <w:r>
              <w:t>工程质量符合验收标准</w:t>
            </w:r>
          </w:p>
        </w:tc>
        <w:tc>
          <w:tcPr>
            <w:tcW w:w="2551" w:type="dxa"/>
            <w:vAlign w:val="center"/>
          </w:tcPr>
          <w:p>
            <w:pPr>
              <w:pStyle w:val="27"/>
            </w:pPr>
            <w:r>
              <w:t>100%</w:t>
            </w:r>
          </w:p>
        </w:tc>
        <w:tc>
          <w:tcPr>
            <w:tcW w:w="2268" w:type="dxa"/>
            <w:vAlign w:val="center"/>
          </w:tcPr>
          <w:p>
            <w:pPr>
              <w:pStyle w:val="27"/>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项目按时完工率</w:t>
            </w:r>
          </w:p>
        </w:tc>
        <w:tc>
          <w:tcPr>
            <w:tcW w:w="2835" w:type="dxa"/>
            <w:vAlign w:val="center"/>
          </w:tcPr>
          <w:p>
            <w:pPr>
              <w:pStyle w:val="27"/>
            </w:pPr>
            <w:r>
              <w:t>项目按时完工率</w:t>
            </w:r>
          </w:p>
        </w:tc>
        <w:tc>
          <w:tcPr>
            <w:tcW w:w="2551" w:type="dxa"/>
            <w:vAlign w:val="center"/>
          </w:tcPr>
          <w:p>
            <w:pPr>
              <w:pStyle w:val="27"/>
            </w:pPr>
            <w:r>
              <w:t>100%</w:t>
            </w:r>
          </w:p>
        </w:tc>
        <w:tc>
          <w:tcPr>
            <w:tcW w:w="2268" w:type="dxa"/>
            <w:vAlign w:val="center"/>
          </w:tcPr>
          <w:p>
            <w:pPr>
              <w:pStyle w:val="27"/>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控制预算数</w:t>
            </w:r>
          </w:p>
        </w:tc>
        <w:tc>
          <w:tcPr>
            <w:tcW w:w="2835" w:type="dxa"/>
            <w:vAlign w:val="center"/>
          </w:tcPr>
          <w:p>
            <w:pPr>
              <w:pStyle w:val="27"/>
            </w:pPr>
            <w:r>
              <w:t>控制在年初预算范围内</w:t>
            </w:r>
          </w:p>
        </w:tc>
        <w:tc>
          <w:tcPr>
            <w:tcW w:w="2551" w:type="dxa"/>
            <w:vAlign w:val="center"/>
          </w:tcPr>
          <w:p>
            <w:pPr>
              <w:pStyle w:val="27"/>
            </w:pPr>
            <w:r>
              <w:t>控制在年初预算范围内</w:t>
            </w:r>
          </w:p>
        </w:tc>
        <w:tc>
          <w:tcPr>
            <w:tcW w:w="2268" w:type="dxa"/>
            <w:vAlign w:val="center"/>
          </w:tcPr>
          <w:p>
            <w:pPr>
              <w:pStyle w:val="27"/>
            </w:pPr>
            <w:r>
              <w:t>以评审结果书为准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保障供暖</w:t>
            </w:r>
          </w:p>
        </w:tc>
        <w:tc>
          <w:tcPr>
            <w:tcW w:w="2835" w:type="dxa"/>
            <w:vAlign w:val="center"/>
          </w:tcPr>
          <w:p>
            <w:pPr>
              <w:pStyle w:val="27"/>
            </w:pPr>
            <w:r>
              <w:t>集中供热区域内居民正常按时取暖</w:t>
            </w:r>
          </w:p>
        </w:tc>
        <w:tc>
          <w:tcPr>
            <w:tcW w:w="2551" w:type="dxa"/>
            <w:vAlign w:val="center"/>
          </w:tcPr>
          <w:p>
            <w:pPr>
              <w:pStyle w:val="27"/>
            </w:pPr>
            <w:r>
              <w:t>保证正常供暖</w:t>
            </w:r>
          </w:p>
        </w:tc>
        <w:tc>
          <w:tcPr>
            <w:tcW w:w="2268" w:type="dxa"/>
            <w:vAlign w:val="center"/>
          </w:tcPr>
          <w:p>
            <w:pPr>
              <w:pStyle w:val="27"/>
            </w:pPr>
            <w:r>
              <w:t>实际反馈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供暖满意度</w:t>
            </w:r>
          </w:p>
        </w:tc>
        <w:tc>
          <w:tcPr>
            <w:tcW w:w="2835" w:type="dxa"/>
            <w:vAlign w:val="center"/>
          </w:tcPr>
          <w:p>
            <w:pPr>
              <w:pStyle w:val="27"/>
            </w:pPr>
            <w:r>
              <w:t>群众供暖满意情况</w:t>
            </w:r>
          </w:p>
        </w:tc>
        <w:tc>
          <w:tcPr>
            <w:tcW w:w="2551" w:type="dxa"/>
            <w:vAlign w:val="center"/>
          </w:tcPr>
          <w:p>
            <w:pPr>
              <w:pStyle w:val="27"/>
            </w:pPr>
            <w:r>
              <w:t>≥85%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25、公共保障性住房管理费用及维护费用绩效目标表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1.根据《石家庄市市级公共保障性住房租金，资产管理暂行办法》石财综【2015】25号，申请从公共保障性住房租金中列支管理费用和维护费用。</w:t>
            </w:r>
          </w:p>
          <w:p>
            <w:pPr>
              <w:pStyle w:val="27"/>
            </w:pPr>
            <w:r>
              <w:t>2.保障公租房日常工作正常进行，住户正常居住。</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保障我区住房保障管理工作持续运转</w:t>
            </w:r>
          </w:p>
        </w:tc>
        <w:tc>
          <w:tcPr>
            <w:tcW w:w="2835" w:type="dxa"/>
            <w:vAlign w:val="center"/>
          </w:tcPr>
          <w:p>
            <w:pPr>
              <w:pStyle w:val="27"/>
            </w:pPr>
            <w:r>
              <w:t>保障我区住房保障管理工作持续运转</w:t>
            </w:r>
          </w:p>
        </w:tc>
        <w:tc>
          <w:tcPr>
            <w:tcW w:w="2551" w:type="dxa"/>
            <w:vAlign w:val="center"/>
          </w:tcPr>
          <w:p>
            <w:pPr>
              <w:pStyle w:val="27"/>
            </w:pPr>
            <w:r>
              <w:t>≥90%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保障工作人员工作正常运行率</w:t>
            </w:r>
          </w:p>
        </w:tc>
        <w:tc>
          <w:tcPr>
            <w:tcW w:w="2835" w:type="dxa"/>
            <w:vAlign w:val="center"/>
          </w:tcPr>
          <w:p>
            <w:pPr>
              <w:pStyle w:val="27"/>
            </w:pPr>
            <w:r>
              <w:t>对我区公租房日常管理及维修</w:t>
            </w:r>
          </w:p>
        </w:tc>
        <w:tc>
          <w:tcPr>
            <w:tcW w:w="2551" w:type="dxa"/>
            <w:vAlign w:val="center"/>
          </w:tcPr>
          <w:p>
            <w:pPr>
              <w:pStyle w:val="27"/>
            </w:pPr>
            <w:r>
              <w:t>≥90%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维修及时率</w:t>
            </w:r>
          </w:p>
        </w:tc>
        <w:tc>
          <w:tcPr>
            <w:tcW w:w="2835" w:type="dxa"/>
            <w:vAlign w:val="center"/>
          </w:tcPr>
          <w:p>
            <w:pPr>
              <w:pStyle w:val="27"/>
            </w:pPr>
            <w:r>
              <w:t>维修及时</w:t>
            </w:r>
          </w:p>
        </w:tc>
        <w:tc>
          <w:tcPr>
            <w:tcW w:w="2551" w:type="dxa"/>
            <w:vAlign w:val="center"/>
          </w:tcPr>
          <w:p>
            <w:pPr>
              <w:pStyle w:val="27"/>
            </w:pPr>
            <w:r>
              <w:t>≥90%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公共保障性住房管理费用及维护费用成本</w:t>
            </w:r>
          </w:p>
        </w:tc>
        <w:tc>
          <w:tcPr>
            <w:tcW w:w="2551" w:type="dxa"/>
            <w:vAlign w:val="center"/>
          </w:tcPr>
          <w:p>
            <w:pPr>
              <w:pStyle w:val="27"/>
            </w:pPr>
            <w:r>
              <w:t>≤108.14万元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确保公租房的整洁、安全，营造良好的生活环境。</w:t>
            </w:r>
          </w:p>
        </w:tc>
        <w:tc>
          <w:tcPr>
            <w:tcW w:w="2835" w:type="dxa"/>
            <w:vAlign w:val="center"/>
          </w:tcPr>
          <w:p>
            <w:pPr>
              <w:pStyle w:val="27"/>
            </w:pPr>
            <w:r>
              <w:t>使住户与小区环境、周边设施等和谐有序的运转</w:t>
            </w:r>
          </w:p>
        </w:tc>
        <w:tc>
          <w:tcPr>
            <w:tcW w:w="2551" w:type="dxa"/>
            <w:vAlign w:val="center"/>
          </w:tcPr>
          <w:p>
            <w:pPr>
              <w:pStyle w:val="27"/>
            </w:pPr>
            <w:r>
              <w:t>居住环境改善程度</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可持续影响指标</w:t>
            </w:r>
          </w:p>
        </w:tc>
        <w:tc>
          <w:tcPr>
            <w:tcW w:w="2835" w:type="dxa"/>
            <w:vAlign w:val="center"/>
          </w:tcPr>
          <w:p>
            <w:pPr>
              <w:pStyle w:val="27"/>
            </w:pPr>
            <w:r>
              <w:t>达到公租房小区内一切运转正常，住房能安居乐业。</w:t>
            </w:r>
          </w:p>
        </w:tc>
        <w:tc>
          <w:tcPr>
            <w:tcW w:w="2835" w:type="dxa"/>
            <w:vAlign w:val="center"/>
          </w:tcPr>
          <w:p>
            <w:pPr>
              <w:pStyle w:val="27"/>
            </w:pPr>
            <w:r>
              <w:t>加强公租房日常使用情况的监管，保证房屋可持续再利用</w:t>
            </w:r>
          </w:p>
        </w:tc>
        <w:tc>
          <w:tcPr>
            <w:tcW w:w="2551" w:type="dxa"/>
            <w:vAlign w:val="center"/>
          </w:tcPr>
          <w:p>
            <w:pPr>
              <w:pStyle w:val="27"/>
            </w:pPr>
            <w:r>
              <w:t>正常运行情况</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w:t>
            </w:r>
          </w:p>
        </w:tc>
        <w:tc>
          <w:tcPr>
            <w:tcW w:w="2835" w:type="dxa"/>
            <w:vAlign w:val="center"/>
          </w:tcPr>
          <w:p>
            <w:pPr>
              <w:pStyle w:val="27"/>
            </w:pPr>
            <w:r>
              <w:t>群众满意度走访调查情况</w:t>
            </w:r>
          </w:p>
        </w:tc>
        <w:tc>
          <w:tcPr>
            <w:tcW w:w="2551" w:type="dxa"/>
            <w:vAlign w:val="center"/>
          </w:tcPr>
          <w:p>
            <w:pPr>
              <w:pStyle w:val="27"/>
            </w:pPr>
            <w:r>
              <w:t>≥90%</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26、河北吉藁化纤有限责任公司供暖区域改造维护费用绩效目标表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1.完成吉藁化纤有限责任公司供暖区域改造维护工作</w:t>
            </w:r>
          </w:p>
          <w:p>
            <w:pPr>
              <w:pStyle w:val="27"/>
            </w:pPr>
            <w:r>
              <w:t>2.保障供暖</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更换维修设备数量</w:t>
            </w:r>
          </w:p>
        </w:tc>
        <w:tc>
          <w:tcPr>
            <w:tcW w:w="2835" w:type="dxa"/>
            <w:vAlign w:val="center"/>
          </w:tcPr>
          <w:p>
            <w:pPr>
              <w:pStyle w:val="27"/>
            </w:pPr>
            <w:r>
              <w:t>更换维修膨胀节8个，维修循环水箱1个，维修循环泵2台。</w:t>
            </w:r>
          </w:p>
        </w:tc>
        <w:tc>
          <w:tcPr>
            <w:tcW w:w="2551" w:type="dxa"/>
            <w:vAlign w:val="center"/>
          </w:tcPr>
          <w:p>
            <w:pPr>
              <w:pStyle w:val="27"/>
            </w:pPr>
            <w:r>
              <w:t>≥1项</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质量合格</w:t>
            </w:r>
          </w:p>
        </w:tc>
        <w:tc>
          <w:tcPr>
            <w:tcW w:w="2835" w:type="dxa"/>
            <w:vAlign w:val="center"/>
          </w:tcPr>
          <w:p>
            <w:pPr>
              <w:pStyle w:val="27"/>
            </w:pPr>
            <w:r>
              <w:t>质量合格，达到使用要求。</w:t>
            </w:r>
          </w:p>
        </w:tc>
        <w:tc>
          <w:tcPr>
            <w:tcW w:w="2551" w:type="dxa"/>
            <w:vAlign w:val="center"/>
          </w:tcPr>
          <w:p>
            <w:pPr>
              <w:pStyle w:val="27"/>
            </w:pPr>
            <w:r>
              <w:t>实际使用情况</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w:t>
            </w:r>
          </w:p>
        </w:tc>
        <w:tc>
          <w:tcPr>
            <w:tcW w:w="2835" w:type="dxa"/>
            <w:vAlign w:val="center"/>
          </w:tcPr>
          <w:p>
            <w:pPr>
              <w:pStyle w:val="27"/>
            </w:pPr>
            <w:r>
              <w:t>按时完成</w:t>
            </w:r>
          </w:p>
        </w:tc>
        <w:tc>
          <w:tcPr>
            <w:tcW w:w="2551" w:type="dxa"/>
            <w:vAlign w:val="center"/>
          </w:tcPr>
          <w:p>
            <w:pPr>
              <w:pStyle w:val="27"/>
            </w:pPr>
            <w:r>
              <w:t>实际完成时间</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河北吉藁化纤有限责任公司供暖区域改造维护费用成本</w:t>
            </w:r>
          </w:p>
        </w:tc>
        <w:tc>
          <w:tcPr>
            <w:tcW w:w="2551" w:type="dxa"/>
            <w:vAlign w:val="center"/>
          </w:tcPr>
          <w:p>
            <w:pPr>
              <w:pStyle w:val="27"/>
            </w:pPr>
            <w:r>
              <w:t>≤80万元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保障供暖</w:t>
            </w:r>
          </w:p>
        </w:tc>
        <w:tc>
          <w:tcPr>
            <w:tcW w:w="2835" w:type="dxa"/>
            <w:vAlign w:val="center"/>
          </w:tcPr>
          <w:p>
            <w:pPr>
              <w:pStyle w:val="27"/>
            </w:pPr>
            <w:r>
              <w:t>集中供热区域内居民正常按时取暖</w:t>
            </w:r>
          </w:p>
        </w:tc>
        <w:tc>
          <w:tcPr>
            <w:tcW w:w="2551" w:type="dxa"/>
            <w:vAlign w:val="center"/>
          </w:tcPr>
          <w:p>
            <w:pPr>
              <w:pStyle w:val="27"/>
            </w:pPr>
            <w:r>
              <w:t>实际反馈</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供暖满意度</w:t>
            </w:r>
          </w:p>
        </w:tc>
        <w:tc>
          <w:tcPr>
            <w:tcW w:w="2835" w:type="dxa"/>
            <w:vAlign w:val="center"/>
          </w:tcPr>
          <w:p>
            <w:pPr>
              <w:pStyle w:val="27"/>
            </w:pPr>
            <w:r>
              <w:t>群众供暖满意情况</w:t>
            </w:r>
          </w:p>
        </w:tc>
        <w:tc>
          <w:tcPr>
            <w:tcW w:w="2551" w:type="dxa"/>
            <w:vAlign w:val="center"/>
          </w:tcPr>
          <w:p>
            <w:pPr>
              <w:pStyle w:val="27"/>
            </w:pPr>
            <w:r>
              <w:t>≥85%</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27、吉藁化纤供热老旧管网改造补贴绩效目标表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1.对供热站内设备进行改造，保证正常供暖</w:t>
            </w:r>
          </w:p>
          <w:p>
            <w:pPr>
              <w:pStyle w:val="27"/>
            </w:pPr>
            <w:r>
              <w:t>2.提高供热智能化管理水平，保证高质、高效、供热</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管网长度</w:t>
            </w:r>
          </w:p>
        </w:tc>
        <w:tc>
          <w:tcPr>
            <w:tcW w:w="2835" w:type="dxa"/>
            <w:vAlign w:val="center"/>
          </w:tcPr>
          <w:p>
            <w:pPr>
              <w:pStyle w:val="27"/>
            </w:pPr>
            <w:r>
              <w:t>尚东家园小区；交通局家属楼；东平巷以北区域供暖管道改造</w:t>
            </w:r>
          </w:p>
        </w:tc>
        <w:tc>
          <w:tcPr>
            <w:tcW w:w="2551" w:type="dxa"/>
            <w:vAlign w:val="center"/>
          </w:tcPr>
          <w:p>
            <w:pPr>
              <w:pStyle w:val="27"/>
            </w:pPr>
            <w:r>
              <w:t>≥1400米</w:t>
            </w:r>
          </w:p>
        </w:tc>
        <w:tc>
          <w:tcPr>
            <w:tcW w:w="2268" w:type="dxa"/>
            <w:vAlign w:val="center"/>
          </w:tcPr>
          <w:p>
            <w:pPr>
              <w:pStyle w:val="27"/>
            </w:pPr>
            <w:r>
              <w:t>概算清单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按时完成</w:t>
            </w:r>
          </w:p>
        </w:tc>
        <w:tc>
          <w:tcPr>
            <w:tcW w:w="2835" w:type="dxa"/>
            <w:vAlign w:val="center"/>
          </w:tcPr>
          <w:p>
            <w:pPr>
              <w:pStyle w:val="27"/>
            </w:pPr>
            <w:r>
              <w:t>供暖前完成所有施工</w:t>
            </w:r>
          </w:p>
        </w:tc>
        <w:tc>
          <w:tcPr>
            <w:tcW w:w="2551" w:type="dxa"/>
            <w:vAlign w:val="center"/>
          </w:tcPr>
          <w:p>
            <w:pPr>
              <w:pStyle w:val="27"/>
            </w:pPr>
            <w:r>
              <w:t>100%施工进度</w:t>
            </w:r>
          </w:p>
        </w:tc>
        <w:tc>
          <w:tcPr>
            <w:tcW w:w="2268" w:type="dxa"/>
            <w:vAlign w:val="center"/>
          </w:tcPr>
          <w:p>
            <w:pPr>
              <w:pStyle w:val="27"/>
            </w:pPr>
            <w:r>
              <w:t>完成时限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施工质量</w:t>
            </w:r>
          </w:p>
        </w:tc>
        <w:tc>
          <w:tcPr>
            <w:tcW w:w="2835" w:type="dxa"/>
            <w:vAlign w:val="center"/>
          </w:tcPr>
          <w:p>
            <w:pPr>
              <w:pStyle w:val="27"/>
            </w:pPr>
            <w:r>
              <w:t>设备及管网运行正常</w:t>
            </w:r>
          </w:p>
        </w:tc>
        <w:tc>
          <w:tcPr>
            <w:tcW w:w="2551" w:type="dxa"/>
            <w:vAlign w:val="center"/>
          </w:tcPr>
          <w:p>
            <w:pPr>
              <w:pStyle w:val="27"/>
            </w:pPr>
            <w:r>
              <w:t>100%施工质量</w:t>
            </w:r>
          </w:p>
        </w:tc>
        <w:tc>
          <w:tcPr>
            <w:tcW w:w="2268" w:type="dxa"/>
            <w:vAlign w:val="center"/>
          </w:tcPr>
          <w:p>
            <w:pPr>
              <w:pStyle w:val="27"/>
            </w:pPr>
            <w:r>
              <w:t>运行情况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控制预算数</w:t>
            </w:r>
          </w:p>
        </w:tc>
        <w:tc>
          <w:tcPr>
            <w:tcW w:w="2835" w:type="dxa"/>
            <w:vAlign w:val="center"/>
          </w:tcPr>
          <w:p>
            <w:pPr>
              <w:pStyle w:val="27"/>
            </w:pPr>
            <w:r>
              <w:t>控制在年初预算范围内</w:t>
            </w:r>
          </w:p>
        </w:tc>
        <w:tc>
          <w:tcPr>
            <w:tcW w:w="2551" w:type="dxa"/>
            <w:vAlign w:val="center"/>
          </w:tcPr>
          <w:p>
            <w:pPr>
              <w:pStyle w:val="27"/>
            </w:pPr>
            <w:r>
              <w:t>控制在年初预算范围内</w:t>
            </w:r>
          </w:p>
        </w:tc>
        <w:tc>
          <w:tcPr>
            <w:tcW w:w="2268" w:type="dxa"/>
            <w:vAlign w:val="center"/>
          </w:tcPr>
          <w:p>
            <w:pPr>
              <w:pStyle w:val="27"/>
            </w:pPr>
            <w:r>
              <w:t>以评审结果书为准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保证正常供暖</w:t>
            </w:r>
          </w:p>
        </w:tc>
        <w:tc>
          <w:tcPr>
            <w:tcW w:w="2835" w:type="dxa"/>
            <w:vAlign w:val="center"/>
          </w:tcPr>
          <w:p>
            <w:pPr>
              <w:pStyle w:val="27"/>
            </w:pPr>
            <w:r>
              <w:t>住户室温不低于18℃</w:t>
            </w:r>
          </w:p>
        </w:tc>
        <w:tc>
          <w:tcPr>
            <w:tcW w:w="2551" w:type="dxa"/>
            <w:vAlign w:val="center"/>
          </w:tcPr>
          <w:p>
            <w:pPr>
              <w:pStyle w:val="27"/>
            </w:pPr>
            <w:r>
              <w:t>≥95%供热效果</w:t>
            </w:r>
          </w:p>
        </w:tc>
        <w:tc>
          <w:tcPr>
            <w:tcW w:w="2268" w:type="dxa"/>
            <w:vAlign w:val="center"/>
          </w:tcPr>
          <w:p>
            <w:pPr>
              <w:pStyle w:val="27"/>
            </w:pPr>
            <w:r>
              <w:t>实际测温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供暖满意度</w:t>
            </w:r>
          </w:p>
        </w:tc>
        <w:tc>
          <w:tcPr>
            <w:tcW w:w="2835" w:type="dxa"/>
            <w:vAlign w:val="center"/>
          </w:tcPr>
          <w:p>
            <w:pPr>
              <w:pStyle w:val="27"/>
            </w:pPr>
            <w:r>
              <w:t>住户供暖反映情况</w:t>
            </w:r>
          </w:p>
        </w:tc>
        <w:tc>
          <w:tcPr>
            <w:tcW w:w="2551" w:type="dxa"/>
            <w:vAlign w:val="center"/>
          </w:tcPr>
          <w:p>
            <w:pPr>
              <w:pStyle w:val="27"/>
            </w:pPr>
            <w:r>
              <w:t>≥85%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28、建立区级供热综合调度指挥中心费用绩效目标表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1.建立完成区级供热综合调度指挥中心</w:t>
            </w:r>
          </w:p>
          <w:p>
            <w:pPr>
              <w:pStyle w:val="27"/>
            </w:pPr>
            <w:r>
              <w:t>2.与市级供热综合调度指挥中心建立视频连接</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安装云视频系统数量</w:t>
            </w:r>
          </w:p>
        </w:tc>
        <w:tc>
          <w:tcPr>
            <w:tcW w:w="2835" w:type="dxa"/>
            <w:vAlign w:val="center"/>
          </w:tcPr>
          <w:p>
            <w:pPr>
              <w:pStyle w:val="27"/>
            </w:pPr>
            <w:r>
              <w:t>安装云视频系统数量</w:t>
            </w:r>
          </w:p>
        </w:tc>
        <w:tc>
          <w:tcPr>
            <w:tcW w:w="2551" w:type="dxa"/>
            <w:vAlign w:val="center"/>
          </w:tcPr>
          <w:p>
            <w:pPr>
              <w:pStyle w:val="27"/>
            </w:pPr>
            <w:r>
              <w:t>1项</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质量合格</w:t>
            </w:r>
          </w:p>
        </w:tc>
        <w:tc>
          <w:tcPr>
            <w:tcW w:w="2835" w:type="dxa"/>
            <w:vAlign w:val="center"/>
          </w:tcPr>
          <w:p>
            <w:pPr>
              <w:pStyle w:val="27"/>
            </w:pPr>
            <w:r>
              <w:t>质量合格，达到使用要求。</w:t>
            </w:r>
          </w:p>
        </w:tc>
        <w:tc>
          <w:tcPr>
            <w:tcW w:w="2551" w:type="dxa"/>
            <w:vAlign w:val="center"/>
          </w:tcPr>
          <w:p>
            <w:pPr>
              <w:pStyle w:val="27"/>
            </w:pPr>
            <w:r>
              <w:t>实际使用情况</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w:t>
            </w:r>
          </w:p>
        </w:tc>
        <w:tc>
          <w:tcPr>
            <w:tcW w:w="2835" w:type="dxa"/>
            <w:vAlign w:val="center"/>
          </w:tcPr>
          <w:p>
            <w:pPr>
              <w:pStyle w:val="27"/>
            </w:pPr>
            <w:r>
              <w:t>按时完成</w:t>
            </w:r>
          </w:p>
        </w:tc>
        <w:tc>
          <w:tcPr>
            <w:tcW w:w="2551" w:type="dxa"/>
            <w:vAlign w:val="center"/>
          </w:tcPr>
          <w:p>
            <w:pPr>
              <w:pStyle w:val="27"/>
            </w:pPr>
            <w:r>
              <w:t>实际完成时间</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建立区级供热综合调度指挥中心费用成本</w:t>
            </w:r>
          </w:p>
        </w:tc>
        <w:tc>
          <w:tcPr>
            <w:tcW w:w="2551" w:type="dxa"/>
            <w:vAlign w:val="center"/>
          </w:tcPr>
          <w:p>
            <w:pPr>
              <w:pStyle w:val="27"/>
            </w:pPr>
            <w:r>
              <w:t>≤2万元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保障供暖</w:t>
            </w:r>
          </w:p>
        </w:tc>
        <w:tc>
          <w:tcPr>
            <w:tcW w:w="2835" w:type="dxa"/>
            <w:vAlign w:val="center"/>
          </w:tcPr>
          <w:p>
            <w:pPr>
              <w:pStyle w:val="27"/>
            </w:pPr>
            <w:r>
              <w:t>对集中供热区域实施指挥调度、应急会商，保障居民正常取暖</w:t>
            </w:r>
          </w:p>
        </w:tc>
        <w:tc>
          <w:tcPr>
            <w:tcW w:w="2551" w:type="dxa"/>
            <w:vAlign w:val="center"/>
          </w:tcPr>
          <w:p>
            <w:pPr>
              <w:pStyle w:val="27"/>
            </w:pPr>
            <w:r>
              <w:t>实际反馈</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供暖满意度</w:t>
            </w:r>
          </w:p>
        </w:tc>
        <w:tc>
          <w:tcPr>
            <w:tcW w:w="2835" w:type="dxa"/>
            <w:vAlign w:val="center"/>
          </w:tcPr>
          <w:p>
            <w:pPr>
              <w:pStyle w:val="27"/>
            </w:pPr>
            <w:r>
              <w:t>群众供暖满意情况</w:t>
            </w:r>
          </w:p>
        </w:tc>
        <w:tc>
          <w:tcPr>
            <w:tcW w:w="2551" w:type="dxa"/>
            <w:vAlign w:val="center"/>
          </w:tcPr>
          <w:p>
            <w:pPr>
              <w:pStyle w:val="27"/>
            </w:pPr>
            <w:r>
              <w:t>≥85%</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29、建设工程质量服务站招聘人员劳务费绩效目标表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1.保障工作人员劳务费支出，提高服务质量。</w:t>
            </w:r>
          </w:p>
          <w:p>
            <w:pPr>
              <w:pStyle w:val="27"/>
            </w:pPr>
            <w:r>
              <w:t>2.保障单位正常运行。</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支出人数</w:t>
            </w:r>
          </w:p>
        </w:tc>
        <w:tc>
          <w:tcPr>
            <w:tcW w:w="2835" w:type="dxa"/>
            <w:vAlign w:val="center"/>
          </w:tcPr>
          <w:p>
            <w:pPr>
              <w:pStyle w:val="27"/>
            </w:pPr>
            <w:r>
              <w:t>6人劳务费</w:t>
            </w:r>
          </w:p>
        </w:tc>
        <w:tc>
          <w:tcPr>
            <w:tcW w:w="2551" w:type="dxa"/>
            <w:vAlign w:val="center"/>
          </w:tcPr>
          <w:p>
            <w:pPr>
              <w:pStyle w:val="27"/>
            </w:pPr>
            <w:r>
              <w:t>6人</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工作质量</w:t>
            </w:r>
          </w:p>
        </w:tc>
        <w:tc>
          <w:tcPr>
            <w:tcW w:w="2835" w:type="dxa"/>
            <w:vAlign w:val="center"/>
          </w:tcPr>
          <w:p>
            <w:pPr>
              <w:pStyle w:val="27"/>
            </w:pPr>
            <w:r>
              <w:t>提高工作效率，保证工作质量</w:t>
            </w:r>
          </w:p>
        </w:tc>
        <w:tc>
          <w:tcPr>
            <w:tcW w:w="2551" w:type="dxa"/>
            <w:vAlign w:val="center"/>
          </w:tcPr>
          <w:p>
            <w:pPr>
              <w:pStyle w:val="27"/>
            </w:pPr>
            <w:r>
              <w:t>≥100%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完成率</w:t>
            </w:r>
          </w:p>
        </w:tc>
        <w:tc>
          <w:tcPr>
            <w:tcW w:w="2835" w:type="dxa"/>
            <w:vAlign w:val="center"/>
          </w:tcPr>
          <w:p>
            <w:pPr>
              <w:pStyle w:val="27"/>
            </w:pPr>
            <w:r>
              <w:t>工作人员劳务费按时支出情况</w:t>
            </w:r>
          </w:p>
        </w:tc>
        <w:tc>
          <w:tcPr>
            <w:tcW w:w="2551" w:type="dxa"/>
            <w:vAlign w:val="center"/>
          </w:tcPr>
          <w:p>
            <w:pPr>
              <w:pStyle w:val="27"/>
            </w:pPr>
            <w:r>
              <w:t>≥95%</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建设工程质量服务站招聘人员劳务费成本</w:t>
            </w:r>
          </w:p>
        </w:tc>
        <w:tc>
          <w:tcPr>
            <w:tcW w:w="2551" w:type="dxa"/>
            <w:vAlign w:val="center"/>
          </w:tcPr>
          <w:p>
            <w:pPr>
              <w:pStyle w:val="27"/>
            </w:pPr>
            <w:r>
              <w:t>≤43.64万元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单位正常运行率</w:t>
            </w:r>
          </w:p>
        </w:tc>
        <w:tc>
          <w:tcPr>
            <w:tcW w:w="2835" w:type="dxa"/>
            <w:vAlign w:val="center"/>
          </w:tcPr>
          <w:p>
            <w:pPr>
              <w:pStyle w:val="27"/>
            </w:pPr>
            <w:r>
              <w:t>保障单位正常运行</w:t>
            </w:r>
          </w:p>
        </w:tc>
        <w:tc>
          <w:tcPr>
            <w:tcW w:w="2551" w:type="dxa"/>
            <w:vAlign w:val="center"/>
          </w:tcPr>
          <w:p>
            <w:pPr>
              <w:pStyle w:val="27"/>
            </w:pPr>
            <w:r>
              <w:t>≥95%</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实际受益人调查中，满意和较满意的人数占全部调查人数的比率</w:t>
            </w:r>
          </w:p>
        </w:tc>
        <w:tc>
          <w:tcPr>
            <w:tcW w:w="2551" w:type="dxa"/>
            <w:vAlign w:val="center"/>
          </w:tcPr>
          <w:p>
            <w:pPr>
              <w:pStyle w:val="27"/>
            </w:pPr>
            <w:r>
              <w:t>≥95%</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30、建筑材料和搅拌站原材料抽检费用绩效目标表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1.加强监督力度</w:t>
            </w:r>
          </w:p>
          <w:p>
            <w:pPr>
              <w:pStyle w:val="27"/>
            </w:pPr>
            <w:r>
              <w:t>2.提高工程质量</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材料抽检覆盖率</w:t>
            </w:r>
          </w:p>
        </w:tc>
        <w:tc>
          <w:tcPr>
            <w:tcW w:w="2835" w:type="dxa"/>
            <w:vAlign w:val="center"/>
          </w:tcPr>
          <w:p>
            <w:pPr>
              <w:pStyle w:val="27"/>
            </w:pPr>
            <w:r>
              <w:t>对应抽检的建设工程建筑材料抽测覆盖率</w:t>
            </w:r>
          </w:p>
        </w:tc>
        <w:tc>
          <w:tcPr>
            <w:tcW w:w="2551" w:type="dxa"/>
            <w:vAlign w:val="center"/>
          </w:tcPr>
          <w:p>
            <w:pPr>
              <w:pStyle w:val="27"/>
            </w:pPr>
            <w:r>
              <w:t>≥90%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检测报告质量</w:t>
            </w:r>
          </w:p>
        </w:tc>
        <w:tc>
          <w:tcPr>
            <w:tcW w:w="2835" w:type="dxa"/>
            <w:vAlign w:val="center"/>
          </w:tcPr>
          <w:p>
            <w:pPr>
              <w:pStyle w:val="27"/>
            </w:pPr>
            <w:r>
              <w:t>出具的检测报告，符合检测标准。</w:t>
            </w:r>
          </w:p>
        </w:tc>
        <w:tc>
          <w:tcPr>
            <w:tcW w:w="2551" w:type="dxa"/>
            <w:vAlign w:val="center"/>
          </w:tcPr>
          <w:p>
            <w:pPr>
              <w:pStyle w:val="27"/>
            </w:pPr>
            <w:r>
              <w:t>≥95%</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及时完成情况</w:t>
            </w:r>
          </w:p>
        </w:tc>
        <w:tc>
          <w:tcPr>
            <w:tcW w:w="2835" w:type="dxa"/>
            <w:vAlign w:val="center"/>
          </w:tcPr>
          <w:p>
            <w:pPr>
              <w:pStyle w:val="27"/>
            </w:pPr>
            <w:r>
              <w:t>根据工程进度及时进行材料抽检</w:t>
            </w:r>
          </w:p>
        </w:tc>
        <w:tc>
          <w:tcPr>
            <w:tcW w:w="2551" w:type="dxa"/>
            <w:vAlign w:val="center"/>
          </w:tcPr>
          <w:p>
            <w:pPr>
              <w:pStyle w:val="27"/>
            </w:pPr>
            <w:r>
              <w:t>及时抽检</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建筑材料和搅拌站原材料抽检费用成本</w:t>
            </w:r>
          </w:p>
        </w:tc>
        <w:tc>
          <w:tcPr>
            <w:tcW w:w="2551" w:type="dxa"/>
            <w:vAlign w:val="center"/>
          </w:tcPr>
          <w:p>
            <w:pPr>
              <w:pStyle w:val="27"/>
            </w:pPr>
            <w:r>
              <w:t>≤6万元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提高工程质量</w:t>
            </w:r>
          </w:p>
        </w:tc>
        <w:tc>
          <w:tcPr>
            <w:tcW w:w="2835" w:type="dxa"/>
            <w:vAlign w:val="center"/>
          </w:tcPr>
          <w:p>
            <w:pPr>
              <w:pStyle w:val="27"/>
            </w:pPr>
            <w:r>
              <w:t>通过加强监管，材料抽检，进而提高工程质量。</w:t>
            </w:r>
          </w:p>
        </w:tc>
        <w:tc>
          <w:tcPr>
            <w:tcW w:w="2551" w:type="dxa"/>
            <w:vAlign w:val="center"/>
          </w:tcPr>
          <w:p>
            <w:pPr>
              <w:pStyle w:val="27"/>
            </w:pPr>
            <w:r>
              <w:t>≥90%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满意的受调对象占调查总数的比例</w:t>
            </w:r>
          </w:p>
        </w:tc>
        <w:tc>
          <w:tcPr>
            <w:tcW w:w="2551" w:type="dxa"/>
            <w:vAlign w:val="center"/>
          </w:tcPr>
          <w:p>
            <w:pPr>
              <w:pStyle w:val="27"/>
            </w:pPr>
            <w:r>
              <w:t>≥90%</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31、老旧小区改造本级配套费绩效目标表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1.进行老旧小区改造提升，进一步改善群众居住条件。</w:t>
            </w:r>
          </w:p>
          <w:p>
            <w:pPr>
              <w:pStyle w:val="27"/>
            </w:pPr>
            <w:r>
              <w:t>2.完成城区内12个社区的166个老旧小区，254栋楼老旧小区配套基础设施改造。</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改造小区数</w:t>
            </w:r>
          </w:p>
        </w:tc>
        <w:tc>
          <w:tcPr>
            <w:tcW w:w="2835" w:type="dxa"/>
            <w:vAlign w:val="center"/>
          </w:tcPr>
          <w:p>
            <w:pPr>
              <w:pStyle w:val="27"/>
            </w:pPr>
            <w:r>
              <w:t>改造老旧小区数</w:t>
            </w:r>
          </w:p>
        </w:tc>
        <w:tc>
          <w:tcPr>
            <w:tcW w:w="2551" w:type="dxa"/>
            <w:vAlign w:val="center"/>
          </w:tcPr>
          <w:p>
            <w:pPr>
              <w:pStyle w:val="27"/>
            </w:pPr>
            <w:r>
              <w:t>≥166个</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验收合格率</w:t>
            </w:r>
          </w:p>
        </w:tc>
        <w:tc>
          <w:tcPr>
            <w:tcW w:w="2835" w:type="dxa"/>
            <w:vAlign w:val="center"/>
          </w:tcPr>
          <w:p>
            <w:pPr>
              <w:pStyle w:val="27"/>
            </w:pPr>
            <w:r>
              <w:t>改造工程验收合格率</w:t>
            </w:r>
          </w:p>
        </w:tc>
        <w:tc>
          <w:tcPr>
            <w:tcW w:w="2551" w:type="dxa"/>
            <w:vAlign w:val="center"/>
          </w:tcPr>
          <w:p>
            <w:pPr>
              <w:pStyle w:val="27"/>
            </w:pPr>
            <w:r>
              <w:t>100%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项目建设成本</w:t>
            </w:r>
          </w:p>
        </w:tc>
        <w:tc>
          <w:tcPr>
            <w:tcW w:w="2835" w:type="dxa"/>
            <w:vAlign w:val="center"/>
          </w:tcPr>
          <w:p>
            <w:pPr>
              <w:pStyle w:val="27"/>
            </w:pPr>
            <w:r>
              <w:t>老旧小区改造本级配套费成本</w:t>
            </w:r>
          </w:p>
        </w:tc>
        <w:tc>
          <w:tcPr>
            <w:tcW w:w="2551" w:type="dxa"/>
            <w:vAlign w:val="center"/>
          </w:tcPr>
          <w:p>
            <w:pPr>
              <w:pStyle w:val="27"/>
            </w:pPr>
            <w:r>
              <w:t>≤720万元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按时完成情况</w:t>
            </w:r>
          </w:p>
        </w:tc>
        <w:tc>
          <w:tcPr>
            <w:tcW w:w="2835" w:type="dxa"/>
            <w:vAlign w:val="center"/>
          </w:tcPr>
          <w:p>
            <w:pPr>
              <w:pStyle w:val="27"/>
            </w:pPr>
            <w:r>
              <w:t>按照工程规定时间节点完工</w:t>
            </w:r>
          </w:p>
        </w:tc>
        <w:tc>
          <w:tcPr>
            <w:tcW w:w="2551" w:type="dxa"/>
            <w:vAlign w:val="center"/>
          </w:tcPr>
          <w:p>
            <w:pPr>
              <w:pStyle w:val="27"/>
            </w:pPr>
            <w:r>
              <w:t>及时完成</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居住条件改善</w:t>
            </w:r>
          </w:p>
        </w:tc>
        <w:tc>
          <w:tcPr>
            <w:tcW w:w="2835" w:type="dxa"/>
            <w:vAlign w:val="center"/>
          </w:tcPr>
          <w:p>
            <w:pPr>
              <w:pStyle w:val="27"/>
            </w:pPr>
            <w:r>
              <w:t>群众居住条件得到改善</w:t>
            </w:r>
          </w:p>
        </w:tc>
        <w:tc>
          <w:tcPr>
            <w:tcW w:w="2551" w:type="dxa"/>
            <w:vAlign w:val="center"/>
          </w:tcPr>
          <w:p>
            <w:pPr>
              <w:pStyle w:val="27"/>
            </w:pPr>
            <w:r>
              <w:t>实际反馈</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受益群众满意度</w:t>
            </w:r>
          </w:p>
        </w:tc>
        <w:tc>
          <w:tcPr>
            <w:tcW w:w="2835" w:type="dxa"/>
            <w:vAlign w:val="center"/>
          </w:tcPr>
          <w:p>
            <w:pPr>
              <w:pStyle w:val="27"/>
            </w:pPr>
            <w:r>
              <w:t>得到改造的老旧小区居民满意度</w:t>
            </w:r>
          </w:p>
        </w:tc>
        <w:tc>
          <w:tcPr>
            <w:tcW w:w="2551" w:type="dxa"/>
            <w:vAlign w:val="center"/>
          </w:tcPr>
          <w:p>
            <w:pPr>
              <w:pStyle w:val="27"/>
            </w:pPr>
            <w:r>
              <w:t>≥85%</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32、谋划项目争引资金前期费用绩效目标表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1.完成项目的项目建议书、可行性研究报告、社会稳定性风险分析报告、“一案两书”等编制工作。</w:t>
            </w:r>
          </w:p>
          <w:p>
            <w:pPr>
              <w:pStyle w:val="27"/>
            </w:pPr>
            <w:r>
              <w:t>2.推动项目开展。</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文本数量</w:t>
            </w:r>
          </w:p>
        </w:tc>
        <w:tc>
          <w:tcPr>
            <w:tcW w:w="2835" w:type="dxa"/>
            <w:vAlign w:val="center"/>
          </w:tcPr>
          <w:p>
            <w:pPr>
              <w:pStyle w:val="27"/>
            </w:pPr>
            <w:r>
              <w:t>前期编制文本数量</w:t>
            </w:r>
          </w:p>
        </w:tc>
        <w:tc>
          <w:tcPr>
            <w:tcW w:w="2551" w:type="dxa"/>
            <w:vAlign w:val="center"/>
          </w:tcPr>
          <w:p>
            <w:pPr>
              <w:pStyle w:val="27"/>
            </w:pPr>
            <w:r>
              <w:t>≥6项</w:t>
            </w:r>
          </w:p>
        </w:tc>
        <w:tc>
          <w:tcPr>
            <w:tcW w:w="2268" w:type="dxa"/>
            <w:vAlign w:val="center"/>
          </w:tcPr>
          <w:p>
            <w:pPr>
              <w:pStyle w:val="27"/>
            </w:pPr>
            <w:r>
              <w:t>编制资料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编制质量</w:t>
            </w:r>
          </w:p>
        </w:tc>
        <w:tc>
          <w:tcPr>
            <w:tcW w:w="2835" w:type="dxa"/>
            <w:vAlign w:val="center"/>
          </w:tcPr>
          <w:p>
            <w:pPr>
              <w:pStyle w:val="27"/>
            </w:pPr>
            <w:r>
              <w:t>符合相关编制标准</w:t>
            </w:r>
          </w:p>
        </w:tc>
        <w:tc>
          <w:tcPr>
            <w:tcW w:w="2551" w:type="dxa"/>
            <w:vAlign w:val="center"/>
          </w:tcPr>
          <w:p>
            <w:pPr>
              <w:pStyle w:val="27"/>
            </w:pPr>
            <w:r>
              <w:t>≥90%</w:t>
            </w:r>
          </w:p>
        </w:tc>
        <w:tc>
          <w:tcPr>
            <w:tcW w:w="2268" w:type="dxa"/>
            <w:vAlign w:val="center"/>
          </w:tcPr>
          <w:p>
            <w:pPr>
              <w:pStyle w:val="27"/>
            </w:pPr>
            <w:r>
              <w:t>评审意见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w:t>
            </w:r>
          </w:p>
        </w:tc>
        <w:tc>
          <w:tcPr>
            <w:tcW w:w="2835" w:type="dxa"/>
            <w:vAlign w:val="center"/>
          </w:tcPr>
          <w:p>
            <w:pPr>
              <w:pStyle w:val="27"/>
            </w:pPr>
            <w:r>
              <w:t>合同中编制期限</w:t>
            </w:r>
          </w:p>
        </w:tc>
        <w:tc>
          <w:tcPr>
            <w:tcW w:w="2551" w:type="dxa"/>
            <w:vAlign w:val="center"/>
          </w:tcPr>
          <w:p>
            <w:pPr>
              <w:pStyle w:val="27"/>
            </w:pPr>
            <w:r>
              <w:t>及时完成情况</w:t>
            </w:r>
          </w:p>
        </w:tc>
        <w:tc>
          <w:tcPr>
            <w:tcW w:w="2268" w:type="dxa"/>
            <w:vAlign w:val="center"/>
          </w:tcPr>
          <w:p>
            <w:pPr>
              <w:pStyle w:val="27"/>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谋划项目争引资金前期费用成本</w:t>
            </w:r>
          </w:p>
        </w:tc>
        <w:tc>
          <w:tcPr>
            <w:tcW w:w="2551" w:type="dxa"/>
            <w:vAlign w:val="center"/>
          </w:tcPr>
          <w:p>
            <w:pPr>
              <w:pStyle w:val="27"/>
            </w:pPr>
            <w:r>
              <w:t>≤86.5万元</w:t>
            </w:r>
          </w:p>
        </w:tc>
        <w:tc>
          <w:tcPr>
            <w:tcW w:w="2268" w:type="dxa"/>
            <w:vAlign w:val="center"/>
          </w:tcPr>
          <w:p>
            <w:pPr>
              <w:pStyle w:val="27"/>
            </w:pPr>
            <w:r>
              <w:t>以最终评审结果为准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经济效益指标</w:t>
            </w:r>
          </w:p>
        </w:tc>
        <w:tc>
          <w:tcPr>
            <w:tcW w:w="2835" w:type="dxa"/>
            <w:vAlign w:val="center"/>
          </w:tcPr>
          <w:p>
            <w:pPr>
              <w:pStyle w:val="27"/>
            </w:pPr>
            <w:r>
              <w:t>经济效益</w:t>
            </w:r>
          </w:p>
        </w:tc>
        <w:tc>
          <w:tcPr>
            <w:tcW w:w="2835" w:type="dxa"/>
            <w:vAlign w:val="center"/>
          </w:tcPr>
          <w:p>
            <w:pPr>
              <w:pStyle w:val="27"/>
            </w:pPr>
            <w:r>
              <w:t>使有限资金发挥更大经济效益</w:t>
            </w:r>
          </w:p>
        </w:tc>
        <w:tc>
          <w:tcPr>
            <w:tcW w:w="2551" w:type="dxa"/>
            <w:vAlign w:val="center"/>
          </w:tcPr>
          <w:p>
            <w:pPr>
              <w:pStyle w:val="27"/>
            </w:pPr>
            <w:r>
              <w:t>编制完成情况</w:t>
            </w:r>
          </w:p>
        </w:tc>
        <w:tc>
          <w:tcPr>
            <w:tcW w:w="2268" w:type="dxa"/>
            <w:vAlign w:val="center"/>
          </w:tcPr>
          <w:p>
            <w:pPr>
              <w:pStyle w:val="27"/>
            </w:pPr>
            <w:r>
              <w:t>编制资料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实际受益人调查中，满意和较满意的人数占全部调查人数的比率</w:t>
            </w:r>
          </w:p>
        </w:tc>
        <w:tc>
          <w:tcPr>
            <w:tcW w:w="2551" w:type="dxa"/>
            <w:vAlign w:val="center"/>
          </w:tcPr>
          <w:p>
            <w:pPr>
              <w:pStyle w:val="27"/>
            </w:pPr>
            <w:r>
              <w:t>≥85%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33、南部城区污水处理厂及附属基础设施测量费、审图费、招标代理费绩效目标表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1.保证南部新建</w:t>
            </w:r>
            <w:r>
              <w:rPr>
                <w:rFonts w:hint="eastAsia"/>
                <w:lang w:eastAsia="zh-CN"/>
              </w:rPr>
              <w:t>污水处理厂</w:t>
            </w:r>
            <w:r>
              <w:t>项目顺利推进</w:t>
            </w:r>
          </w:p>
          <w:p>
            <w:pPr>
              <w:pStyle w:val="27"/>
            </w:pPr>
            <w:r>
              <w:t>2.为水厂设计工作提供参数支持</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项目数量</w:t>
            </w:r>
          </w:p>
        </w:tc>
        <w:tc>
          <w:tcPr>
            <w:tcW w:w="2835" w:type="dxa"/>
            <w:vAlign w:val="center"/>
          </w:tcPr>
          <w:p>
            <w:pPr>
              <w:pStyle w:val="27"/>
            </w:pPr>
            <w:r>
              <w:t>包含图审费、招标代理费</w:t>
            </w:r>
          </w:p>
        </w:tc>
        <w:tc>
          <w:tcPr>
            <w:tcW w:w="2551" w:type="dxa"/>
            <w:vAlign w:val="center"/>
          </w:tcPr>
          <w:p>
            <w:pPr>
              <w:pStyle w:val="27"/>
            </w:pPr>
            <w:r>
              <w:t>＝2项</w:t>
            </w:r>
          </w:p>
        </w:tc>
        <w:tc>
          <w:tcPr>
            <w:tcW w:w="2268" w:type="dxa"/>
            <w:vAlign w:val="center"/>
          </w:tcPr>
          <w:p>
            <w:pPr>
              <w:pStyle w:val="2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验收合格率</w:t>
            </w:r>
          </w:p>
        </w:tc>
        <w:tc>
          <w:tcPr>
            <w:tcW w:w="2835" w:type="dxa"/>
            <w:vAlign w:val="center"/>
          </w:tcPr>
          <w:p>
            <w:pPr>
              <w:pStyle w:val="27"/>
            </w:pPr>
            <w:r>
              <w:t>建设工程验收合格率</w:t>
            </w:r>
          </w:p>
        </w:tc>
        <w:tc>
          <w:tcPr>
            <w:tcW w:w="2551" w:type="dxa"/>
            <w:vAlign w:val="center"/>
          </w:tcPr>
          <w:p>
            <w:pPr>
              <w:pStyle w:val="27"/>
            </w:pPr>
            <w:r>
              <w:t>≥95%</w:t>
            </w:r>
          </w:p>
        </w:tc>
        <w:tc>
          <w:tcPr>
            <w:tcW w:w="2268" w:type="dxa"/>
            <w:vAlign w:val="center"/>
          </w:tcPr>
          <w:p>
            <w:pPr>
              <w:pStyle w:val="27"/>
            </w:pPr>
            <w:r>
              <w:t>竣工验收资料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w:t>
            </w:r>
          </w:p>
        </w:tc>
        <w:tc>
          <w:tcPr>
            <w:tcW w:w="2835" w:type="dxa"/>
            <w:vAlign w:val="center"/>
          </w:tcPr>
          <w:p>
            <w:pPr>
              <w:pStyle w:val="27"/>
            </w:pPr>
            <w:r>
              <w:t>按照工程规定节点完成</w:t>
            </w:r>
          </w:p>
        </w:tc>
        <w:tc>
          <w:tcPr>
            <w:tcW w:w="2551" w:type="dxa"/>
            <w:vAlign w:val="center"/>
          </w:tcPr>
          <w:p>
            <w:pPr>
              <w:pStyle w:val="27"/>
            </w:pPr>
            <w:r>
              <w:t>＝100%</w:t>
            </w:r>
          </w:p>
        </w:tc>
        <w:tc>
          <w:tcPr>
            <w:tcW w:w="2268" w:type="dxa"/>
            <w:vAlign w:val="center"/>
          </w:tcPr>
          <w:p>
            <w:pPr>
              <w:pStyle w:val="2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南部城区污水处理厂及附属基础设施测量费、审图费、招标代理费成本</w:t>
            </w:r>
          </w:p>
        </w:tc>
        <w:tc>
          <w:tcPr>
            <w:tcW w:w="2551" w:type="dxa"/>
            <w:vAlign w:val="center"/>
          </w:tcPr>
          <w:p>
            <w:pPr>
              <w:pStyle w:val="27"/>
            </w:pPr>
            <w:r>
              <w:t>≤9.4万元</w:t>
            </w:r>
          </w:p>
        </w:tc>
        <w:tc>
          <w:tcPr>
            <w:tcW w:w="2268" w:type="dxa"/>
            <w:vAlign w:val="center"/>
          </w:tcPr>
          <w:p>
            <w:pPr>
              <w:pStyle w:val="27"/>
            </w:pPr>
            <w:r>
              <w:t>以最终评审结果为准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削减污染物排放量。</w:t>
            </w:r>
          </w:p>
        </w:tc>
        <w:tc>
          <w:tcPr>
            <w:tcW w:w="2835" w:type="dxa"/>
            <w:vAlign w:val="center"/>
          </w:tcPr>
          <w:p>
            <w:pPr>
              <w:pStyle w:val="27"/>
            </w:pPr>
            <w:r>
              <w:t>水厂建成后可有效较少污染物排放</w:t>
            </w:r>
          </w:p>
        </w:tc>
        <w:tc>
          <w:tcPr>
            <w:tcW w:w="2551" w:type="dxa"/>
            <w:vAlign w:val="center"/>
          </w:tcPr>
          <w:p>
            <w:pPr>
              <w:pStyle w:val="27"/>
            </w:pPr>
            <w:r>
              <w:t>污染物排放改善情况</w:t>
            </w:r>
          </w:p>
        </w:tc>
        <w:tc>
          <w:tcPr>
            <w:tcW w:w="2268" w:type="dxa"/>
            <w:vAlign w:val="center"/>
          </w:tcPr>
          <w:p>
            <w:pPr>
              <w:pStyle w:val="27"/>
            </w:pPr>
            <w:r>
              <w:t>实地查验竣工前后对比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受益群体调查中，满意和较满意的人数占全部调查人数的比率</w:t>
            </w:r>
          </w:p>
        </w:tc>
        <w:tc>
          <w:tcPr>
            <w:tcW w:w="2835" w:type="dxa"/>
            <w:vAlign w:val="center"/>
          </w:tcPr>
          <w:p>
            <w:pPr>
              <w:pStyle w:val="27"/>
            </w:pPr>
            <w:r>
              <w:t>受益群体调查中，满意和较满意的人数占全部调查人数的比率</w:t>
            </w:r>
          </w:p>
        </w:tc>
        <w:tc>
          <w:tcPr>
            <w:tcW w:w="2551" w:type="dxa"/>
            <w:vAlign w:val="center"/>
          </w:tcPr>
          <w:p>
            <w:pPr>
              <w:pStyle w:val="27"/>
            </w:pPr>
            <w:r>
              <w:t>≥85%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34、南城区排水占孟村一号坑马庆格地租金绩效目标表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1.支付城区公益事业用地租金。</w:t>
            </w:r>
          </w:p>
          <w:p>
            <w:pPr>
              <w:pStyle w:val="27"/>
            </w:pPr>
            <w:r>
              <w:t>2.进一步改善城区容貌环境，提高城市管理水平。</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占地范围</w:t>
            </w:r>
          </w:p>
        </w:tc>
        <w:tc>
          <w:tcPr>
            <w:tcW w:w="2835" w:type="dxa"/>
            <w:vAlign w:val="center"/>
          </w:tcPr>
          <w:p>
            <w:pPr>
              <w:pStyle w:val="27"/>
            </w:pPr>
            <w:r>
              <w:t>城区公益事业占地亩数</w:t>
            </w:r>
          </w:p>
        </w:tc>
        <w:tc>
          <w:tcPr>
            <w:tcW w:w="2551" w:type="dxa"/>
            <w:vAlign w:val="center"/>
          </w:tcPr>
          <w:p>
            <w:pPr>
              <w:pStyle w:val="27"/>
            </w:pPr>
            <w:r>
              <w:t>≥49.74亩</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使用情况完成率</w:t>
            </w:r>
          </w:p>
        </w:tc>
        <w:tc>
          <w:tcPr>
            <w:tcW w:w="2835" w:type="dxa"/>
            <w:vAlign w:val="center"/>
          </w:tcPr>
          <w:p>
            <w:pPr>
              <w:pStyle w:val="27"/>
            </w:pPr>
            <w:r>
              <w:t>合法使用土地完成率</w:t>
            </w:r>
          </w:p>
        </w:tc>
        <w:tc>
          <w:tcPr>
            <w:tcW w:w="2551" w:type="dxa"/>
            <w:vAlign w:val="center"/>
          </w:tcPr>
          <w:p>
            <w:pPr>
              <w:pStyle w:val="27"/>
            </w:pPr>
            <w:r>
              <w:t>＝100%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按时完成率</w:t>
            </w:r>
          </w:p>
        </w:tc>
        <w:tc>
          <w:tcPr>
            <w:tcW w:w="2835" w:type="dxa"/>
            <w:vAlign w:val="center"/>
          </w:tcPr>
          <w:p>
            <w:pPr>
              <w:pStyle w:val="27"/>
            </w:pPr>
            <w:r>
              <w:t>按照工程规定节点完成</w:t>
            </w:r>
          </w:p>
        </w:tc>
        <w:tc>
          <w:tcPr>
            <w:tcW w:w="2551" w:type="dxa"/>
            <w:vAlign w:val="center"/>
          </w:tcPr>
          <w:p>
            <w:pPr>
              <w:pStyle w:val="27"/>
            </w:pPr>
            <w:r>
              <w:t>＝100%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控制预算数</w:t>
            </w:r>
          </w:p>
        </w:tc>
        <w:tc>
          <w:tcPr>
            <w:tcW w:w="2835" w:type="dxa"/>
            <w:vAlign w:val="center"/>
          </w:tcPr>
          <w:p>
            <w:pPr>
              <w:pStyle w:val="27"/>
            </w:pPr>
            <w:r>
              <w:t>控制在年初预算范围内</w:t>
            </w:r>
          </w:p>
        </w:tc>
        <w:tc>
          <w:tcPr>
            <w:tcW w:w="2551" w:type="dxa"/>
            <w:vAlign w:val="center"/>
          </w:tcPr>
          <w:p>
            <w:pPr>
              <w:pStyle w:val="27"/>
            </w:pPr>
            <w:r>
              <w:t>控制在年初预算范围内</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交通条件改善</w:t>
            </w:r>
          </w:p>
        </w:tc>
        <w:tc>
          <w:tcPr>
            <w:tcW w:w="2835" w:type="dxa"/>
            <w:vAlign w:val="center"/>
          </w:tcPr>
          <w:p>
            <w:pPr>
              <w:pStyle w:val="27"/>
            </w:pPr>
            <w:r>
              <w:t>打通城市道路，形成道路联通，提升城市形象</w:t>
            </w:r>
          </w:p>
        </w:tc>
        <w:tc>
          <w:tcPr>
            <w:tcW w:w="2551" w:type="dxa"/>
            <w:vAlign w:val="center"/>
          </w:tcPr>
          <w:p>
            <w:pPr>
              <w:pStyle w:val="27"/>
            </w:pPr>
            <w:r>
              <w:t>城区交通条件改善情况</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受益群体调查中，满意和较满意的人数占全部调查人数的比率</w:t>
            </w:r>
          </w:p>
        </w:tc>
        <w:tc>
          <w:tcPr>
            <w:tcW w:w="2835" w:type="dxa"/>
            <w:vAlign w:val="center"/>
          </w:tcPr>
          <w:p>
            <w:pPr>
              <w:pStyle w:val="27"/>
            </w:pPr>
            <w:r>
              <w:t>受益群体调查中，满意和较满意的人数占全部调查人数的比率</w:t>
            </w:r>
          </w:p>
        </w:tc>
        <w:tc>
          <w:tcPr>
            <w:tcW w:w="2551" w:type="dxa"/>
            <w:vAlign w:val="center"/>
          </w:tcPr>
          <w:p>
            <w:pPr>
              <w:pStyle w:val="27"/>
            </w:pPr>
            <w:r>
              <w:t>≥95%</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35、农村房屋抗震鉴定服务费绩效目标表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1.对150户农户进行抗震房屋改造技术指导服务。</w:t>
            </w:r>
          </w:p>
          <w:p>
            <w:pPr>
              <w:pStyle w:val="27"/>
            </w:pPr>
            <w:r>
              <w:t>2.改造工程质量达到合格标准</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预期完成户数</w:t>
            </w:r>
          </w:p>
        </w:tc>
        <w:tc>
          <w:tcPr>
            <w:tcW w:w="2835" w:type="dxa"/>
            <w:vAlign w:val="center"/>
          </w:tcPr>
          <w:p>
            <w:pPr>
              <w:pStyle w:val="27"/>
            </w:pPr>
            <w:r>
              <w:t>预期完成150农户技术指导，并进行验收</w:t>
            </w:r>
          </w:p>
        </w:tc>
        <w:tc>
          <w:tcPr>
            <w:tcW w:w="2551" w:type="dxa"/>
            <w:vAlign w:val="center"/>
          </w:tcPr>
          <w:p>
            <w:pPr>
              <w:pStyle w:val="27"/>
            </w:pPr>
            <w:r>
              <w:t>≥150户</w:t>
            </w:r>
          </w:p>
        </w:tc>
        <w:tc>
          <w:tcPr>
            <w:tcW w:w="2268" w:type="dxa"/>
            <w:vAlign w:val="center"/>
          </w:tcPr>
          <w:p>
            <w:pPr>
              <w:pStyle w:val="27"/>
            </w:pPr>
            <w:r>
              <w:t>石住建办【2020】42号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质量合格</w:t>
            </w:r>
          </w:p>
        </w:tc>
        <w:tc>
          <w:tcPr>
            <w:tcW w:w="2835" w:type="dxa"/>
            <w:vAlign w:val="center"/>
          </w:tcPr>
          <w:p>
            <w:pPr>
              <w:pStyle w:val="27"/>
            </w:pPr>
            <w:r>
              <w:t>对150户的抗震改造 房屋达到质量合格要求</w:t>
            </w:r>
          </w:p>
        </w:tc>
        <w:tc>
          <w:tcPr>
            <w:tcW w:w="2551" w:type="dxa"/>
            <w:vAlign w:val="center"/>
          </w:tcPr>
          <w:p>
            <w:pPr>
              <w:pStyle w:val="27"/>
            </w:pPr>
            <w:r>
              <w:t>≥7度</w:t>
            </w:r>
          </w:p>
        </w:tc>
        <w:tc>
          <w:tcPr>
            <w:tcW w:w="2268" w:type="dxa"/>
            <w:vAlign w:val="center"/>
          </w:tcPr>
          <w:p>
            <w:pPr>
              <w:pStyle w:val="27"/>
            </w:pPr>
            <w:r>
              <w:t>DB13（J）8354-2020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按时限完成</w:t>
            </w:r>
          </w:p>
        </w:tc>
        <w:tc>
          <w:tcPr>
            <w:tcW w:w="2835" w:type="dxa"/>
            <w:vAlign w:val="center"/>
          </w:tcPr>
          <w:p>
            <w:pPr>
              <w:pStyle w:val="27"/>
            </w:pPr>
            <w:r>
              <w:t>按照时限完成技术指导</w:t>
            </w:r>
          </w:p>
        </w:tc>
        <w:tc>
          <w:tcPr>
            <w:tcW w:w="2551" w:type="dxa"/>
            <w:vAlign w:val="center"/>
          </w:tcPr>
          <w:p>
            <w:pPr>
              <w:pStyle w:val="27"/>
            </w:pPr>
            <w:r>
              <w:t>及时完成</w:t>
            </w:r>
          </w:p>
        </w:tc>
        <w:tc>
          <w:tcPr>
            <w:tcW w:w="2268" w:type="dxa"/>
            <w:vAlign w:val="center"/>
          </w:tcPr>
          <w:p>
            <w:pPr>
              <w:pStyle w:val="27"/>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农村房屋抗震鉴定服务费成本</w:t>
            </w:r>
          </w:p>
        </w:tc>
        <w:tc>
          <w:tcPr>
            <w:tcW w:w="2551" w:type="dxa"/>
            <w:vAlign w:val="center"/>
          </w:tcPr>
          <w:p>
            <w:pPr>
              <w:pStyle w:val="27"/>
            </w:pPr>
            <w:r>
              <w:t>≤16.5万元</w:t>
            </w:r>
          </w:p>
        </w:tc>
        <w:tc>
          <w:tcPr>
            <w:tcW w:w="2268" w:type="dxa"/>
            <w:vAlign w:val="center"/>
          </w:tcPr>
          <w:p>
            <w:pPr>
              <w:pStyle w:val="27"/>
            </w:pPr>
            <w:r>
              <w:t>以评审结果书为准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符合社会需求及专业标准</w:t>
            </w:r>
          </w:p>
        </w:tc>
        <w:tc>
          <w:tcPr>
            <w:tcW w:w="2835" w:type="dxa"/>
            <w:vAlign w:val="center"/>
          </w:tcPr>
          <w:p>
            <w:pPr>
              <w:pStyle w:val="27"/>
            </w:pPr>
            <w:r>
              <w:t>指导被服务农户保质完成抗震改造，使农户和社会得到真正的受益。</w:t>
            </w:r>
          </w:p>
        </w:tc>
        <w:tc>
          <w:tcPr>
            <w:tcW w:w="2551" w:type="dxa"/>
            <w:vAlign w:val="center"/>
          </w:tcPr>
          <w:p>
            <w:pPr>
              <w:pStyle w:val="27"/>
            </w:pPr>
            <w:r>
              <w:t>实际反馈</w:t>
            </w:r>
          </w:p>
        </w:tc>
        <w:tc>
          <w:tcPr>
            <w:tcW w:w="2268" w:type="dxa"/>
            <w:vAlign w:val="center"/>
          </w:tcPr>
          <w:p>
            <w:pPr>
              <w:pStyle w:val="27"/>
            </w:pPr>
            <w:r>
              <w:t>实地查验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受益群众调查中，满意和 较满意的人浸透占全部调查人数的比率</w:t>
            </w:r>
          </w:p>
        </w:tc>
        <w:tc>
          <w:tcPr>
            <w:tcW w:w="2551" w:type="dxa"/>
            <w:vAlign w:val="center"/>
          </w:tcPr>
          <w:p>
            <w:pPr>
              <w:pStyle w:val="27"/>
            </w:pPr>
            <w:r>
              <w:t>≥85%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36、聘请安全专家检查费绩效目标表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1.改善监督检查的质量和效率</w:t>
            </w:r>
          </w:p>
          <w:p>
            <w:pPr>
              <w:pStyle w:val="27"/>
            </w:pPr>
            <w:r>
              <w:t>2.减少和避免在建工地安全事故发生。</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开展安全督导，培训</w:t>
            </w:r>
          </w:p>
        </w:tc>
        <w:tc>
          <w:tcPr>
            <w:tcW w:w="2835" w:type="dxa"/>
            <w:vAlign w:val="center"/>
          </w:tcPr>
          <w:p>
            <w:pPr>
              <w:pStyle w:val="27"/>
            </w:pPr>
            <w:r>
              <w:t>开展安全督导培训次数</w:t>
            </w:r>
          </w:p>
        </w:tc>
        <w:tc>
          <w:tcPr>
            <w:tcW w:w="2551" w:type="dxa"/>
            <w:vAlign w:val="center"/>
          </w:tcPr>
          <w:p>
            <w:pPr>
              <w:pStyle w:val="27"/>
            </w:pPr>
            <w:r>
              <w:t>24次</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对安全隐患进行排查完成率</w:t>
            </w:r>
          </w:p>
        </w:tc>
        <w:tc>
          <w:tcPr>
            <w:tcW w:w="2835" w:type="dxa"/>
            <w:vAlign w:val="center"/>
          </w:tcPr>
          <w:p>
            <w:pPr>
              <w:pStyle w:val="27"/>
            </w:pPr>
            <w:r>
              <w:t>推动安全生产监督管理</w:t>
            </w:r>
          </w:p>
        </w:tc>
        <w:tc>
          <w:tcPr>
            <w:tcW w:w="2551" w:type="dxa"/>
            <w:vAlign w:val="center"/>
          </w:tcPr>
          <w:p>
            <w:pPr>
              <w:pStyle w:val="27"/>
            </w:pPr>
            <w:r>
              <w:t>≥90%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对安全隐患进行及时排查</w:t>
            </w:r>
          </w:p>
        </w:tc>
        <w:tc>
          <w:tcPr>
            <w:tcW w:w="2835" w:type="dxa"/>
            <w:vAlign w:val="center"/>
          </w:tcPr>
          <w:p>
            <w:pPr>
              <w:pStyle w:val="27"/>
            </w:pPr>
            <w:r>
              <w:t>常态化监督按计划完成</w:t>
            </w:r>
          </w:p>
        </w:tc>
        <w:tc>
          <w:tcPr>
            <w:tcW w:w="2551" w:type="dxa"/>
            <w:vAlign w:val="center"/>
          </w:tcPr>
          <w:p>
            <w:pPr>
              <w:pStyle w:val="27"/>
            </w:pPr>
            <w:r>
              <w:t>常态化监督</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聘请安全专家检查费成本</w:t>
            </w:r>
          </w:p>
        </w:tc>
        <w:tc>
          <w:tcPr>
            <w:tcW w:w="2551" w:type="dxa"/>
            <w:vAlign w:val="center"/>
          </w:tcPr>
          <w:p>
            <w:pPr>
              <w:pStyle w:val="27"/>
            </w:pPr>
            <w:r>
              <w:t>≤15万元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排除安全隐患</w:t>
            </w:r>
          </w:p>
        </w:tc>
        <w:tc>
          <w:tcPr>
            <w:tcW w:w="2835" w:type="dxa"/>
            <w:vAlign w:val="center"/>
          </w:tcPr>
          <w:p>
            <w:pPr>
              <w:pStyle w:val="27"/>
            </w:pPr>
            <w:r>
              <w:t>改善监督检查的质量和效率</w:t>
            </w:r>
          </w:p>
        </w:tc>
        <w:tc>
          <w:tcPr>
            <w:tcW w:w="2551" w:type="dxa"/>
            <w:vAlign w:val="center"/>
          </w:tcPr>
          <w:p>
            <w:pPr>
              <w:pStyle w:val="27"/>
            </w:pPr>
            <w:r>
              <w:t>≥90%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所提供服务的满意程度</w:t>
            </w:r>
          </w:p>
        </w:tc>
        <w:tc>
          <w:tcPr>
            <w:tcW w:w="2551" w:type="dxa"/>
            <w:vAlign w:val="center"/>
          </w:tcPr>
          <w:p>
            <w:pPr>
              <w:pStyle w:val="27"/>
            </w:pPr>
            <w:r>
              <w:t>≥85%</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37、聘请法律服务费绩效目标表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1.依法合规、有序健康推进藁城区房地产市场、建筑市场、供热燃气等行业行政执法规范化管理</w:t>
            </w:r>
          </w:p>
          <w:p>
            <w:pPr>
              <w:pStyle w:val="27"/>
            </w:pPr>
            <w:r>
              <w:t>2.顺利实施我区老旧小区、棚户区及城中村改造、重大基础设施项目建设，高效指导村镇建设管理</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服务期限</w:t>
            </w:r>
          </w:p>
        </w:tc>
        <w:tc>
          <w:tcPr>
            <w:tcW w:w="2835" w:type="dxa"/>
            <w:vAlign w:val="center"/>
          </w:tcPr>
          <w:p>
            <w:pPr>
              <w:pStyle w:val="27"/>
            </w:pPr>
            <w:r>
              <w:t>服务期限一年</w:t>
            </w:r>
          </w:p>
        </w:tc>
        <w:tc>
          <w:tcPr>
            <w:tcW w:w="2551" w:type="dxa"/>
            <w:vAlign w:val="center"/>
          </w:tcPr>
          <w:p>
            <w:pPr>
              <w:pStyle w:val="27"/>
            </w:pPr>
            <w:r>
              <w:t>1年</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依法合规、有序健康推进藁城区房地产市场、建筑市场、供热燃气等行业行政执法规范化管理；顺利实施我区老旧小区、棚户区及城中村改造、重大基础设施项目建设，高效指导村镇建设管理</w:t>
            </w:r>
          </w:p>
        </w:tc>
        <w:tc>
          <w:tcPr>
            <w:tcW w:w="2835" w:type="dxa"/>
            <w:vAlign w:val="center"/>
          </w:tcPr>
          <w:p>
            <w:pPr>
              <w:pStyle w:val="27"/>
            </w:pPr>
            <w:r>
              <w:t>年度提供：甲方工作职责范围内的事项提供法律咨询及政策把关；执法程序、应诉程序培训；建设行业法律法规规章、行政主管部门规范性政策文件等业务培训；代理行政复议、诉讼、仲裁；所有城中村、旧城改造及其他事项法律咨询服务，为城中村、旧城项目出具整体综合开发模式或方案。</w:t>
            </w:r>
          </w:p>
        </w:tc>
        <w:tc>
          <w:tcPr>
            <w:tcW w:w="2551" w:type="dxa"/>
            <w:vAlign w:val="center"/>
          </w:tcPr>
          <w:p>
            <w:pPr>
              <w:pStyle w:val="27"/>
            </w:pPr>
            <w:r>
              <w:t>提供行政执法水平，高效便民服务；有效遏制我区房地产市场、建筑市场及行业管理行政执法投诉、信访、行政复议、诉讼；有序推进实施城中村、旧城改造项目建设。</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及时提供法律服务专项服务</w:t>
            </w:r>
          </w:p>
        </w:tc>
        <w:tc>
          <w:tcPr>
            <w:tcW w:w="2835" w:type="dxa"/>
            <w:vAlign w:val="center"/>
          </w:tcPr>
          <w:p>
            <w:pPr>
              <w:pStyle w:val="27"/>
            </w:pPr>
            <w:r>
              <w:t>日常的常规法律服务通过电话、电子邮件、传真等现代化的办公方式提供，确保信息的传递和业务处理及时；涉及商事谈判、法律培训、业务研讨、复杂业务等重大并需面谈的事项，需要专业律师到甲方或项目地提供现场法律服务的，根据法律服务事项的内容和专业领域分工，安排律师到场提供服务，但甲方应提前预约。</w:t>
            </w:r>
          </w:p>
        </w:tc>
        <w:tc>
          <w:tcPr>
            <w:tcW w:w="2551" w:type="dxa"/>
            <w:vAlign w:val="center"/>
          </w:tcPr>
          <w:p>
            <w:pPr>
              <w:pStyle w:val="27"/>
            </w:pPr>
            <w:r>
              <w:t>按时完成情况</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年服务费</w:t>
            </w:r>
          </w:p>
        </w:tc>
        <w:tc>
          <w:tcPr>
            <w:tcW w:w="2835" w:type="dxa"/>
            <w:vAlign w:val="center"/>
          </w:tcPr>
          <w:p>
            <w:pPr>
              <w:pStyle w:val="27"/>
            </w:pPr>
            <w:r>
              <w:t>按年结算律师服务费</w:t>
            </w:r>
          </w:p>
        </w:tc>
        <w:tc>
          <w:tcPr>
            <w:tcW w:w="2551" w:type="dxa"/>
            <w:vAlign w:val="center"/>
          </w:tcPr>
          <w:p>
            <w:pPr>
              <w:pStyle w:val="27"/>
            </w:pPr>
            <w:r>
              <w:t>12万元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 xml:space="preserve"> 提供行政执法水平，高效便民服务；居住环境得到改变</w:t>
            </w:r>
          </w:p>
        </w:tc>
        <w:tc>
          <w:tcPr>
            <w:tcW w:w="2835" w:type="dxa"/>
            <w:vAlign w:val="center"/>
          </w:tcPr>
          <w:p>
            <w:pPr>
              <w:pStyle w:val="27"/>
            </w:pPr>
            <w:r>
              <w:t>有效遏制我区房地产市场、建筑市场及行业管理行政执法投诉、信访、行政复议、诉讼；有序推进实施城中村、旧城改造项目建设，居民居住品质提高，环境改善。</w:t>
            </w:r>
          </w:p>
        </w:tc>
        <w:tc>
          <w:tcPr>
            <w:tcW w:w="2551" w:type="dxa"/>
            <w:vAlign w:val="center"/>
          </w:tcPr>
          <w:p>
            <w:pPr>
              <w:pStyle w:val="27"/>
            </w:pPr>
            <w:r>
              <w:t>棚户区改造政策，有关建设行政执法法律法规规章政策。</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可持续影响指标</w:t>
            </w:r>
          </w:p>
        </w:tc>
        <w:tc>
          <w:tcPr>
            <w:tcW w:w="2835" w:type="dxa"/>
            <w:vAlign w:val="center"/>
          </w:tcPr>
          <w:p>
            <w:pPr>
              <w:pStyle w:val="27"/>
            </w:pPr>
            <w:r>
              <w:t>有序持续推动城中村、旧城改造项目，提高依法行政水平</w:t>
            </w:r>
          </w:p>
        </w:tc>
        <w:tc>
          <w:tcPr>
            <w:tcW w:w="2835" w:type="dxa"/>
            <w:vAlign w:val="center"/>
          </w:tcPr>
          <w:p>
            <w:pPr>
              <w:pStyle w:val="27"/>
            </w:pPr>
            <w:r>
              <w:t>有序持续推动城中村、旧城改造项目，提高依法行政水平，高效便民服务</w:t>
            </w:r>
          </w:p>
        </w:tc>
        <w:tc>
          <w:tcPr>
            <w:tcW w:w="2551" w:type="dxa"/>
            <w:vAlign w:val="center"/>
          </w:tcPr>
          <w:p>
            <w:pPr>
              <w:pStyle w:val="27"/>
            </w:pPr>
            <w:r>
              <w:t>棚户区改造政策，有关建设行政执法法律法规规章政策。</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服务对象满意度指标</w:t>
            </w:r>
          </w:p>
        </w:tc>
        <w:tc>
          <w:tcPr>
            <w:tcW w:w="2835" w:type="dxa"/>
            <w:vAlign w:val="center"/>
          </w:tcPr>
          <w:p>
            <w:pPr>
              <w:pStyle w:val="27"/>
            </w:pPr>
            <w:r>
              <w:t>服务对象满意度</w:t>
            </w:r>
          </w:p>
        </w:tc>
        <w:tc>
          <w:tcPr>
            <w:tcW w:w="2551" w:type="dxa"/>
            <w:vAlign w:val="center"/>
          </w:tcPr>
          <w:p>
            <w:pPr>
              <w:pStyle w:val="27"/>
            </w:pPr>
            <w:r>
              <w:t>服务对象满意情况</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38、聘请燃气安全检查服务费绩效目标表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1.1.我局燃气技术力量无法满足全区燃气设施安全监管要求，拟聘请第三方燃气安全检查技术服务。</w:t>
            </w:r>
          </w:p>
          <w:p>
            <w:pPr>
              <w:pStyle w:val="27"/>
            </w:pPr>
            <w:r>
              <w:t>2.2.委派4名燃气安全专业技术人员，常驻本单位安全管理业务指导。</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对安全隐患排查次数</w:t>
            </w:r>
          </w:p>
        </w:tc>
        <w:tc>
          <w:tcPr>
            <w:tcW w:w="2835" w:type="dxa"/>
            <w:vAlign w:val="center"/>
          </w:tcPr>
          <w:p>
            <w:pPr>
              <w:pStyle w:val="27"/>
            </w:pPr>
            <w:r>
              <w:t>对燃气设施安全隐患排查次数</w:t>
            </w:r>
          </w:p>
        </w:tc>
        <w:tc>
          <w:tcPr>
            <w:tcW w:w="2551" w:type="dxa"/>
            <w:vAlign w:val="center"/>
          </w:tcPr>
          <w:p>
            <w:pPr>
              <w:pStyle w:val="27"/>
            </w:pPr>
            <w:r>
              <w:t>≥200次</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达标率</w:t>
            </w:r>
          </w:p>
        </w:tc>
        <w:tc>
          <w:tcPr>
            <w:tcW w:w="2835" w:type="dxa"/>
            <w:vAlign w:val="center"/>
          </w:tcPr>
          <w:p>
            <w:pPr>
              <w:pStyle w:val="27"/>
            </w:pPr>
            <w:r>
              <w:t>按时间节点进行燃气监督检查质量情况</w:t>
            </w:r>
          </w:p>
        </w:tc>
        <w:tc>
          <w:tcPr>
            <w:tcW w:w="2551" w:type="dxa"/>
            <w:vAlign w:val="center"/>
          </w:tcPr>
          <w:p>
            <w:pPr>
              <w:pStyle w:val="27"/>
            </w:pPr>
            <w:r>
              <w:t>100%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及时完成情况</w:t>
            </w:r>
          </w:p>
        </w:tc>
        <w:tc>
          <w:tcPr>
            <w:tcW w:w="2835" w:type="dxa"/>
            <w:vAlign w:val="center"/>
          </w:tcPr>
          <w:p>
            <w:pPr>
              <w:pStyle w:val="27"/>
            </w:pPr>
            <w:r>
              <w:t>按照规定时间节点进行检查</w:t>
            </w:r>
          </w:p>
        </w:tc>
        <w:tc>
          <w:tcPr>
            <w:tcW w:w="2551" w:type="dxa"/>
            <w:vAlign w:val="center"/>
          </w:tcPr>
          <w:p>
            <w:pPr>
              <w:pStyle w:val="27"/>
            </w:pPr>
            <w:r>
              <w:t>100%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聘请燃气安全检查服务费成本</w:t>
            </w:r>
          </w:p>
        </w:tc>
        <w:tc>
          <w:tcPr>
            <w:tcW w:w="2551" w:type="dxa"/>
            <w:vAlign w:val="center"/>
          </w:tcPr>
          <w:p>
            <w:pPr>
              <w:pStyle w:val="27"/>
            </w:pPr>
            <w:r>
              <w:t>≤216.6万元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燃气企业安全检查服务条件满意度</w:t>
            </w:r>
          </w:p>
        </w:tc>
        <w:tc>
          <w:tcPr>
            <w:tcW w:w="2835" w:type="dxa"/>
            <w:vAlign w:val="center"/>
          </w:tcPr>
          <w:p>
            <w:pPr>
              <w:pStyle w:val="27"/>
            </w:pPr>
            <w:r>
              <w:t>增进了居民对燃气使用安全知识的了解，确保居民用气安全</w:t>
            </w:r>
          </w:p>
        </w:tc>
        <w:tc>
          <w:tcPr>
            <w:tcW w:w="2551" w:type="dxa"/>
            <w:vAlign w:val="center"/>
          </w:tcPr>
          <w:p>
            <w:pPr>
              <w:pStyle w:val="27"/>
            </w:pPr>
            <w:r>
              <w:t>增进了居民对燃气使用安全知识的了解，确保居民用气安全</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受益人的满意度</w:t>
            </w:r>
          </w:p>
        </w:tc>
        <w:tc>
          <w:tcPr>
            <w:tcW w:w="2835" w:type="dxa"/>
            <w:vAlign w:val="center"/>
          </w:tcPr>
          <w:p>
            <w:pPr>
              <w:pStyle w:val="27"/>
            </w:pPr>
            <w:r>
              <w:t>受益人满意情况</w:t>
            </w:r>
          </w:p>
        </w:tc>
        <w:tc>
          <w:tcPr>
            <w:tcW w:w="2551" w:type="dxa"/>
            <w:vAlign w:val="center"/>
          </w:tcPr>
          <w:p>
            <w:pPr>
              <w:pStyle w:val="27"/>
            </w:pPr>
            <w:r>
              <w:t>≥85%</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39、气代煤更换自闭阀申请政府补贴绩效目标表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1.为保障农村燃气用户生命财产和用气安全，</w:t>
            </w:r>
          </w:p>
          <w:p>
            <w:pPr>
              <w:pStyle w:val="27"/>
            </w:pPr>
            <w:r>
              <w:t>2.将农村燃气用户户内报警器使用寿命到期连锁装置更换为自闭阀</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数量指标</w:t>
            </w:r>
          </w:p>
        </w:tc>
        <w:tc>
          <w:tcPr>
            <w:tcW w:w="2835" w:type="dxa"/>
            <w:vAlign w:val="center"/>
          </w:tcPr>
          <w:p>
            <w:pPr>
              <w:pStyle w:val="27"/>
            </w:pPr>
            <w:r>
              <w:t>我区目前农村燃气壁挂炉用户162475户。</w:t>
            </w:r>
          </w:p>
        </w:tc>
        <w:tc>
          <w:tcPr>
            <w:tcW w:w="2551" w:type="dxa"/>
            <w:vAlign w:val="center"/>
          </w:tcPr>
          <w:p>
            <w:pPr>
              <w:pStyle w:val="27"/>
            </w:pPr>
            <w:r>
              <w:t>≥162475户</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质量指标</w:t>
            </w:r>
          </w:p>
        </w:tc>
        <w:tc>
          <w:tcPr>
            <w:tcW w:w="2835" w:type="dxa"/>
            <w:vAlign w:val="center"/>
          </w:tcPr>
          <w:p>
            <w:pPr>
              <w:pStyle w:val="27"/>
            </w:pPr>
            <w:r>
              <w:t>按照设备质量标准和效果进行评估</w:t>
            </w:r>
          </w:p>
        </w:tc>
        <w:tc>
          <w:tcPr>
            <w:tcW w:w="2551" w:type="dxa"/>
            <w:vAlign w:val="center"/>
          </w:tcPr>
          <w:p>
            <w:pPr>
              <w:pStyle w:val="27"/>
            </w:pPr>
            <w:r>
              <w:t>完成质量情况</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时效指标</w:t>
            </w:r>
          </w:p>
        </w:tc>
        <w:tc>
          <w:tcPr>
            <w:tcW w:w="2835" w:type="dxa"/>
            <w:vAlign w:val="center"/>
          </w:tcPr>
          <w:p>
            <w:pPr>
              <w:pStyle w:val="27"/>
            </w:pPr>
            <w:r>
              <w:t>工程大概需两年时间完成</w:t>
            </w:r>
          </w:p>
        </w:tc>
        <w:tc>
          <w:tcPr>
            <w:tcW w:w="2551" w:type="dxa"/>
            <w:vAlign w:val="center"/>
          </w:tcPr>
          <w:p>
            <w:pPr>
              <w:pStyle w:val="27"/>
            </w:pPr>
            <w:r>
              <w:t>按照施工规定时间完成</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关于“气代煤”户内报警器使用寿命到期连锁装置更换为自闭阀项目成本</w:t>
            </w:r>
          </w:p>
        </w:tc>
        <w:tc>
          <w:tcPr>
            <w:tcW w:w="2551" w:type="dxa"/>
            <w:vAlign w:val="center"/>
          </w:tcPr>
          <w:p>
            <w:pPr>
              <w:pStyle w:val="27"/>
            </w:pPr>
            <w:r>
              <w:t>≤500万元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社会效益指标</w:t>
            </w:r>
          </w:p>
        </w:tc>
        <w:tc>
          <w:tcPr>
            <w:tcW w:w="2835" w:type="dxa"/>
            <w:vAlign w:val="center"/>
          </w:tcPr>
          <w:p>
            <w:pPr>
              <w:pStyle w:val="27"/>
            </w:pPr>
            <w:r>
              <w:t>消除户内安全隐患，加强燃气用户技防措施</w:t>
            </w:r>
          </w:p>
        </w:tc>
        <w:tc>
          <w:tcPr>
            <w:tcW w:w="2551" w:type="dxa"/>
            <w:vAlign w:val="center"/>
          </w:tcPr>
          <w:p>
            <w:pPr>
              <w:pStyle w:val="27"/>
            </w:pPr>
            <w:r>
              <w:t>事故发生减少</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用户满意度情况</w:t>
            </w:r>
          </w:p>
        </w:tc>
        <w:tc>
          <w:tcPr>
            <w:tcW w:w="2551" w:type="dxa"/>
            <w:vAlign w:val="center"/>
          </w:tcPr>
          <w:p>
            <w:pPr>
              <w:pStyle w:val="27"/>
            </w:pPr>
            <w:r>
              <w:t>≥90%</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40、气代煤取暖设备规范化运行服务费绩效目标表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1.对藁城区所有享受政府气代煤运行补贴用户进行维护、保养、清洗</w:t>
            </w:r>
          </w:p>
          <w:p>
            <w:pPr>
              <w:pStyle w:val="27"/>
            </w:pPr>
            <w:r>
              <w:t>2.缴纳燃气意外险</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农村燃气用户</w:t>
            </w:r>
          </w:p>
        </w:tc>
        <w:tc>
          <w:tcPr>
            <w:tcW w:w="2835" w:type="dxa"/>
            <w:vAlign w:val="center"/>
          </w:tcPr>
          <w:p>
            <w:pPr>
              <w:pStyle w:val="27"/>
            </w:pPr>
            <w:r>
              <w:t>藁城区所有享受燃气补贴的燃气用户壁挂炉进行清洗、检测。共计约162475户</w:t>
            </w:r>
          </w:p>
        </w:tc>
        <w:tc>
          <w:tcPr>
            <w:tcW w:w="2551" w:type="dxa"/>
            <w:vAlign w:val="center"/>
          </w:tcPr>
          <w:p>
            <w:pPr>
              <w:pStyle w:val="27"/>
            </w:pPr>
            <w:r>
              <w:t>≥162475户</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为农村燃气用户清洗壁挂炉、安全检测</w:t>
            </w:r>
          </w:p>
        </w:tc>
        <w:tc>
          <w:tcPr>
            <w:tcW w:w="2835" w:type="dxa"/>
            <w:vAlign w:val="center"/>
          </w:tcPr>
          <w:p>
            <w:pPr>
              <w:pStyle w:val="27"/>
            </w:pPr>
            <w:r>
              <w:t>按照合同安检、清洗服务标准执行</w:t>
            </w:r>
          </w:p>
        </w:tc>
        <w:tc>
          <w:tcPr>
            <w:tcW w:w="2551" w:type="dxa"/>
            <w:vAlign w:val="center"/>
          </w:tcPr>
          <w:p>
            <w:pPr>
              <w:pStyle w:val="27"/>
            </w:pPr>
            <w:r>
              <w:t>按照流程高质量完成</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为农村燃气用户清洗壁挂炉、安全检测及培训、每户缴纳燃气意外险</w:t>
            </w:r>
          </w:p>
        </w:tc>
        <w:tc>
          <w:tcPr>
            <w:tcW w:w="2835" w:type="dxa"/>
            <w:vAlign w:val="center"/>
          </w:tcPr>
          <w:p>
            <w:pPr>
              <w:pStyle w:val="27"/>
            </w:pPr>
            <w:r>
              <w:t>根据签订后合同要求时间实施</w:t>
            </w:r>
          </w:p>
        </w:tc>
        <w:tc>
          <w:tcPr>
            <w:tcW w:w="2551" w:type="dxa"/>
            <w:vAlign w:val="center"/>
          </w:tcPr>
          <w:p>
            <w:pPr>
              <w:pStyle w:val="27"/>
            </w:pPr>
            <w:r>
              <w:t>按时完成</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 xml:space="preserve">关于“气代煤”取暖设备规范化运行服务项目成本 </w:t>
            </w:r>
          </w:p>
        </w:tc>
        <w:tc>
          <w:tcPr>
            <w:tcW w:w="2551" w:type="dxa"/>
            <w:vAlign w:val="center"/>
          </w:tcPr>
          <w:p>
            <w:pPr>
              <w:pStyle w:val="27"/>
            </w:pPr>
            <w:r>
              <w:t>≤800万元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产生的社会效益</w:t>
            </w:r>
          </w:p>
        </w:tc>
        <w:tc>
          <w:tcPr>
            <w:tcW w:w="2835" w:type="dxa"/>
            <w:vAlign w:val="center"/>
          </w:tcPr>
          <w:p>
            <w:pPr>
              <w:pStyle w:val="27"/>
            </w:pPr>
            <w:r>
              <w:t>1.将壁挂炉交器内的水垢清洗掉，2.减少用户用气量，3.防止壁挂炉堵塞造成设备事故，4、安全检测及宣传培训、提高用户安全意识和用气常识，确保用户安全用气。</w:t>
            </w:r>
          </w:p>
        </w:tc>
        <w:tc>
          <w:tcPr>
            <w:tcW w:w="2551" w:type="dxa"/>
            <w:vAlign w:val="center"/>
          </w:tcPr>
          <w:p>
            <w:pPr>
              <w:pStyle w:val="27"/>
            </w:pPr>
            <w:r>
              <w:t>对用户产生的积极影响</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燃气用户满意度</w:t>
            </w:r>
          </w:p>
        </w:tc>
        <w:tc>
          <w:tcPr>
            <w:tcW w:w="2835" w:type="dxa"/>
            <w:vAlign w:val="center"/>
          </w:tcPr>
          <w:p>
            <w:pPr>
              <w:pStyle w:val="27"/>
            </w:pPr>
            <w:r>
              <w:t>燃气用户满意度</w:t>
            </w:r>
          </w:p>
        </w:tc>
        <w:tc>
          <w:tcPr>
            <w:tcW w:w="2551" w:type="dxa"/>
            <w:vAlign w:val="center"/>
          </w:tcPr>
          <w:p>
            <w:pPr>
              <w:pStyle w:val="27"/>
            </w:pPr>
            <w:r>
              <w:t>≥85%</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41、气代煤用户安全管理和取暖设备维修服务绩效目标表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1.提高气代煤用户使用燃气设备的安全性。</w:t>
            </w:r>
          </w:p>
          <w:p>
            <w:pPr>
              <w:pStyle w:val="27"/>
            </w:pPr>
            <w:r>
              <w:t>2.保障清洁能源使用的推广。</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需要列入服务的数量</w:t>
            </w:r>
          </w:p>
        </w:tc>
        <w:tc>
          <w:tcPr>
            <w:tcW w:w="2835" w:type="dxa"/>
            <w:vAlign w:val="center"/>
          </w:tcPr>
          <w:p>
            <w:pPr>
              <w:pStyle w:val="27"/>
            </w:pPr>
            <w:r>
              <w:t>需要列入服务的全区乡镇（开发区）数量</w:t>
            </w:r>
          </w:p>
        </w:tc>
        <w:tc>
          <w:tcPr>
            <w:tcW w:w="2551" w:type="dxa"/>
            <w:vAlign w:val="center"/>
          </w:tcPr>
          <w:p>
            <w:pPr>
              <w:pStyle w:val="27"/>
            </w:pPr>
            <w:r>
              <w:t>14个</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合格率</w:t>
            </w:r>
          </w:p>
        </w:tc>
        <w:tc>
          <w:tcPr>
            <w:tcW w:w="2835" w:type="dxa"/>
            <w:vAlign w:val="center"/>
          </w:tcPr>
          <w:p>
            <w:pPr>
              <w:pStyle w:val="27"/>
            </w:pPr>
            <w:r>
              <w:t>按时间节点进行燃气监督检查质量情况</w:t>
            </w:r>
          </w:p>
        </w:tc>
        <w:tc>
          <w:tcPr>
            <w:tcW w:w="2551" w:type="dxa"/>
            <w:vAlign w:val="center"/>
          </w:tcPr>
          <w:p>
            <w:pPr>
              <w:pStyle w:val="27"/>
            </w:pPr>
            <w:r>
              <w:t>100%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及时完成情况</w:t>
            </w:r>
          </w:p>
        </w:tc>
        <w:tc>
          <w:tcPr>
            <w:tcW w:w="2835" w:type="dxa"/>
            <w:vAlign w:val="center"/>
          </w:tcPr>
          <w:p>
            <w:pPr>
              <w:pStyle w:val="27"/>
            </w:pPr>
            <w:r>
              <w:t>按照规定时间节点进行安全检测、维护保养</w:t>
            </w:r>
          </w:p>
        </w:tc>
        <w:tc>
          <w:tcPr>
            <w:tcW w:w="2551" w:type="dxa"/>
            <w:vAlign w:val="center"/>
          </w:tcPr>
          <w:p>
            <w:pPr>
              <w:pStyle w:val="27"/>
            </w:pPr>
            <w:r>
              <w:t>及时完成</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控制预算数</w:t>
            </w:r>
          </w:p>
        </w:tc>
        <w:tc>
          <w:tcPr>
            <w:tcW w:w="2835" w:type="dxa"/>
            <w:vAlign w:val="center"/>
          </w:tcPr>
          <w:p>
            <w:pPr>
              <w:pStyle w:val="27"/>
            </w:pPr>
            <w:r>
              <w:t>控制在年初预算范围内</w:t>
            </w:r>
          </w:p>
        </w:tc>
        <w:tc>
          <w:tcPr>
            <w:tcW w:w="2551" w:type="dxa"/>
            <w:vAlign w:val="center"/>
          </w:tcPr>
          <w:p>
            <w:pPr>
              <w:pStyle w:val="27"/>
            </w:pPr>
            <w:r>
              <w:t>控制在年初预算范围内</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对社会起到的积极作用</w:t>
            </w:r>
          </w:p>
        </w:tc>
        <w:tc>
          <w:tcPr>
            <w:tcW w:w="2835" w:type="dxa"/>
            <w:vAlign w:val="center"/>
          </w:tcPr>
          <w:p>
            <w:pPr>
              <w:pStyle w:val="27"/>
            </w:pPr>
            <w:r>
              <w:t>提高气代煤用户使用燃气设备的安全性，增进了居民对燃气使用安全知识的了解，保障清洁能源使用的推广</w:t>
            </w:r>
          </w:p>
        </w:tc>
        <w:tc>
          <w:tcPr>
            <w:tcW w:w="2551" w:type="dxa"/>
            <w:vAlign w:val="center"/>
          </w:tcPr>
          <w:p>
            <w:pPr>
              <w:pStyle w:val="27"/>
            </w:pPr>
            <w:r>
              <w:t>提高使用燃气设备的安全性保障清洁能源推广</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服务对象的满意度</w:t>
            </w:r>
          </w:p>
        </w:tc>
        <w:tc>
          <w:tcPr>
            <w:tcW w:w="2835" w:type="dxa"/>
            <w:vAlign w:val="center"/>
          </w:tcPr>
          <w:p>
            <w:pPr>
              <w:pStyle w:val="27"/>
            </w:pPr>
            <w:r>
              <w:t>服务对象的满意度</w:t>
            </w:r>
          </w:p>
        </w:tc>
        <w:tc>
          <w:tcPr>
            <w:tcW w:w="2551" w:type="dxa"/>
            <w:vAlign w:val="center"/>
          </w:tcPr>
          <w:p>
            <w:pPr>
              <w:pStyle w:val="27"/>
            </w:pPr>
            <w:r>
              <w:t>服务对象的满意度情况</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42、清洁能源供暖改造监理招标绩效目标表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1.完成清洁能源供暖改造项目一标段和二标段工程监理工作。</w:t>
            </w:r>
          </w:p>
          <w:p>
            <w:pPr>
              <w:pStyle w:val="27"/>
            </w:pPr>
            <w:r>
              <w:t>2.供热区域内实现清洁能源供热。</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标段数量</w:t>
            </w:r>
          </w:p>
        </w:tc>
        <w:tc>
          <w:tcPr>
            <w:tcW w:w="2835" w:type="dxa"/>
            <w:vAlign w:val="center"/>
          </w:tcPr>
          <w:p>
            <w:pPr>
              <w:pStyle w:val="27"/>
            </w:pPr>
            <w:r>
              <w:t>一标段和二标段工程</w:t>
            </w:r>
          </w:p>
        </w:tc>
        <w:tc>
          <w:tcPr>
            <w:tcW w:w="2551" w:type="dxa"/>
            <w:vAlign w:val="center"/>
          </w:tcPr>
          <w:p>
            <w:pPr>
              <w:pStyle w:val="27"/>
            </w:pPr>
            <w:r>
              <w:t>≥2项</w:t>
            </w:r>
          </w:p>
        </w:tc>
        <w:tc>
          <w:tcPr>
            <w:tcW w:w="2268" w:type="dxa"/>
            <w:vAlign w:val="center"/>
          </w:tcPr>
          <w:p>
            <w:pPr>
              <w:pStyle w:val="27"/>
            </w:pPr>
            <w:r>
              <w:t>监理合同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材料检验合格</w:t>
            </w:r>
          </w:p>
        </w:tc>
        <w:tc>
          <w:tcPr>
            <w:tcW w:w="2835" w:type="dxa"/>
            <w:vAlign w:val="center"/>
          </w:tcPr>
          <w:p>
            <w:pPr>
              <w:pStyle w:val="27"/>
            </w:pPr>
            <w:r>
              <w:t>工程所用材料质量抽检</w:t>
            </w:r>
          </w:p>
        </w:tc>
        <w:tc>
          <w:tcPr>
            <w:tcW w:w="2551" w:type="dxa"/>
            <w:vAlign w:val="center"/>
          </w:tcPr>
          <w:p>
            <w:pPr>
              <w:pStyle w:val="27"/>
            </w:pPr>
            <w:r>
              <w:t>≥90%</w:t>
            </w:r>
          </w:p>
        </w:tc>
        <w:tc>
          <w:tcPr>
            <w:tcW w:w="2268" w:type="dxa"/>
            <w:vAlign w:val="center"/>
          </w:tcPr>
          <w:p>
            <w:pPr>
              <w:pStyle w:val="27"/>
            </w:pPr>
            <w:r>
              <w:t>监理资料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按时完工情况</w:t>
            </w:r>
          </w:p>
        </w:tc>
        <w:tc>
          <w:tcPr>
            <w:tcW w:w="2835" w:type="dxa"/>
            <w:vAlign w:val="center"/>
          </w:tcPr>
          <w:p>
            <w:pPr>
              <w:pStyle w:val="27"/>
            </w:pPr>
            <w:r>
              <w:t>按合同时间节点完成工程监理内容</w:t>
            </w:r>
          </w:p>
        </w:tc>
        <w:tc>
          <w:tcPr>
            <w:tcW w:w="2551" w:type="dxa"/>
            <w:vAlign w:val="center"/>
          </w:tcPr>
          <w:p>
            <w:pPr>
              <w:pStyle w:val="27"/>
            </w:pPr>
            <w:r>
              <w:t>及时完成</w:t>
            </w:r>
          </w:p>
        </w:tc>
        <w:tc>
          <w:tcPr>
            <w:tcW w:w="2268" w:type="dxa"/>
            <w:vAlign w:val="center"/>
          </w:tcPr>
          <w:p>
            <w:pPr>
              <w:pStyle w:val="27"/>
            </w:pPr>
            <w:r>
              <w:t>监理合同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清洁能源供暖改造监理招标成本</w:t>
            </w:r>
          </w:p>
        </w:tc>
        <w:tc>
          <w:tcPr>
            <w:tcW w:w="2551" w:type="dxa"/>
            <w:vAlign w:val="center"/>
          </w:tcPr>
          <w:p>
            <w:pPr>
              <w:pStyle w:val="27"/>
            </w:pPr>
            <w:r>
              <w:t>≤107万元</w:t>
            </w:r>
          </w:p>
        </w:tc>
        <w:tc>
          <w:tcPr>
            <w:tcW w:w="2268" w:type="dxa"/>
            <w:vAlign w:val="center"/>
          </w:tcPr>
          <w:p>
            <w:pPr>
              <w:pStyle w:val="27"/>
            </w:pPr>
            <w:r>
              <w:t>实际成本支出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清洁能源供热保障</w:t>
            </w:r>
          </w:p>
        </w:tc>
        <w:tc>
          <w:tcPr>
            <w:tcW w:w="2835" w:type="dxa"/>
            <w:vAlign w:val="center"/>
          </w:tcPr>
          <w:p>
            <w:pPr>
              <w:pStyle w:val="27"/>
            </w:pPr>
            <w:r>
              <w:t>为实现清洁能源供热提供支持</w:t>
            </w:r>
          </w:p>
        </w:tc>
        <w:tc>
          <w:tcPr>
            <w:tcW w:w="2551" w:type="dxa"/>
            <w:vAlign w:val="center"/>
          </w:tcPr>
          <w:p>
            <w:pPr>
              <w:pStyle w:val="27"/>
            </w:pPr>
            <w:r>
              <w:t>实现清洁能源供热</w:t>
            </w:r>
          </w:p>
        </w:tc>
        <w:tc>
          <w:tcPr>
            <w:tcW w:w="2268" w:type="dxa"/>
            <w:vAlign w:val="center"/>
          </w:tcPr>
          <w:p>
            <w:pPr>
              <w:pStyle w:val="27"/>
            </w:pPr>
            <w:r>
              <w:t>实际反馈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实际受益人调查中，满意和较满意的人数占全部调查人数的比率</w:t>
            </w:r>
          </w:p>
        </w:tc>
        <w:tc>
          <w:tcPr>
            <w:tcW w:w="2551" w:type="dxa"/>
            <w:vAlign w:val="center"/>
          </w:tcPr>
          <w:p>
            <w:pPr>
              <w:pStyle w:val="27"/>
            </w:pPr>
            <w:r>
              <w:t>≥85%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43、人民广场综合提升改造项目前期费用绩效目标表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1.保障人民广场人民广场综合提升改造项目的正常推进。</w:t>
            </w:r>
          </w:p>
          <w:p>
            <w:pPr>
              <w:pStyle w:val="27"/>
            </w:pPr>
            <w:r>
              <w:t>2.满足广场新发展的需要。</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完成前期工作数</w:t>
            </w:r>
          </w:p>
        </w:tc>
        <w:tc>
          <w:tcPr>
            <w:tcW w:w="2835" w:type="dxa"/>
            <w:vAlign w:val="center"/>
          </w:tcPr>
          <w:p>
            <w:pPr>
              <w:pStyle w:val="27"/>
            </w:pPr>
            <w:r>
              <w:t>完成前期工作数</w:t>
            </w:r>
          </w:p>
        </w:tc>
        <w:tc>
          <w:tcPr>
            <w:tcW w:w="2551" w:type="dxa"/>
            <w:vAlign w:val="center"/>
          </w:tcPr>
          <w:p>
            <w:pPr>
              <w:pStyle w:val="27"/>
            </w:pPr>
            <w:r>
              <w:t>6个</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项目完成合格率</w:t>
            </w:r>
          </w:p>
        </w:tc>
        <w:tc>
          <w:tcPr>
            <w:tcW w:w="2835" w:type="dxa"/>
            <w:vAlign w:val="center"/>
          </w:tcPr>
          <w:p>
            <w:pPr>
              <w:pStyle w:val="27"/>
            </w:pPr>
            <w:r>
              <w:t>项目完成合格率</w:t>
            </w:r>
          </w:p>
        </w:tc>
        <w:tc>
          <w:tcPr>
            <w:tcW w:w="2551" w:type="dxa"/>
            <w:vAlign w:val="center"/>
          </w:tcPr>
          <w:p>
            <w:pPr>
              <w:pStyle w:val="27"/>
            </w:pPr>
            <w:r>
              <w:t>≥90%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项目完成及时率</w:t>
            </w:r>
          </w:p>
        </w:tc>
        <w:tc>
          <w:tcPr>
            <w:tcW w:w="2835" w:type="dxa"/>
            <w:vAlign w:val="center"/>
          </w:tcPr>
          <w:p>
            <w:pPr>
              <w:pStyle w:val="27"/>
            </w:pPr>
            <w:r>
              <w:t>所需要的前期工作按时完成情况</w:t>
            </w:r>
          </w:p>
        </w:tc>
        <w:tc>
          <w:tcPr>
            <w:tcW w:w="2551" w:type="dxa"/>
            <w:vAlign w:val="center"/>
          </w:tcPr>
          <w:p>
            <w:pPr>
              <w:pStyle w:val="27"/>
            </w:pPr>
            <w:r>
              <w:t>及时完成</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人民广场综合提升改造项目前期费用成本</w:t>
            </w:r>
          </w:p>
        </w:tc>
        <w:tc>
          <w:tcPr>
            <w:tcW w:w="2551" w:type="dxa"/>
            <w:vAlign w:val="center"/>
          </w:tcPr>
          <w:p>
            <w:pPr>
              <w:pStyle w:val="27"/>
            </w:pPr>
            <w:r>
              <w:t>≤15万元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人民广场条件改善</w:t>
            </w:r>
          </w:p>
        </w:tc>
        <w:tc>
          <w:tcPr>
            <w:tcW w:w="2835" w:type="dxa"/>
            <w:vAlign w:val="center"/>
          </w:tcPr>
          <w:p>
            <w:pPr>
              <w:pStyle w:val="27"/>
            </w:pPr>
            <w:r>
              <w:t>提高城市居民生活质量，改善广场现有条件</w:t>
            </w:r>
          </w:p>
        </w:tc>
        <w:tc>
          <w:tcPr>
            <w:tcW w:w="2551" w:type="dxa"/>
            <w:vAlign w:val="center"/>
          </w:tcPr>
          <w:p>
            <w:pPr>
              <w:pStyle w:val="27"/>
            </w:pPr>
            <w:r>
              <w:t>实际反馈</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所提供服务对象的满意程度</w:t>
            </w:r>
          </w:p>
        </w:tc>
        <w:tc>
          <w:tcPr>
            <w:tcW w:w="2551" w:type="dxa"/>
            <w:vAlign w:val="center"/>
          </w:tcPr>
          <w:p>
            <w:pPr>
              <w:pStyle w:val="27"/>
            </w:pPr>
            <w:r>
              <w:t>≥85%</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44、石财城[2021]34号  关于下达2021年中央财政城镇保障性安居工程补助资金用于发展住房租赁市场的通知绩效目标表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1.1.按任务完成2021年新改建、盘活、培育专业化企业任务；</w:t>
            </w:r>
          </w:p>
          <w:p>
            <w:pPr>
              <w:pStyle w:val="27"/>
            </w:pPr>
            <w:r>
              <w:t>2.2.进一步健全住房租赁市场制度和体制机制。</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新建、改建租赁住房数量</w:t>
            </w:r>
          </w:p>
        </w:tc>
        <w:tc>
          <w:tcPr>
            <w:tcW w:w="2835" w:type="dxa"/>
            <w:vAlign w:val="center"/>
          </w:tcPr>
          <w:p>
            <w:pPr>
              <w:pStyle w:val="27"/>
            </w:pPr>
            <w:r>
              <w:t>新建、改建租赁住房数量</w:t>
            </w:r>
          </w:p>
        </w:tc>
        <w:tc>
          <w:tcPr>
            <w:tcW w:w="2551" w:type="dxa"/>
            <w:vAlign w:val="center"/>
          </w:tcPr>
          <w:p>
            <w:pPr>
              <w:pStyle w:val="27"/>
            </w:pPr>
            <w:r>
              <w:t>≥2000套（间）</w:t>
            </w:r>
          </w:p>
        </w:tc>
        <w:tc>
          <w:tcPr>
            <w:tcW w:w="2268" w:type="dxa"/>
            <w:vAlign w:val="center"/>
          </w:tcPr>
          <w:p>
            <w:pPr>
              <w:pStyle w:val="27"/>
            </w:pPr>
            <w:r>
              <w:t>按相关文件要求完成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数量指标</w:t>
            </w:r>
          </w:p>
        </w:tc>
        <w:tc>
          <w:tcPr>
            <w:tcW w:w="2835" w:type="dxa"/>
            <w:vAlign w:val="center"/>
          </w:tcPr>
          <w:p>
            <w:pPr>
              <w:pStyle w:val="27"/>
            </w:pPr>
            <w:r>
              <w:t>盘活存量房源数量</w:t>
            </w:r>
          </w:p>
        </w:tc>
        <w:tc>
          <w:tcPr>
            <w:tcW w:w="2835" w:type="dxa"/>
            <w:vAlign w:val="center"/>
          </w:tcPr>
          <w:p>
            <w:pPr>
              <w:pStyle w:val="27"/>
            </w:pPr>
            <w:r>
              <w:t>盘活存量房源数量</w:t>
            </w:r>
          </w:p>
        </w:tc>
        <w:tc>
          <w:tcPr>
            <w:tcW w:w="2551" w:type="dxa"/>
            <w:vAlign w:val="center"/>
          </w:tcPr>
          <w:p>
            <w:pPr>
              <w:pStyle w:val="27"/>
            </w:pPr>
            <w:r>
              <w:t>≥1200套（间）</w:t>
            </w:r>
          </w:p>
        </w:tc>
        <w:tc>
          <w:tcPr>
            <w:tcW w:w="2268" w:type="dxa"/>
            <w:vAlign w:val="center"/>
          </w:tcPr>
          <w:p>
            <w:pPr>
              <w:pStyle w:val="27"/>
            </w:pPr>
            <w:r>
              <w:t>按相关文件要求完成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数量指标</w:t>
            </w:r>
          </w:p>
        </w:tc>
        <w:tc>
          <w:tcPr>
            <w:tcW w:w="2835" w:type="dxa"/>
            <w:vAlign w:val="center"/>
          </w:tcPr>
          <w:p>
            <w:pPr>
              <w:pStyle w:val="27"/>
            </w:pPr>
            <w:r>
              <w:t>培育专业化企业数量</w:t>
            </w:r>
          </w:p>
        </w:tc>
        <w:tc>
          <w:tcPr>
            <w:tcW w:w="2835" w:type="dxa"/>
            <w:vAlign w:val="center"/>
          </w:tcPr>
          <w:p>
            <w:pPr>
              <w:pStyle w:val="27"/>
            </w:pPr>
            <w:r>
              <w:t>培育专业化企业数量</w:t>
            </w:r>
          </w:p>
        </w:tc>
        <w:tc>
          <w:tcPr>
            <w:tcW w:w="2551" w:type="dxa"/>
            <w:vAlign w:val="center"/>
          </w:tcPr>
          <w:p>
            <w:pPr>
              <w:pStyle w:val="27"/>
            </w:pPr>
            <w:r>
              <w:t>≥1个</w:t>
            </w:r>
          </w:p>
        </w:tc>
        <w:tc>
          <w:tcPr>
            <w:tcW w:w="2268" w:type="dxa"/>
            <w:vAlign w:val="center"/>
          </w:tcPr>
          <w:p>
            <w:pPr>
              <w:pStyle w:val="27"/>
            </w:pPr>
            <w:r>
              <w:t>按相关文件要求完成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质量合格</w:t>
            </w:r>
          </w:p>
        </w:tc>
        <w:tc>
          <w:tcPr>
            <w:tcW w:w="2835" w:type="dxa"/>
            <w:vAlign w:val="center"/>
          </w:tcPr>
          <w:p>
            <w:pPr>
              <w:pStyle w:val="27"/>
            </w:pPr>
            <w:r>
              <w:t>工程竣工后质量达到合格标准</w:t>
            </w:r>
          </w:p>
        </w:tc>
        <w:tc>
          <w:tcPr>
            <w:tcW w:w="2551" w:type="dxa"/>
            <w:vAlign w:val="center"/>
          </w:tcPr>
          <w:p>
            <w:pPr>
              <w:pStyle w:val="27"/>
            </w:pPr>
            <w:r>
              <w:t>≥100%</w:t>
            </w:r>
          </w:p>
        </w:tc>
        <w:tc>
          <w:tcPr>
            <w:tcW w:w="2268" w:type="dxa"/>
            <w:vAlign w:val="center"/>
          </w:tcPr>
          <w:p>
            <w:pPr>
              <w:pStyle w:val="27"/>
            </w:pPr>
            <w:r>
              <w:t>建筑施工规范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开工目标完成率</w:t>
            </w:r>
          </w:p>
        </w:tc>
        <w:tc>
          <w:tcPr>
            <w:tcW w:w="2835" w:type="dxa"/>
            <w:vAlign w:val="center"/>
          </w:tcPr>
          <w:p>
            <w:pPr>
              <w:pStyle w:val="27"/>
            </w:pPr>
            <w:r>
              <w:t>如期开工</w:t>
            </w:r>
          </w:p>
        </w:tc>
        <w:tc>
          <w:tcPr>
            <w:tcW w:w="2551" w:type="dxa"/>
            <w:vAlign w:val="center"/>
          </w:tcPr>
          <w:p>
            <w:pPr>
              <w:pStyle w:val="27"/>
            </w:pPr>
            <w:r>
              <w:t>100%</w:t>
            </w:r>
          </w:p>
        </w:tc>
        <w:tc>
          <w:tcPr>
            <w:tcW w:w="2268" w:type="dxa"/>
            <w:vAlign w:val="center"/>
          </w:tcPr>
          <w:p>
            <w:pPr>
              <w:pStyle w:val="27"/>
            </w:pPr>
            <w:r>
              <w:t>施工许可证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节约成本</w:t>
            </w:r>
          </w:p>
        </w:tc>
        <w:tc>
          <w:tcPr>
            <w:tcW w:w="2835" w:type="dxa"/>
            <w:vAlign w:val="center"/>
          </w:tcPr>
          <w:p>
            <w:pPr>
              <w:pStyle w:val="27"/>
            </w:pPr>
            <w:r>
              <w:t>节约资金成本的情况</w:t>
            </w:r>
          </w:p>
        </w:tc>
        <w:tc>
          <w:tcPr>
            <w:tcW w:w="2551" w:type="dxa"/>
            <w:vAlign w:val="center"/>
          </w:tcPr>
          <w:p>
            <w:pPr>
              <w:pStyle w:val="27"/>
            </w:pPr>
            <w:r>
              <w:t>节约成本</w:t>
            </w:r>
          </w:p>
        </w:tc>
        <w:tc>
          <w:tcPr>
            <w:tcW w:w="2268" w:type="dxa"/>
            <w:vAlign w:val="center"/>
          </w:tcPr>
          <w:p>
            <w:pPr>
              <w:pStyle w:val="27"/>
            </w:pPr>
            <w:r>
              <w:t>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租金价格涨幅是否控制在合理区间</w:t>
            </w:r>
          </w:p>
        </w:tc>
        <w:tc>
          <w:tcPr>
            <w:tcW w:w="2835" w:type="dxa"/>
            <w:vAlign w:val="center"/>
          </w:tcPr>
          <w:p>
            <w:pPr>
              <w:pStyle w:val="27"/>
            </w:pPr>
            <w:r>
              <w:t>租金价格涨幅是否控制在合理区间</w:t>
            </w:r>
          </w:p>
        </w:tc>
        <w:tc>
          <w:tcPr>
            <w:tcW w:w="2551" w:type="dxa"/>
            <w:vAlign w:val="center"/>
          </w:tcPr>
          <w:p>
            <w:pPr>
              <w:pStyle w:val="27"/>
            </w:pPr>
            <w:r>
              <w:t>不高于当地人均可支配收入增幅</w:t>
            </w:r>
          </w:p>
        </w:tc>
        <w:tc>
          <w:tcPr>
            <w:tcW w:w="2268" w:type="dxa"/>
            <w:vAlign w:val="center"/>
          </w:tcPr>
          <w:p>
            <w:pPr>
              <w:pStyle w:val="27"/>
            </w:pPr>
            <w:r>
              <w:t>实际反馈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社会效益指标</w:t>
            </w:r>
          </w:p>
        </w:tc>
        <w:tc>
          <w:tcPr>
            <w:tcW w:w="2835" w:type="dxa"/>
            <w:vAlign w:val="center"/>
          </w:tcPr>
          <w:p>
            <w:pPr>
              <w:pStyle w:val="27"/>
            </w:pPr>
            <w:r>
              <w:t>是否落实整顿规范住房租赁市场秩序的要求</w:t>
            </w:r>
          </w:p>
        </w:tc>
        <w:tc>
          <w:tcPr>
            <w:tcW w:w="2835" w:type="dxa"/>
            <w:vAlign w:val="center"/>
          </w:tcPr>
          <w:p>
            <w:pPr>
              <w:pStyle w:val="27"/>
            </w:pPr>
            <w:r>
              <w:t>是否落实整顿规范住房租赁市场秩序的要求</w:t>
            </w:r>
          </w:p>
        </w:tc>
        <w:tc>
          <w:tcPr>
            <w:tcW w:w="2551" w:type="dxa"/>
            <w:vAlign w:val="center"/>
          </w:tcPr>
          <w:p>
            <w:pPr>
              <w:pStyle w:val="27"/>
            </w:pPr>
            <w:r>
              <w:t>是</w:t>
            </w:r>
          </w:p>
        </w:tc>
        <w:tc>
          <w:tcPr>
            <w:tcW w:w="2268" w:type="dxa"/>
            <w:vAlign w:val="center"/>
          </w:tcPr>
          <w:p>
            <w:pPr>
              <w:pStyle w:val="27"/>
            </w:pPr>
            <w:r>
              <w:t>实际反馈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可持续影响指标</w:t>
            </w:r>
          </w:p>
        </w:tc>
        <w:tc>
          <w:tcPr>
            <w:tcW w:w="2835" w:type="dxa"/>
            <w:vAlign w:val="center"/>
          </w:tcPr>
          <w:p>
            <w:pPr>
              <w:pStyle w:val="27"/>
            </w:pPr>
            <w:r>
              <w:rPr>
                <w:rFonts w:hint="eastAsia"/>
                <w:lang w:eastAsia="zh-CN"/>
              </w:rPr>
              <w:t>制订</w:t>
            </w:r>
            <w:r>
              <w:t>住房租赁管理相关政策制度</w:t>
            </w:r>
          </w:p>
        </w:tc>
        <w:tc>
          <w:tcPr>
            <w:tcW w:w="2835" w:type="dxa"/>
            <w:vAlign w:val="center"/>
          </w:tcPr>
          <w:p>
            <w:pPr>
              <w:pStyle w:val="27"/>
            </w:pPr>
            <w:r>
              <w:rPr>
                <w:rFonts w:hint="eastAsia"/>
                <w:lang w:eastAsia="zh-CN"/>
              </w:rPr>
              <w:t>制订</w:t>
            </w:r>
            <w:r>
              <w:t>住房租赁管理相关政策制度</w:t>
            </w:r>
          </w:p>
        </w:tc>
        <w:tc>
          <w:tcPr>
            <w:tcW w:w="2551" w:type="dxa"/>
            <w:vAlign w:val="center"/>
          </w:tcPr>
          <w:p>
            <w:pPr>
              <w:pStyle w:val="27"/>
            </w:pPr>
            <w:r>
              <w:t>是</w:t>
            </w:r>
          </w:p>
        </w:tc>
        <w:tc>
          <w:tcPr>
            <w:tcW w:w="2268" w:type="dxa"/>
            <w:vAlign w:val="center"/>
          </w:tcPr>
          <w:p>
            <w:pPr>
              <w:pStyle w:val="27"/>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可持续影响指标</w:t>
            </w:r>
          </w:p>
        </w:tc>
        <w:tc>
          <w:tcPr>
            <w:tcW w:w="2835" w:type="dxa"/>
            <w:vAlign w:val="center"/>
          </w:tcPr>
          <w:p>
            <w:pPr>
              <w:pStyle w:val="27"/>
            </w:pPr>
            <w:r>
              <w:t>与住房租赁管理服务平台实现数据联网的专业化住房租赁企业数量占比</w:t>
            </w:r>
          </w:p>
        </w:tc>
        <w:tc>
          <w:tcPr>
            <w:tcW w:w="2835" w:type="dxa"/>
            <w:vAlign w:val="center"/>
          </w:tcPr>
          <w:p>
            <w:pPr>
              <w:pStyle w:val="27"/>
            </w:pPr>
            <w:r>
              <w:t>与住房租赁管理服务平台实现数据联网的专业化住房租赁企业数量占比</w:t>
            </w:r>
          </w:p>
        </w:tc>
        <w:tc>
          <w:tcPr>
            <w:tcW w:w="2551" w:type="dxa"/>
            <w:vAlign w:val="center"/>
          </w:tcPr>
          <w:p>
            <w:pPr>
              <w:pStyle w:val="27"/>
            </w:pPr>
            <w:r>
              <w:t>≥80%</w:t>
            </w:r>
          </w:p>
        </w:tc>
        <w:tc>
          <w:tcPr>
            <w:tcW w:w="2268" w:type="dxa"/>
            <w:vAlign w:val="center"/>
          </w:tcPr>
          <w:p>
            <w:pPr>
              <w:pStyle w:val="27"/>
            </w:pPr>
            <w:r>
              <w:t>实际考察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可持续影响指标</w:t>
            </w:r>
          </w:p>
        </w:tc>
        <w:tc>
          <w:tcPr>
            <w:tcW w:w="2835" w:type="dxa"/>
            <w:vAlign w:val="center"/>
          </w:tcPr>
          <w:p>
            <w:pPr>
              <w:pStyle w:val="27"/>
            </w:pPr>
            <w:r>
              <w:t>建立住房租赁企业和房地产经纪机构数据库，覆盖全市住房租赁企业和房地产经纪机构的占比</w:t>
            </w:r>
          </w:p>
        </w:tc>
        <w:tc>
          <w:tcPr>
            <w:tcW w:w="2835" w:type="dxa"/>
            <w:vAlign w:val="center"/>
          </w:tcPr>
          <w:p>
            <w:pPr>
              <w:pStyle w:val="27"/>
            </w:pPr>
            <w:r>
              <w:t>建立住房租赁企业和房地产经纪机构数据库，覆盖全市住房租赁企业和房地产经纪机构的占比</w:t>
            </w:r>
          </w:p>
        </w:tc>
        <w:tc>
          <w:tcPr>
            <w:tcW w:w="2551" w:type="dxa"/>
            <w:vAlign w:val="center"/>
          </w:tcPr>
          <w:p>
            <w:pPr>
              <w:pStyle w:val="27"/>
            </w:pPr>
            <w:r>
              <w:t>≥80%</w:t>
            </w:r>
          </w:p>
        </w:tc>
        <w:tc>
          <w:tcPr>
            <w:tcW w:w="2268" w:type="dxa"/>
            <w:vAlign w:val="center"/>
          </w:tcPr>
          <w:p>
            <w:pPr>
              <w:pStyle w:val="27"/>
            </w:pPr>
            <w:r>
              <w:t>实际考察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可持续影响指标</w:t>
            </w:r>
          </w:p>
        </w:tc>
        <w:tc>
          <w:tcPr>
            <w:tcW w:w="2835" w:type="dxa"/>
            <w:vAlign w:val="center"/>
          </w:tcPr>
          <w:p>
            <w:pPr>
              <w:pStyle w:val="27"/>
            </w:pPr>
            <w:r>
              <w:t>新增房源和住房租赁合同网签备案率</w:t>
            </w:r>
          </w:p>
        </w:tc>
        <w:tc>
          <w:tcPr>
            <w:tcW w:w="2835" w:type="dxa"/>
            <w:vAlign w:val="center"/>
          </w:tcPr>
          <w:p>
            <w:pPr>
              <w:pStyle w:val="27"/>
            </w:pPr>
            <w:r>
              <w:t>新增房源和住房租赁合同网签备案率</w:t>
            </w:r>
          </w:p>
        </w:tc>
        <w:tc>
          <w:tcPr>
            <w:tcW w:w="2551" w:type="dxa"/>
            <w:vAlign w:val="center"/>
          </w:tcPr>
          <w:p>
            <w:pPr>
              <w:pStyle w:val="27"/>
            </w:pPr>
            <w:r>
              <w:t>≥100%</w:t>
            </w:r>
          </w:p>
        </w:tc>
        <w:tc>
          <w:tcPr>
            <w:tcW w:w="2268" w:type="dxa"/>
            <w:vAlign w:val="center"/>
          </w:tcPr>
          <w:p>
            <w:pPr>
              <w:pStyle w:val="27"/>
            </w:pPr>
            <w:r>
              <w:t>实际考察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可持续影响指标</w:t>
            </w:r>
          </w:p>
        </w:tc>
        <w:tc>
          <w:tcPr>
            <w:tcW w:w="2835" w:type="dxa"/>
            <w:vAlign w:val="center"/>
          </w:tcPr>
          <w:p>
            <w:pPr>
              <w:pStyle w:val="27"/>
            </w:pPr>
            <w:r>
              <w:t>奖补项目纳入住房租赁管理服务平台</w:t>
            </w:r>
          </w:p>
        </w:tc>
        <w:tc>
          <w:tcPr>
            <w:tcW w:w="2835" w:type="dxa"/>
            <w:vAlign w:val="center"/>
          </w:tcPr>
          <w:p>
            <w:pPr>
              <w:pStyle w:val="27"/>
            </w:pPr>
            <w:r>
              <w:t>奖补项目纳入住房租赁管理服务平台</w:t>
            </w:r>
          </w:p>
        </w:tc>
        <w:tc>
          <w:tcPr>
            <w:tcW w:w="2551" w:type="dxa"/>
            <w:vAlign w:val="center"/>
          </w:tcPr>
          <w:p>
            <w:pPr>
              <w:pStyle w:val="27"/>
            </w:pPr>
            <w:r>
              <w:t>是</w:t>
            </w:r>
          </w:p>
        </w:tc>
        <w:tc>
          <w:tcPr>
            <w:tcW w:w="2268" w:type="dxa"/>
            <w:vAlign w:val="center"/>
          </w:tcPr>
          <w:p>
            <w:pPr>
              <w:pStyle w:val="27"/>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租住财政奖补项目承租人满意度指标</w:t>
            </w:r>
          </w:p>
        </w:tc>
        <w:tc>
          <w:tcPr>
            <w:tcW w:w="2835" w:type="dxa"/>
            <w:vAlign w:val="center"/>
          </w:tcPr>
          <w:p>
            <w:pPr>
              <w:pStyle w:val="27"/>
            </w:pPr>
            <w:r>
              <w:t>租住财政奖补项目承租人满意度指标</w:t>
            </w:r>
          </w:p>
        </w:tc>
        <w:tc>
          <w:tcPr>
            <w:tcW w:w="2551" w:type="dxa"/>
            <w:vAlign w:val="center"/>
          </w:tcPr>
          <w:p>
            <w:pPr>
              <w:pStyle w:val="27"/>
            </w:pPr>
            <w:r>
              <w:t>≥80%</w:t>
            </w:r>
          </w:p>
        </w:tc>
        <w:tc>
          <w:tcPr>
            <w:tcW w:w="2268" w:type="dxa"/>
            <w:vAlign w:val="center"/>
          </w:tcPr>
          <w:p>
            <w:pPr>
              <w:pStyle w:val="27"/>
            </w:pPr>
            <w:r>
              <w:t>实际反馈</w:t>
            </w:r>
          </w:p>
        </w:tc>
      </w:tr>
    </w:tbl>
    <w:p>
      <w:pPr>
        <w:pStyle w:val="25"/>
      </w:pPr>
    </w:p>
    <w:p>
      <w:pPr>
        <w:pStyle w:val="25"/>
        <w:ind w:firstLine="560"/>
      </w:pPr>
      <w:r>
        <w:rPr>
          <w:rFonts w:ascii="方正仿宋_GBK" w:hAnsi="方正仿宋_GBK" w:eastAsia="方正仿宋_GBK" w:cs="方正仿宋_GBK"/>
          <w:b/>
          <w:color w:val="000000"/>
          <w:sz w:val="28"/>
        </w:rPr>
        <w:t>45、石财建[2021]77号提前下达2022年中央大气污染防治资金（用于农村地区清洁取暖任务运行补助）绩效目标表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1.对农村地区实施气代煤居民用户给予气价补贴，采暖期内居民用气0.8元1立方米补助，每户最高补助1200立方米，最高补助960元。</w:t>
            </w:r>
          </w:p>
          <w:p>
            <w:pPr>
              <w:pStyle w:val="27"/>
            </w:pPr>
            <w:r>
              <w:t>2.为低保户农村建档立卡贫困户人员采暖期居民用气1.4元1立方米补助，每户最高补助用气量1200立方米，最高补贴1680元</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燃气运行补贴</w:t>
            </w:r>
          </w:p>
        </w:tc>
        <w:tc>
          <w:tcPr>
            <w:tcW w:w="2835" w:type="dxa"/>
            <w:vAlign w:val="center"/>
          </w:tcPr>
          <w:p>
            <w:pPr>
              <w:pStyle w:val="27"/>
            </w:pPr>
            <w:r>
              <w:t>对藁城区农村燃气用户给予燃气补助</w:t>
            </w:r>
          </w:p>
        </w:tc>
        <w:tc>
          <w:tcPr>
            <w:tcW w:w="2551" w:type="dxa"/>
            <w:vAlign w:val="center"/>
          </w:tcPr>
          <w:p>
            <w:pPr>
              <w:pStyle w:val="27"/>
            </w:pPr>
            <w:r>
              <w:t>按照冬季取暖用户实际数量</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居民用气补贴</w:t>
            </w:r>
          </w:p>
        </w:tc>
        <w:tc>
          <w:tcPr>
            <w:tcW w:w="2835" w:type="dxa"/>
            <w:vAlign w:val="center"/>
          </w:tcPr>
          <w:p>
            <w:pPr>
              <w:pStyle w:val="27"/>
            </w:pPr>
            <w:r>
              <w:t>补贴质量符合规范</w:t>
            </w:r>
          </w:p>
        </w:tc>
        <w:tc>
          <w:tcPr>
            <w:tcW w:w="2551" w:type="dxa"/>
            <w:vAlign w:val="center"/>
          </w:tcPr>
          <w:p>
            <w:pPr>
              <w:pStyle w:val="27"/>
            </w:pPr>
            <w:r>
              <w:t>符合补贴规范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发放燃气补贴</w:t>
            </w:r>
          </w:p>
        </w:tc>
        <w:tc>
          <w:tcPr>
            <w:tcW w:w="2835" w:type="dxa"/>
            <w:vAlign w:val="center"/>
          </w:tcPr>
          <w:p>
            <w:pPr>
              <w:pStyle w:val="27"/>
            </w:pPr>
            <w:r>
              <w:t>及时将燃气补贴发放完成</w:t>
            </w:r>
          </w:p>
        </w:tc>
        <w:tc>
          <w:tcPr>
            <w:tcW w:w="2551" w:type="dxa"/>
            <w:vAlign w:val="center"/>
          </w:tcPr>
          <w:p>
            <w:pPr>
              <w:pStyle w:val="27"/>
            </w:pPr>
            <w:r>
              <w:t>及时完成</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用于农村地区清洁取暖任务运行补助成本</w:t>
            </w:r>
          </w:p>
        </w:tc>
        <w:tc>
          <w:tcPr>
            <w:tcW w:w="2551" w:type="dxa"/>
            <w:vAlign w:val="center"/>
          </w:tcPr>
          <w:p>
            <w:pPr>
              <w:pStyle w:val="27"/>
            </w:pPr>
            <w:r>
              <w:t>≤1212.4万元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减轻燃气用户经济负担</w:t>
            </w:r>
          </w:p>
        </w:tc>
        <w:tc>
          <w:tcPr>
            <w:tcW w:w="2835" w:type="dxa"/>
            <w:vAlign w:val="center"/>
          </w:tcPr>
          <w:p>
            <w:pPr>
              <w:pStyle w:val="27"/>
            </w:pPr>
            <w:r>
              <w:t>减轻燃气用户经济负担，提高用户使用积极性。</w:t>
            </w:r>
          </w:p>
        </w:tc>
        <w:tc>
          <w:tcPr>
            <w:tcW w:w="2551" w:type="dxa"/>
            <w:vAlign w:val="center"/>
          </w:tcPr>
          <w:p>
            <w:pPr>
              <w:pStyle w:val="27"/>
            </w:pPr>
            <w:r>
              <w:t>减轻燃气用户经济负担</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燃气用户满意度</w:t>
            </w:r>
          </w:p>
        </w:tc>
        <w:tc>
          <w:tcPr>
            <w:tcW w:w="2835" w:type="dxa"/>
            <w:vAlign w:val="center"/>
          </w:tcPr>
          <w:p>
            <w:pPr>
              <w:pStyle w:val="27"/>
            </w:pPr>
            <w:r>
              <w:t>燃气用户满意情况</w:t>
            </w:r>
          </w:p>
        </w:tc>
        <w:tc>
          <w:tcPr>
            <w:tcW w:w="2551" w:type="dxa"/>
            <w:vAlign w:val="center"/>
          </w:tcPr>
          <w:p>
            <w:pPr>
              <w:pStyle w:val="27"/>
            </w:pPr>
            <w:r>
              <w:t>≥99%</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46、石财建[2021]80号提前下达2022年市级大气污染防治资金（用于农村地区清洁取暖运行补贴）绩效目标表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1.对农村地区实施气代煤居民用户给予气价补贴，采暖期内居民用气0.8元1立方米补助，每户最高补助1200立方米，最高补助960元。</w:t>
            </w:r>
          </w:p>
          <w:p>
            <w:pPr>
              <w:pStyle w:val="27"/>
            </w:pPr>
            <w:r>
              <w:t>2.为低保户农村建档立卡贫困户人员采暖期居民用气1.4元1立方米补助，每户最高补助用气量1200立方米，最高补贴1680元</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燃气运行补贴</w:t>
            </w:r>
          </w:p>
        </w:tc>
        <w:tc>
          <w:tcPr>
            <w:tcW w:w="2835" w:type="dxa"/>
            <w:vAlign w:val="center"/>
          </w:tcPr>
          <w:p>
            <w:pPr>
              <w:pStyle w:val="27"/>
            </w:pPr>
            <w:r>
              <w:t>对藁城区农村燃气用户给予燃气补助</w:t>
            </w:r>
          </w:p>
        </w:tc>
        <w:tc>
          <w:tcPr>
            <w:tcW w:w="2551" w:type="dxa"/>
            <w:vAlign w:val="center"/>
          </w:tcPr>
          <w:p>
            <w:pPr>
              <w:pStyle w:val="27"/>
            </w:pPr>
            <w:r>
              <w:t>按照冬季取暖用户实际数量</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居民用气补贴</w:t>
            </w:r>
          </w:p>
        </w:tc>
        <w:tc>
          <w:tcPr>
            <w:tcW w:w="2835" w:type="dxa"/>
            <w:vAlign w:val="center"/>
          </w:tcPr>
          <w:p>
            <w:pPr>
              <w:pStyle w:val="27"/>
            </w:pPr>
            <w:r>
              <w:t>补贴质量符合规范</w:t>
            </w:r>
          </w:p>
        </w:tc>
        <w:tc>
          <w:tcPr>
            <w:tcW w:w="2551" w:type="dxa"/>
            <w:vAlign w:val="center"/>
          </w:tcPr>
          <w:p>
            <w:pPr>
              <w:pStyle w:val="27"/>
            </w:pPr>
            <w:r>
              <w:t>符合补贴规范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发放燃气补贴</w:t>
            </w:r>
          </w:p>
        </w:tc>
        <w:tc>
          <w:tcPr>
            <w:tcW w:w="2835" w:type="dxa"/>
            <w:vAlign w:val="center"/>
          </w:tcPr>
          <w:p>
            <w:pPr>
              <w:pStyle w:val="27"/>
            </w:pPr>
            <w:r>
              <w:t>及时将燃气补贴发放完成</w:t>
            </w:r>
          </w:p>
        </w:tc>
        <w:tc>
          <w:tcPr>
            <w:tcW w:w="2551" w:type="dxa"/>
            <w:vAlign w:val="center"/>
          </w:tcPr>
          <w:p>
            <w:pPr>
              <w:pStyle w:val="27"/>
            </w:pPr>
            <w:r>
              <w:t>及时完成</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用于农村地区清洁取暖运行补贴成本</w:t>
            </w:r>
          </w:p>
        </w:tc>
        <w:tc>
          <w:tcPr>
            <w:tcW w:w="2551" w:type="dxa"/>
            <w:vAlign w:val="center"/>
          </w:tcPr>
          <w:p>
            <w:pPr>
              <w:pStyle w:val="27"/>
            </w:pPr>
            <w:r>
              <w:t>≤312万元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减轻燃气用户经济负担</w:t>
            </w:r>
          </w:p>
        </w:tc>
        <w:tc>
          <w:tcPr>
            <w:tcW w:w="2835" w:type="dxa"/>
            <w:vAlign w:val="center"/>
          </w:tcPr>
          <w:p>
            <w:pPr>
              <w:pStyle w:val="27"/>
            </w:pPr>
            <w:r>
              <w:t>减轻燃气用户经济负担，提高用户使用积极性。</w:t>
            </w:r>
          </w:p>
        </w:tc>
        <w:tc>
          <w:tcPr>
            <w:tcW w:w="2551" w:type="dxa"/>
            <w:vAlign w:val="center"/>
          </w:tcPr>
          <w:p>
            <w:pPr>
              <w:pStyle w:val="27"/>
            </w:pPr>
            <w:r>
              <w:t>减轻燃气用户经济负担</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燃气用户满意度</w:t>
            </w:r>
          </w:p>
        </w:tc>
        <w:tc>
          <w:tcPr>
            <w:tcW w:w="2835" w:type="dxa"/>
            <w:vAlign w:val="center"/>
          </w:tcPr>
          <w:p>
            <w:pPr>
              <w:pStyle w:val="27"/>
            </w:pPr>
            <w:r>
              <w:t>燃气用户满意情况</w:t>
            </w:r>
          </w:p>
        </w:tc>
        <w:tc>
          <w:tcPr>
            <w:tcW w:w="2551" w:type="dxa"/>
            <w:vAlign w:val="center"/>
          </w:tcPr>
          <w:p>
            <w:pPr>
              <w:pStyle w:val="27"/>
            </w:pPr>
            <w:r>
              <w:t>≥99%</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47、石财债[2021]14号2021年第四批新增政府债券藁城区南部城区新建污水处理厂及附属基础设施建设工程绩效目标表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1.建设城南污水处理厂，解决南部城区及周边污水排放问题。</w:t>
            </w:r>
          </w:p>
          <w:p>
            <w:pPr>
              <w:pStyle w:val="27"/>
            </w:pPr>
            <w:r>
              <w:t>2.建设总退水渠，解决城南污水处理厂排放问题。</w:t>
            </w:r>
          </w:p>
          <w:p>
            <w:pPr>
              <w:pStyle w:val="27"/>
            </w:pPr>
            <w:r>
              <w:t>3.建设尚中街、东城南街北延和平安路工程，接通城市道路及管网。</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污水处理厂建设完成率</w:t>
            </w:r>
          </w:p>
        </w:tc>
        <w:tc>
          <w:tcPr>
            <w:tcW w:w="2835" w:type="dxa"/>
            <w:vAlign w:val="center"/>
          </w:tcPr>
          <w:p>
            <w:pPr>
              <w:pStyle w:val="27"/>
            </w:pPr>
            <w:r>
              <w:t>南部城区新建污水处理厂、总退水渠、东城南街北延、平安路、尚中街。</w:t>
            </w:r>
          </w:p>
        </w:tc>
        <w:tc>
          <w:tcPr>
            <w:tcW w:w="2551" w:type="dxa"/>
            <w:vAlign w:val="center"/>
          </w:tcPr>
          <w:p>
            <w:pPr>
              <w:pStyle w:val="27"/>
            </w:pPr>
            <w:r>
              <w:t>≥5个</w:t>
            </w:r>
          </w:p>
        </w:tc>
        <w:tc>
          <w:tcPr>
            <w:tcW w:w="2268" w:type="dxa"/>
            <w:vAlign w:val="center"/>
          </w:tcPr>
          <w:p>
            <w:pPr>
              <w:pStyle w:val="27"/>
            </w:pPr>
            <w:r>
              <w:t>可行性研究报告批复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项目验收合格率</w:t>
            </w:r>
          </w:p>
          <w:p>
            <w:pPr>
              <w:pStyle w:val="27"/>
            </w:pPr>
          </w:p>
        </w:tc>
        <w:tc>
          <w:tcPr>
            <w:tcW w:w="2835" w:type="dxa"/>
            <w:vAlign w:val="center"/>
          </w:tcPr>
          <w:p>
            <w:pPr>
              <w:pStyle w:val="27"/>
            </w:pPr>
            <w:r>
              <w:t>年度实际验收合格工程量占实际完成量的比率</w:t>
            </w:r>
          </w:p>
          <w:p>
            <w:pPr>
              <w:pStyle w:val="27"/>
            </w:pPr>
          </w:p>
        </w:tc>
        <w:tc>
          <w:tcPr>
            <w:tcW w:w="2551" w:type="dxa"/>
            <w:vAlign w:val="center"/>
          </w:tcPr>
          <w:p>
            <w:pPr>
              <w:pStyle w:val="27"/>
            </w:pPr>
            <w:r>
              <w:t>≥90合格率</w:t>
            </w:r>
          </w:p>
        </w:tc>
        <w:tc>
          <w:tcPr>
            <w:tcW w:w="2268" w:type="dxa"/>
            <w:vAlign w:val="center"/>
          </w:tcPr>
          <w:p>
            <w:pPr>
              <w:pStyle w:val="27"/>
            </w:pPr>
            <w:r>
              <w:t>《市政工程验收规范》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项目所需资金</w:t>
            </w:r>
          </w:p>
        </w:tc>
        <w:tc>
          <w:tcPr>
            <w:tcW w:w="2835" w:type="dxa"/>
            <w:vAlign w:val="center"/>
          </w:tcPr>
          <w:p>
            <w:pPr>
              <w:pStyle w:val="27"/>
            </w:pPr>
            <w:r>
              <w:t>项目所需资金</w:t>
            </w:r>
          </w:p>
        </w:tc>
        <w:tc>
          <w:tcPr>
            <w:tcW w:w="2551" w:type="dxa"/>
            <w:vAlign w:val="center"/>
          </w:tcPr>
          <w:p>
            <w:pPr>
              <w:pStyle w:val="27"/>
            </w:pPr>
            <w:r>
              <w:t>1.5亿</w:t>
            </w:r>
          </w:p>
        </w:tc>
        <w:tc>
          <w:tcPr>
            <w:tcW w:w="2268" w:type="dxa"/>
            <w:vAlign w:val="center"/>
          </w:tcPr>
          <w:p>
            <w:pPr>
              <w:pStyle w:val="27"/>
            </w:pPr>
            <w:r>
              <w:t>项目概算及施工合同等文件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项目建设按期完成率</w:t>
            </w:r>
          </w:p>
        </w:tc>
        <w:tc>
          <w:tcPr>
            <w:tcW w:w="2835" w:type="dxa"/>
            <w:vAlign w:val="center"/>
          </w:tcPr>
          <w:p>
            <w:pPr>
              <w:pStyle w:val="27"/>
            </w:pPr>
            <w:r>
              <w:t>项目建设按期完成率</w:t>
            </w:r>
          </w:p>
        </w:tc>
        <w:tc>
          <w:tcPr>
            <w:tcW w:w="2551" w:type="dxa"/>
            <w:vAlign w:val="center"/>
          </w:tcPr>
          <w:p>
            <w:pPr>
              <w:pStyle w:val="27"/>
            </w:pPr>
            <w:r>
              <w:t>≥90合格率</w:t>
            </w:r>
          </w:p>
        </w:tc>
        <w:tc>
          <w:tcPr>
            <w:tcW w:w="2268" w:type="dxa"/>
            <w:vAlign w:val="center"/>
          </w:tcPr>
          <w:p>
            <w:pPr>
              <w:pStyle w:val="27"/>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经济效益指标</w:t>
            </w:r>
          </w:p>
        </w:tc>
        <w:tc>
          <w:tcPr>
            <w:tcW w:w="2835" w:type="dxa"/>
            <w:vAlign w:val="center"/>
          </w:tcPr>
          <w:p>
            <w:pPr>
              <w:pStyle w:val="27"/>
            </w:pPr>
            <w:r>
              <w:t>项目工程完成情况</w:t>
            </w:r>
          </w:p>
        </w:tc>
        <w:tc>
          <w:tcPr>
            <w:tcW w:w="2835" w:type="dxa"/>
            <w:vAlign w:val="center"/>
          </w:tcPr>
          <w:p>
            <w:pPr>
              <w:pStyle w:val="27"/>
            </w:pPr>
            <w:r>
              <w:t>项目工程完成情况</w:t>
            </w:r>
          </w:p>
        </w:tc>
        <w:tc>
          <w:tcPr>
            <w:tcW w:w="2551" w:type="dxa"/>
            <w:vAlign w:val="center"/>
          </w:tcPr>
          <w:p>
            <w:pPr>
              <w:pStyle w:val="27"/>
            </w:pPr>
            <w:r>
              <w:t>完成程度</w:t>
            </w:r>
          </w:p>
        </w:tc>
        <w:tc>
          <w:tcPr>
            <w:tcW w:w="2268" w:type="dxa"/>
            <w:vAlign w:val="center"/>
          </w:tcPr>
          <w:p>
            <w:pPr>
              <w:pStyle w:val="27"/>
            </w:pPr>
            <w:r>
              <w:t>现场查看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通过问卷调查，满意和较满意的对象占所有调查对象的比例</w:t>
            </w:r>
          </w:p>
        </w:tc>
        <w:tc>
          <w:tcPr>
            <w:tcW w:w="2835" w:type="dxa"/>
            <w:vAlign w:val="center"/>
          </w:tcPr>
          <w:p>
            <w:pPr>
              <w:pStyle w:val="27"/>
            </w:pPr>
            <w:r>
              <w:t>通过问卷调查，满意和较满意的对象占所有调查对象的比例</w:t>
            </w:r>
          </w:p>
        </w:tc>
        <w:tc>
          <w:tcPr>
            <w:tcW w:w="2551" w:type="dxa"/>
            <w:vAlign w:val="center"/>
          </w:tcPr>
          <w:p>
            <w:pPr>
              <w:pStyle w:val="27"/>
            </w:pPr>
            <w:r>
              <w:t>≥90满意率</w:t>
            </w:r>
          </w:p>
        </w:tc>
        <w:tc>
          <w:tcPr>
            <w:tcW w:w="2268" w:type="dxa"/>
            <w:vAlign w:val="center"/>
          </w:tcPr>
          <w:p>
            <w:pPr>
              <w:pStyle w:val="27"/>
            </w:pPr>
          </w:p>
        </w:tc>
      </w:tr>
    </w:tbl>
    <w:p>
      <w:pPr>
        <w:pStyle w:val="25"/>
      </w:pPr>
    </w:p>
    <w:p>
      <w:pPr>
        <w:pStyle w:val="25"/>
        <w:ind w:firstLine="560"/>
      </w:pPr>
      <w:r>
        <w:rPr>
          <w:rFonts w:ascii="方正仿宋_GBK" w:hAnsi="方正仿宋_GBK" w:eastAsia="方正仿宋_GBK" w:cs="方正仿宋_GBK"/>
          <w:b/>
          <w:color w:val="000000"/>
          <w:sz w:val="28"/>
        </w:rPr>
        <w:t>48、石财债[2021]17号下达2021年第八批新增政府债券资金(藁城区2021年老旧小区改造建筑主体项目（第二批）)绩效目标表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1.进行老旧小区改造提升，进一步改善群众居住条件。</w:t>
            </w:r>
          </w:p>
          <w:p>
            <w:pPr>
              <w:pStyle w:val="27"/>
            </w:pPr>
            <w:r>
              <w:t>2.完成城区内11个社区的33个老旧小区，68栋楼老旧小区建筑主体改造。</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改造小区数</w:t>
            </w:r>
          </w:p>
        </w:tc>
        <w:tc>
          <w:tcPr>
            <w:tcW w:w="2835" w:type="dxa"/>
            <w:vAlign w:val="center"/>
          </w:tcPr>
          <w:p>
            <w:pPr>
              <w:pStyle w:val="27"/>
            </w:pPr>
            <w:r>
              <w:t>改造老旧小区数</w:t>
            </w:r>
          </w:p>
        </w:tc>
        <w:tc>
          <w:tcPr>
            <w:tcW w:w="2551" w:type="dxa"/>
            <w:vAlign w:val="center"/>
          </w:tcPr>
          <w:p>
            <w:pPr>
              <w:pStyle w:val="27"/>
            </w:pPr>
            <w:r>
              <w:t>≥33个</w:t>
            </w:r>
          </w:p>
        </w:tc>
        <w:tc>
          <w:tcPr>
            <w:tcW w:w="2268" w:type="dxa"/>
            <w:vAlign w:val="center"/>
          </w:tcPr>
          <w:p>
            <w:pPr>
              <w:pStyle w:val="27"/>
            </w:pPr>
            <w:r>
              <w:t>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验收合格率</w:t>
            </w:r>
          </w:p>
        </w:tc>
        <w:tc>
          <w:tcPr>
            <w:tcW w:w="2835" w:type="dxa"/>
            <w:vAlign w:val="center"/>
          </w:tcPr>
          <w:p>
            <w:pPr>
              <w:pStyle w:val="27"/>
            </w:pPr>
            <w:r>
              <w:t>改造工程验收合格率</w:t>
            </w:r>
          </w:p>
        </w:tc>
        <w:tc>
          <w:tcPr>
            <w:tcW w:w="2551" w:type="dxa"/>
            <w:vAlign w:val="center"/>
          </w:tcPr>
          <w:p>
            <w:pPr>
              <w:pStyle w:val="27"/>
            </w:pPr>
            <w:r>
              <w:t>100合格率</w:t>
            </w:r>
          </w:p>
        </w:tc>
        <w:tc>
          <w:tcPr>
            <w:tcW w:w="2268" w:type="dxa"/>
            <w:vAlign w:val="center"/>
          </w:tcPr>
          <w:p>
            <w:pPr>
              <w:pStyle w:val="27"/>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项目建设成本</w:t>
            </w:r>
          </w:p>
        </w:tc>
        <w:tc>
          <w:tcPr>
            <w:tcW w:w="2835" w:type="dxa"/>
            <w:vAlign w:val="center"/>
          </w:tcPr>
          <w:p>
            <w:pPr>
              <w:pStyle w:val="27"/>
            </w:pPr>
            <w:r>
              <w:t>不高于3432.55万元</w:t>
            </w:r>
          </w:p>
        </w:tc>
        <w:tc>
          <w:tcPr>
            <w:tcW w:w="2551" w:type="dxa"/>
            <w:vAlign w:val="center"/>
          </w:tcPr>
          <w:p>
            <w:pPr>
              <w:pStyle w:val="27"/>
            </w:pPr>
            <w:r>
              <w:t>≤3432.55万元</w:t>
            </w:r>
          </w:p>
        </w:tc>
        <w:tc>
          <w:tcPr>
            <w:tcW w:w="2268" w:type="dxa"/>
            <w:vAlign w:val="center"/>
          </w:tcPr>
          <w:p>
            <w:pPr>
              <w:pStyle w:val="27"/>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按时完成情况</w:t>
            </w:r>
          </w:p>
        </w:tc>
        <w:tc>
          <w:tcPr>
            <w:tcW w:w="2835" w:type="dxa"/>
            <w:vAlign w:val="center"/>
          </w:tcPr>
          <w:p>
            <w:pPr>
              <w:pStyle w:val="27"/>
            </w:pPr>
            <w:r>
              <w:t>按照工程规定时间节点完工</w:t>
            </w:r>
          </w:p>
        </w:tc>
        <w:tc>
          <w:tcPr>
            <w:tcW w:w="2551" w:type="dxa"/>
            <w:vAlign w:val="center"/>
          </w:tcPr>
          <w:p>
            <w:pPr>
              <w:pStyle w:val="27"/>
            </w:pPr>
            <w:r>
              <w:t>及时完成</w:t>
            </w:r>
          </w:p>
        </w:tc>
        <w:tc>
          <w:tcPr>
            <w:tcW w:w="2268" w:type="dxa"/>
            <w:vAlign w:val="center"/>
          </w:tcPr>
          <w:p>
            <w:pPr>
              <w:pStyle w:val="27"/>
            </w:pPr>
            <w:r>
              <w:t>按区政府老旧小区改造完成时限要求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居住条件改善</w:t>
            </w:r>
          </w:p>
        </w:tc>
        <w:tc>
          <w:tcPr>
            <w:tcW w:w="2835" w:type="dxa"/>
            <w:vAlign w:val="center"/>
          </w:tcPr>
          <w:p>
            <w:pPr>
              <w:pStyle w:val="27"/>
            </w:pPr>
            <w:r>
              <w:t>群众居住条件得到改善</w:t>
            </w:r>
          </w:p>
        </w:tc>
        <w:tc>
          <w:tcPr>
            <w:tcW w:w="2551" w:type="dxa"/>
            <w:vAlign w:val="center"/>
          </w:tcPr>
          <w:p>
            <w:pPr>
              <w:pStyle w:val="27"/>
            </w:pPr>
            <w:r>
              <w:t>实际反馈</w:t>
            </w:r>
          </w:p>
        </w:tc>
        <w:tc>
          <w:tcPr>
            <w:tcW w:w="2268" w:type="dxa"/>
            <w:vAlign w:val="center"/>
          </w:tcPr>
          <w:p>
            <w:pPr>
              <w:pStyle w:val="27"/>
            </w:pPr>
            <w:r>
              <w:t>实地查验，改造前后对比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受益群众满意度</w:t>
            </w:r>
          </w:p>
        </w:tc>
        <w:tc>
          <w:tcPr>
            <w:tcW w:w="2835" w:type="dxa"/>
            <w:vAlign w:val="center"/>
          </w:tcPr>
          <w:p>
            <w:pPr>
              <w:pStyle w:val="27"/>
            </w:pPr>
            <w:r>
              <w:t>得到改造的老旧小区居民满意度</w:t>
            </w:r>
          </w:p>
        </w:tc>
        <w:tc>
          <w:tcPr>
            <w:tcW w:w="2551" w:type="dxa"/>
            <w:vAlign w:val="center"/>
          </w:tcPr>
          <w:p>
            <w:pPr>
              <w:pStyle w:val="27"/>
            </w:pPr>
            <w:r>
              <w:t>≥80满意度</w:t>
            </w:r>
          </w:p>
        </w:tc>
        <w:tc>
          <w:tcPr>
            <w:tcW w:w="2268" w:type="dxa"/>
            <w:vAlign w:val="center"/>
          </w:tcPr>
          <w:p>
            <w:pPr>
              <w:pStyle w:val="27"/>
            </w:pPr>
            <w:r>
              <w:t>抽样测评</w:t>
            </w:r>
          </w:p>
        </w:tc>
      </w:tr>
    </w:tbl>
    <w:p>
      <w:pPr>
        <w:pStyle w:val="25"/>
      </w:pPr>
    </w:p>
    <w:p>
      <w:pPr>
        <w:pStyle w:val="25"/>
        <w:ind w:firstLine="560"/>
      </w:pPr>
      <w:r>
        <w:rPr>
          <w:rFonts w:ascii="方正仿宋_GBK" w:hAnsi="方正仿宋_GBK" w:eastAsia="方正仿宋_GBK" w:cs="方正仿宋_GBK"/>
          <w:b/>
          <w:color w:val="000000"/>
          <w:sz w:val="28"/>
        </w:rPr>
        <w:t>49、石财债[2021]17号下达2021年第八批新增政府债券资金(藁城区2021年老旧小区改造配套基础设施项目)绩效目标表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1.进行老旧小区改造提升，进一步改善群众居住条件。</w:t>
            </w:r>
          </w:p>
          <w:p>
            <w:pPr>
              <w:pStyle w:val="27"/>
            </w:pPr>
            <w:r>
              <w:t>2.完成城区内8个社区的27个老旧小区，61栋楼老旧小区配套基础设施改造。</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改造小区数</w:t>
            </w:r>
          </w:p>
        </w:tc>
        <w:tc>
          <w:tcPr>
            <w:tcW w:w="2835" w:type="dxa"/>
            <w:vAlign w:val="center"/>
          </w:tcPr>
          <w:p>
            <w:pPr>
              <w:pStyle w:val="27"/>
            </w:pPr>
            <w:r>
              <w:t>改造老旧小区数</w:t>
            </w:r>
          </w:p>
        </w:tc>
        <w:tc>
          <w:tcPr>
            <w:tcW w:w="2551" w:type="dxa"/>
            <w:vAlign w:val="center"/>
          </w:tcPr>
          <w:p>
            <w:pPr>
              <w:pStyle w:val="27"/>
            </w:pPr>
            <w:r>
              <w:t>≥27个</w:t>
            </w:r>
          </w:p>
        </w:tc>
        <w:tc>
          <w:tcPr>
            <w:tcW w:w="2268" w:type="dxa"/>
            <w:vAlign w:val="center"/>
          </w:tcPr>
          <w:p>
            <w:pPr>
              <w:pStyle w:val="27"/>
            </w:pPr>
            <w:r>
              <w:t>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验收合格率</w:t>
            </w:r>
          </w:p>
        </w:tc>
        <w:tc>
          <w:tcPr>
            <w:tcW w:w="2835" w:type="dxa"/>
            <w:vAlign w:val="center"/>
          </w:tcPr>
          <w:p>
            <w:pPr>
              <w:pStyle w:val="27"/>
            </w:pPr>
            <w:r>
              <w:t>改造工程验收合格率</w:t>
            </w:r>
          </w:p>
        </w:tc>
        <w:tc>
          <w:tcPr>
            <w:tcW w:w="2551" w:type="dxa"/>
            <w:vAlign w:val="center"/>
          </w:tcPr>
          <w:p>
            <w:pPr>
              <w:pStyle w:val="27"/>
            </w:pPr>
            <w:r>
              <w:t>100合格率</w:t>
            </w:r>
          </w:p>
        </w:tc>
        <w:tc>
          <w:tcPr>
            <w:tcW w:w="2268" w:type="dxa"/>
            <w:vAlign w:val="center"/>
          </w:tcPr>
          <w:p>
            <w:pPr>
              <w:pStyle w:val="27"/>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项目建设成本</w:t>
            </w:r>
          </w:p>
        </w:tc>
        <w:tc>
          <w:tcPr>
            <w:tcW w:w="2835" w:type="dxa"/>
            <w:vAlign w:val="center"/>
          </w:tcPr>
          <w:p>
            <w:pPr>
              <w:pStyle w:val="27"/>
            </w:pPr>
            <w:r>
              <w:t>不高于4653.67万元</w:t>
            </w:r>
          </w:p>
        </w:tc>
        <w:tc>
          <w:tcPr>
            <w:tcW w:w="2551" w:type="dxa"/>
            <w:vAlign w:val="center"/>
          </w:tcPr>
          <w:p>
            <w:pPr>
              <w:pStyle w:val="27"/>
            </w:pPr>
            <w:r>
              <w:t>≤4653.67万元</w:t>
            </w:r>
          </w:p>
        </w:tc>
        <w:tc>
          <w:tcPr>
            <w:tcW w:w="2268" w:type="dxa"/>
            <w:vAlign w:val="center"/>
          </w:tcPr>
          <w:p>
            <w:pPr>
              <w:pStyle w:val="27"/>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按时完成情况</w:t>
            </w:r>
          </w:p>
        </w:tc>
        <w:tc>
          <w:tcPr>
            <w:tcW w:w="2835" w:type="dxa"/>
            <w:vAlign w:val="center"/>
          </w:tcPr>
          <w:p>
            <w:pPr>
              <w:pStyle w:val="27"/>
            </w:pPr>
            <w:r>
              <w:t>按照工程规定时间节点完工</w:t>
            </w:r>
          </w:p>
        </w:tc>
        <w:tc>
          <w:tcPr>
            <w:tcW w:w="2551" w:type="dxa"/>
            <w:vAlign w:val="center"/>
          </w:tcPr>
          <w:p>
            <w:pPr>
              <w:pStyle w:val="27"/>
            </w:pPr>
            <w:r>
              <w:t>及时完成</w:t>
            </w:r>
          </w:p>
        </w:tc>
        <w:tc>
          <w:tcPr>
            <w:tcW w:w="2268" w:type="dxa"/>
            <w:vAlign w:val="center"/>
          </w:tcPr>
          <w:p>
            <w:pPr>
              <w:pStyle w:val="27"/>
            </w:pPr>
            <w:r>
              <w:t>按区政府老旧小区改造完成时限要求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居住条件改善</w:t>
            </w:r>
          </w:p>
        </w:tc>
        <w:tc>
          <w:tcPr>
            <w:tcW w:w="2835" w:type="dxa"/>
            <w:vAlign w:val="center"/>
          </w:tcPr>
          <w:p>
            <w:pPr>
              <w:pStyle w:val="27"/>
            </w:pPr>
            <w:r>
              <w:t>群众居住条件得到改善</w:t>
            </w:r>
          </w:p>
        </w:tc>
        <w:tc>
          <w:tcPr>
            <w:tcW w:w="2551" w:type="dxa"/>
            <w:vAlign w:val="center"/>
          </w:tcPr>
          <w:p>
            <w:pPr>
              <w:pStyle w:val="27"/>
            </w:pPr>
            <w:r>
              <w:t>实际反馈</w:t>
            </w:r>
          </w:p>
        </w:tc>
        <w:tc>
          <w:tcPr>
            <w:tcW w:w="2268" w:type="dxa"/>
            <w:vAlign w:val="center"/>
          </w:tcPr>
          <w:p>
            <w:pPr>
              <w:pStyle w:val="27"/>
            </w:pPr>
            <w:r>
              <w:t>实地查验，改造前后对比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受益群众满意度</w:t>
            </w:r>
          </w:p>
        </w:tc>
        <w:tc>
          <w:tcPr>
            <w:tcW w:w="2835" w:type="dxa"/>
            <w:vAlign w:val="center"/>
          </w:tcPr>
          <w:p>
            <w:pPr>
              <w:pStyle w:val="27"/>
            </w:pPr>
            <w:r>
              <w:t>得到改造的老旧小区居民满意度</w:t>
            </w:r>
          </w:p>
        </w:tc>
        <w:tc>
          <w:tcPr>
            <w:tcW w:w="2551" w:type="dxa"/>
            <w:vAlign w:val="center"/>
          </w:tcPr>
          <w:p>
            <w:pPr>
              <w:pStyle w:val="27"/>
            </w:pPr>
            <w:r>
              <w:t>≥80满意度</w:t>
            </w:r>
          </w:p>
        </w:tc>
        <w:tc>
          <w:tcPr>
            <w:tcW w:w="2268" w:type="dxa"/>
            <w:vAlign w:val="center"/>
          </w:tcPr>
          <w:p>
            <w:pPr>
              <w:pStyle w:val="27"/>
            </w:pPr>
            <w:r>
              <w:t>抽样测评</w:t>
            </w:r>
          </w:p>
        </w:tc>
      </w:tr>
    </w:tbl>
    <w:p>
      <w:pPr>
        <w:pStyle w:val="25"/>
      </w:pPr>
    </w:p>
    <w:p>
      <w:pPr>
        <w:pStyle w:val="25"/>
        <w:ind w:firstLine="560"/>
      </w:pPr>
      <w:r>
        <w:rPr>
          <w:rFonts w:ascii="方正仿宋_GBK" w:hAnsi="方正仿宋_GBK" w:eastAsia="方正仿宋_GBK" w:cs="方正仿宋_GBK"/>
          <w:b/>
          <w:color w:val="000000"/>
          <w:sz w:val="28"/>
        </w:rPr>
        <w:t>50、石财债[2021]17号下达2021年第八批新增政府债券资金(藁城区2021年老旧小区改造配套基础设施项目（第二批）)绩效目标表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1.进行老旧小区改造提升，进一步改善群众居住条件。</w:t>
            </w:r>
          </w:p>
          <w:p>
            <w:pPr>
              <w:pStyle w:val="27"/>
            </w:pPr>
            <w:r>
              <w:t>2.完成城区内11个社区的33个老旧小区，68栋楼老旧小区配套基础设施改造。</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改造小区数</w:t>
            </w:r>
          </w:p>
        </w:tc>
        <w:tc>
          <w:tcPr>
            <w:tcW w:w="2835" w:type="dxa"/>
            <w:vAlign w:val="center"/>
          </w:tcPr>
          <w:p>
            <w:pPr>
              <w:pStyle w:val="27"/>
            </w:pPr>
            <w:r>
              <w:t>改造老旧小区数</w:t>
            </w:r>
          </w:p>
        </w:tc>
        <w:tc>
          <w:tcPr>
            <w:tcW w:w="2551" w:type="dxa"/>
            <w:vAlign w:val="center"/>
          </w:tcPr>
          <w:p>
            <w:pPr>
              <w:pStyle w:val="27"/>
            </w:pPr>
            <w:r>
              <w:t>≥33个</w:t>
            </w:r>
          </w:p>
        </w:tc>
        <w:tc>
          <w:tcPr>
            <w:tcW w:w="2268" w:type="dxa"/>
            <w:vAlign w:val="center"/>
          </w:tcPr>
          <w:p>
            <w:pPr>
              <w:pStyle w:val="27"/>
            </w:pPr>
            <w:r>
              <w:t>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验收合格率</w:t>
            </w:r>
          </w:p>
        </w:tc>
        <w:tc>
          <w:tcPr>
            <w:tcW w:w="2835" w:type="dxa"/>
            <w:vAlign w:val="center"/>
          </w:tcPr>
          <w:p>
            <w:pPr>
              <w:pStyle w:val="27"/>
            </w:pPr>
            <w:r>
              <w:t>改造工程验收合格率</w:t>
            </w:r>
          </w:p>
        </w:tc>
        <w:tc>
          <w:tcPr>
            <w:tcW w:w="2551" w:type="dxa"/>
            <w:vAlign w:val="center"/>
          </w:tcPr>
          <w:p>
            <w:pPr>
              <w:pStyle w:val="27"/>
            </w:pPr>
            <w:r>
              <w:t>100合格率</w:t>
            </w:r>
          </w:p>
        </w:tc>
        <w:tc>
          <w:tcPr>
            <w:tcW w:w="2268" w:type="dxa"/>
            <w:vAlign w:val="center"/>
          </w:tcPr>
          <w:p>
            <w:pPr>
              <w:pStyle w:val="27"/>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项目建设成本</w:t>
            </w:r>
          </w:p>
        </w:tc>
        <w:tc>
          <w:tcPr>
            <w:tcW w:w="2835" w:type="dxa"/>
            <w:vAlign w:val="center"/>
          </w:tcPr>
          <w:p>
            <w:pPr>
              <w:pStyle w:val="27"/>
            </w:pPr>
            <w:r>
              <w:t>不高于4998.75万元</w:t>
            </w:r>
          </w:p>
        </w:tc>
        <w:tc>
          <w:tcPr>
            <w:tcW w:w="2551" w:type="dxa"/>
            <w:vAlign w:val="center"/>
          </w:tcPr>
          <w:p>
            <w:pPr>
              <w:pStyle w:val="27"/>
            </w:pPr>
            <w:r>
              <w:t>≤4998.75万元</w:t>
            </w:r>
          </w:p>
        </w:tc>
        <w:tc>
          <w:tcPr>
            <w:tcW w:w="2268" w:type="dxa"/>
            <w:vAlign w:val="center"/>
          </w:tcPr>
          <w:p>
            <w:pPr>
              <w:pStyle w:val="27"/>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按时完成情况</w:t>
            </w:r>
          </w:p>
        </w:tc>
        <w:tc>
          <w:tcPr>
            <w:tcW w:w="2835" w:type="dxa"/>
            <w:vAlign w:val="center"/>
          </w:tcPr>
          <w:p>
            <w:pPr>
              <w:pStyle w:val="27"/>
            </w:pPr>
            <w:r>
              <w:t>按照工程规定时间节点完工</w:t>
            </w:r>
          </w:p>
        </w:tc>
        <w:tc>
          <w:tcPr>
            <w:tcW w:w="2551" w:type="dxa"/>
            <w:vAlign w:val="center"/>
          </w:tcPr>
          <w:p>
            <w:pPr>
              <w:pStyle w:val="27"/>
            </w:pPr>
            <w:r>
              <w:t>及时完成</w:t>
            </w:r>
          </w:p>
        </w:tc>
        <w:tc>
          <w:tcPr>
            <w:tcW w:w="2268" w:type="dxa"/>
            <w:vAlign w:val="center"/>
          </w:tcPr>
          <w:p>
            <w:pPr>
              <w:pStyle w:val="27"/>
            </w:pPr>
            <w:r>
              <w:t>按区政府老旧小区改造完成时限要求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居住条件改善</w:t>
            </w:r>
          </w:p>
        </w:tc>
        <w:tc>
          <w:tcPr>
            <w:tcW w:w="2835" w:type="dxa"/>
            <w:vAlign w:val="center"/>
          </w:tcPr>
          <w:p>
            <w:pPr>
              <w:pStyle w:val="27"/>
            </w:pPr>
            <w:r>
              <w:t>群众居住条件得到改善</w:t>
            </w:r>
          </w:p>
        </w:tc>
        <w:tc>
          <w:tcPr>
            <w:tcW w:w="2551" w:type="dxa"/>
            <w:vAlign w:val="center"/>
          </w:tcPr>
          <w:p>
            <w:pPr>
              <w:pStyle w:val="27"/>
            </w:pPr>
            <w:r>
              <w:t>实际反馈</w:t>
            </w:r>
          </w:p>
        </w:tc>
        <w:tc>
          <w:tcPr>
            <w:tcW w:w="2268" w:type="dxa"/>
            <w:vAlign w:val="center"/>
          </w:tcPr>
          <w:p>
            <w:pPr>
              <w:pStyle w:val="27"/>
            </w:pPr>
            <w:r>
              <w:t>实地查验，改造前后对比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受益群众满意度</w:t>
            </w:r>
          </w:p>
        </w:tc>
        <w:tc>
          <w:tcPr>
            <w:tcW w:w="2835" w:type="dxa"/>
            <w:vAlign w:val="center"/>
          </w:tcPr>
          <w:p>
            <w:pPr>
              <w:pStyle w:val="27"/>
            </w:pPr>
            <w:r>
              <w:t>得到改造的老旧小区居民满意度</w:t>
            </w:r>
          </w:p>
        </w:tc>
        <w:tc>
          <w:tcPr>
            <w:tcW w:w="2551" w:type="dxa"/>
            <w:vAlign w:val="center"/>
          </w:tcPr>
          <w:p>
            <w:pPr>
              <w:pStyle w:val="27"/>
            </w:pPr>
            <w:r>
              <w:t>≥80满意度</w:t>
            </w:r>
          </w:p>
        </w:tc>
        <w:tc>
          <w:tcPr>
            <w:tcW w:w="2268" w:type="dxa"/>
            <w:vAlign w:val="center"/>
          </w:tcPr>
          <w:p>
            <w:pPr>
              <w:pStyle w:val="27"/>
            </w:pPr>
            <w:r>
              <w:t>抽样测评</w:t>
            </w:r>
          </w:p>
        </w:tc>
      </w:tr>
    </w:tbl>
    <w:p>
      <w:pPr>
        <w:pStyle w:val="25"/>
      </w:pPr>
    </w:p>
    <w:p>
      <w:pPr>
        <w:pStyle w:val="25"/>
        <w:ind w:firstLine="560"/>
      </w:pPr>
      <w:r>
        <w:rPr>
          <w:rFonts w:ascii="方正仿宋_GBK" w:hAnsi="方正仿宋_GBK" w:eastAsia="方正仿宋_GBK" w:cs="方正仿宋_GBK"/>
          <w:b/>
          <w:color w:val="000000"/>
          <w:sz w:val="28"/>
        </w:rPr>
        <w:t>51、石财债[2021]17号下达2021年第八批新增政府债券资金(藁城区城市基础设施建设和老旧小区综合整治项目)绩效目标表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1.藁城区清洁能源供热改造项目施工完成</w:t>
            </w:r>
          </w:p>
          <w:p>
            <w:pPr>
              <w:pStyle w:val="27"/>
            </w:pPr>
            <w:r>
              <w:t>2.保障民生供暖</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燃气热水机组数量</w:t>
            </w:r>
          </w:p>
        </w:tc>
        <w:tc>
          <w:tcPr>
            <w:tcW w:w="2835" w:type="dxa"/>
            <w:vAlign w:val="center"/>
          </w:tcPr>
          <w:p>
            <w:pPr>
              <w:pStyle w:val="27"/>
            </w:pPr>
            <w:r>
              <w:t>安装低氮真空燃气热水机组数量</w:t>
            </w:r>
          </w:p>
        </w:tc>
        <w:tc>
          <w:tcPr>
            <w:tcW w:w="2551" w:type="dxa"/>
            <w:vAlign w:val="center"/>
          </w:tcPr>
          <w:p>
            <w:pPr>
              <w:pStyle w:val="27"/>
            </w:pPr>
            <w:r>
              <w:t>≥35台</w:t>
            </w:r>
          </w:p>
        </w:tc>
        <w:tc>
          <w:tcPr>
            <w:tcW w:w="2268" w:type="dxa"/>
            <w:vAlign w:val="center"/>
          </w:tcPr>
          <w:p>
            <w:pPr>
              <w:pStyle w:val="27"/>
            </w:pPr>
            <w:r>
              <w:t>实际安装数量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工程建设质量</w:t>
            </w:r>
          </w:p>
        </w:tc>
        <w:tc>
          <w:tcPr>
            <w:tcW w:w="2835" w:type="dxa"/>
            <w:vAlign w:val="center"/>
          </w:tcPr>
          <w:p>
            <w:pPr>
              <w:pStyle w:val="27"/>
            </w:pPr>
            <w:r>
              <w:t>工程质量符合验收标准</w:t>
            </w:r>
          </w:p>
        </w:tc>
        <w:tc>
          <w:tcPr>
            <w:tcW w:w="2551" w:type="dxa"/>
            <w:vAlign w:val="center"/>
          </w:tcPr>
          <w:p>
            <w:pPr>
              <w:pStyle w:val="27"/>
            </w:pPr>
            <w:r>
              <w:t>合格情况</w:t>
            </w:r>
          </w:p>
        </w:tc>
        <w:tc>
          <w:tcPr>
            <w:tcW w:w="2268" w:type="dxa"/>
            <w:vAlign w:val="center"/>
          </w:tcPr>
          <w:p>
            <w:pPr>
              <w:pStyle w:val="27"/>
            </w:pPr>
            <w:r>
              <w:t>工程施工及验收规范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按时完工</w:t>
            </w:r>
          </w:p>
        </w:tc>
        <w:tc>
          <w:tcPr>
            <w:tcW w:w="2835" w:type="dxa"/>
            <w:vAlign w:val="center"/>
          </w:tcPr>
          <w:p>
            <w:pPr>
              <w:pStyle w:val="27"/>
            </w:pPr>
            <w:r>
              <w:t>按计划节点完工</w:t>
            </w:r>
          </w:p>
        </w:tc>
        <w:tc>
          <w:tcPr>
            <w:tcW w:w="2551" w:type="dxa"/>
            <w:vAlign w:val="center"/>
          </w:tcPr>
          <w:p>
            <w:pPr>
              <w:pStyle w:val="27"/>
            </w:pPr>
            <w:r>
              <w:t>及时完成</w:t>
            </w:r>
          </w:p>
        </w:tc>
        <w:tc>
          <w:tcPr>
            <w:tcW w:w="2268" w:type="dxa"/>
            <w:vAlign w:val="center"/>
          </w:tcPr>
          <w:p>
            <w:pPr>
              <w:pStyle w:val="27"/>
            </w:pPr>
            <w:r>
              <w:t>投入运行日期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节约成本</w:t>
            </w:r>
          </w:p>
        </w:tc>
        <w:tc>
          <w:tcPr>
            <w:tcW w:w="2835" w:type="dxa"/>
            <w:vAlign w:val="center"/>
          </w:tcPr>
          <w:p>
            <w:pPr>
              <w:pStyle w:val="27"/>
            </w:pPr>
            <w:r>
              <w:t>节约项目资金成本</w:t>
            </w:r>
          </w:p>
        </w:tc>
        <w:tc>
          <w:tcPr>
            <w:tcW w:w="2551" w:type="dxa"/>
            <w:vAlign w:val="center"/>
          </w:tcPr>
          <w:p>
            <w:pPr>
              <w:pStyle w:val="27"/>
            </w:pPr>
            <w:r>
              <w:t>节约成本</w:t>
            </w:r>
          </w:p>
        </w:tc>
        <w:tc>
          <w:tcPr>
            <w:tcW w:w="2268" w:type="dxa"/>
            <w:vAlign w:val="center"/>
          </w:tcPr>
          <w:p>
            <w:pPr>
              <w:pStyle w:val="27"/>
            </w:pPr>
            <w:r>
              <w:t>实际决算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保障供暖</w:t>
            </w:r>
          </w:p>
        </w:tc>
        <w:tc>
          <w:tcPr>
            <w:tcW w:w="2835" w:type="dxa"/>
            <w:vAlign w:val="center"/>
          </w:tcPr>
          <w:p>
            <w:pPr>
              <w:pStyle w:val="27"/>
            </w:pPr>
            <w:r>
              <w:t>供热区域内居民正常按时取暖</w:t>
            </w:r>
          </w:p>
        </w:tc>
        <w:tc>
          <w:tcPr>
            <w:tcW w:w="2551" w:type="dxa"/>
            <w:vAlign w:val="center"/>
          </w:tcPr>
          <w:p>
            <w:pPr>
              <w:pStyle w:val="27"/>
            </w:pPr>
            <w:r>
              <w:t>供暖情况</w:t>
            </w:r>
          </w:p>
        </w:tc>
        <w:tc>
          <w:tcPr>
            <w:tcW w:w="2268" w:type="dxa"/>
            <w:vAlign w:val="center"/>
          </w:tcPr>
          <w:p>
            <w:pPr>
              <w:pStyle w:val="27"/>
            </w:pPr>
            <w:r>
              <w:t>实际反馈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群众供暖满意情况</w:t>
            </w:r>
          </w:p>
        </w:tc>
        <w:tc>
          <w:tcPr>
            <w:tcW w:w="2551" w:type="dxa"/>
            <w:vAlign w:val="center"/>
          </w:tcPr>
          <w:p>
            <w:pPr>
              <w:pStyle w:val="27"/>
            </w:pPr>
            <w:r>
              <w:t>群众满意度</w:t>
            </w:r>
          </w:p>
        </w:tc>
        <w:tc>
          <w:tcPr>
            <w:tcW w:w="2268" w:type="dxa"/>
            <w:vAlign w:val="center"/>
          </w:tcPr>
          <w:p>
            <w:pPr>
              <w:pStyle w:val="27"/>
            </w:pPr>
            <w:r>
              <w:t>抽查走访</w:t>
            </w:r>
          </w:p>
        </w:tc>
      </w:tr>
    </w:tbl>
    <w:p>
      <w:pPr>
        <w:pStyle w:val="25"/>
      </w:pPr>
    </w:p>
    <w:p>
      <w:pPr>
        <w:pStyle w:val="25"/>
        <w:ind w:firstLine="560"/>
      </w:pPr>
      <w:r>
        <w:rPr>
          <w:rFonts w:ascii="方正仿宋_GBK" w:hAnsi="方正仿宋_GBK" w:eastAsia="方正仿宋_GBK" w:cs="方正仿宋_GBK"/>
          <w:b/>
          <w:color w:val="000000"/>
          <w:sz w:val="28"/>
        </w:rPr>
        <w:t>52、石财债[2021]17号下达2021年第八批新增政府债券资金(藁城区中水余热利用及附属工程和城区供暖改造项目)绩效目标表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1.藁城区清洁能源供热改造项目施工完成</w:t>
            </w:r>
          </w:p>
          <w:p>
            <w:pPr>
              <w:pStyle w:val="27"/>
            </w:pPr>
            <w:r>
              <w:t>2.保障民生供暖</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新建改造供热站点数量</w:t>
            </w:r>
          </w:p>
        </w:tc>
        <w:tc>
          <w:tcPr>
            <w:tcW w:w="2835" w:type="dxa"/>
            <w:vAlign w:val="center"/>
          </w:tcPr>
          <w:p>
            <w:pPr>
              <w:pStyle w:val="27"/>
            </w:pPr>
            <w:r>
              <w:t>新建改造供热站点数量</w:t>
            </w:r>
          </w:p>
        </w:tc>
        <w:tc>
          <w:tcPr>
            <w:tcW w:w="2551" w:type="dxa"/>
            <w:vAlign w:val="center"/>
          </w:tcPr>
          <w:p>
            <w:pPr>
              <w:pStyle w:val="27"/>
            </w:pPr>
            <w:r>
              <w:t>≥8个</w:t>
            </w:r>
          </w:p>
        </w:tc>
        <w:tc>
          <w:tcPr>
            <w:tcW w:w="2268" w:type="dxa"/>
            <w:vAlign w:val="center"/>
          </w:tcPr>
          <w:p>
            <w:pPr>
              <w:pStyle w:val="27"/>
            </w:pPr>
            <w:r>
              <w:t>设计资料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工程建设质量</w:t>
            </w:r>
          </w:p>
        </w:tc>
        <w:tc>
          <w:tcPr>
            <w:tcW w:w="2835" w:type="dxa"/>
            <w:vAlign w:val="center"/>
          </w:tcPr>
          <w:p>
            <w:pPr>
              <w:pStyle w:val="27"/>
            </w:pPr>
            <w:r>
              <w:t>工程质量符合验收标准</w:t>
            </w:r>
          </w:p>
        </w:tc>
        <w:tc>
          <w:tcPr>
            <w:tcW w:w="2551" w:type="dxa"/>
            <w:vAlign w:val="center"/>
          </w:tcPr>
          <w:p>
            <w:pPr>
              <w:pStyle w:val="27"/>
            </w:pPr>
            <w:r>
              <w:t>合格情况</w:t>
            </w:r>
          </w:p>
        </w:tc>
        <w:tc>
          <w:tcPr>
            <w:tcW w:w="2268" w:type="dxa"/>
            <w:vAlign w:val="center"/>
          </w:tcPr>
          <w:p>
            <w:pPr>
              <w:pStyle w:val="27"/>
            </w:pPr>
            <w:r>
              <w:t>工程施工及验收规范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按时完工</w:t>
            </w:r>
          </w:p>
        </w:tc>
        <w:tc>
          <w:tcPr>
            <w:tcW w:w="2835" w:type="dxa"/>
            <w:vAlign w:val="center"/>
          </w:tcPr>
          <w:p>
            <w:pPr>
              <w:pStyle w:val="27"/>
            </w:pPr>
            <w:r>
              <w:t>按计划节点完工</w:t>
            </w:r>
          </w:p>
        </w:tc>
        <w:tc>
          <w:tcPr>
            <w:tcW w:w="2551" w:type="dxa"/>
            <w:vAlign w:val="center"/>
          </w:tcPr>
          <w:p>
            <w:pPr>
              <w:pStyle w:val="27"/>
            </w:pPr>
            <w:r>
              <w:t>及时完成</w:t>
            </w:r>
          </w:p>
        </w:tc>
        <w:tc>
          <w:tcPr>
            <w:tcW w:w="2268" w:type="dxa"/>
            <w:vAlign w:val="center"/>
          </w:tcPr>
          <w:p>
            <w:pPr>
              <w:pStyle w:val="27"/>
            </w:pPr>
            <w:r>
              <w:t>投入运行日期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节约成本</w:t>
            </w:r>
          </w:p>
        </w:tc>
        <w:tc>
          <w:tcPr>
            <w:tcW w:w="2835" w:type="dxa"/>
            <w:vAlign w:val="center"/>
          </w:tcPr>
          <w:p>
            <w:pPr>
              <w:pStyle w:val="27"/>
            </w:pPr>
            <w:r>
              <w:t>节约项目资金成本</w:t>
            </w:r>
          </w:p>
        </w:tc>
        <w:tc>
          <w:tcPr>
            <w:tcW w:w="2551" w:type="dxa"/>
            <w:vAlign w:val="center"/>
          </w:tcPr>
          <w:p>
            <w:pPr>
              <w:pStyle w:val="27"/>
            </w:pPr>
            <w:r>
              <w:t>节约成本</w:t>
            </w:r>
          </w:p>
        </w:tc>
        <w:tc>
          <w:tcPr>
            <w:tcW w:w="2268" w:type="dxa"/>
            <w:vAlign w:val="center"/>
          </w:tcPr>
          <w:p>
            <w:pPr>
              <w:pStyle w:val="27"/>
            </w:pPr>
            <w:r>
              <w:t>实际决算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保障供暖</w:t>
            </w:r>
          </w:p>
        </w:tc>
        <w:tc>
          <w:tcPr>
            <w:tcW w:w="2835" w:type="dxa"/>
            <w:vAlign w:val="center"/>
          </w:tcPr>
          <w:p>
            <w:pPr>
              <w:pStyle w:val="27"/>
            </w:pPr>
            <w:r>
              <w:t>供热区域内居民正常按时取暖</w:t>
            </w:r>
          </w:p>
        </w:tc>
        <w:tc>
          <w:tcPr>
            <w:tcW w:w="2551" w:type="dxa"/>
            <w:vAlign w:val="center"/>
          </w:tcPr>
          <w:p>
            <w:pPr>
              <w:pStyle w:val="27"/>
            </w:pPr>
            <w:r>
              <w:t>供暖情况</w:t>
            </w:r>
          </w:p>
        </w:tc>
        <w:tc>
          <w:tcPr>
            <w:tcW w:w="2268" w:type="dxa"/>
            <w:vAlign w:val="center"/>
          </w:tcPr>
          <w:p>
            <w:pPr>
              <w:pStyle w:val="27"/>
            </w:pPr>
            <w:r>
              <w:t>实际反馈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群众供暖满意情况</w:t>
            </w:r>
          </w:p>
        </w:tc>
        <w:tc>
          <w:tcPr>
            <w:tcW w:w="2551" w:type="dxa"/>
            <w:vAlign w:val="center"/>
          </w:tcPr>
          <w:p>
            <w:pPr>
              <w:pStyle w:val="27"/>
            </w:pPr>
            <w:r>
              <w:t>群众满意度</w:t>
            </w:r>
          </w:p>
        </w:tc>
        <w:tc>
          <w:tcPr>
            <w:tcW w:w="2268" w:type="dxa"/>
            <w:vAlign w:val="center"/>
          </w:tcPr>
          <w:p>
            <w:pPr>
              <w:pStyle w:val="27"/>
            </w:pPr>
            <w:r>
              <w:t>抽查走访</w:t>
            </w:r>
          </w:p>
        </w:tc>
      </w:tr>
    </w:tbl>
    <w:p>
      <w:pPr>
        <w:pStyle w:val="25"/>
      </w:pPr>
    </w:p>
    <w:p>
      <w:pPr>
        <w:pStyle w:val="25"/>
        <w:ind w:firstLine="560"/>
      </w:pPr>
      <w:r>
        <w:rPr>
          <w:rFonts w:ascii="方正仿宋_GBK" w:hAnsi="方正仿宋_GBK" w:eastAsia="方正仿宋_GBK" w:cs="方正仿宋_GBK"/>
          <w:b/>
          <w:color w:val="000000"/>
          <w:sz w:val="28"/>
        </w:rPr>
        <w:t>53、石财债[2021]17号下达2021年第八批新增政府债券资金（藁城区南部城区新建污水处理厂及附属基础设施建设工程）--南部城区新建污水处理厂绩效目标表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1.保证南部新建</w:t>
            </w:r>
            <w:r>
              <w:rPr>
                <w:rFonts w:hint="eastAsia"/>
                <w:lang w:eastAsia="zh-CN"/>
              </w:rPr>
              <w:t>污水处理厂</w:t>
            </w:r>
            <w:r>
              <w:t>项目顺利推进</w:t>
            </w:r>
          </w:p>
          <w:p>
            <w:pPr>
              <w:pStyle w:val="27"/>
            </w:pPr>
            <w:r>
              <w:t>2.解决生活污水排放问题和城区内涝问题。</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项目范围</w:t>
            </w:r>
          </w:p>
        </w:tc>
        <w:tc>
          <w:tcPr>
            <w:tcW w:w="2835" w:type="dxa"/>
            <w:vAlign w:val="center"/>
          </w:tcPr>
          <w:p>
            <w:pPr>
              <w:pStyle w:val="27"/>
            </w:pPr>
            <w:r>
              <w:t>新建污水处理厂，包括配套管网。</w:t>
            </w:r>
          </w:p>
        </w:tc>
        <w:tc>
          <w:tcPr>
            <w:tcW w:w="2551" w:type="dxa"/>
            <w:vAlign w:val="center"/>
          </w:tcPr>
          <w:p>
            <w:pPr>
              <w:pStyle w:val="27"/>
            </w:pPr>
            <w:r>
              <w:t>＝3995万元</w:t>
            </w:r>
          </w:p>
        </w:tc>
        <w:tc>
          <w:tcPr>
            <w:tcW w:w="2268" w:type="dxa"/>
            <w:vAlign w:val="center"/>
          </w:tcPr>
          <w:p>
            <w:pPr>
              <w:pStyle w:val="2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验收合格率</w:t>
            </w:r>
          </w:p>
        </w:tc>
        <w:tc>
          <w:tcPr>
            <w:tcW w:w="2835" w:type="dxa"/>
            <w:vAlign w:val="center"/>
          </w:tcPr>
          <w:p>
            <w:pPr>
              <w:pStyle w:val="27"/>
            </w:pPr>
            <w:r>
              <w:t>建设工程验收合格率</w:t>
            </w:r>
          </w:p>
        </w:tc>
        <w:tc>
          <w:tcPr>
            <w:tcW w:w="2551" w:type="dxa"/>
            <w:vAlign w:val="center"/>
          </w:tcPr>
          <w:p>
            <w:pPr>
              <w:pStyle w:val="27"/>
            </w:pPr>
            <w:r>
              <w:t>≥95%</w:t>
            </w:r>
          </w:p>
        </w:tc>
        <w:tc>
          <w:tcPr>
            <w:tcW w:w="2268" w:type="dxa"/>
            <w:vAlign w:val="center"/>
          </w:tcPr>
          <w:p>
            <w:pPr>
              <w:pStyle w:val="27"/>
            </w:pPr>
            <w:r>
              <w:t>竣工验收资料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w:t>
            </w:r>
          </w:p>
        </w:tc>
        <w:tc>
          <w:tcPr>
            <w:tcW w:w="2835" w:type="dxa"/>
            <w:vAlign w:val="center"/>
          </w:tcPr>
          <w:p>
            <w:pPr>
              <w:pStyle w:val="27"/>
            </w:pPr>
            <w:r>
              <w:t>按照工程规定节点完成</w:t>
            </w:r>
          </w:p>
        </w:tc>
        <w:tc>
          <w:tcPr>
            <w:tcW w:w="2551" w:type="dxa"/>
            <w:vAlign w:val="center"/>
          </w:tcPr>
          <w:p>
            <w:pPr>
              <w:pStyle w:val="27"/>
            </w:pPr>
            <w:r>
              <w:t>＝100%</w:t>
            </w:r>
          </w:p>
        </w:tc>
        <w:tc>
          <w:tcPr>
            <w:tcW w:w="2268" w:type="dxa"/>
            <w:vAlign w:val="center"/>
          </w:tcPr>
          <w:p>
            <w:pPr>
              <w:pStyle w:val="2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节约成本</w:t>
            </w:r>
          </w:p>
        </w:tc>
        <w:tc>
          <w:tcPr>
            <w:tcW w:w="2835" w:type="dxa"/>
            <w:vAlign w:val="center"/>
          </w:tcPr>
          <w:p>
            <w:pPr>
              <w:pStyle w:val="27"/>
            </w:pPr>
            <w:r>
              <w:t>节约成本情况</w:t>
            </w:r>
          </w:p>
        </w:tc>
        <w:tc>
          <w:tcPr>
            <w:tcW w:w="2551" w:type="dxa"/>
            <w:vAlign w:val="center"/>
          </w:tcPr>
          <w:p>
            <w:pPr>
              <w:pStyle w:val="27"/>
            </w:pPr>
            <w:r>
              <w:t>节约资金成本情况</w:t>
            </w:r>
          </w:p>
        </w:tc>
        <w:tc>
          <w:tcPr>
            <w:tcW w:w="2268" w:type="dxa"/>
            <w:vAlign w:val="center"/>
          </w:tcPr>
          <w:p>
            <w:pPr>
              <w:pStyle w:val="27"/>
            </w:pPr>
            <w:r>
              <w:t>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削减污染物排放量。</w:t>
            </w:r>
          </w:p>
        </w:tc>
        <w:tc>
          <w:tcPr>
            <w:tcW w:w="2835" w:type="dxa"/>
            <w:vAlign w:val="center"/>
          </w:tcPr>
          <w:p>
            <w:pPr>
              <w:pStyle w:val="27"/>
            </w:pPr>
            <w:r>
              <w:t>水厂建成后可有效较少污染物排放</w:t>
            </w:r>
          </w:p>
        </w:tc>
        <w:tc>
          <w:tcPr>
            <w:tcW w:w="2551" w:type="dxa"/>
            <w:vAlign w:val="center"/>
          </w:tcPr>
          <w:p>
            <w:pPr>
              <w:pStyle w:val="27"/>
            </w:pPr>
            <w:r>
              <w:t>污染物排放改善情况</w:t>
            </w:r>
          </w:p>
        </w:tc>
        <w:tc>
          <w:tcPr>
            <w:tcW w:w="2268" w:type="dxa"/>
            <w:vAlign w:val="center"/>
          </w:tcPr>
          <w:p>
            <w:pPr>
              <w:pStyle w:val="27"/>
            </w:pPr>
            <w:r>
              <w:t>实地查验竣工前后对比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受益群体调查中，满意和较满意的人数占全部调查人数的比率</w:t>
            </w:r>
          </w:p>
        </w:tc>
        <w:tc>
          <w:tcPr>
            <w:tcW w:w="2835" w:type="dxa"/>
            <w:vAlign w:val="center"/>
          </w:tcPr>
          <w:p>
            <w:pPr>
              <w:pStyle w:val="27"/>
            </w:pPr>
            <w:r>
              <w:t>受益群体调查中，满意和较满意的人数占全部调查人数的比率</w:t>
            </w:r>
          </w:p>
        </w:tc>
        <w:tc>
          <w:tcPr>
            <w:tcW w:w="2551" w:type="dxa"/>
            <w:vAlign w:val="center"/>
          </w:tcPr>
          <w:p>
            <w:pPr>
              <w:pStyle w:val="27"/>
            </w:pPr>
            <w:r>
              <w:t>≥95%</w:t>
            </w:r>
          </w:p>
        </w:tc>
        <w:tc>
          <w:tcPr>
            <w:tcW w:w="2268" w:type="dxa"/>
            <w:vAlign w:val="center"/>
          </w:tcPr>
          <w:p>
            <w:pPr>
              <w:pStyle w:val="27"/>
            </w:pPr>
            <w:r>
              <w:t>实际反馈</w:t>
            </w:r>
          </w:p>
        </w:tc>
      </w:tr>
    </w:tbl>
    <w:p>
      <w:pPr>
        <w:pStyle w:val="25"/>
      </w:pPr>
    </w:p>
    <w:p>
      <w:pPr>
        <w:pStyle w:val="25"/>
        <w:ind w:firstLine="560"/>
      </w:pPr>
      <w:r>
        <w:rPr>
          <w:rFonts w:ascii="方正仿宋_GBK" w:hAnsi="方正仿宋_GBK" w:eastAsia="方正仿宋_GBK" w:cs="方正仿宋_GBK"/>
          <w:b/>
          <w:color w:val="000000"/>
          <w:sz w:val="28"/>
        </w:rPr>
        <w:t>54、石家庄市城市体检第三方技术服务项目绩效目标表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1.为开展石家庄市藁城区城市自体检（2021年度）工作聘请第三方提供资金</w:t>
            </w:r>
          </w:p>
          <w:p>
            <w:pPr>
              <w:pStyle w:val="27"/>
            </w:pPr>
            <w:r>
              <w:t>2.保障城市体检工作的正常进行</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金额数量</w:t>
            </w:r>
          </w:p>
        </w:tc>
        <w:tc>
          <w:tcPr>
            <w:tcW w:w="2835" w:type="dxa"/>
            <w:vAlign w:val="center"/>
          </w:tcPr>
          <w:p>
            <w:pPr>
              <w:pStyle w:val="27"/>
            </w:pPr>
            <w:r>
              <w:t>服务费的金额数量</w:t>
            </w:r>
          </w:p>
        </w:tc>
        <w:tc>
          <w:tcPr>
            <w:tcW w:w="2551" w:type="dxa"/>
            <w:vAlign w:val="center"/>
          </w:tcPr>
          <w:p>
            <w:pPr>
              <w:pStyle w:val="27"/>
            </w:pPr>
            <w:r>
              <w:t>≤29万元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达到石家庄市城市体检工作方案要求</w:t>
            </w:r>
          </w:p>
        </w:tc>
        <w:tc>
          <w:tcPr>
            <w:tcW w:w="2835" w:type="dxa"/>
            <w:vAlign w:val="center"/>
          </w:tcPr>
          <w:p>
            <w:pPr>
              <w:pStyle w:val="27"/>
            </w:pPr>
            <w:r>
              <w:t>为建成区城市建设高质量发展提供支撑</w:t>
            </w:r>
          </w:p>
        </w:tc>
        <w:tc>
          <w:tcPr>
            <w:tcW w:w="2551" w:type="dxa"/>
            <w:vAlign w:val="center"/>
          </w:tcPr>
          <w:p>
            <w:pPr>
              <w:pStyle w:val="27"/>
            </w:pPr>
            <w:r>
              <w:t>人民满意度</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年底完成</w:t>
            </w:r>
          </w:p>
        </w:tc>
        <w:tc>
          <w:tcPr>
            <w:tcW w:w="2835" w:type="dxa"/>
            <w:vAlign w:val="center"/>
          </w:tcPr>
          <w:p>
            <w:pPr>
              <w:pStyle w:val="27"/>
            </w:pPr>
            <w:r>
              <w:t>达到石家庄市城市体检方案规定期限</w:t>
            </w:r>
          </w:p>
        </w:tc>
        <w:tc>
          <w:tcPr>
            <w:tcW w:w="2551" w:type="dxa"/>
            <w:vAlign w:val="center"/>
          </w:tcPr>
          <w:p>
            <w:pPr>
              <w:pStyle w:val="27"/>
            </w:pPr>
            <w:r>
              <w:t>按时完成</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控制预算数</w:t>
            </w:r>
          </w:p>
        </w:tc>
        <w:tc>
          <w:tcPr>
            <w:tcW w:w="2835" w:type="dxa"/>
            <w:vAlign w:val="center"/>
          </w:tcPr>
          <w:p>
            <w:pPr>
              <w:pStyle w:val="27"/>
            </w:pPr>
            <w:r>
              <w:t>控制在年初预算范围内</w:t>
            </w:r>
          </w:p>
        </w:tc>
        <w:tc>
          <w:tcPr>
            <w:tcW w:w="2551" w:type="dxa"/>
            <w:vAlign w:val="center"/>
          </w:tcPr>
          <w:p>
            <w:pPr>
              <w:pStyle w:val="27"/>
            </w:pPr>
            <w:r>
              <w:t>控制在年初预算范围内</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城建工作发展推进</w:t>
            </w:r>
          </w:p>
        </w:tc>
        <w:tc>
          <w:tcPr>
            <w:tcW w:w="2835" w:type="dxa"/>
            <w:vAlign w:val="center"/>
          </w:tcPr>
          <w:p>
            <w:pPr>
              <w:pStyle w:val="27"/>
            </w:pPr>
            <w:r>
              <w:t>强力推动城市更新，促进城市高质量发展。</w:t>
            </w:r>
          </w:p>
        </w:tc>
        <w:tc>
          <w:tcPr>
            <w:tcW w:w="2551" w:type="dxa"/>
            <w:vAlign w:val="center"/>
          </w:tcPr>
          <w:p>
            <w:pPr>
              <w:pStyle w:val="27"/>
            </w:pPr>
            <w:r>
              <w:t>生活质量提高</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可持续影响指标</w:t>
            </w:r>
          </w:p>
        </w:tc>
        <w:tc>
          <w:tcPr>
            <w:tcW w:w="2835" w:type="dxa"/>
            <w:vAlign w:val="center"/>
          </w:tcPr>
          <w:p>
            <w:pPr>
              <w:pStyle w:val="27"/>
            </w:pPr>
            <w:r>
              <w:t>持续推进城镇建设</w:t>
            </w:r>
          </w:p>
        </w:tc>
        <w:tc>
          <w:tcPr>
            <w:tcW w:w="2835" w:type="dxa"/>
            <w:vAlign w:val="center"/>
          </w:tcPr>
          <w:p>
            <w:pPr>
              <w:pStyle w:val="27"/>
            </w:pPr>
            <w:r>
              <w:t>对城市发展强力推进</w:t>
            </w:r>
          </w:p>
        </w:tc>
        <w:tc>
          <w:tcPr>
            <w:tcW w:w="2551" w:type="dxa"/>
            <w:vAlign w:val="center"/>
          </w:tcPr>
          <w:p>
            <w:pPr>
              <w:pStyle w:val="27"/>
            </w:pPr>
            <w:r>
              <w:t>满意度提高</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服务对象满意度</w:t>
            </w:r>
          </w:p>
        </w:tc>
        <w:tc>
          <w:tcPr>
            <w:tcW w:w="2551" w:type="dxa"/>
            <w:vAlign w:val="center"/>
          </w:tcPr>
          <w:p>
            <w:pPr>
              <w:pStyle w:val="27"/>
            </w:pPr>
            <w:r>
              <w:t>≥85%</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55、石津渠两侧供热管网工程绩效目标表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1.完成石津渠两侧供热管网改造工作</w:t>
            </w:r>
          </w:p>
          <w:p>
            <w:pPr>
              <w:pStyle w:val="27"/>
            </w:pPr>
            <w:r>
              <w:t>2.保障供暖</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管网铺设长度</w:t>
            </w:r>
          </w:p>
        </w:tc>
        <w:tc>
          <w:tcPr>
            <w:tcW w:w="2835" w:type="dxa"/>
            <w:vAlign w:val="center"/>
          </w:tcPr>
          <w:p>
            <w:pPr>
              <w:pStyle w:val="27"/>
            </w:pPr>
            <w:r>
              <w:t>管网铺设长度</w:t>
            </w:r>
          </w:p>
        </w:tc>
        <w:tc>
          <w:tcPr>
            <w:tcW w:w="2551" w:type="dxa"/>
            <w:vAlign w:val="center"/>
          </w:tcPr>
          <w:p>
            <w:pPr>
              <w:pStyle w:val="27"/>
            </w:pPr>
            <w:r>
              <w:t>≥4468米</w:t>
            </w:r>
          </w:p>
        </w:tc>
        <w:tc>
          <w:tcPr>
            <w:tcW w:w="2268" w:type="dxa"/>
            <w:vAlign w:val="center"/>
          </w:tcPr>
          <w:p>
            <w:pPr>
              <w:pStyle w:val="27"/>
            </w:pPr>
            <w:r>
              <w:t>具体数量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材料质量合格</w:t>
            </w:r>
          </w:p>
        </w:tc>
        <w:tc>
          <w:tcPr>
            <w:tcW w:w="2835" w:type="dxa"/>
            <w:vAlign w:val="center"/>
          </w:tcPr>
          <w:p>
            <w:pPr>
              <w:pStyle w:val="27"/>
            </w:pPr>
            <w:r>
              <w:t>材料质量合格</w:t>
            </w:r>
          </w:p>
        </w:tc>
        <w:tc>
          <w:tcPr>
            <w:tcW w:w="2551" w:type="dxa"/>
            <w:vAlign w:val="center"/>
          </w:tcPr>
          <w:p>
            <w:pPr>
              <w:pStyle w:val="27"/>
            </w:pPr>
            <w:r>
              <w:t>材料质量合格</w:t>
            </w:r>
          </w:p>
        </w:tc>
        <w:tc>
          <w:tcPr>
            <w:tcW w:w="2268" w:type="dxa"/>
            <w:vAlign w:val="center"/>
          </w:tcPr>
          <w:p>
            <w:pPr>
              <w:pStyle w:val="27"/>
            </w:pPr>
            <w: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w:t>
            </w:r>
          </w:p>
        </w:tc>
        <w:tc>
          <w:tcPr>
            <w:tcW w:w="2835" w:type="dxa"/>
            <w:vAlign w:val="center"/>
          </w:tcPr>
          <w:p>
            <w:pPr>
              <w:pStyle w:val="27"/>
            </w:pPr>
            <w:r>
              <w:t>按时完成</w:t>
            </w:r>
          </w:p>
        </w:tc>
        <w:tc>
          <w:tcPr>
            <w:tcW w:w="2551" w:type="dxa"/>
            <w:vAlign w:val="center"/>
          </w:tcPr>
          <w:p>
            <w:pPr>
              <w:pStyle w:val="27"/>
            </w:pPr>
            <w:r>
              <w:t>按时完成</w:t>
            </w:r>
          </w:p>
        </w:tc>
        <w:tc>
          <w:tcPr>
            <w:tcW w:w="2268" w:type="dxa"/>
            <w:vAlign w:val="center"/>
          </w:tcPr>
          <w:p>
            <w:pPr>
              <w:pStyle w:val="27"/>
            </w:pPr>
            <w:r>
              <w:t>实际完成时间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石津渠两侧供热管网工程成本</w:t>
            </w:r>
          </w:p>
        </w:tc>
        <w:tc>
          <w:tcPr>
            <w:tcW w:w="2551" w:type="dxa"/>
            <w:vAlign w:val="center"/>
          </w:tcPr>
          <w:p>
            <w:pPr>
              <w:pStyle w:val="27"/>
            </w:pPr>
            <w:r>
              <w:t>≤130万元</w:t>
            </w:r>
          </w:p>
        </w:tc>
        <w:tc>
          <w:tcPr>
            <w:tcW w:w="2268" w:type="dxa"/>
            <w:vAlign w:val="center"/>
          </w:tcPr>
          <w:p>
            <w:pPr>
              <w:pStyle w:val="27"/>
            </w:pPr>
            <w:r>
              <w:t>实际决算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保障供暖</w:t>
            </w:r>
          </w:p>
        </w:tc>
        <w:tc>
          <w:tcPr>
            <w:tcW w:w="2835" w:type="dxa"/>
            <w:vAlign w:val="center"/>
          </w:tcPr>
          <w:p>
            <w:pPr>
              <w:pStyle w:val="27"/>
            </w:pPr>
            <w:r>
              <w:t>集中供热区域内居民正常按时取暖</w:t>
            </w:r>
          </w:p>
        </w:tc>
        <w:tc>
          <w:tcPr>
            <w:tcW w:w="2551" w:type="dxa"/>
            <w:vAlign w:val="center"/>
          </w:tcPr>
          <w:p>
            <w:pPr>
              <w:pStyle w:val="27"/>
            </w:pPr>
            <w:r>
              <w:t>供暖情况</w:t>
            </w:r>
          </w:p>
        </w:tc>
        <w:tc>
          <w:tcPr>
            <w:tcW w:w="2268" w:type="dxa"/>
            <w:vAlign w:val="center"/>
          </w:tcPr>
          <w:p>
            <w:pPr>
              <w:pStyle w:val="27"/>
            </w:pPr>
            <w:r>
              <w:t>实际反馈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供暖满意度</w:t>
            </w:r>
          </w:p>
        </w:tc>
        <w:tc>
          <w:tcPr>
            <w:tcW w:w="2835" w:type="dxa"/>
            <w:vAlign w:val="center"/>
          </w:tcPr>
          <w:p>
            <w:pPr>
              <w:pStyle w:val="27"/>
            </w:pPr>
            <w:r>
              <w:t>群众供暖满意情况</w:t>
            </w:r>
          </w:p>
        </w:tc>
        <w:tc>
          <w:tcPr>
            <w:tcW w:w="2551" w:type="dxa"/>
            <w:vAlign w:val="center"/>
          </w:tcPr>
          <w:p>
            <w:pPr>
              <w:pStyle w:val="27"/>
            </w:pPr>
            <w:r>
              <w:t>≥85%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56、市政工程第三方检测服务费绩效目标表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1.完成第三方检测任务。</w:t>
            </w:r>
          </w:p>
          <w:p>
            <w:pPr>
              <w:pStyle w:val="27"/>
            </w:pPr>
            <w:r>
              <w:t>2.检测工作达到合格标准。</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检测服务费</w:t>
            </w:r>
          </w:p>
        </w:tc>
        <w:tc>
          <w:tcPr>
            <w:tcW w:w="2835" w:type="dxa"/>
            <w:vAlign w:val="center"/>
          </w:tcPr>
          <w:p>
            <w:pPr>
              <w:pStyle w:val="27"/>
            </w:pPr>
            <w:r>
              <w:t>检测服务费</w:t>
            </w:r>
          </w:p>
        </w:tc>
        <w:tc>
          <w:tcPr>
            <w:tcW w:w="2551" w:type="dxa"/>
            <w:vAlign w:val="center"/>
          </w:tcPr>
          <w:p>
            <w:pPr>
              <w:pStyle w:val="27"/>
            </w:pPr>
            <w:r>
              <w:t>12万元</w:t>
            </w:r>
          </w:p>
        </w:tc>
        <w:tc>
          <w:tcPr>
            <w:tcW w:w="2268" w:type="dxa"/>
            <w:vAlign w:val="center"/>
          </w:tcPr>
          <w:p>
            <w:pPr>
              <w:pStyle w:val="27"/>
            </w:pPr>
            <w:r>
              <w:t>检测服务费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保障工程质量验收</w:t>
            </w:r>
          </w:p>
        </w:tc>
        <w:tc>
          <w:tcPr>
            <w:tcW w:w="2835" w:type="dxa"/>
            <w:vAlign w:val="center"/>
          </w:tcPr>
          <w:p>
            <w:pPr>
              <w:pStyle w:val="27"/>
            </w:pPr>
            <w:r>
              <w:t>保障廉州路西伸、育才路西延、育才路东伸、藁梅路提升附属道路工程验收合格率</w:t>
            </w:r>
          </w:p>
        </w:tc>
        <w:tc>
          <w:tcPr>
            <w:tcW w:w="2551" w:type="dxa"/>
            <w:vAlign w:val="center"/>
          </w:tcPr>
          <w:p>
            <w:pPr>
              <w:pStyle w:val="27"/>
            </w:pPr>
            <w:r>
              <w:t>≥90%</w:t>
            </w:r>
          </w:p>
        </w:tc>
        <w:tc>
          <w:tcPr>
            <w:tcW w:w="2268" w:type="dxa"/>
            <w:vAlign w:val="center"/>
          </w:tcPr>
          <w:p>
            <w:pPr>
              <w:pStyle w:val="27"/>
            </w:pPr>
            <w:r>
              <w:t>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检查完成及时率</w:t>
            </w:r>
          </w:p>
        </w:tc>
        <w:tc>
          <w:tcPr>
            <w:tcW w:w="2835" w:type="dxa"/>
            <w:vAlign w:val="center"/>
          </w:tcPr>
          <w:p>
            <w:pPr>
              <w:pStyle w:val="27"/>
            </w:pPr>
            <w:r>
              <w:t>检查完成及时率</w:t>
            </w:r>
          </w:p>
        </w:tc>
        <w:tc>
          <w:tcPr>
            <w:tcW w:w="2551" w:type="dxa"/>
            <w:vAlign w:val="center"/>
          </w:tcPr>
          <w:p>
            <w:pPr>
              <w:pStyle w:val="27"/>
            </w:pPr>
            <w:r>
              <w:t>≥80%</w:t>
            </w:r>
          </w:p>
        </w:tc>
        <w:tc>
          <w:tcPr>
            <w:tcW w:w="2268" w:type="dxa"/>
            <w:vAlign w:val="center"/>
          </w:tcPr>
          <w:p>
            <w:pPr>
              <w:pStyle w:val="27"/>
            </w:pPr>
            <w:r>
              <w:t>按合同约定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市政工程第三方检测服务费成本</w:t>
            </w:r>
          </w:p>
        </w:tc>
        <w:tc>
          <w:tcPr>
            <w:tcW w:w="2551" w:type="dxa"/>
            <w:vAlign w:val="center"/>
          </w:tcPr>
          <w:p>
            <w:pPr>
              <w:pStyle w:val="27"/>
            </w:pPr>
            <w:r>
              <w:t>≤12万元</w:t>
            </w:r>
          </w:p>
        </w:tc>
        <w:tc>
          <w:tcPr>
            <w:tcW w:w="2268" w:type="dxa"/>
            <w:vAlign w:val="center"/>
          </w:tcPr>
          <w:p>
            <w:pPr>
              <w:pStyle w:val="27"/>
            </w:pPr>
            <w:r>
              <w:t>以评审结果书为准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保证车辆正常通行</w:t>
            </w:r>
          </w:p>
        </w:tc>
        <w:tc>
          <w:tcPr>
            <w:tcW w:w="2835" w:type="dxa"/>
            <w:vAlign w:val="center"/>
          </w:tcPr>
          <w:p>
            <w:pPr>
              <w:pStyle w:val="27"/>
            </w:pPr>
            <w:r>
              <w:t>检测工程各项指标合格</w:t>
            </w:r>
          </w:p>
        </w:tc>
        <w:tc>
          <w:tcPr>
            <w:tcW w:w="2551" w:type="dxa"/>
            <w:vAlign w:val="center"/>
          </w:tcPr>
          <w:p>
            <w:pPr>
              <w:pStyle w:val="27"/>
            </w:pPr>
            <w:r>
              <w:t>≥90%</w:t>
            </w:r>
          </w:p>
        </w:tc>
        <w:tc>
          <w:tcPr>
            <w:tcW w:w="2268" w:type="dxa"/>
            <w:vAlign w:val="center"/>
          </w:tcPr>
          <w:p>
            <w:pPr>
              <w:pStyle w:val="27"/>
            </w:pPr>
            <w:r>
              <w:t>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服务员对象满意度</w:t>
            </w:r>
          </w:p>
        </w:tc>
        <w:tc>
          <w:tcPr>
            <w:tcW w:w="2835" w:type="dxa"/>
            <w:vAlign w:val="center"/>
          </w:tcPr>
          <w:p>
            <w:pPr>
              <w:pStyle w:val="27"/>
            </w:pPr>
            <w:r>
              <w:t>服务群体调查中满意度和较满意度的人数占全部调查人数的比率</w:t>
            </w:r>
          </w:p>
        </w:tc>
        <w:tc>
          <w:tcPr>
            <w:tcW w:w="2551" w:type="dxa"/>
            <w:vAlign w:val="center"/>
          </w:tcPr>
          <w:p>
            <w:pPr>
              <w:pStyle w:val="27"/>
            </w:pPr>
            <w:r>
              <w:t>≥85%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57、四明街南延工程绩效目标表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1.打通城市主路，连通育才路与兴华路</w:t>
            </w:r>
          </w:p>
          <w:p>
            <w:pPr>
              <w:pStyle w:val="27"/>
            </w:pPr>
            <w:r>
              <w:t>2.提升城市形象，提高周边居民满意度</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道路长度</w:t>
            </w:r>
          </w:p>
        </w:tc>
        <w:tc>
          <w:tcPr>
            <w:tcW w:w="2835" w:type="dxa"/>
            <w:vAlign w:val="center"/>
          </w:tcPr>
          <w:p>
            <w:pPr>
              <w:pStyle w:val="27"/>
            </w:pPr>
            <w:r>
              <w:t>进行道路建设的长度</w:t>
            </w:r>
          </w:p>
        </w:tc>
        <w:tc>
          <w:tcPr>
            <w:tcW w:w="2551" w:type="dxa"/>
            <w:vAlign w:val="center"/>
          </w:tcPr>
          <w:p>
            <w:pPr>
              <w:pStyle w:val="27"/>
            </w:pPr>
            <w:r>
              <w:t>≥682.26米</w:t>
            </w:r>
          </w:p>
        </w:tc>
        <w:tc>
          <w:tcPr>
            <w:tcW w:w="2268" w:type="dxa"/>
            <w:vAlign w:val="center"/>
          </w:tcPr>
          <w:p>
            <w:pPr>
              <w:pStyle w:val="27"/>
            </w:pPr>
            <w:r>
              <w:t>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工程质量合格率</w:t>
            </w:r>
          </w:p>
        </w:tc>
        <w:tc>
          <w:tcPr>
            <w:tcW w:w="2835" w:type="dxa"/>
            <w:vAlign w:val="center"/>
          </w:tcPr>
          <w:p>
            <w:pPr>
              <w:pStyle w:val="27"/>
            </w:pPr>
            <w:r>
              <w:t>道路工程的完成质量合格率</w:t>
            </w:r>
          </w:p>
        </w:tc>
        <w:tc>
          <w:tcPr>
            <w:tcW w:w="2551" w:type="dxa"/>
            <w:vAlign w:val="center"/>
          </w:tcPr>
          <w:p>
            <w:pPr>
              <w:pStyle w:val="27"/>
            </w:pPr>
            <w:r>
              <w:t>≥90%</w:t>
            </w:r>
          </w:p>
        </w:tc>
        <w:tc>
          <w:tcPr>
            <w:tcW w:w="2268" w:type="dxa"/>
            <w:vAlign w:val="center"/>
          </w:tcPr>
          <w:p>
            <w:pPr>
              <w:pStyle w:val="27"/>
            </w:pPr>
            <w:r>
              <w:t>《市政工程验收规范》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w:t>
            </w:r>
          </w:p>
        </w:tc>
        <w:tc>
          <w:tcPr>
            <w:tcW w:w="2835" w:type="dxa"/>
            <w:vAlign w:val="center"/>
          </w:tcPr>
          <w:p>
            <w:pPr>
              <w:pStyle w:val="27"/>
            </w:pPr>
            <w:r>
              <w:t>按照合同工期完成</w:t>
            </w:r>
          </w:p>
        </w:tc>
        <w:tc>
          <w:tcPr>
            <w:tcW w:w="2551" w:type="dxa"/>
            <w:vAlign w:val="center"/>
          </w:tcPr>
          <w:p>
            <w:pPr>
              <w:pStyle w:val="27"/>
            </w:pPr>
            <w:r>
              <w:t>按时完成</w:t>
            </w:r>
          </w:p>
        </w:tc>
        <w:tc>
          <w:tcPr>
            <w:tcW w:w="2268" w:type="dxa"/>
            <w:vAlign w:val="center"/>
          </w:tcPr>
          <w:p>
            <w:pPr>
              <w:pStyle w:val="27"/>
            </w:pPr>
            <w:r>
              <w:t>建设合同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四明街南延（育才路-兴华路）成本</w:t>
            </w:r>
          </w:p>
        </w:tc>
        <w:tc>
          <w:tcPr>
            <w:tcW w:w="2551" w:type="dxa"/>
            <w:vAlign w:val="center"/>
          </w:tcPr>
          <w:p>
            <w:pPr>
              <w:pStyle w:val="27"/>
            </w:pPr>
            <w:r>
              <w:t>≤163.79万元</w:t>
            </w:r>
          </w:p>
        </w:tc>
        <w:tc>
          <w:tcPr>
            <w:tcW w:w="2268" w:type="dxa"/>
            <w:vAlign w:val="center"/>
          </w:tcPr>
          <w:p>
            <w:pPr>
              <w:pStyle w:val="27"/>
            </w:pPr>
            <w:r>
              <w:t>以评审结果书为准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打通断头路，方便居民出行</w:t>
            </w:r>
          </w:p>
        </w:tc>
        <w:tc>
          <w:tcPr>
            <w:tcW w:w="2835" w:type="dxa"/>
            <w:vAlign w:val="center"/>
          </w:tcPr>
          <w:p>
            <w:pPr>
              <w:pStyle w:val="27"/>
            </w:pPr>
            <w:r>
              <w:t>打通城市主路，连通育才路与兴华路，提升城市形象，提高周边居民满意度</w:t>
            </w:r>
          </w:p>
        </w:tc>
        <w:tc>
          <w:tcPr>
            <w:tcW w:w="2551" w:type="dxa"/>
            <w:vAlign w:val="center"/>
          </w:tcPr>
          <w:p>
            <w:pPr>
              <w:pStyle w:val="27"/>
            </w:pPr>
            <w:r>
              <w:t>对社会产生的积极影响</w:t>
            </w:r>
          </w:p>
        </w:tc>
        <w:tc>
          <w:tcPr>
            <w:tcW w:w="2268" w:type="dxa"/>
            <w:vAlign w:val="center"/>
          </w:tcPr>
          <w:p>
            <w:pPr>
              <w:pStyle w:val="27"/>
            </w:pPr>
            <w:r>
              <w:t>实际反馈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服务对象满意度</w:t>
            </w:r>
          </w:p>
        </w:tc>
        <w:tc>
          <w:tcPr>
            <w:tcW w:w="2551" w:type="dxa"/>
            <w:vAlign w:val="center"/>
          </w:tcPr>
          <w:p>
            <w:pPr>
              <w:pStyle w:val="27"/>
            </w:pPr>
            <w:r>
              <w:t>≥85%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58、四明街南延工程（世纪大道-站北路）绩效目标表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1.完成工程顺利施工</w:t>
            </w:r>
          </w:p>
          <w:p>
            <w:pPr>
              <w:pStyle w:val="27"/>
            </w:pPr>
            <w:r>
              <w:t>2.提升城市交通运输能力，畅通支路</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道路长度</w:t>
            </w:r>
          </w:p>
        </w:tc>
        <w:tc>
          <w:tcPr>
            <w:tcW w:w="2835" w:type="dxa"/>
            <w:vAlign w:val="center"/>
          </w:tcPr>
          <w:p>
            <w:pPr>
              <w:pStyle w:val="27"/>
            </w:pPr>
            <w:r>
              <w:t>完成道路施工全长</w:t>
            </w:r>
          </w:p>
        </w:tc>
        <w:tc>
          <w:tcPr>
            <w:tcW w:w="2551" w:type="dxa"/>
            <w:vAlign w:val="center"/>
          </w:tcPr>
          <w:p>
            <w:pPr>
              <w:pStyle w:val="27"/>
            </w:pPr>
            <w:r>
              <w:t>＝2452米</w:t>
            </w:r>
          </w:p>
        </w:tc>
        <w:tc>
          <w:tcPr>
            <w:tcW w:w="2268" w:type="dxa"/>
            <w:vAlign w:val="center"/>
          </w:tcPr>
          <w:p>
            <w:pPr>
              <w:pStyle w:val="27"/>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验收合格率</w:t>
            </w:r>
          </w:p>
        </w:tc>
        <w:tc>
          <w:tcPr>
            <w:tcW w:w="2835" w:type="dxa"/>
            <w:vAlign w:val="center"/>
          </w:tcPr>
          <w:p>
            <w:pPr>
              <w:pStyle w:val="27"/>
            </w:pPr>
            <w:r>
              <w:t>道路建设工程验收合格率</w:t>
            </w:r>
          </w:p>
        </w:tc>
        <w:tc>
          <w:tcPr>
            <w:tcW w:w="2551" w:type="dxa"/>
            <w:vAlign w:val="center"/>
          </w:tcPr>
          <w:p>
            <w:pPr>
              <w:pStyle w:val="27"/>
            </w:pPr>
            <w:r>
              <w:t>≥95%</w:t>
            </w:r>
          </w:p>
        </w:tc>
        <w:tc>
          <w:tcPr>
            <w:tcW w:w="2268" w:type="dxa"/>
            <w:vAlign w:val="center"/>
          </w:tcPr>
          <w:p>
            <w:pPr>
              <w:pStyle w:val="27"/>
            </w:pPr>
            <w:r>
              <w:t>竣工验收情况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按时完成情况</w:t>
            </w:r>
          </w:p>
        </w:tc>
        <w:tc>
          <w:tcPr>
            <w:tcW w:w="2835" w:type="dxa"/>
            <w:vAlign w:val="center"/>
          </w:tcPr>
          <w:p>
            <w:pPr>
              <w:pStyle w:val="27"/>
            </w:pPr>
            <w:r>
              <w:t>按照工程规定时间节点完工</w:t>
            </w:r>
          </w:p>
        </w:tc>
        <w:tc>
          <w:tcPr>
            <w:tcW w:w="2551" w:type="dxa"/>
            <w:vAlign w:val="center"/>
          </w:tcPr>
          <w:p>
            <w:pPr>
              <w:pStyle w:val="27"/>
            </w:pPr>
            <w:r>
              <w:t>＝100%</w:t>
            </w:r>
          </w:p>
        </w:tc>
        <w:tc>
          <w:tcPr>
            <w:tcW w:w="2268" w:type="dxa"/>
            <w:vAlign w:val="center"/>
          </w:tcPr>
          <w:p>
            <w:pPr>
              <w:pStyle w:val="27"/>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四明街南延工程（世纪大道-站北路）成本</w:t>
            </w:r>
          </w:p>
        </w:tc>
        <w:tc>
          <w:tcPr>
            <w:tcW w:w="2551" w:type="dxa"/>
            <w:vAlign w:val="center"/>
          </w:tcPr>
          <w:p>
            <w:pPr>
              <w:pStyle w:val="27"/>
            </w:pPr>
            <w:r>
              <w:t>≤500万元</w:t>
            </w:r>
          </w:p>
        </w:tc>
        <w:tc>
          <w:tcPr>
            <w:tcW w:w="2268" w:type="dxa"/>
            <w:vAlign w:val="center"/>
          </w:tcPr>
          <w:p>
            <w:pPr>
              <w:pStyle w:val="27"/>
            </w:pPr>
            <w:r>
              <w:t>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交通条件改善</w:t>
            </w:r>
          </w:p>
        </w:tc>
        <w:tc>
          <w:tcPr>
            <w:tcW w:w="2835" w:type="dxa"/>
            <w:vAlign w:val="center"/>
          </w:tcPr>
          <w:p>
            <w:pPr>
              <w:pStyle w:val="27"/>
            </w:pPr>
            <w:r>
              <w:t>打通城市道路，形成道路联通，提升城市形象</w:t>
            </w:r>
          </w:p>
        </w:tc>
        <w:tc>
          <w:tcPr>
            <w:tcW w:w="2551" w:type="dxa"/>
            <w:vAlign w:val="center"/>
          </w:tcPr>
          <w:p>
            <w:pPr>
              <w:pStyle w:val="27"/>
            </w:pPr>
            <w:r>
              <w:t>交通条件改善情况</w:t>
            </w:r>
          </w:p>
        </w:tc>
        <w:tc>
          <w:tcPr>
            <w:tcW w:w="2268" w:type="dxa"/>
            <w:vAlign w:val="center"/>
          </w:tcPr>
          <w:p>
            <w:pPr>
              <w:pStyle w:val="27"/>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受益群体调查中，满意和较满意的人数占全部调查人数的比率</w:t>
            </w:r>
          </w:p>
        </w:tc>
        <w:tc>
          <w:tcPr>
            <w:tcW w:w="2835" w:type="dxa"/>
            <w:vAlign w:val="center"/>
          </w:tcPr>
          <w:p>
            <w:pPr>
              <w:pStyle w:val="27"/>
            </w:pPr>
            <w:r>
              <w:t>受益群体调查中，满意和较满意的人数占全部调查人数的比率</w:t>
            </w:r>
          </w:p>
        </w:tc>
        <w:tc>
          <w:tcPr>
            <w:tcW w:w="2551" w:type="dxa"/>
            <w:vAlign w:val="center"/>
          </w:tcPr>
          <w:p>
            <w:pPr>
              <w:pStyle w:val="27"/>
            </w:pPr>
            <w:r>
              <w:t>≥95%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59、通安街道路改造工程（育英路-兴华路）绩效目标表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1.完通安街道路改造工程（育英路-兴华路）的施工。</w:t>
            </w:r>
          </w:p>
          <w:p>
            <w:pPr>
              <w:pStyle w:val="27"/>
            </w:pPr>
            <w:r>
              <w:t>2.提升城市交通能力，畅通城市道路。</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道路长度</w:t>
            </w:r>
          </w:p>
        </w:tc>
        <w:tc>
          <w:tcPr>
            <w:tcW w:w="2835" w:type="dxa"/>
            <w:vAlign w:val="center"/>
          </w:tcPr>
          <w:p>
            <w:pPr>
              <w:pStyle w:val="27"/>
            </w:pPr>
            <w:r>
              <w:t>完成施工道路全长</w:t>
            </w:r>
          </w:p>
        </w:tc>
        <w:tc>
          <w:tcPr>
            <w:tcW w:w="2551" w:type="dxa"/>
            <w:vAlign w:val="center"/>
          </w:tcPr>
          <w:p>
            <w:pPr>
              <w:pStyle w:val="27"/>
            </w:pPr>
            <w:r>
              <w:t>695.87米</w:t>
            </w:r>
          </w:p>
        </w:tc>
        <w:tc>
          <w:tcPr>
            <w:tcW w:w="2268" w:type="dxa"/>
            <w:vAlign w:val="center"/>
          </w:tcPr>
          <w:p>
            <w:pPr>
              <w:pStyle w:val="27"/>
            </w:pPr>
            <w:r>
              <w:t>竣工验收证书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验收合格率</w:t>
            </w:r>
          </w:p>
        </w:tc>
        <w:tc>
          <w:tcPr>
            <w:tcW w:w="2835" w:type="dxa"/>
            <w:vAlign w:val="center"/>
          </w:tcPr>
          <w:p>
            <w:pPr>
              <w:pStyle w:val="27"/>
            </w:pPr>
            <w:r>
              <w:t>道路建设工程验收合格率</w:t>
            </w:r>
          </w:p>
        </w:tc>
        <w:tc>
          <w:tcPr>
            <w:tcW w:w="2551" w:type="dxa"/>
            <w:vAlign w:val="center"/>
          </w:tcPr>
          <w:p>
            <w:pPr>
              <w:pStyle w:val="27"/>
            </w:pPr>
            <w:r>
              <w:t>≥95%</w:t>
            </w:r>
          </w:p>
        </w:tc>
        <w:tc>
          <w:tcPr>
            <w:tcW w:w="2268" w:type="dxa"/>
            <w:vAlign w:val="center"/>
          </w:tcPr>
          <w:p>
            <w:pPr>
              <w:pStyle w:val="27"/>
            </w:pPr>
            <w:r>
              <w:t>城镇道路工程施工与质量验收规范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按时完成情况</w:t>
            </w:r>
          </w:p>
        </w:tc>
        <w:tc>
          <w:tcPr>
            <w:tcW w:w="2835" w:type="dxa"/>
            <w:vAlign w:val="center"/>
          </w:tcPr>
          <w:p>
            <w:pPr>
              <w:pStyle w:val="27"/>
            </w:pPr>
            <w:r>
              <w:t>按照工程规定时间节点完工</w:t>
            </w:r>
          </w:p>
        </w:tc>
        <w:tc>
          <w:tcPr>
            <w:tcW w:w="2551" w:type="dxa"/>
            <w:vAlign w:val="center"/>
          </w:tcPr>
          <w:p>
            <w:pPr>
              <w:pStyle w:val="27"/>
            </w:pPr>
            <w:r>
              <w:t>及时完成</w:t>
            </w:r>
          </w:p>
        </w:tc>
        <w:tc>
          <w:tcPr>
            <w:tcW w:w="2268" w:type="dxa"/>
            <w:vAlign w:val="center"/>
          </w:tcPr>
          <w:p>
            <w:pPr>
              <w:pStyle w:val="27"/>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通安街道路改造工程（育英路-兴华路）成本</w:t>
            </w:r>
          </w:p>
        </w:tc>
        <w:tc>
          <w:tcPr>
            <w:tcW w:w="2551" w:type="dxa"/>
            <w:vAlign w:val="center"/>
          </w:tcPr>
          <w:p>
            <w:pPr>
              <w:pStyle w:val="27"/>
            </w:pPr>
            <w:r>
              <w:t>≤150万元</w:t>
            </w:r>
          </w:p>
        </w:tc>
        <w:tc>
          <w:tcPr>
            <w:tcW w:w="2268" w:type="dxa"/>
            <w:vAlign w:val="center"/>
          </w:tcPr>
          <w:p>
            <w:pPr>
              <w:pStyle w:val="27"/>
            </w:pPr>
            <w:r>
              <w:t>以评审结果书为准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效益指标</w:t>
            </w:r>
          </w:p>
        </w:tc>
        <w:tc>
          <w:tcPr>
            <w:tcW w:w="2268" w:type="dxa"/>
            <w:vAlign w:val="center"/>
          </w:tcPr>
          <w:p>
            <w:pPr>
              <w:pStyle w:val="27"/>
            </w:pPr>
            <w:r>
              <w:t>经济效益指标</w:t>
            </w:r>
          </w:p>
        </w:tc>
        <w:tc>
          <w:tcPr>
            <w:tcW w:w="2835" w:type="dxa"/>
            <w:vAlign w:val="center"/>
          </w:tcPr>
          <w:p>
            <w:pPr>
              <w:pStyle w:val="27"/>
            </w:pPr>
            <w:r>
              <w:t>带动经济效益</w:t>
            </w:r>
          </w:p>
        </w:tc>
        <w:tc>
          <w:tcPr>
            <w:tcW w:w="2835" w:type="dxa"/>
            <w:vAlign w:val="center"/>
          </w:tcPr>
          <w:p>
            <w:pPr>
              <w:pStyle w:val="27"/>
            </w:pPr>
            <w:r>
              <w:t>交通更加便捷，营商环境得到优化，运输效率提高</w:t>
            </w:r>
          </w:p>
        </w:tc>
        <w:tc>
          <w:tcPr>
            <w:tcW w:w="2551" w:type="dxa"/>
            <w:vAlign w:val="center"/>
          </w:tcPr>
          <w:p>
            <w:pPr>
              <w:pStyle w:val="27"/>
            </w:pPr>
            <w:r>
              <w:t>实际反馈</w:t>
            </w:r>
          </w:p>
        </w:tc>
        <w:tc>
          <w:tcPr>
            <w:tcW w:w="2268" w:type="dxa"/>
            <w:vAlign w:val="center"/>
          </w:tcPr>
          <w:p>
            <w:pPr>
              <w:pStyle w:val="27"/>
            </w:pPr>
            <w:r>
              <w:t>实地查验，竣工前后对比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社会效益指标</w:t>
            </w:r>
          </w:p>
        </w:tc>
        <w:tc>
          <w:tcPr>
            <w:tcW w:w="2835" w:type="dxa"/>
            <w:vAlign w:val="center"/>
          </w:tcPr>
          <w:p>
            <w:pPr>
              <w:pStyle w:val="27"/>
            </w:pPr>
            <w:r>
              <w:t>交通条件改善</w:t>
            </w:r>
          </w:p>
        </w:tc>
        <w:tc>
          <w:tcPr>
            <w:tcW w:w="2835" w:type="dxa"/>
            <w:vAlign w:val="center"/>
          </w:tcPr>
          <w:p>
            <w:pPr>
              <w:pStyle w:val="27"/>
            </w:pPr>
            <w:r>
              <w:t>打通城市道路，连通育英路至兴华路，提升城市形象</w:t>
            </w:r>
          </w:p>
        </w:tc>
        <w:tc>
          <w:tcPr>
            <w:tcW w:w="2551" w:type="dxa"/>
            <w:vAlign w:val="center"/>
          </w:tcPr>
          <w:p>
            <w:pPr>
              <w:pStyle w:val="27"/>
            </w:pPr>
            <w:r>
              <w:t>实际反馈</w:t>
            </w:r>
          </w:p>
        </w:tc>
        <w:tc>
          <w:tcPr>
            <w:tcW w:w="2268" w:type="dxa"/>
            <w:vAlign w:val="center"/>
          </w:tcPr>
          <w:p>
            <w:pPr>
              <w:pStyle w:val="27"/>
            </w:pPr>
            <w:r>
              <w:t>实地查验，竣工前后对比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服务对象满意度</w:t>
            </w:r>
          </w:p>
        </w:tc>
        <w:tc>
          <w:tcPr>
            <w:tcW w:w="2551" w:type="dxa"/>
            <w:vAlign w:val="center"/>
          </w:tcPr>
          <w:p>
            <w:pPr>
              <w:pStyle w:val="27"/>
            </w:pPr>
            <w:r>
              <w:t>≥85%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60、为城镇既有燃气未加装户内安防装置用户加装安全保护装置绩效目标表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1.为消除城镇燃气安全隐患</w:t>
            </w:r>
          </w:p>
          <w:p>
            <w:pPr>
              <w:pStyle w:val="27"/>
            </w:pPr>
            <w:r>
              <w:t>2.为城镇既有未加装户内安防装置用户安装户内安全技防装置</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数量指标</w:t>
            </w:r>
          </w:p>
        </w:tc>
        <w:tc>
          <w:tcPr>
            <w:tcW w:w="2835" w:type="dxa"/>
            <w:vAlign w:val="center"/>
          </w:tcPr>
          <w:p>
            <w:pPr>
              <w:pStyle w:val="27"/>
            </w:pPr>
            <w:r>
              <w:t>我区城镇既有未加装户内安全保护装置用户共计34232户</w:t>
            </w:r>
          </w:p>
        </w:tc>
        <w:tc>
          <w:tcPr>
            <w:tcW w:w="2551" w:type="dxa"/>
            <w:vAlign w:val="center"/>
          </w:tcPr>
          <w:p>
            <w:pPr>
              <w:pStyle w:val="27"/>
            </w:pPr>
            <w:r>
              <w:t>34232户</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质量指标</w:t>
            </w:r>
          </w:p>
        </w:tc>
        <w:tc>
          <w:tcPr>
            <w:tcW w:w="2835" w:type="dxa"/>
            <w:vAlign w:val="center"/>
          </w:tcPr>
          <w:p>
            <w:pPr>
              <w:pStyle w:val="27"/>
            </w:pPr>
            <w:r>
              <w:t>按照设备质量标准和效果进行评估</w:t>
            </w:r>
          </w:p>
        </w:tc>
        <w:tc>
          <w:tcPr>
            <w:tcW w:w="2551" w:type="dxa"/>
            <w:vAlign w:val="center"/>
          </w:tcPr>
          <w:p>
            <w:pPr>
              <w:pStyle w:val="27"/>
            </w:pPr>
            <w:r>
              <w:t>完成质量情况</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时效指标</w:t>
            </w:r>
          </w:p>
        </w:tc>
        <w:tc>
          <w:tcPr>
            <w:tcW w:w="2835" w:type="dxa"/>
            <w:vAlign w:val="center"/>
          </w:tcPr>
          <w:p>
            <w:pPr>
              <w:pStyle w:val="27"/>
            </w:pPr>
            <w:r>
              <w:t>按照施工规定时间完成安装</w:t>
            </w:r>
          </w:p>
        </w:tc>
        <w:tc>
          <w:tcPr>
            <w:tcW w:w="2551" w:type="dxa"/>
            <w:vAlign w:val="center"/>
          </w:tcPr>
          <w:p>
            <w:pPr>
              <w:pStyle w:val="27"/>
            </w:pPr>
            <w:r>
              <w:t>按照施工规定时间完成</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为城镇既有燃气未加装户内安防装置用户加装安全保护装置成本</w:t>
            </w:r>
          </w:p>
        </w:tc>
        <w:tc>
          <w:tcPr>
            <w:tcW w:w="2551" w:type="dxa"/>
            <w:vAlign w:val="center"/>
          </w:tcPr>
          <w:p>
            <w:pPr>
              <w:pStyle w:val="27"/>
            </w:pPr>
            <w:r>
              <w:t>≤100万元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社会效益指标</w:t>
            </w:r>
          </w:p>
        </w:tc>
        <w:tc>
          <w:tcPr>
            <w:tcW w:w="2835" w:type="dxa"/>
            <w:vAlign w:val="center"/>
          </w:tcPr>
          <w:p>
            <w:pPr>
              <w:pStyle w:val="27"/>
            </w:pPr>
            <w:r>
              <w:t>消除户内安全隐患，加强燃气用户技防措施</w:t>
            </w:r>
          </w:p>
        </w:tc>
        <w:tc>
          <w:tcPr>
            <w:tcW w:w="2551" w:type="dxa"/>
            <w:vAlign w:val="center"/>
          </w:tcPr>
          <w:p>
            <w:pPr>
              <w:pStyle w:val="27"/>
            </w:pPr>
            <w:r>
              <w:t>事故发生减少</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用户满意度情况</w:t>
            </w:r>
          </w:p>
        </w:tc>
        <w:tc>
          <w:tcPr>
            <w:tcW w:w="2551" w:type="dxa"/>
            <w:vAlign w:val="center"/>
          </w:tcPr>
          <w:p>
            <w:pPr>
              <w:pStyle w:val="27"/>
            </w:pPr>
            <w:r>
              <w:t>≥90%</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61、西城街以西供热站绩效目标表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1.该供热站已按计划完成建设。</w:t>
            </w:r>
          </w:p>
          <w:p>
            <w:pPr>
              <w:pStyle w:val="27"/>
            </w:pPr>
            <w:r>
              <w:t>2.按时供暖。</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供热站数量</w:t>
            </w:r>
          </w:p>
        </w:tc>
        <w:tc>
          <w:tcPr>
            <w:tcW w:w="2835" w:type="dxa"/>
            <w:vAlign w:val="center"/>
          </w:tcPr>
          <w:p>
            <w:pPr>
              <w:pStyle w:val="27"/>
            </w:pPr>
            <w:r>
              <w:t>供热站建设完成，投入使用</w:t>
            </w:r>
          </w:p>
        </w:tc>
        <w:tc>
          <w:tcPr>
            <w:tcW w:w="2551" w:type="dxa"/>
            <w:vAlign w:val="center"/>
          </w:tcPr>
          <w:p>
            <w:pPr>
              <w:pStyle w:val="27"/>
            </w:pPr>
            <w:r>
              <w:t>≥1座</w:t>
            </w:r>
          </w:p>
        </w:tc>
        <w:tc>
          <w:tcPr>
            <w:tcW w:w="2268" w:type="dxa"/>
            <w:vAlign w:val="center"/>
          </w:tcPr>
          <w:p>
            <w:pPr>
              <w:pStyle w:val="27"/>
            </w:pPr>
            <w:r>
              <w:t>供热站建设数量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工程建设质量</w:t>
            </w:r>
          </w:p>
        </w:tc>
        <w:tc>
          <w:tcPr>
            <w:tcW w:w="2835" w:type="dxa"/>
            <w:vAlign w:val="center"/>
          </w:tcPr>
          <w:p>
            <w:pPr>
              <w:pStyle w:val="27"/>
            </w:pPr>
            <w:r>
              <w:t>工程通过竣工验收</w:t>
            </w:r>
          </w:p>
        </w:tc>
        <w:tc>
          <w:tcPr>
            <w:tcW w:w="2551" w:type="dxa"/>
            <w:vAlign w:val="center"/>
          </w:tcPr>
          <w:p>
            <w:pPr>
              <w:pStyle w:val="27"/>
            </w:pPr>
            <w:r>
              <w:t>≥90%</w:t>
            </w:r>
          </w:p>
        </w:tc>
        <w:tc>
          <w:tcPr>
            <w:tcW w:w="2268" w:type="dxa"/>
            <w:vAlign w:val="center"/>
          </w:tcPr>
          <w:p>
            <w:pPr>
              <w:pStyle w:val="27"/>
            </w:pPr>
            <w:r>
              <w:t>竣工验收资料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按时完工</w:t>
            </w:r>
          </w:p>
        </w:tc>
        <w:tc>
          <w:tcPr>
            <w:tcW w:w="2835" w:type="dxa"/>
            <w:vAlign w:val="center"/>
          </w:tcPr>
          <w:p>
            <w:pPr>
              <w:pStyle w:val="27"/>
            </w:pPr>
            <w:r>
              <w:t>供暖前完工</w:t>
            </w:r>
          </w:p>
        </w:tc>
        <w:tc>
          <w:tcPr>
            <w:tcW w:w="2551" w:type="dxa"/>
            <w:vAlign w:val="center"/>
          </w:tcPr>
          <w:p>
            <w:pPr>
              <w:pStyle w:val="27"/>
            </w:pPr>
            <w:r>
              <w:t>及时完成</w:t>
            </w:r>
          </w:p>
        </w:tc>
        <w:tc>
          <w:tcPr>
            <w:tcW w:w="2268" w:type="dxa"/>
            <w:vAlign w:val="center"/>
          </w:tcPr>
          <w:p>
            <w:pPr>
              <w:pStyle w:val="27"/>
            </w:pPr>
            <w:r>
              <w:t>供暖运行日期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西城街以西供热站成本</w:t>
            </w:r>
          </w:p>
        </w:tc>
        <w:tc>
          <w:tcPr>
            <w:tcW w:w="2551" w:type="dxa"/>
            <w:vAlign w:val="center"/>
          </w:tcPr>
          <w:p>
            <w:pPr>
              <w:pStyle w:val="27"/>
            </w:pPr>
            <w:r>
              <w:t>≤104.27万元</w:t>
            </w:r>
          </w:p>
        </w:tc>
        <w:tc>
          <w:tcPr>
            <w:tcW w:w="2268" w:type="dxa"/>
            <w:vAlign w:val="center"/>
          </w:tcPr>
          <w:p>
            <w:pPr>
              <w:pStyle w:val="27"/>
            </w:pPr>
            <w:r>
              <w:t>实际决算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居民供暖状况</w:t>
            </w:r>
          </w:p>
        </w:tc>
        <w:tc>
          <w:tcPr>
            <w:tcW w:w="2835" w:type="dxa"/>
            <w:vAlign w:val="center"/>
          </w:tcPr>
          <w:p>
            <w:pPr>
              <w:pStyle w:val="27"/>
            </w:pPr>
            <w:r>
              <w:t>供热区域内住宅实现24小时集中供热</w:t>
            </w:r>
          </w:p>
        </w:tc>
        <w:tc>
          <w:tcPr>
            <w:tcW w:w="2551" w:type="dxa"/>
            <w:vAlign w:val="center"/>
          </w:tcPr>
          <w:p>
            <w:pPr>
              <w:pStyle w:val="27"/>
            </w:pPr>
            <w:r>
              <w:t>居民供暖状况改善</w:t>
            </w:r>
          </w:p>
        </w:tc>
        <w:tc>
          <w:tcPr>
            <w:tcW w:w="2268" w:type="dxa"/>
            <w:vAlign w:val="center"/>
          </w:tcPr>
          <w:p>
            <w:pPr>
              <w:pStyle w:val="27"/>
            </w:pPr>
            <w:r>
              <w:t>实地查验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群众供暖满意情况</w:t>
            </w:r>
          </w:p>
        </w:tc>
        <w:tc>
          <w:tcPr>
            <w:tcW w:w="2551" w:type="dxa"/>
            <w:vAlign w:val="center"/>
          </w:tcPr>
          <w:p>
            <w:pPr>
              <w:pStyle w:val="27"/>
            </w:pPr>
            <w:r>
              <w:t>≥85%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62、消防设计审查、验收聘请第三方服务费绩效目标表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1.提高消防工程质量</w:t>
            </w:r>
          </w:p>
          <w:p>
            <w:pPr>
              <w:pStyle w:val="27"/>
            </w:pPr>
            <w:r>
              <w:t>2.减少安全隐患</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设计审查、验收数量</w:t>
            </w:r>
          </w:p>
        </w:tc>
        <w:tc>
          <w:tcPr>
            <w:tcW w:w="2835" w:type="dxa"/>
            <w:vAlign w:val="center"/>
          </w:tcPr>
          <w:p>
            <w:pPr>
              <w:pStyle w:val="27"/>
            </w:pPr>
            <w:r>
              <w:t>对2022年达到审计审查、验收要求及时进行消防审验。</w:t>
            </w:r>
          </w:p>
        </w:tc>
        <w:tc>
          <w:tcPr>
            <w:tcW w:w="2551" w:type="dxa"/>
            <w:vAlign w:val="center"/>
          </w:tcPr>
          <w:p>
            <w:pPr>
              <w:pStyle w:val="27"/>
            </w:pPr>
            <w:r>
              <w:t>≥90%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项目完成合格率</w:t>
            </w:r>
          </w:p>
        </w:tc>
        <w:tc>
          <w:tcPr>
            <w:tcW w:w="2835" w:type="dxa"/>
            <w:vAlign w:val="center"/>
          </w:tcPr>
          <w:p>
            <w:pPr>
              <w:pStyle w:val="27"/>
            </w:pPr>
            <w:r>
              <w:t>技术服务单位出具的消防设计审查、消防验收意见符合相关标准。</w:t>
            </w:r>
          </w:p>
        </w:tc>
        <w:tc>
          <w:tcPr>
            <w:tcW w:w="2551" w:type="dxa"/>
            <w:vAlign w:val="center"/>
          </w:tcPr>
          <w:p>
            <w:pPr>
              <w:pStyle w:val="27"/>
            </w:pPr>
            <w:r>
              <w:t>≥95%</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项目完成及时情况</w:t>
            </w:r>
          </w:p>
        </w:tc>
        <w:tc>
          <w:tcPr>
            <w:tcW w:w="2835" w:type="dxa"/>
            <w:vAlign w:val="center"/>
          </w:tcPr>
          <w:p>
            <w:pPr>
              <w:pStyle w:val="27"/>
            </w:pPr>
            <w:r>
              <w:t>随工程进度及时对需要的工程进行消防设计审查、验收。</w:t>
            </w:r>
          </w:p>
        </w:tc>
        <w:tc>
          <w:tcPr>
            <w:tcW w:w="2551" w:type="dxa"/>
            <w:vAlign w:val="center"/>
          </w:tcPr>
          <w:p>
            <w:pPr>
              <w:pStyle w:val="27"/>
            </w:pPr>
            <w:r>
              <w:t>及时进行消防审验</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消防设计审查、验收聘请第三方服务费成本</w:t>
            </w:r>
          </w:p>
        </w:tc>
        <w:tc>
          <w:tcPr>
            <w:tcW w:w="2551" w:type="dxa"/>
            <w:vAlign w:val="center"/>
          </w:tcPr>
          <w:p>
            <w:pPr>
              <w:pStyle w:val="27"/>
            </w:pPr>
            <w:r>
              <w:t>≤6万元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提高工程消防质量</w:t>
            </w:r>
          </w:p>
        </w:tc>
        <w:tc>
          <w:tcPr>
            <w:tcW w:w="2835" w:type="dxa"/>
            <w:vAlign w:val="center"/>
          </w:tcPr>
          <w:p>
            <w:pPr>
              <w:pStyle w:val="27"/>
            </w:pPr>
            <w:r>
              <w:t>提高消防工程质量，进而减少安全隐患。</w:t>
            </w:r>
          </w:p>
        </w:tc>
        <w:tc>
          <w:tcPr>
            <w:tcW w:w="2551" w:type="dxa"/>
            <w:vAlign w:val="center"/>
          </w:tcPr>
          <w:p>
            <w:pPr>
              <w:pStyle w:val="27"/>
            </w:pPr>
            <w:r>
              <w:t>≥90%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满意的受调对象占调查总数的比例</w:t>
            </w:r>
          </w:p>
        </w:tc>
        <w:tc>
          <w:tcPr>
            <w:tcW w:w="2551" w:type="dxa"/>
            <w:vAlign w:val="center"/>
          </w:tcPr>
          <w:p>
            <w:pPr>
              <w:pStyle w:val="27"/>
            </w:pPr>
            <w:r>
              <w:t>≥90%</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63、兴华路绿化提升改造绩效目标表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1.完成藁城区兴华路绿化工作任务</w:t>
            </w:r>
          </w:p>
          <w:p>
            <w:pPr>
              <w:pStyle w:val="27"/>
            </w:pPr>
            <w:r>
              <w:t>2.完成藁城区兴华路绿化工作任务</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绿化长度</w:t>
            </w:r>
          </w:p>
        </w:tc>
        <w:tc>
          <w:tcPr>
            <w:tcW w:w="2835" w:type="dxa"/>
            <w:vAlign w:val="center"/>
          </w:tcPr>
          <w:p>
            <w:pPr>
              <w:pStyle w:val="27"/>
            </w:pPr>
            <w:r>
              <w:t>绿化全长</w:t>
            </w:r>
          </w:p>
        </w:tc>
        <w:tc>
          <w:tcPr>
            <w:tcW w:w="2551" w:type="dxa"/>
            <w:vAlign w:val="center"/>
          </w:tcPr>
          <w:p>
            <w:pPr>
              <w:pStyle w:val="27"/>
            </w:pPr>
            <w:r>
              <w:t>≥3130米</w:t>
            </w:r>
          </w:p>
        </w:tc>
        <w:tc>
          <w:tcPr>
            <w:tcW w:w="2268" w:type="dxa"/>
            <w:vAlign w:val="center"/>
          </w:tcPr>
          <w:p>
            <w:pPr>
              <w:pStyle w:val="27"/>
            </w:pPr>
            <w:r>
              <w:t>竣工验收证书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工程量完成率</w:t>
            </w:r>
          </w:p>
        </w:tc>
        <w:tc>
          <w:tcPr>
            <w:tcW w:w="2835" w:type="dxa"/>
            <w:vAlign w:val="center"/>
          </w:tcPr>
          <w:p>
            <w:pPr>
              <w:pStyle w:val="27"/>
            </w:pPr>
            <w:r>
              <w:t>通过验收的工程量占建设、改造总量的比率</w:t>
            </w:r>
          </w:p>
        </w:tc>
        <w:tc>
          <w:tcPr>
            <w:tcW w:w="2551" w:type="dxa"/>
            <w:vAlign w:val="center"/>
          </w:tcPr>
          <w:p>
            <w:pPr>
              <w:pStyle w:val="27"/>
            </w:pPr>
            <w:r>
              <w:t>≥90%</w:t>
            </w:r>
          </w:p>
        </w:tc>
        <w:tc>
          <w:tcPr>
            <w:tcW w:w="2268" w:type="dxa"/>
            <w:vAlign w:val="center"/>
          </w:tcPr>
          <w:p>
            <w:pPr>
              <w:pStyle w:val="27"/>
            </w:pPr>
            <w:r>
              <w:t>城镇绿化工程施工与质量验收规范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按时完成情况</w:t>
            </w:r>
          </w:p>
        </w:tc>
        <w:tc>
          <w:tcPr>
            <w:tcW w:w="2835" w:type="dxa"/>
            <w:vAlign w:val="center"/>
          </w:tcPr>
          <w:p>
            <w:pPr>
              <w:pStyle w:val="27"/>
            </w:pPr>
            <w:r>
              <w:t>按照工程规定时间节点完工</w:t>
            </w:r>
          </w:p>
        </w:tc>
        <w:tc>
          <w:tcPr>
            <w:tcW w:w="2551" w:type="dxa"/>
            <w:vAlign w:val="center"/>
          </w:tcPr>
          <w:p>
            <w:pPr>
              <w:pStyle w:val="27"/>
            </w:pPr>
            <w:r>
              <w:t>及时完成</w:t>
            </w:r>
          </w:p>
        </w:tc>
        <w:tc>
          <w:tcPr>
            <w:tcW w:w="2268" w:type="dxa"/>
            <w:vAlign w:val="center"/>
          </w:tcPr>
          <w:p>
            <w:pPr>
              <w:pStyle w:val="27"/>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兴华路绿化提升改造成本</w:t>
            </w:r>
          </w:p>
        </w:tc>
        <w:tc>
          <w:tcPr>
            <w:tcW w:w="2551" w:type="dxa"/>
            <w:vAlign w:val="center"/>
          </w:tcPr>
          <w:p>
            <w:pPr>
              <w:pStyle w:val="27"/>
            </w:pPr>
            <w:r>
              <w:t>≤80万元</w:t>
            </w:r>
          </w:p>
        </w:tc>
        <w:tc>
          <w:tcPr>
            <w:tcW w:w="2268" w:type="dxa"/>
            <w:vAlign w:val="center"/>
          </w:tcPr>
          <w:p>
            <w:pPr>
              <w:pStyle w:val="27"/>
            </w:pPr>
            <w:r>
              <w:t>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环境条件改善</w:t>
            </w:r>
          </w:p>
        </w:tc>
        <w:tc>
          <w:tcPr>
            <w:tcW w:w="2835" w:type="dxa"/>
            <w:vAlign w:val="center"/>
          </w:tcPr>
          <w:p>
            <w:pPr>
              <w:pStyle w:val="27"/>
            </w:pPr>
            <w:r>
              <w:t>提升城市形象，提高市民生活质量</w:t>
            </w:r>
          </w:p>
        </w:tc>
        <w:tc>
          <w:tcPr>
            <w:tcW w:w="2551" w:type="dxa"/>
            <w:vAlign w:val="center"/>
          </w:tcPr>
          <w:p>
            <w:pPr>
              <w:pStyle w:val="27"/>
            </w:pPr>
            <w:r>
              <w:t>实际反馈</w:t>
            </w:r>
          </w:p>
        </w:tc>
        <w:tc>
          <w:tcPr>
            <w:tcW w:w="2268" w:type="dxa"/>
            <w:vAlign w:val="center"/>
          </w:tcPr>
          <w:p>
            <w:pPr>
              <w:pStyle w:val="27"/>
            </w:pPr>
            <w:r>
              <w:t>实地查验，竣工前后对比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服务对象满意度</w:t>
            </w:r>
          </w:p>
        </w:tc>
        <w:tc>
          <w:tcPr>
            <w:tcW w:w="2551" w:type="dxa"/>
            <w:vAlign w:val="center"/>
          </w:tcPr>
          <w:p>
            <w:pPr>
              <w:pStyle w:val="27"/>
            </w:pPr>
            <w:r>
              <w:t>≥85%</w:t>
            </w:r>
          </w:p>
        </w:tc>
        <w:tc>
          <w:tcPr>
            <w:tcW w:w="2268" w:type="dxa"/>
            <w:vAlign w:val="center"/>
          </w:tcPr>
          <w:p>
            <w:pPr>
              <w:pStyle w:val="27"/>
            </w:pPr>
            <w:r>
              <w:t>问卷调查</w:t>
            </w:r>
          </w:p>
        </w:tc>
      </w:tr>
    </w:tbl>
    <w:p>
      <w:pPr>
        <w:pStyle w:val="25"/>
      </w:pPr>
    </w:p>
    <w:p>
      <w:pPr>
        <w:pStyle w:val="25"/>
        <w:ind w:firstLine="560"/>
      </w:pPr>
      <w:r>
        <w:rPr>
          <w:rFonts w:ascii="方正仿宋_GBK" w:hAnsi="方正仿宋_GBK" w:eastAsia="方正仿宋_GBK" w:cs="方正仿宋_GBK"/>
          <w:b/>
          <w:color w:val="000000"/>
          <w:sz w:val="28"/>
        </w:rPr>
        <w:t>64、扬尘治理管控经费绩效目标表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1.增强扬尘管控，降低扬尘污染</w:t>
            </w:r>
          </w:p>
          <w:p>
            <w:pPr>
              <w:pStyle w:val="27"/>
            </w:pPr>
            <w:r>
              <w:t>2.大气环境得到优化，提高人民生活质量</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需要管控的工地数</w:t>
            </w:r>
          </w:p>
        </w:tc>
        <w:tc>
          <w:tcPr>
            <w:tcW w:w="2835" w:type="dxa"/>
            <w:vAlign w:val="center"/>
          </w:tcPr>
          <w:p>
            <w:pPr>
              <w:pStyle w:val="27"/>
            </w:pPr>
            <w:r>
              <w:t>对全区22个项目实行扬尘管控</w:t>
            </w:r>
          </w:p>
        </w:tc>
        <w:tc>
          <w:tcPr>
            <w:tcW w:w="2551" w:type="dxa"/>
            <w:vAlign w:val="center"/>
          </w:tcPr>
          <w:p>
            <w:pPr>
              <w:pStyle w:val="27"/>
            </w:pPr>
            <w:r>
              <w:t>22在建工地数</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扬尘治理力度</w:t>
            </w:r>
          </w:p>
        </w:tc>
        <w:tc>
          <w:tcPr>
            <w:tcW w:w="2835" w:type="dxa"/>
            <w:vAlign w:val="center"/>
          </w:tcPr>
          <w:p>
            <w:pPr>
              <w:pStyle w:val="27"/>
            </w:pPr>
            <w:r>
              <w:t>达到扬尘治理效果，落实6个100%</w:t>
            </w:r>
          </w:p>
        </w:tc>
        <w:tc>
          <w:tcPr>
            <w:tcW w:w="2551" w:type="dxa"/>
            <w:vAlign w:val="center"/>
          </w:tcPr>
          <w:p>
            <w:pPr>
              <w:pStyle w:val="27"/>
            </w:pPr>
            <w:r>
              <w:t>完成扬尘治理工作的质量</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工作时效</w:t>
            </w:r>
          </w:p>
        </w:tc>
        <w:tc>
          <w:tcPr>
            <w:tcW w:w="2835" w:type="dxa"/>
            <w:vAlign w:val="center"/>
          </w:tcPr>
          <w:p>
            <w:pPr>
              <w:pStyle w:val="27"/>
            </w:pPr>
            <w:r>
              <w:t>全年常态化控制</w:t>
            </w:r>
          </w:p>
        </w:tc>
        <w:tc>
          <w:tcPr>
            <w:tcW w:w="2551" w:type="dxa"/>
            <w:vAlign w:val="center"/>
          </w:tcPr>
          <w:p>
            <w:pPr>
              <w:pStyle w:val="27"/>
            </w:pPr>
            <w:r>
              <w:t>全年常态化控制</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扬尘治理管控经费成本</w:t>
            </w:r>
          </w:p>
        </w:tc>
        <w:tc>
          <w:tcPr>
            <w:tcW w:w="2551" w:type="dxa"/>
            <w:vAlign w:val="center"/>
          </w:tcPr>
          <w:p>
            <w:pPr>
              <w:pStyle w:val="27"/>
            </w:pPr>
            <w:r>
              <w:t>≤10万元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改善工地扬尘污染</w:t>
            </w:r>
          </w:p>
        </w:tc>
        <w:tc>
          <w:tcPr>
            <w:tcW w:w="2835" w:type="dxa"/>
            <w:vAlign w:val="center"/>
          </w:tcPr>
          <w:p>
            <w:pPr>
              <w:pStyle w:val="27"/>
            </w:pPr>
            <w:r>
              <w:t>控制施工扬尘，改善工地扬尘污染，进一步改善大气质量</w:t>
            </w:r>
          </w:p>
        </w:tc>
        <w:tc>
          <w:tcPr>
            <w:tcW w:w="2551" w:type="dxa"/>
            <w:vAlign w:val="center"/>
          </w:tcPr>
          <w:p>
            <w:pPr>
              <w:pStyle w:val="27"/>
            </w:pPr>
            <w:r>
              <w:t>改善大气环境，提高人民群众的生活质量</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工地对扬尘治理的满意度</w:t>
            </w:r>
          </w:p>
        </w:tc>
        <w:tc>
          <w:tcPr>
            <w:tcW w:w="2835" w:type="dxa"/>
            <w:vAlign w:val="center"/>
          </w:tcPr>
          <w:p>
            <w:pPr>
              <w:pStyle w:val="27"/>
            </w:pPr>
            <w:r>
              <w:t>通过对施工工地的扬尘治理，改善工地施工现场扬尘治理标准</w:t>
            </w:r>
          </w:p>
        </w:tc>
        <w:tc>
          <w:tcPr>
            <w:tcW w:w="2551" w:type="dxa"/>
            <w:vAlign w:val="center"/>
          </w:tcPr>
          <w:p>
            <w:pPr>
              <w:pStyle w:val="27"/>
            </w:pPr>
            <w:r>
              <w:t>≥90%</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65、住建局信访经费项目绩效目标表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1.稳控信访人，将信访隐患化解在初期。</w:t>
            </w:r>
          </w:p>
          <w:p>
            <w:pPr>
              <w:pStyle w:val="27"/>
            </w:pPr>
            <w:r>
              <w:t>2.维护社会稳定，将信访矛盾化解在基层。</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需求金额</w:t>
            </w:r>
          </w:p>
        </w:tc>
        <w:tc>
          <w:tcPr>
            <w:tcW w:w="2835" w:type="dxa"/>
            <w:vAlign w:val="center"/>
          </w:tcPr>
          <w:p>
            <w:pPr>
              <w:pStyle w:val="27"/>
            </w:pPr>
            <w:r>
              <w:t>需求信访经费的数量</w:t>
            </w:r>
          </w:p>
        </w:tc>
        <w:tc>
          <w:tcPr>
            <w:tcW w:w="2551" w:type="dxa"/>
            <w:vAlign w:val="center"/>
          </w:tcPr>
          <w:p>
            <w:pPr>
              <w:pStyle w:val="27"/>
            </w:pPr>
            <w:r>
              <w:t>10万元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处理非正规上访</w:t>
            </w:r>
          </w:p>
        </w:tc>
        <w:tc>
          <w:tcPr>
            <w:tcW w:w="2835" w:type="dxa"/>
            <w:vAlign w:val="center"/>
          </w:tcPr>
          <w:p>
            <w:pPr>
              <w:pStyle w:val="27"/>
            </w:pPr>
            <w:r>
              <w:t>妥善处理非正规上访，维护社会正常秩序</w:t>
            </w:r>
          </w:p>
        </w:tc>
        <w:tc>
          <w:tcPr>
            <w:tcW w:w="2551" w:type="dxa"/>
            <w:vAlign w:val="center"/>
          </w:tcPr>
          <w:p>
            <w:pPr>
              <w:pStyle w:val="27"/>
            </w:pPr>
            <w:r>
              <w:t>群众合法途径上访</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按时支出情况</w:t>
            </w:r>
          </w:p>
        </w:tc>
        <w:tc>
          <w:tcPr>
            <w:tcW w:w="2835" w:type="dxa"/>
            <w:vAlign w:val="center"/>
          </w:tcPr>
          <w:p>
            <w:pPr>
              <w:pStyle w:val="27"/>
            </w:pPr>
            <w:r>
              <w:t>信访经费按时间节点支出</w:t>
            </w:r>
          </w:p>
        </w:tc>
        <w:tc>
          <w:tcPr>
            <w:tcW w:w="2551" w:type="dxa"/>
            <w:vAlign w:val="center"/>
          </w:tcPr>
          <w:p>
            <w:pPr>
              <w:pStyle w:val="27"/>
            </w:pPr>
            <w:r>
              <w:t>及时指出</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住建局信访经费项目成本</w:t>
            </w:r>
          </w:p>
        </w:tc>
        <w:tc>
          <w:tcPr>
            <w:tcW w:w="2551" w:type="dxa"/>
            <w:vAlign w:val="center"/>
          </w:tcPr>
          <w:p>
            <w:pPr>
              <w:pStyle w:val="27"/>
            </w:pPr>
            <w:r>
              <w:t>≤10万元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社会效益</w:t>
            </w:r>
          </w:p>
        </w:tc>
        <w:tc>
          <w:tcPr>
            <w:tcW w:w="2835" w:type="dxa"/>
            <w:vAlign w:val="center"/>
          </w:tcPr>
          <w:p>
            <w:pPr>
              <w:pStyle w:val="27"/>
            </w:pPr>
            <w:r>
              <w:t>社会更加稳定</w:t>
            </w:r>
          </w:p>
        </w:tc>
        <w:tc>
          <w:tcPr>
            <w:tcW w:w="2551" w:type="dxa"/>
            <w:vAlign w:val="center"/>
          </w:tcPr>
          <w:p>
            <w:pPr>
              <w:pStyle w:val="27"/>
            </w:pPr>
            <w:r>
              <w:t>对信访处理更加及时、到位</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可持续影响指标</w:t>
            </w:r>
          </w:p>
        </w:tc>
        <w:tc>
          <w:tcPr>
            <w:tcW w:w="2835" w:type="dxa"/>
            <w:vAlign w:val="center"/>
          </w:tcPr>
          <w:p>
            <w:pPr>
              <w:pStyle w:val="27"/>
            </w:pPr>
            <w:r>
              <w:t>信访办理时效</w:t>
            </w:r>
          </w:p>
        </w:tc>
        <w:tc>
          <w:tcPr>
            <w:tcW w:w="2835" w:type="dxa"/>
            <w:vAlign w:val="center"/>
          </w:tcPr>
          <w:p>
            <w:pPr>
              <w:pStyle w:val="27"/>
            </w:pPr>
            <w:r>
              <w:t>进一步提高信访办理时效</w:t>
            </w:r>
          </w:p>
        </w:tc>
        <w:tc>
          <w:tcPr>
            <w:tcW w:w="2551" w:type="dxa"/>
            <w:vAlign w:val="center"/>
          </w:tcPr>
          <w:p>
            <w:pPr>
              <w:pStyle w:val="27"/>
            </w:pPr>
            <w:r>
              <w:t>提高信件办结率，减少重信，促进积案化解</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服务对象满意度</w:t>
            </w:r>
          </w:p>
        </w:tc>
        <w:tc>
          <w:tcPr>
            <w:tcW w:w="2551" w:type="dxa"/>
            <w:vAlign w:val="center"/>
          </w:tcPr>
          <w:p>
            <w:pPr>
              <w:pStyle w:val="27"/>
            </w:pPr>
            <w:r>
              <w:t>≥85%</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66、住建局修建机动车棚绩效目标表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1.保持大院环境整洁，规范停车秩序</w:t>
            </w:r>
          </w:p>
          <w:p>
            <w:pPr>
              <w:pStyle w:val="27"/>
            </w:pPr>
            <w:r>
              <w:t>2.改善车辆停放条件</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相关项目数</w:t>
            </w:r>
          </w:p>
        </w:tc>
        <w:tc>
          <w:tcPr>
            <w:tcW w:w="2835" w:type="dxa"/>
            <w:vAlign w:val="center"/>
          </w:tcPr>
          <w:p>
            <w:pPr>
              <w:pStyle w:val="27"/>
            </w:pPr>
            <w:r>
              <w:t>修建车棚面积</w:t>
            </w:r>
          </w:p>
        </w:tc>
        <w:tc>
          <w:tcPr>
            <w:tcW w:w="2551" w:type="dxa"/>
            <w:vAlign w:val="center"/>
          </w:tcPr>
          <w:p>
            <w:pPr>
              <w:pStyle w:val="27"/>
            </w:pPr>
            <w:r>
              <w:t>≥645平方米</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合格率</w:t>
            </w:r>
          </w:p>
        </w:tc>
        <w:tc>
          <w:tcPr>
            <w:tcW w:w="2835" w:type="dxa"/>
            <w:vAlign w:val="center"/>
          </w:tcPr>
          <w:p>
            <w:pPr>
              <w:pStyle w:val="27"/>
            </w:pPr>
            <w:r>
              <w:t>工程竣工后质量达到合格标准</w:t>
            </w:r>
          </w:p>
        </w:tc>
        <w:tc>
          <w:tcPr>
            <w:tcW w:w="2551" w:type="dxa"/>
            <w:vAlign w:val="center"/>
          </w:tcPr>
          <w:p>
            <w:pPr>
              <w:pStyle w:val="27"/>
            </w:pPr>
            <w:r>
              <w:t>≥90%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及时完成情况</w:t>
            </w:r>
          </w:p>
        </w:tc>
        <w:tc>
          <w:tcPr>
            <w:tcW w:w="2835" w:type="dxa"/>
            <w:vAlign w:val="center"/>
          </w:tcPr>
          <w:p>
            <w:pPr>
              <w:pStyle w:val="27"/>
            </w:pPr>
            <w:r>
              <w:t>修建按照合同规定的时间完工</w:t>
            </w:r>
          </w:p>
        </w:tc>
        <w:tc>
          <w:tcPr>
            <w:tcW w:w="2551" w:type="dxa"/>
            <w:vAlign w:val="center"/>
          </w:tcPr>
          <w:p>
            <w:pPr>
              <w:pStyle w:val="27"/>
            </w:pPr>
            <w:r>
              <w:t>及时完工</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住建局修建机动车棚成本</w:t>
            </w:r>
          </w:p>
        </w:tc>
        <w:tc>
          <w:tcPr>
            <w:tcW w:w="2551" w:type="dxa"/>
            <w:vAlign w:val="center"/>
          </w:tcPr>
          <w:p>
            <w:pPr>
              <w:pStyle w:val="27"/>
            </w:pPr>
            <w:r>
              <w:t>≤39.35万元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改善办公环境</w:t>
            </w:r>
          </w:p>
        </w:tc>
        <w:tc>
          <w:tcPr>
            <w:tcW w:w="2835" w:type="dxa"/>
            <w:vAlign w:val="center"/>
          </w:tcPr>
          <w:p>
            <w:pPr>
              <w:pStyle w:val="27"/>
            </w:pPr>
            <w:r>
              <w:t>改进办公环境，提高办公效率</w:t>
            </w:r>
          </w:p>
        </w:tc>
        <w:tc>
          <w:tcPr>
            <w:tcW w:w="2551" w:type="dxa"/>
            <w:vAlign w:val="center"/>
          </w:tcPr>
          <w:p>
            <w:pPr>
              <w:pStyle w:val="27"/>
            </w:pPr>
            <w:r>
              <w:t>实际反馈</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服务对象满意度</w:t>
            </w:r>
          </w:p>
        </w:tc>
        <w:tc>
          <w:tcPr>
            <w:tcW w:w="2551" w:type="dxa"/>
            <w:vAlign w:val="center"/>
          </w:tcPr>
          <w:p>
            <w:pPr>
              <w:pStyle w:val="27"/>
            </w:pPr>
            <w:r>
              <w:t>≥85%</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67、专项债券付息支出绩效目标表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1.按时偿还到期利息，维护地方政府信誉。</w:t>
            </w:r>
          </w:p>
          <w:p>
            <w:pPr>
              <w:pStyle w:val="27"/>
            </w:pPr>
            <w:r>
              <w:t>2.足额偿还到期利息，推动后期债券申请工作。</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偿还批次</w:t>
            </w:r>
          </w:p>
        </w:tc>
        <w:tc>
          <w:tcPr>
            <w:tcW w:w="2835" w:type="dxa"/>
            <w:vAlign w:val="center"/>
          </w:tcPr>
          <w:p>
            <w:pPr>
              <w:pStyle w:val="27"/>
            </w:pPr>
            <w:r>
              <w:t>偿还专项债券到期利息批次的数量</w:t>
            </w:r>
          </w:p>
        </w:tc>
        <w:tc>
          <w:tcPr>
            <w:tcW w:w="2551" w:type="dxa"/>
            <w:vAlign w:val="center"/>
          </w:tcPr>
          <w:p>
            <w:pPr>
              <w:pStyle w:val="27"/>
            </w:pPr>
            <w:r>
              <w:t>应偿还的所有利息</w:t>
            </w:r>
          </w:p>
        </w:tc>
        <w:tc>
          <w:tcPr>
            <w:tcW w:w="2268" w:type="dxa"/>
            <w:vAlign w:val="center"/>
          </w:tcPr>
          <w:p>
            <w:pPr>
              <w:pStyle w:val="27"/>
            </w:pPr>
            <w:r>
              <w:t>上级文件、拨款凭证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偿还金额</w:t>
            </w:r>
          </w:p>
        </w:tc>
        <w:tc>
          <w:tcPr>
            <w:tcW w:w="2835" w:type="dxa"/>
            <w:vAlign w:val="center"/>
          </w:tcPr>
          <w:p>
            <w:pPr>
              <w:pStyle w:val="27"/>
            </w:pPr>
            <w:r>
              <w:t>实际偿还占应偿还金额的比例</w:t>
            </w:r>
          </w:p>
        </w:tc>
        <w:tc>
          <w:tcPr>
            <w:tcW w:w="2551" w:type="dxa"/>
            <w:vAlign w:val="center"/>
          </w:tcPr>
          <w:p>
            <w:pPr>
              <w:pStyle w:val="27"/>
            </w:pPr>
            <w:r>
              <w:t>100%</w:t>
            </w:r>
          </w:p>
        </w:tc>
        <w:tc>
          <w:tcPr>
            <w:tcW w:w="2268" w:type="dxa"/>
            <w:vAlign w:val="center"/>
          </w:tcPr>
          <w:p>
            <w:pPr>
              <w:pStyle w:val="27"/>
            </w:pPr>
            <w:r>
              <w:t>上级文件、拨款凭证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偿还时间</w:t>
            </w:r>
          </w:p>
        </w:tc>
        <w:tc>
          <w:tcPr>
            <w:tcW w:w="2835" w:type="dxa"/>
            <w:vAlign w:val="center"/>
          </w:tcPr>
          <w:p>
            <w:pPr>
              <w:pStyle w:val="27"/>
            </w:pPr>
            <w:r>
              <w:t>按约定时间及时偿还</w:t>
            </w:r>
          </w:p>
        </w:tc>
        <w:tc>
          <w:tcPr>
            <w:tcW w:w="2551" w:type="dxa"/>
            <w:vAlign w:val="center"/>
          </w:tcPr>
          <w:p>
            <w:pPr>
              <w:pStyle w:val="27"/>
            </w:pPr>
            <w:r>
              <w:t>及时偿还</w:t>
            </w:r>
          </w:p>
        </w:tc>
        <w:tc>
          <w:tcPr>
            <w:tcW w:w="2268" w:type="dxa"/>
            <w:vAlign w:val="center"/>
          </w:tcPr>
          <w:p>
            <w:pPr>
              <w:pStyle w:val="27"/>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偿还标准</w:t>
            </w:r>
          </w:p>
        </w:tc>
        <w:tc>
          <w:tcPr>
            <w:tcW w:w="2835" w:type="dxa"/>
            <w:vAlign w:val="center"/>
          </w:tcPr>
          <w:p>
            <w:pPr>
              <w:pStyle w:val="27"/>
            </w:pPr>
            <w:r>
              <w:t>按协议偿还</w:t>
            </w:r>
          </w:p>
        </w:tc>
        <w:tc>
          <w:tcPr>
            <w:tcW w:w="2551" w:type="dxa"/>
            <w:vAlign w:val="center"/>
          </w:tcPr>
          <w:p>
            <w:pPr>
              <w:pStyle w:val="27"/>
            </w:pPr>
            <w:r>
              <w:t>按标准偿还</w:t>
            </w:r>
          </w:p>
        </w:tc>
        <w:tc>
          <w:tcPr>
            <w:tcW w:w="2268" w:type="dxa"/>
            <w:vAlign w:val="center"/>
          </w:tcPr>
          <w:p>
            <w:pPr>
              <w:pStyle w:val="27"/>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可持续影响指标</w:t>
            </w:r>
          </w:p>
        </w:tc>
        <w:tc>
          <w:tcPr>
            <w:tcW w:w="2835" w:type="dxa"/>
            <w:vAlign w:val="center"/>
          </w:tcPr>
          <w:p>
            <w:pPr>
              <w:pStyle w:val="27"/>
            </w:pPr>
            <w:r>
              <w:t>按协议履行还款</w:t>
            </w:r>
          </w:p>
        </w:tc>
        <w:tc>
          <w:tcPr>
            <w:tcW w:w="2835" w:type="dxa"/>
            <w:vAlign w:val="center"/>
          </w:tcPr>
          <w:p>
            <w:pPr>
              <w:pStyle w:val="27"/>
            </w:pPr>
            <w:r>
              <w:t>按协议履行还款，推动后期债券申请工作，更好发挥债券作用</w:t>
            </w:r>
          </w:p>
        </w:tc>
        <w:tc>
          <w:tcPr>
            <w:tcW w:w="2551" w:type="dxa"/>
            <w:vAlign w:val="center"/>
          </w:tcPr>
          <w:p>
            <w:pPr>
              <w:pStyle w:val="27"/>
            </w:pPr>
            <w:r>
              <w:t>债券发行工作正常开展</w:t>
            </w:r>
          </w:p>
        </w:tc>
        <w:tc>
          <w:tcPr>
            <w:tcW w:w="2268" w:type="dxa"/>
            <w:vAlign w:val="center"/>
          </w:tcPr>
          <w:p>
            <w:pPr>
              <w:pStyle w:val="27"/>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上级部门满意度</w:t>
            </w:r>
          </w:p>
        </w:tc>
        <w:tc>
          <w:tcPr>
            <w:tcW w:w="2835" w:type="dxa"/>
            <w:vAlign w:val="center"/>
          </w:tcPr>
          <w:p>
            <w:pPr>
              <w:pStyle w:val="27"/>
            </w:pPr>
            <w:r>
              <w:t>上级部门对还款情况的满意度</w:t>
            </w:r>
          </w:p>
        </w:tc>
        <w:tc>
          <w:tcPr>
            <w:tcW w:w="2551" w:type="dxa"/>
            <w:vAlign w:val="center"/>
          </w:tcPr>
          <w:p>
            <w:pPr>
              <w:pStyle w:val="27"/>
            </w:pPr>
            <w:r>
              <w:t>按上级要求偿还</w:t>
            </w:r>
          </w:p>
        </w:tc>
        <w:tc>
          <w:tcPr>
            <w:tcW w:w="2268" w:type="dxa"/>
            <w:vAlign w:val="center"/>
          </w:tcPr>
          <w:p>
            <w:pPr>
              <w:pStyle w:val="27"/>
            </w:pPr>
            <w:r>
              <w:t>相关文件</w:t>
            </w:r>
          </w:p>
        </w:tc>
      </w:tr>
    </w:tbl>
    <w:p>
      <w:pPr>
        <w:pStyle w:val="25"/>
      </w:pPr>
    </w:p>
    <w:p>
      <w:pPr>
        <w:pStyle w:val="25"/>
        <w:ind w:firstLine="560"/>
      </w:pPr>
      <w:r>
        <w:rPr>
          <w:rFonts w:ascii="方正仿宋_GBK" w:hAnsi="方正仿宋_GBK" w:eastAsia="方正仿宋_GBK" w:cs="方正仿宋_GBK"/>
          <w:b/>
          <w:color w:val="000000"/>
          <w:sz w:val="28"/>
        </w:rPr>
        <w:t>68、专项债券还本支出绩效目标表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1.按时偿还到期本金，维护地方政府信誉。</w:t>
            </w:r>
          </w:p>
          <w:p>
            <w:pPr>
              <w:pStyle w:val="27"/>
            </w:pPr>
            <w:r>
              <w:t>2.按时偿还到期本金，维护地方政府信誉。</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偿还批次</w:t>
            </w:r>
          </w:p>
        </w:tc>
        <w:tc>
          <w:tcPr>
            <w:tcW w:w="2835" w:type="dxa"/>
            <w:vAlign w:val="center"/>
          </w:tcPr>
          <w:p>
            <w:pPr>
              <w:pStyle w:val="27"/>
            </w:pPr>
            <w:r>
              <w:t>偿还专项债券到期本金批次的数量</w:t>
            </w:r>
          </w:p>
        </w:tc>
        <w:tc>
          <w:tcPr>
            <w:tcW w:w="2551" w:type="dxa"/>
            <w:vAlign w:val="center"/>
          </w:tcPr>
          <w:p>
            <w:pPr>
              <w:pStyle w:val="27"/>
            </w:pPr>
            <w:r>
              <w:t>应偿还的所有本金</w:t>
            </w:r>
          </w:p>
        </w:tc>
        <w:tc>
          <w:tcPr>
            <w:tcW w:w="2268" w:type="dxa"/>
            <w:vAlign w:val="center"/>
          </w:tcPr>
          <w:p>
            <w:pPr>
              <w:pStyle w:val="27"/>
            </w:pPr>
            <w:r>
              <w:t>上级文件、拨款凭证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偿还金额</w:t>
            </w:r>
          </w:p>
        </w:tc>
        <w:tc>
          <w:tcPr>
            <w:tcW w:w="2835" w:type="dxa"/>
            <w:vAlign w:val="center"/>
          </w:tcPr>
          <w:p>
            <w:pPr>
              <w:pStyle w:val="27"/>
            </w:pPr>
            <w:r>
              <w:t>实际偿还占应偿还金额的比例</w:t>
            </w:r>
          </w:p>
        </w:tc>
        <w:tc>
          <w:tcPr>
            <w:tcW w:w="2551" w:type="dxa"/>
            <w:vAlign w:val="center"/>
          </w:tcPr>
          <w:p>
            <w:pPr>
              <w:pStyle w:val="27"/>
            </w:pPr>
            <w:r>
              <w:t>100%</w:t>
            </w:r>
          </w:p>
        </w:tc>
        <w:tc>
          <w:tcPr>
            <w:tcW w:w="2268" w:type="dxa"/>
            <w:vAlign w:val="center"/>
          </w:tcPr>
          <w:p>
            <w:pPr>
              <w:pStyle w:val="27"/>
            </w:pPr>
            <w:r>
              <w:t>上级文件、拨款凭证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偿还时间</w:t>
            </w:r>
          </w:p>
        </w:tc>
        <w:tc>
          <w:tcPr>
            <w:tcW w:w="2835" w:type="dxa"/>
            <w:vAlign w:val="center"/>
          </w:tcPr>
          <w:p>
            <w:pPr>
              <w:pStyle w:val="27"/>
            </w:pPr>
            <w:r>
              <w:t>按约定时间及时偿还</w:t>
            </w:r>
          </w:p>
        </w:tc>
        <w:tc>
          <w:tcPr>
            <w:tcW w:w="2551" w:type="dxa"/>
            <w:vAlign w:val="center"/>
          </w:tcPr>
          <w:p>
            <w:pPr>
              <w:pStyle w:val="27"/>
            </w:pPr>
            <w:r>
              <w:t>及时偿还</w:t>
            </w:r>
          </w:p>
        </w:tc>
        <w:tc>
          <w:tcPr>
            <w:tcW w:w="2268" w:type="dxa"/>
            <w:vAlign w:val="center"/>
          </w:tcPr>
          <w:p>
            <w:pPr>
              <w:pStyle w:val="27"/>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偿还标准</w:t>
            </w:r>
          </w:p>
        </w:tc>
        <w:tc>
          <w:tcPr>
            <w:tcW w:w="2835" w:type="dxa"/>
            <w:vAlign w:val="center"/>
          </w:tcPr>
          <w:p>
            <w:pPr>
              <w:pStyle w:val="27"/>
            </w:pPr>
            <w:r>
              <w:t>按协议偿还</w:t>
            </w:r>
          </w:p>
        </w:tc>
        <w:tc>
          <w:tcPr>
            <w:tcW w:w="2551" w:type="dxa"/>
            <w:vAlign w:val="center"/>
          </w:tcPr>
          <w:p>
            <w:pPr>
              <w:pStyle w:val="27"/>
            </w:pPr>
            <w:r>
              <w:t>按标准偿还</w:t>
            </w:r>
          </w:p>
        </w:tc>
        <w:tc>
          <w:tcPr>
            <w:tcW w:w="2268" w:type="dxa"/>
            <w:vAlign w:val="center"/>
          </w:tcPr>
          <w:p>
            <w:pPr>
              <w:pStyle w:val="27"/>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可持续影响指标</w:t>
            </w:r>
          </w:p>
        </w:tc>
        <w:tc>
          <w:tcPr>
            <w:tcW w:w="2835" w:type="dxa"/>
            <w:vAlign w:val="center"/>
          </w:tcPr>
          <w:p>
            <w:pPr>
              <w:pStyle w:val="27"/>
            </w:pPr>
            <w:r>
              <w:t>按协议履行还款</w:t>
            </w:r>
          </w:p>
        </w:tc>
        <w:tc>
          <w:tcPr>
            <w:tcW w:w="2835" w:type="dxa"/>
            <w:vAlign w:val="center"/>
          </w:tcPr>
          <w:p>
            <w:pPr>
              <w:pStyle w:val="27"/>
            </w:pPr>
            <w:r>
              <w:t>按协议履行还款，推动后期债券申请工作，更好发挥债券作用</w:t>
            </w:r>
          </w:p>
        </w:tc>
        <w:tc>
          <w:tcPr>
            <w:tcW w:w="2551" w:type="dxa"/>
            <w:vAlign w:val="center"/>
          </w:tcPr>
          <w:p>
            <w:pPr>
              <w:pStyle w:val="27"/>
            </w:pPr>
            <w:r>
              <w:t>债券发行工作正常开展</w:t>
            </w:r>
          </w:p>
        </w:tc>
        <w:tc>
          <w:tcPr>
            <w:tcW w:w="2268" w:type="dxa"/>
            <w:vAlign w:val="center"/>
          </w:tcPr>
          <w:p>
            <w:pPr>
              <w:pStyle w:val="27"/>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上级部门满意度</w:t>
            </w:r>
          </w:p>
        </w:tc>
        <w:tc>
          <w:tcPr>
            <w:tcW w:w="2835" w:type="dxa"/>
            <w:vAlign w:val="center"/>
          </w:tcPr>
          <w:p>
            <w:pPr>
              <w:pStyle w:val="27"/>
            </w:pPr>
            <w:r>
              <w:t>上级部门对还款情况的满意度</w:t>
            </w:r>
          </w:p>
        </w:tc>
        <w:tc>
          <w:tcPr>
            <w:tcW w:w="2551" w:type="dxa"/>
            <w:vAlign w:val="center"/>
          </w:tcPr>
          <w:p>
            <w:pPr>
              <w:pStyle w:val="27"/>
            </w:pPr>
            <w:r>
              <w:t>按上级要求偿还</w:t>
            </w:r>
          </w:p>
        </w:tc>
        <w:tc>
          <w:tcPr>
            <w:tcW w:w="2268" w:type="dxa"/>
            <w:vAlign w:val="center"/>
          </w:tcPr>
          <w:p>
            <w:pPr>
              <w:pStyle w:val="27"/>
            </w:pPr>
            <w:r>
              <w:t>相关文件</w:t>
            </w:r>
          </w:p>
        </w:tc>
      </w:tr>
    </w:tbl>
    <w:p>
      <w:pPr>
        <w:pStyle w:val="25"/>
      </w:pPr>
    </w:p>
    <w:p>
      <w:pPr>
        <w:pStyle w:val="25"/>
        <w:ind w:firstLine="560"/>
      </w:pPr>
      <w:r>
        <w:rPr>
          <w:rFonts w:ascii="方正仿宋_GBK" w:hAnsi="方正仿宋_GBK" w:eastAsia="方正仿宋_GBK" w:cs="方正仿宋_GBK"/>
          <w:b/>
          <w:color w:val="000000"/>
          <w:sz w:val="28"/>
        </w:rPr>
        <w:t>69、藁城区2021年老旧小区改造项目一案两书编制费用绩效目标表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1.藁城区2021年老旧小区改造项目一案两书编制费用</w:t>
            </w:r>
          </w:p>
          <w:p>
            <w:pPr>
              <w:pStyle w:val="27"/>
            </w:pPr>
            <w:r>
              <w:t>2.按要求完成老旧小区改造项目一案两书编制</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项目范围</w:t>
            </w:r>
          </w:p>
        </w:tc>
        <w:tc>
          <w:tcPr>
            <w:tcW w:w="2835" w:type="dxa"/>
            <w:vAlign w:val="center"/>
          </w:tcPr>
          <w:p>
            <w:pPr>
              <w:pStyle w:val="27"/>
            </w:pPr>
            <w:r>
              <w:t>2021年老旧小区改造一案两书的编制费用</w:t>
            </w:r>
          </w:p>
        </w:tc>
        <w:tc>
          <w:tcPr>
            <w:tcW w:w="2551" w:type="dxa"/>
            <w:vAlign w:val="center"/>
          </w:tcPr>
          <w:p>
            <w:pPr>
              <w:pStyle w:val="27"/>
            </w:pPr>
            <w:r>
              <w:t>≦60万元</w:t>
            </w:r>
          </w:p>
        </w:tc>
        <w:tc>
          <w:tcPr>
            <w:tcW w:w="2268" w:type="dxa"/>
            <w:vAlign w:val="center"/>
          </w:tcPr>
          <w:p>
            <w:pPr>
              <w:pStyle w:val="2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验收合格率</w:t>
            </w:r>
          </w:p>
        </w:tc>
        <w:tc>
          <w:tcPr>
            <w:tcW w:w="2835" w:type="dxa"/>
            <w:vAlign w:val="center"/>
          </w:tcPr>
          <w:p>
            <w:pPr>
              <w:pStyle w:val="27"/>
            </w:pPr>
            <w:r>
              <w:t>符合要求</w:t>
            </w:r>
          </w:p>
        </w:tc>
        <w:tc>
          <w:tcPr>
            <w:tcW w:w="2551" w:type="dxa"/>
            <w:vAlign w:val="center"/>
          </w:tcPr>
          <w:p>
            <w:pPr>
              <w:pStyle w:val="27"/>
            </w:pPr>
            <w:r>
              <w:t>≥95%</w:t>
            </w:r>
          </w:p>
        </w:tc>
        <w:tc>
          <w:tcPr>
            <w:tcW w:w="2268" w:type="dxa"/>
            <w:vAlign w:val="center"/>
          </w:tcPr>
          <w:p>
            <w:pPr>
              <w:pStyle w:val="2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w:t>
            </w:r>
          </w:p>
        </w:tc>
        <w:tc>
          <w:tcPr>
            <w:tcW w:w="2835" w:type="dxa"/>
            <w:vAlign w:val="center"/>
          </w:tcPr>
          <w:p>
            <w:pPr>
              <w:pStyle w:val="27"/>
            </w:pPr>
            <w:r>
              <w:t>按时间要求完成</w:t>
            </w:r>
          </w:p>
        </w:tc>
        <w:tc>
          <w:tcPr>
            <w:tcW w:w="2551" w:type="dxa"/>
            <w:vAlign w:val="center"/>
          </w:tcPr>
          <w:p>
            <w:pPr>
              <w:pStyle w:val="27"/>
            </w:pPr>
            <w:r>
              <w:t>＝100%</w:t>
            </w:r>
          </w:p>
        </w:tc>
        <w:tc>
          <w:tcPr>
            <w:tcW w:w="2268" w:type="dxa"/>
            <w:vAlign w:val="center"/>
          </w:tcPr>
          <w:p>
            <w:pPr>
              <w:pStyle w:val="2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藁城区2021年老旧小区改造项目一案两书编制费用成本</w:t>
            </w:r>
          </w:p>
        </w:tc>
        <w:tc>
          <w:tcPr>
            <w:tcW w:w="2551" w:type="dxa"/>
            <w:vAlign w:val="center"/>
          </w:tcPr>
          <w:p>
            <w:pPr>
              <w:pStyle w:val="27"/>
            </w:pPr>
            <w:r>
              <w:t>≤60万元</w:t>
            </w:r>
          </w:p>
        </w:tc>
        <w:tc>
          <w:tcPr>
            <w:tcW w:w="2268" w:type="dxa"/>
            <w:vAlign w:val="center"/>
          </w:tcPr>
          <w:p>
            <w:pPr>
              <w:pStyle w:val="27"/>
            </w:pPr>
            <w:r>
              <w:t>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符合使用要求</w:t>
            </w:r>
          </w:p>
        </w:tc>
        <w:tc>
          <w:tcPr>
            <w:tcW w:w="2835" w:type="dxa"/>
            <w:vAlign w:val="center"/>
          </w:tcPr>
          <w:p>
            <w:pPr>
              <w:pStyle w:val="27"/>
            </w:pPr>
            <w:r>
              <w:t>能够满足使用要求</w:t>
            </w:r>
          </w:p>
        </w:tc>
        <w:tc>
          <w:tcPr>
            <w:tcW w:w="2551" w:type="dxa"/>
            <w:vAlign w:val="center"/>
          </w:tcPr>
          <w:p>
            <w:pPr>
              <w:pStyle w:val="27"/>
            </w:pPr>
            <w:r>
              <w:t>能够满足使用要求</w:t>
            </w:r>
          </w:p>
        </w:tc>
        <w:tc>
          <w:tcPr>
            <w:tcW w:w="2268" w:type="dxa"/>
            <w:vAlign w:val="center"/>
          </w:tcPr>
          <w:p>
            <w:pPr>
              <w:pStyle w:val="27"/>
            </w:pPr>
            <w:r>
              <w:t>通过审核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符合使用要求</w:t>
            </w:r>
          </w:p>
        </w:tc>
        <w:tc>
          <w:tcPr>
            <w:tcW w:w="2835" w:type="dxa"/>
            <w:vAlign w:val="center"/>
          </w:tcPr>
          <w:p>
            <w:pPr>
              <w:pStyle w:val="27"/>
            </w:pPr>
            <w:r>
              <w:t>通过审核</w:t>
            </w:r>
          </w:p>
        </w:tc>
        <w:tc>
          <w:tcPr>
            <w:tcW w:w="2551" w:type="dxa"/>
            <w:vAlign w:val="center"/>
          </w:tcPr>
          <w:p>
            <w:pPr>
              <w:pStyle w:val="27"/>
            </w:pPr>
            <w:r>
              <w:t>≥95%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70、藁城区城市基础设施建设和老旧小区综合整治项目调整后相关文件编制费绩效目标表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1.藁城区城市基础设施建设和老旧小区综合整治项目调整后相关文件编制费</w:t>
            </w:r>
          </w:p>
          <w:p>
            <w:pPr>
              <w:pStyle w:val="27"/>
            </w:pPr>
            <w:r>
              <w:t>2.按要求完成编制文件</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项目范围</w:t>
            </w:r>
          </w:p>
        </w:tc>
        <w:tc>
          <w:tcPr>
            <w:tcW w:w="2835" w:type="dxa"/>
            <w:vAlign w:val="center"/>
          </w:tcPr>
          <w:p>
            <w:pPr>
              <w:pStyle w:val="27"/>
            </w:pPr>
            <w:r>
              <w:t>藁城区城市基础设施建设和老旧小区综合整治项目调整后相关文件编制费用</w:t>
            </w:r>
          </w:p>
        </w:tc>
        <w:tc>
          <w:tcPr>
            <w:tcW w:w="2551" w:type="dxa"/>
            <w:vAlign w:val="center"/>
          </w:tcPr>
          <w:p>
            <w:pPr>
              <w:pStyle w:val="27"/>
            </w:pPr>
            <w:r>
              <w:t>≤88.6万元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验收合格率</w:t>
            </w:r>
          </w:p>
        </w:tc>
        <w:tc>
          <w:tcPr>
            <w:tcW w:w="2835" w:type="dxa"/>
            <w:vAlign w:val="center"/>
          </w:tcPr>
          <w:p>
            <w:pPr>
              <w:pStyle w:val="27"/>
            </w:pPr>
            <w:r>
              <w:t>符合要求</w:t>
            </w:r>
          </w:p>
        </w:tc>
        <w:tc>
          <w:tcPr>
            <w:tcW w:w="2551" w:type="dxa"/>
            <w:vAlign w:val="center"/>
          </w:tcPr>
          <w:p>
            <w:pPr>
              <w:pStyle w:val="27"/>
            </w:pPr>
            <w:r>
              <w:t>≥95%</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w:t>
            </w:r>
          </w:p>
        </w:tc>
        <w:tc>
          <w:tcPr>
            <w:tcW w:w="2835" w:type="dxa"/>
            <w:vAlign w:val="center"/>
          </w:tcPr>
          <w:p>
            <w:pPr>
              <w:pStyle w:val="27"/>
            </w:pPr>
            <w:r>
              <w:t>按时间要求完成</w:t>
            </w:r>
          </w:p>
        </w:tc>
        <w:tc>
          <w:tcPr>
            <w:tcW w:w="2551" w:type="dxa"/>
            <w:vAlign w:val="center"/>
          </w:tcPr>
          <w:p>
            <w:pPr>
              <w:pStyle w:val="27"/>
            </w:pPr>
            <w:r>
              <w:t>＝100%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藁城区城市基础设施建设和老旧小区综合整治项目调整后相关文件编制费成本</w:t>
            </w:r>
          </w:p>
        </w:tc>
        <w:tc>
          <w:tcPr>
            <w:tcW w:w="2551" w:type="dxa"/>
            <w:vAlign w:val="center"/>
          </w:tcPr>
          <w:p>
            <w:pPr>
              <w:pStyle w:val="27"/>
            </w:pPr>
            <w:r>
              <w:t>≤88.6万元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符合使用要求</w:t>
            </w:r>
          </w:p>
        </w:tc>
        <w:tc>
          <w:tcPr>
            <w:tcW w:w="2835" w:type="dxa"/>
            <w:vAlign w:val="center"/>
          </w:tcPr>
          <w:p>
            <w:pPr>
              <w:pStyle w:val="27"/>
            </w:pPr>
            <w:r>
              <w:t>能够满足使用要求</w:t>
            </w:r>
          </w:p>
        </w:tc>
        <w:tc>
          <w:tcPr>
            <w:tcW w:w="2551" w:type="dxa"/>
            <w:vAlign w:val="center"/>
          </w:tcPr>
          <w:p>
            <w:pPr>
              <w:pStyle w:val="27"/>
            </w:pPr>
            <w:r>
              <w:t>能够满足使用要求</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符合使用要求</w:t>
            </w:r>
          </w:p>
        </w:tc>
        <w:tc>
          <w:tcPr>
            <w:tcW w:w="2835" w:type="dxa"/>
            <w:vAlign w:val="center"/>
          </w:tcPr>
          <w:p>
            <w:pPr>
              <w:pStyle w:val="27"/>
            </w:pPr>
            <w:r>
              <w:t>审核通过</w:t>
            </w:r>
          </w:p>
        </w:tc>
        <w:tc>
          <w:tcPr>
            <w:tcW w:w="2551" w:type="dxa"/>
            <w:vAlign w:val="center"/>
          </w:tcPr>
          <w:p>
            <w:pPr>
              <w:pStyle w:val="27"/>
            </w:pPr>
            <w:r>
              <w:t>≥95%</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71、藁城区房屋建筑自然灾害风险普查绩效目标表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1.完成第一次全国自然灾害综合风险普查中我区既有城市房屋建筑的的灾害风险普查工作。</w:t>
            </w:r>
          </w:p>
          <w:p>
            <w:pPr>
              <w:pStyle w:val="27"/>
            </w:pPr>
            <w:r>
              <w:t>2.完成第一次全国自然灾害综合风险普查中我区既有农村房屋建筑的的灾害风险普查工作。</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任务量测算1699733块房屋图斑</w:t>
            </w:r>
          </w:p>
        </w:tc>
        <w:tc>
          <w:tcPr>
            <w:tcW w:w="2835" w:type="dxa"/>
            <w:vAlign w:val="center"/>
          </w:tcPr>
          <w:p>
            <w:pPr>
              <w:pStyle w:val="27"/>
            </w:pPr>
            <w:r>
              <w:t>我区城区建筑面积约777.87万平方米,我区226个行政村共有农村房屋约19.7万户</w:t>
            </w:r>
          </w:p>
        </w:tc>
        <w:tc>
          <w:tcPr>
            <w:tcW w:w="2551" w:type="dxa"/>
            <w:vAlign w:val="center"/>
          </w:tcPr>
          <w:p>
            <w:pPr>
              <w:pStyle w:val="27"/>
            </w:pPr>
            <w:r>
              <w:t>≥1699733块</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项目完成合格</w:t>
            </w:r>
          </w:p>
        </w:tc>
        <w:tc>
          <w:tcPr>
            <w:tcW w:w="2835" w:type="dxa"/>
            <w:vAlign w:val="center"/>
          </w:tcPr>
          <w:p>
            <w:pPr>
              <w:pStyle w:val="27"/>
            </w:pPr>
            <w:r>
              <w:t>高质量完成普查任务</w:t>
            </w:r>
          </w:p>
        </w:tc>
        <w:tc>
          <w:tcPr>
            <w:tcW w:w="2551" w:type="dxa"/>
            <w:vAlign w:val="center"/>
          </w:tcPr>
          <w:p>
            <w:pPr>
              <w:pStyle w:val="27"/>
            </w:pPr>
            <w:r>
              <w:t>普查结果</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按时限完成</w:t>
            </w:r>
          </w:p>
        </w:tc>
        <w:tc>
          <w:tcPr>
            <w:tcW w:w="2835" w:type="dxa"/>
            <w:vAlign w:val="center"/>
          </w:tcPr>
          <w:p>
            <w:pPr>
              <w:pStyle w:val="27"/>
            </w:pPr>
            <w:r>
              <w:t>建筑底图下发后8周内完成普查工作</w:t>
            </w:r>
          </w:p>
        </w:tc>
        <w:tc>
          <w:tcPr>
            <w:tcW w:w="2551" w:type="dxa"/>
            <w:vAlign w:val="center"/>
          </w:tcPr>
          <w:p>
            <w:pPr>
              <w:pStyle w:val="27"/>
            </w:pPr>
            <w:r>
              <w:t>按时完成</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藁城区房屋建筑自然灾害风险普查成本</w:t>
            </w:r>
          </w:p>
        </w:tc>
        <w:tc>
          <w:tcPr>
            <w:tcW w:w="2551" w:type="dxa"/>
            <w:vAlign w:val="center"/>
          </w:tcPr>
          <w:p>
            <w:pPr>
              <w:pStyle w:val="27"/>
            </w:pPr>
            <w:r>
              <w:t>≤120万元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按要求摸清全区房屋基本情况</w:t>
            </w:r>
          </w:p>
        </w:tc>
        <w:tc>
          <w:tcPr>
            <w:tcW w:w="2835" w:type="dxa"/>
            <w:vAlign w:val="center"/>
          </w:tcPr>
          <w:p>
            <w:pPr>
              <w:pStyle w:val="27"/>
            </w:pPr>
            <w:r>
              <w:t>按图斑收集上传数据</w:t>
            </w:r>
          </w:p>
        </w:tc>
        <w:tc>
          <w:tcPr>
            <w:tcW w:w="2551" w:type="dxa"/>
            <w:vAlign w:val="center"/>
          </w:tcPr>
          <w:p>
            <w:pPr>
              <w:pStyle w:val="27"/>
            </w:pPr>
            <w:r>
              <w:t>主管部门评价</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通过国家，省，市验收</w:t>
            </w:r>
          </w:p>
        </w:tc>
        <w:tc>
          <w:tcPr>
            <w:tcW w:w="2835" w:type="dxa"/>
            <w:vAlign w:val="center"/>
          </w:tcPr>
          <w:p>
            <w:pPr>
              <w:pStyle w:val="27"/>
            </w:pPr>
            <w:r>
              <w:t>按图斑收集上传数据</w:t>
            </w:r>
          </w:p>
        </w:tc>
        <w:tc>
          <w:tcPr>
            <w:tcW w:w="2551" w:type="dxa"/>
            <w:vAlign w:val="center"/>
          </w:tcPr>
          <w:p>
            <w:pPr>
              <w:pStyle w:val="27"/>
            </w:pPr>
            <w:r>
              <w:t>服务对象满意度情况</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72、藁城区集中供热配电项目绩效目标表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1.1.完成集中供热配电项目。</w:t>
            </w:r>
          </w:p>
          <w:p>
            <w:pPr>
              <w:pStyle w:val="27"/>
            </w:pPr>
            <w:r>
              <w:t>2.2.为城区清洁能源供暖提供电力保障.</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支撑供热站数量</w:t>
            </w:r>
          </w:p>
        </w:tc>
        <w:tc>
          <w:tcPr>
            <w:tcW w:w="2835" w:type="dxa"/>
            <w:vAlign w:val="center"/>
          </w:tcPr>
          <w:p>
            <w:pPr>
              <w:pStyle w:val="27"/>
            </w:pPr>
            <w:r>
              <w:t>工程配电支撑供热站的数量</w:t>
            </w:r>
          </w:p>
        </w:tc>
        <w:tc>
          <w:tcPr>
            <w:tcW w:w="2551" w:type="dxa"/>
            <w:vAlign w:val="center"/>
          </w:tcPr>
          <w:p>
            <w:pPr>
              <w:pStyle w:val="27"/>
            </w:pPr>
            <w:r>
              <w:t>9个</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工程质量合格率</w:t>
            </w:r>
          </w:p>
        </w:tc>
        <w:tc>
          <w:tcPr>
            <w:tcW w:w="2835" w:type="dxa"/>
            <w:vAlign w:val="center"/>
          </w:tcPr>
          <w:p>
            <w:pPr>
              <w:pStyle w:val="27"/>
            </w:pPr>
            <w:r>
              <w:t>集中供热配电工程的完成质量合格率</w:t>
            </w:r>
          </w:p>
        </w:tc>
        <w:tc>
          <w:tcPr>
            <w:tcW w:w="2551" w:type="dxa"/>
            <w:vAlign w:val="center"/>
          </w:tcPr>
          <w:p>
            <w:pPr>
              <w:pStyle w:val="27"/>
            </w:pPr>
            <w:r>
              <w:t>≥90%</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完成及时率</w:t>
            </w:r>
          </w:p>
        </w:tc>
        <w:tc>
          <w:tcPr>
            <w:tcW w:w="2835" w:type="dxa"/>
            <w:vAlign w:val="center"/>
          </w:tcPr>
          <w:p>
            <w:pPr>
              <w:pStyle w:val="27"/>
            </w:pPr>
            <w:r>
              <w:t>按照合同工期完成</w:t>
            </w:r>
          </w:p>
        </w:tc>
        <w:tc>
          <w:tcPr>
            <w:tcW w:w="2551" w:type="dxa"/>
            <w:vAlign w:val="center"/>
          </w:tcPr>
          <w:p>
            <w:pPr>
              <w:pStyle w:val="27"/>
            </w:pPr>
            <w:r>
              <w:t>%</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藁城区集中供热配电项目成本</w:t>
            </w:r>
          </w:p>
        </w:tc>
        <w:tc>
          <w:tcPr>
            <w:tcW w:w="2551" w:type="dxa"/>
            <w:vAlign w:val="center"/>
          </w:tcPr>
          <w:p>
            <w:pPr>
              <w:pStyle w:val="27"/>
            </w:pPr>
            <w:r>
              <w:t>≤1500万元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工程产生的对社会的积极影响</w:t>
            </w:r>
          </w:p>
        </w:tc>
        <w:tc>
          <w:tcPr>
            <w:tcW w:w="2835" w:type="dxa"/>
            <w:vAlign w:val="center"/>
          </w:tcPr>
          <w:p>
            <w:pPr>
              <w:pStyle w:val="27"/>
            </w:pPr>
            <w:r>
              <w:t>为城区清洁能源供暖提供电力保障</w:t>
            </w:r>
          </w:p>
        </w:tc>
        <w:tc>
          <w:tcPr>
            <w:tcW w:w="2551" w:type="dxa"/>
            <w:vAlign w:val="center"/>
          </w:tcPr>
          <w:p>
            <w:pPr>
              <w:pStyle w:val="27"/>
            </w:pPr>
            <w:r>
              <w:t>对社会产生的积极影响</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服务对象满意度</w:t>
            </w:r>
          </w:p>
        </w:tc>
        <w:tc>
          <w:tcPr>
            <w:tcW w:w="2551" w:type="dxa"/>
            <w:vAlign w:val="center"/>
          </w:tcPr>
          <w:p>
            <w:pPr>
              <w:pStyle w:val="27"/>
            </w:pPr>
            <w:r>
              <w:t>≥85%</w:t>
            </w:r>
          </w:p>
        </w:tc>
        <w:tc>
          <w:tcPr>
            <w:tcW w:w="2268" w:type="dxa"/>
            <w:vAlign w:val="center"/>
          </w:tcPr>
          <w:p>
            <w:pPr>
              <w:pStyle w:val="27"/>
            </w:pPr>
            <w:r>
              <w:t>年度工作计划</w:t>
            </w:r>
          </w:p>
        </w:tc>
      </w:tr>
    </w:tbl>
    <w:p>
      <w:pPr>
        <w:pStyle w:val="25"/>
      </w:pPr>
    </w:p>
    <w:p>
      <w:pPr>
        <w:pStyle w:val="25"/>
        <w:ind w:firstLine="560"/>
      </w:pPr>
      <w:r>
        <w:rPr>
          <w:rFonts w:ascii="方正仿宋_GBK" w:hAnsi="方正仿宋_GBK" w:eastAsia="方正仿宋_GBK" w:cs="方正仿宋_GBK"/>
          <w:b/>
          <w:color w:val="000000"/>
          <w:sz w:val="28"/>
        </w:rPr>
        <w:t>73、藁城区人民广场电视塔维护加固及夜景照明工程绩效目标表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1.对广播电视塔进行全面的安全检测及维修加固，确保亮化工程能够安全顺利进行。</w:t>
            </w:r>
          </w:p>
          <w:p>
            <w:pPr>
              <w:pStyle w:val="27"/>
            </w:pPr>
            <w:r>
              <w:t>2.将电视塔打造成藁城区地标性夜景景观，以提升藁城</w:t>
            </w:r>
            <w:r>
              <w:rPr>
                <w:rFonts w:hint="eastAsia"/>
                <w:lang w:eastAsia="zh-CN"/>
              </w:rPr>
              <w:t>文化品位</w:t>
            </w:r>
            <w:r>
              <w:t>，建设经济强区、魅力藁城。</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工程高度</w:t>
            </w:r>
          </w:p>
        </w:tc>
        <w:tc>
          <w:tcPr>
            <w:tcW w:w="2835" w:type="dxa"/>
            <w:vAlign w:val="center"/>
          </w:tcPr>
          <w:p>
            <w:pPr>
              <w:pStyle w:val="27"/>
            </w:pPr>
            <w:r>
              <w:t>需亮化及维修加固的电视塔高度</w:t>
            </w:r>
          </w:p>
        </w:tc>
        <w:tc>
          <w:tcPr>
            <w:tcW w:w="2551" w:type="dxa"/>
            <w:vAlign w:val="center"/>
          </w:tcPr>
          <w:p>
            <w:pPr>
              <w:pStyle w:val="27"/>
            </w:pPr>
            <w:r>
              <w:t>＝168米</w:t>
            </w:r>
          </w:p>
        </w:tc>
        <w:tc>
          <w:tcPr>
            <w:tcW w:w="2268" w:type="dxa"/>
            <w:vAlign w:val="center"/>
          </w:tcPr>
          <w:p>
            <w:pPr>
              <w:pStyle w:val="27"/>
            </w:pPr>
            <w:r>
              <w:t>实际测量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施工完成质量</w:t>
            </w:r>
          </w:p>
        </w:tc>
        <w:tc>
          <w:tcPr>
            <w:tcW w:w="2835" w:type="dxa"/>
            <w:vAlign w:val="center"/>
          </w:tcPr>
          <w:p>
            <w:pPr>
              <w:pStyle w:val="27"/>
            </w:pPr>
            <w:r>
              <w:t>工程竣工后质量达到合格标准</w:t>
            </w:r>
          </w:p>
        </w:tc>
        <w:tc>
          <w:tcPr>
            <w:tcW w:w="2551" w:type="dxa"/>
            <w:vAlign w:val="center"/>
          </w:tcPr>
          <w:p>
            <w:pPr>
              <w:pStyle w:val="27"/>
            </w:pPr>
            <w:r>
              <w:t>≥90%</w:t>
            </w:r>
          </w:p>
        </w:tc>
        <w:tc>
          <w:tcPr>
            <w:tcW w:w="2268" w:type="dxa"/>
            <w:vAlign w:val="center"/>
          </w:tcPr>
          <w:p>
            <w:pPr>
              <w:pStyle w:val="27"/>
            </w:pPr>
            <w:r>
              <w:t>质量验收规范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按时完成情况</w:t>
            </w:r>
          </w:p>
        </w:tc>
        <w:tc>
          <w:tcPr>
            <w:tcW w:w="2835" w:type="dxa"/>
            <w:vAlign w:val="center"/>
          </w:tcPr>
          <w:p>
            <w:pPr>
              <w:pStyle w:val="27"/>
            </w:pPr>
            <w:r>
              <w:t>电视塔维护加固及夜景照明工程按时完成情况</w:t>
            </w:r>
          </w:p>
        </w:tc>
        <w:tc>
          <w:tcPr>
            <w:tcW w:w="2551" w:type="dxa"/>
            <w:vAlign w:val="center"/>
          </w:tcPr>
          <w:p>
            <w:pPr>
              <w:pStyle w:val="27"/>
            </w:pPr>
            <w:r>
              <w:t>及时完成</w:t>
            </w:r>
          </w:p>
        </w:tc>
        <w:tc>
          <w:tcPr>
            <w:tcW w:w="2268" w:type="dxa"/>
            <w:vAlign w:val="center"/>
          </w:tcPr>
          <w:p>
            <w:pPr>
              <w:pStyle w:val="27"/>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藁城区人民广场电视塔维护加固及夜景照明工程成本</w:t>
            </w:r>
          </w:p>
        </w:tc>
        <w:tc>
          <w:tcPr>
            <w:tcW w:w="2551" w:type="dxa"/>
            <w:vAlign w:val="center"/>
          </w:tcPr>
          <w:p>
            <w:pPr>
              <w:pStyle w:val="27"/>
            </w:pPr>
            <w:r>
              <w:t>≤50万元</w:t>
            </w:r>
          </w:p>
        </w:tc>
        <w:tc>
          <w:tcPr>
            <w:tcW w:w="2268" w:type="dxa"/>
            <w:vAlign w:val="center"/>
          </w:tcPr>
          <w:p>
            <w:pPr>
              <w:pStyle w:val="27"/>
            </w:pPr>
            <w:r>
              <w:t>财政评审结果书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电视塔条件改善</w:t>
            </w:r>
          </w:p>
        </w:tc>
        <w:tc>
          <w:tcPr>
            <w:tcW w:w="2835" w:type="dxa"/>
            <w:vAlign w:val="center"/>
          </w:tcPr>
          <w:p>
            <w:pPr>
              <w:pStyle w:val="27"/>
            </w:pPr>
            <w:r>
              <w:t>提高城市居民生活质量，提升藁城</w:t>
            </w:r>
            <w:r>
              <w:rPr>
                <w:rFonts w:hint="eastAsia"/>
                <w:lang w:eastAsia="zh-CN"/>
              </w:rPr>
              <w:t>文化品位</w:t>
            </w:r>
            <w:r>
              <w:t>，增强城市综合文化能力</w:t>
            </w:r>
          </w:p>
        </w:tc>
        <w:tc>
          <w:tcPr>
            <w:tcW w:w="2551" w:type="dxa"/>
            <w:vAlign w:val="center"/>
          </w:tcPr>
          <w:p>
            <w:pPr>
              <w:pStyle w:val="27"/>
            </w:pPr>
            <w:r>
              <w:t>实际反馈</w:t>
            </w:r>
          </w:p>
        </w:tc>
        <w:tc>
          <w:tcPr>
            <w:tcW w:w="2268" w:type="dxa"/>
            <w:vAlign w:val="center"/>
          </w:tcPr>
          <w:p>
            <w:pPr>
              <w:pStyle w:val="27"/>
            </w:pPr>
            <w:r>
              <w:t>实地查验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所提供服务对象的满意程度</w:t>
            </w:r>
          </w:p>
        </w:tc>
        <w:tc>
          <w:tcPr>
            <w:tcW w:w="2551" w:type="dxa"/>
            <w:vAlign w:val="center"/>
          </w:tcPr>
          <w:p>
            <w:pPr>
              <w:pStyle w:val="27"/>
            </w:pPr>
            <w:r>
              <w:t>≥85%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74、藁城区中水余热利用及附属工程和城区供暖改造项目前期手续编制及评审绩效目标表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1.完成藁城区中水余热利用及附属工程和城区供暖改造项目前期手续编制及评审</w:t>
            </w:r>
          </w:p>
          <w:p>
            <w:pPr>
              <w:pStyle w:val="27"/>
            </w:pPr>
            <w:r>
              <w:t>2.项目顺利实施</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新建供热站数量</w:t>
            </w:r>
          </w:p>
        </w:tc>
        <w:tc>
          <w:tcPr>
            <w:tcW w:w="2835" w:type="dxa"/>
            <w:vAlign w:val="center"/>
          </w:tcPr>
          <w:p>
            <w:pPr>
              <w:pStyle w:val="27"/>
            </w:pPr>
            <w:r>
              <w:t>新建供热站数量</w:t>
            </w:r>
          </w:p>
        </w:tc>
        <w:tc>
          <w:tcPr>
            <w:tcW w:w="2551" w:type="dxa"/>
            <w:vAlign w:val="center"/>
          </w:tcPr>
          <w:p>
            <w:pPr>
              <w:pStyle w:val="27"/>
            </w:pPr>
            <w:r>
              <w:t>1座</w:t>
            </w:r>
          </w:p>
        </w:tc>
        <w:tc>
          <w:tcPr>
            <w:tcW w:w="2268" w:type="dxa"/>
            <w:vAlign w:val="center"/>
          </w:tcPr>
          <w:p>
            <w:pPr>
              <w:pStyle w:val="27"/>
            </w:pPr>
            <w:r>
              <w:t>具体数量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工程验收合格</w:t>
            </w:r>
          </w:p>
        </w:tc>
        <w:tc>
          <w:tcPr>
            <w:tcW w:w="2835" w:type="dxa"/>
            <w:vAlign w:val="center"/>
          </w:tcPr>
          <w:p>
            <w:pPr>
              <w:pStyle w:val="27"/>
            </w:pPr>
            <w:r>
              <w:t>工程质量符合验收标准</w:t>
            </w:r>
          </w:p>
        </w:tc>
        <w:tc>
          <w:tcPr>
            <w:tcW w:w="2551" w:type="dxa"/>
            <w:vAlign w:val="center"/>
          </w:tcPr>
          <w:p>
            <w:pPr>
              <w:pStyle w:val="27"/>
            </w:pPr>
            <w:r>
              <w:t>竣工验收文件</w:t>
            </w:r>
          </w:p>
        </w:tc>
        <w:tc>
          <w:tcPr>
            <w:tcW w:w="2268" w:type="dxa"/>
            <w:vAlign w:val="center"/>
          </w:tcPr>
          <w:p>
            <w:pPr>
              <w:pStyle w:val="27"/>
            </w:pPr>
            <w:r>
              <w:t>竣工验收文件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按时完工</w:t>
            </w:r>
          </w:p>
        </w:tc>
        <w:tc>
          <w:tcPr>
            <w:tcW w:w="2835" w:type="dxa"/>
            <w:vAlign w:val="center"/>
          </w:tcPr>
          <w:p>
            <w:pPr>
              <w:pStyle w:val="27"/>
            </w:pPr>
            <w:r>
              <w:t>按时完工</w:t>
            </w:r>
          </w:p>
        </w:tc>
        <w:tc>
          <w:tcPr>
            <w:tcW w:w="2551" w:type="dxa"/>
            <w:vAlign w:val="center"/>
          </w:tcPr>
          <w:p>
            <w:pPr>
              <w:pStyle w:val="27"/>
            </w:pPr>
            <w:r>
              <w:t>实际完工时间</w:t>
            </w:r>
          </w:p>
        </w:tc>
        <w:tc>
          <w:tcPr>
            <w:tcW w:w="2268" w:type="dxa"/>
            <w:vAlign w:val="center"/>
          </w:tcPr>
          <w:p>
            <w:pPr>
              <w:pStyle w:val="27"/>
            </w:pPr>
            <w:r>
              <w:t>实际完工时间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藁城区中水余热利用及附属工程和城区供暖改造项目前期手续编制及评审成本</w:t>
            </w:r>
          </w:p>
        </w:tc>
        <w:tc>
          <w:tcPr>
            <w:tcW w:w="2551" w:type="dxa"/>
            <w:vAlign w:val="center"/>
          </w:tcPr>
          <w:p>
            <w:pPr>
              <w:pStyle w:val="27"/>
            </w:pPr>
            <w:r>
              <w:t>≤50万元</w:t>
            </w:r>
          </w:p>
        </w:tc>
        <w:tc>
          <w:tcPr>
            <w:tcW w:w="2268" w:type="dxa"/>
            <w:vAlign w:val="center"/>
          </w:tcPr>
          <w:p>
            <w:pPr>
              <w:pStyle w:val="27"/>
            </w:pPr>
            <w:r>
              <w:t>实际决算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保障供暖</w:t>
            </w:r>
          </w:p>
        </w:tc>
        <w:tc>
          <w:tcPr>
            <w:tcW w:w="2835" w:type="dxa"/>
            <w:vAlign w:val="center"/>
          </w:tcPr>
          <w:p>
            <w:pPr>
              <w:pStyle w:val="27"/>
            </w:pPr>
            <w:r>
              <w:t>集中供热区域内居民正常按时取暖</w:t>
            </w:r>
          </w:p>
        </w:tc>
        <w:tc>
          <w:tcPr>
            <w:tcW w:w="2551" w:type="dxa"/>
            <w:vAlign w:val="center"/>
          </w:tcPr>
          <w:p>
            <w:pPr>
              <w:pStyle w:val="27"/>
            </w:pPr>
            <w:r>
              <w:t>实际反馈</w:t>
            </w:r>
          </w:p>
        </w:tc>
        <w:tc>
          <w:tcPr>
            <w:tcW w:w="2268" w:type="dxa"/>
            <w:vAlign w:val="center"/>
          </w:tcPr>
          <w:p>
            <w:pPr>
              <w:pStyle w:val="27"/>
            </w:pPr>
            <w:r>
              <w:t>实际反馈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供暖满意度</w:t>
            </w:r>
          </w:p>
        </w:tc>
        <w:tc>
          <w:tcPr>
            <w:tcW w:w="2835" w:type="dxa"/>
            <w:vAlign w:val="center"/>
          </w:tcPr>
          <w:p>
            <w:pPr>
              <w:pStyle w:val="27"/>
            </w:pPr>
            <w:r>
              <w:t>群众供暖满意情况</w:t>
            </w:r>
          </w:p>
        </w:tc>
        <w:tc>
          <w:tcPr>
            <w:tcW w:w="2551" w:type="dxa"/>
            <w:vAlign w:val="center"/>
          </w:tcPr>
          <w:p>
            <w:pPr>
              <w:pStyle w:val="27"/>
            </w:pPr>
            <w:r>
              <w:t>≥85%</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75、藁城域内城镇燃气行业开展风险辨识与应急能力评估绩效目标表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1.对区域内燃气企业燃气设施开展集中风险辨识和分级，形成燃气行业风险清单，提出解决对策，实施分级精准管控，有效预防各类事故发生</w:t>
            </w:r>
          </w:p>
          <w:p>
            <w:pPr>
              <w:pStyle w:val="27"/>
            </w:pPr>
            <w:r>
              <w:t>2.对政府部门和燃气企业应急能力进行评估，提高应急救援能力。</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数量</w:t>
            </w:r>
          </w:p>
        </w:tc>
        <w:tc>
          <w:tcPr>
            <w:tcW w:w="2835" w:type="dxa"/>
            <w:vAlign w:val="center"/>
          </w:tcPr>
          <w:p>
            <w:pPr>
              <w:pStyle w:val="27"/>
            </w:pPr>
            <w:r>
              <w:t>对我区15家燃气企业进行集中风险辨识和分级，形成燃气行业风险清单，提出解决对策，实施分级精准管控，对政府部门和燃气企业应急能力进行评估，提高应急救援能力。</w:t>
            </w:r>
          </w:p>
        </w:tc>
        <w:tc>
          <w:tcPr>
            <w:tcW w:w="2551" w:type="dxa"/>
            <w:vAlign w:val="center"/>
          </w:tcPr>
          <w:p>
            <w:pPr>
              <w:pStyle w:val="27"/>
            </w:pPr>
            <w:r>
              <w:t>≥15家</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质量指标</w:t>
            </w:r>
          </w:p>
        </w:tc>
        <w:tc>
          <w:tcPr>
            <w:tcW w:w="2835" w:type="dxa"/>
            <w:vAlign w:val="center"/>
          </w:tcPr>
          <w:p>
            <w:pPr>
              <w:pStyle w:val="27"/>
            </w:pPr>
            <w:r>
              <w:t>完成藁城域内城镇燃气行业开展风险辨识与应急能力评估质量</w:t>
            </w:r>
          </w:p>
        </w:tc>
        <w:tc>
          <w:tcPr>
            <w:tcW w:w="2551" w:type="dxa"/>
            <w:vAlign w:val="center"/>
          </w:tcPr>
          <w:p>
            <w:pPr>
              <w:pStyle w:val="27"/>
            </w:pPr>
            <w:r>
              <w:t>按照规定要求完成</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时效指标</w:t>
            </w:r>
          </w:p>
        </w:tc>
        <w:tc>
          <w:tcPr>
            <w:tcW w:w="2835" w:type="dxa"/>
            <w:vAlign w:val="center"/>
          </w:tcPr>
          <w:p>
            <w:pPr>
              <w:pStyle w:val="27"/>
            </w:pPr>
            <w:r>
              <w:t>按照时间节点完成该项工作</w:t>
            </w:r>
          </w:p>
        </w:tc>
        <w:tc>
          <w:tcPr>
            <w:tcW w:w="2551" w:type="dxa"/>
            <w:vAlign w:val="center"/>
          </w:tcPr>
          <w:p>
            <w:pPr>
              <w:pStyle w:val="27"/>
            </w:pPr>
            <w:r>
              <w:t>按照规定时限完成</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资金成本</w:t>
            </w:r>
          </w:p>
        </w:tc>
        <w:tc>
          <w:tcPr>
            <w:tcW w:w="2835" w:type="dxa"/>
            <w:vAlign w:val="center"/>
          </w:tcPr>
          <w:p>
            <w:pPr>
              <w:pStyle w:val="27"/>
            </w:pPr>
            <w:r>
              <w:t>藁城域内城镇燃气行业开展风险辨识与应急能力评估成本</w:t>
            </w:r>
          </w:p>
        </w:tc>
        <w:tc>
          <w:tcPr>
            <w:tcW w:w="2551" w:type="dxa"/>
            <w:vAlign w:val="center"/>
          </w:tcPr>
          <w:p>
            <w:pPr>
              <w:pStyle w:val="27"/>
            </w:pPr>
            <w:r>
              <w:t>≤10万元</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社会效益指标</w:t>
            </w:r>
          </w:p>
        </w:tc>
        <w:tc>
          <w:tcPr>
            <w:tcW w:w="2835" w:type="dxa"/>
            <w:vAlign w:val="center"/>
          </w:tcPr>
          <w:p>
            <w:pPr>
              <w:pStyle w:val="27"/>
            </w:pPr>
            <w:r>
              <w:t>正规燃气企业和政府部门风险治理、风险管控、应急处置能力。保障全区人民生命和公共设施安全</w:t>
            </w:r>
          </w:p>
        </w:tc>
        <w:tc>
          <w:tcPr>
            <w:tcW w:w="2551" w:type="dxa"/>
            <w:vAlign w:val="center"/>
          </w:tcPr>
          <w:p>
            <w:pPr>
              <w:pStyle w:val="27"/>
            </w:pPr>
            <w:r>
              <w:t>减少事故发生</w:t>
            </w:r>
          </w:p>
        </w:tc>
        <w:tc>
          <w:tcPr>
            <w:tcW w:w="2268" w:type="dxa"/>
            <w:vAlign w:val="center"/>
          </w:tcPr>
          <w:p>
            <w:pPr>
              <w:pStyle w:val="2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服务对象满意情况</w:t>
            </w:r>
          </w:p>
        </w:tc>
        <w:tc>
          <w:tcPr>
            <w:tcW w:w="2551" w:type="dxa"/>
            <w:vAlign w:val="center"/>
          </w:tcPr>
          <w:p>
            <w:pPr>
              <w:pStyle w:val="27"/>
            </w:pPr>
            <w:r>
              <w:t>≥90%</w:t>
            </w:r>
          </w:p>
        </w:tc>
        <w:tc>
          <w:tcPr>
            <w:tcW w:w="2268" w:type="dxa"/>
            <w:vAlign w:val="center"/>
          </w:tcPr>
          <w:p>
            <w:pPr>
              <w:pStyle w:val="27"/>
            </w:pPr>
            <w:r>
              <w:t>年度工作计划</w:t>
            </w:r>
          </w:p>
        </w:tc>
      </w:tr>
    </w:tbl>
    <w:p>
      <w:pPr>
        <w:spacing w:before="10" w:after="10"/>
        <w:ind w:firstLine="640"/>
        <w:outlineLvl w:val="5"/>
        <w:rPr>
          <w:lang w:eastAsia="zh-CN"/>
        </w:rPr>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2022年，石家庄市藁城区住房和城乡建设局本级安排政府采购预算0.00万元。具体内容见下表。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8"/>
            </w:pPr>
            <w:r>
              <w:t>333001石家庄市藁城区住房和城乡建设局本级</w:t>
            </w:r>
          </w:p>
        </w:tc>
        <w:tc>
          <w:tcPr>
            <w:tcW w:w="831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1"/>
            </w:pPr>
            <w:r>
              <w:t>政府采购项目来源</w:t>
            </w:r>
          </w:p>
        </w:tc>
        <w:tc>
          <w:tcPr>
            <w:tcW w:w="924" w:type="dxa"/>
            <w:vMerge w:val="restart"/>
            <w:vAlign w:val="center"/>
          </w:tcPr>
          <w:p>
            <w:pPr>
              <w:pStyle w:val="11"/>
            </w:pPr>
            <w:r>
              <w:t>采购物品名称</w:t>
            </w:r>
          </w:p>
        </w:tc>
        <w:tc>
          <w:tcPr>
            <w:tcW w:w="924" w:type="dxa"/>
            <w:vMerge w:val="restart"/>
            <w:vAlign w:val="center"/>
          </w:tcPr>
          <w:p>
            <w:pPr>
              <w:pStyle w:val="11"/>
            </w:pPr>
            <w:r>
              <w:t>政府采购目录序号</w:t>
            </w:r>
          </w:p>
        </w:tc>
        <w:tc>
          <w:tcPr>
            <w:tcW w:w="924" w:type="dxa"/>
            <w:vMerge w:val="restart"/>
            <w:vAlign w:val="center"/>
          </w:tcPr>
          <w:p>
            <w:pPr>
              <w:pStyle w:val="11"/>
            </w:pPr>
            <w:r>
              <w:t>计量  单位</w:t>
            </w:r>
          </w:p>
        </w:tc>
        <w:tc>
          <w:tcPr>
            <w:tcW w:w="924" w:type="dxa"/>
            <w:vMerge w:val="restart"/>
            <w:vAlign w:val="center"/>
          </w:tcPr>
          <w:p>
            <w:pPr>
              <w:pStyle w:val="11"/>
            </w:pPr>
            <w:r>
              <w:t>数量</w:t>
            </w:r>
          </w:p>
        </w:tc>
        <w:tc>
          <w:tcPr>
            <w:tcW w:w="924" w:type="dxa"/>
            <w:vMerge w:val="restart"/>
            <w:vAlign w:val="center"/>
          </w:tcPr>
          <w:p>
            <w:pPr>
              <w:pStyle w:val="11"/>
            </w:pPr>
            <w:r>
              <w:t>单价</w:t>
            </w:r>
          </w:p>
        </w:tc>
        <w:tc>
          <w:tcPr>
            <w:tcW w:w="7392" w:type="dxa"/>
            <w:gridSpan w:val="8"/>
            <w:vAlign w:val="center"/>
          </w:tcPr>
          <w:p>
            <w:pPr>
              <w:pStyle w:val="11"/>
            </w:pPr>
            <w:r>
              <w:t>政府采购金额（当年部门预算安排资金）</w:t>
            </w:r>
          </w:p>
        </w:tc>
        <w:tc>
          <w:tcPr>
            <w:tcW w:w="924"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1"/>
            </w:pPr>
            <w:r>
              <w:t>项目名称</w:t>
            </w:r>
          </w:p>
        </w:tc>
        <w:tc>
          <w:tcPr>
            <w:tcW w:w="924" w:type="dxa"/>
            <w:vAlign w:val="center"/>
          </w:tcPr>
          <w:p>
            <w:pPr>
              <w:pStyle w:val="11"/>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1"/>
            </w:pPr>
            <w:r>
              <w:t>合计</w:t>
            </w:r>
          </w:p>
        </w:tc>
        <w:tc>
          <w:tcPr>
            <w:tcW w:w="924" w:type="dxa"/>
            <w:vAlign w:val="center"/>
          </w:tcPr>
          <w:p>
            <w:pPr>
              <w:pStyle w:val="11"/>
            </w:pPr>
            <w:r>
              <w:t>一般公共预算拨款</w:t>
            </w:r>
          </w:p>
        </w:tc>
        <w:tc>
          <w:tcPr>
            <w:tcW w:w="924" w:type="dxa"/>
            <w:vAlign w:val="center"/>
          </w:tcPr>
          <w:p>
            <w:pPr>
              <w:pStyle w:val="11"/>
            </w:pPr>
            <w:r>
              <w:t>基金预算拨款</w:t>
            </w:r>
          </w:p>
        </w:tc>
        <w:tc>
          <w:tcPr>
            <w:tcW w:w="924" w:type="dxa"/>
            <w:vAlign w:val="center"/>
          </w:tcPr>
          <w:p>
            <w:pPr>
              <w:pStyle w:val="11"/>
            </w:pPr>
            <w:r>
              <w:t>国有资本经营预算拨款</w:t>
            </w:r>
          </w:p>
        </w:tc>
        <w:tc>
          <w:tcPr>
            <w:tcW w:w="924" w:type="dxa"/>
            <w:vAlign w:val="center"/>
          </w:tcPr>
          <w:p>
            <w:pPr>
              <w:pStyle w:val="11"/>
            </w:pPr>
            <w:r>
              <w:t>财政专户核拨</w:t>
            </w:r>
          </w:p>
        </w:tc>
        <w:tc>
          <w:tcPr>
            <w:tcW w:w="924" w:type="dxa"/>
            <w:vAlign w:val="center"/>
          </w:tcPr>
          <w:p>
            <w:pPr>
              <w:pStyle w:val="11"/>
            </w:pPr>
            <w:r>
              <w:t>单位    资金</w:t>
            </w:r>
          </w:p>
        </w:tc>
        <w:tc>
          <w:tcPr>
            <w:tcW w:w="924" w:type="dxa"/>
            <w:vAlign w:val="center"/>
          </w:tcPr>
          <w:p>
            <w:pPr>
              <w:pStyle w:val="11"/>
            </w:pPr>
            <w:r>
              <w:t>财政拨    款结转</w:t>
            </w:r>
          </w:p>
        </w:tc>
        <w:tc>
          <w:tcPr>
            <w:tcW w:w="924" w:type="dxa"/>
            <w:vAlign w:val="center"/>
          </w:tcPr>
          <w:p>
            <w:pPr>
              <w:pStyle w:val="11"/>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3"/>
            </w:pPr>
          </w:p>
        </w:tc>
        <w:tc>
          <w:tcPr>
            <w:tcW w:w="924" w:type="dxa"/>
            <w:vAlign w:val="center"/>
          </w:tcPr>
          <w:p>
            <w:pPr>
              <w:pStyle w:val="14"/>
            </w:pPr>
          </w:p>
        </w:tc>
        <w:tc>
          <w:tcPr>
            <w:tcW w:w="924" w:type="dxa"/>
            <w:vAlign w:val="center"/>
          </w:tcPr>
          <w:p>
            <w:pPr>
              <w:pStyle w:val="13"/>
            </w:pPr>
          </w:p>
        </w:tc>
        <w:tc>
          <w:tcPr>
            <w:tcW w:w="924" w:type="dxa"/>
            <w:vAlign w:val="center"/>
          </w:tcPr>
          <w:p>
            <w:pPr>
              <w:pStyle w:val="13"/>
            </w:pPr>
          </w:p>
        </w:tc>
        <w:tc>
          <w:tcPr>
            <w:tcW w:w="924" w:type="dxa"/>
            <w:vAlign w:val="center"/>
          </w:tcPr>
          <w:p>
            <w:pPr>
              <w:pStyle w:val="12"/>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石家庄市藁城区住房和城乡建设局本级上年末固定资产金额为4</w:t>
      </w:r>
      <w:r>
        <w:rPr>
          <w:rFonts w:hint="eastAsia" w:cs="Times New Roman" w:asciiTheme="minorEastAsia" w:hAnsiTheme="minorEastAsia" w:eastAsiaTheme="minorEastAsia"/>
          <w:color w:val="000000"/>
          <w:sz w:val="28"/>
          <w:lang w:eastAsia="zh-CN"/>
        </w:rPr>
        <w:t>954.84</w:t>
      </w:r>
      <w:r>
        <w:rPr>
          <w:rFonts w:eastAsia="方正仿宋_GBK" w:cs="Times New Roman"/>
          <w:color w:val="000000"/>
          <w:sz w:val="28"/>
        </w:rPr>
        <w:t>万元（详见下表）。本年度拟购置固定资产总额为12.14万元，</w:t>
      </w:r>
      <w:r>
        <w:rPr>
          <w:rFonts w:hint="eastAsia" w:eastAsia="方正仿宋_GBK" w:cs="Times New Roman"/>
          <w:color w:val="000000"/>
          <w:sz w:val="28"/>
        </w:rPr>
        <w:t>主要购买计算机、空调、打印机、办公桌、防盗门、监控设备、执法记录仪，因未达到政府采购限额，故未列入政府采购预算</w:t>
      </w:r>
      <w:r>
        <w:rPr>
          <w:rFonts w:eastAsia="方正仿宋_GBK" w:cs="Times New Roman"/>
          <w:color w:val="000000"/>
          <w:sz w:val="28"/>
        </w:rPr>
        <w:t>。</w:t>
      </w:r>
    </w:p>
    <w:p>
      <w:pPr>
        <w:jc w:val="center"/>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8"/>
            </w:pPr>
            <w:r>
              <w:t>333001石家庄市藁城区住房和城乡建设局本级</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2"/>
            </w:pPr>
          </w:p>
        </w:tc>
        <w:tc>
          <w:tcPr>
            <w:tcW w:w="4933" w:type="dxa"/>
            <w:vAlign w:val="center"/>
          </w:tcPr>
          <w:p>
            <w:pPr>
              <w:pStyle w:val="14"/>
              <w:rPr>
                <w:rFonts w:hint="eastAsia" w:eastAsiaTheme="minorEastAsia"/>
                <w:lang w:eastAsia="zh-CN"/>
              </w:rPr>
            </w:pPr>
            <w:r>
              <w:rPr>
                <w:rFonts w:hint="eastAsia" w:eastAsiaTheme="minorEastAsia"/>
                <w:lang w:eastAsia="zh-CN"/>
              </w:rPr>
              <w:t>4954.84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2"/>
            </w:pPr>
            <w:r>
              <w:t>27235.04</w:t>
            </w:r>
          </w:p>
        </w:tc>
        <w:tc>
          <w:tcPr>
            <w:tcW w:w="4933" w:type="dxa"/>
            <w:vAlign w:val="center"/>
          </w:tcPr>
          <w:p>
            <w:pPr>
              <w:pStyle w:val="14"/>
            </w:pPr>
            <w:r>
              <w:t>4745.17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2"/>
              <w:rPr>
                <w:rFonts w:hint="eastAsia" w:eastAsiaTheme="minorEastAsia"/>
                <w:lang w:eastAsia="zh-CN"/>
              </w:rPr>
            </w:pPr>
            <w:r>
              <w:rPr>
                <w:rFonts w:hint="eastAsia" w:eastAsiaTheme="minorEastAsia"/>
                <w:lang w:eastAsia="zh-CN"/>
              </w:rPr>
              <w:t>2616</w:t>
            </w:r>
          </w:p>
        </w:tc>
        <w:tc>
          <w:tcPr>
            <w:tcW w:w="4933" w:type="dxa"/>
            <w:vAlign w:val="center"/>
          </w:tcPr>
          <w:p>
            <w:pPr>
              <w:pStyle w:val="14"/>
              <w:rPr>
                <w:rFonts w:hint="eastAsia" w:eastAsiaTheme="minorEastAsia"/>
                <w:lang w:eastAsia="zh-CN"/>
              </w:rPr>
            </w:pPr>
            <w:r>
              <w:rPr>
                <w:rFonts w:hint="eastAsia" w:eastAsiaTheme="minorEastAsia"/>
                <w:lang w:eastAsia="zh-CN"/>
              </w:rPr>
              <w:t>269.41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2"/>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2"/>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2"/>
            </w:pPr>
            <w:r>
              <w:t>263</w:t>
            </w:r>
          </w:p>
        </w:tc>
        <w:tc>
          <w:tcPr>
            <w:tcW w:w="4933" w:type="dxa"/>
            <w:vAlign w:val="center"/>
          </w:tcPr>
          <w:p>
            <w:pPr>
              <w:pStyle w:val="14"/>
            </w:pPr>
            <w:r>
              <w:t>209.67</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rPr>
        <w:t>区县级</w:t>
      </w:r>
      <w:r>
        <w:rPr>
          <w:rFonts w:eastAsia="方正仿宋_GBK" w:cs="Times New Roman"/>
          <w:color w:val="000000"/>
          <w:sz w:val="28"/>
        </w:rPr>
        <w:t>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rPr>
        <w:t>区县级</w:t>
      </w:r>
      <w:r>
        <w:rPr>
          <w:rFonts w:eastAsia="方正仿宋_GBK" w:cs="Times New Roman"/>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2" w:name="_Toc9739"/>
      <w:r>
        <w:rPr>
          <w:rFonts w:ascii="方正小标宋_GBK" w:hAnsi="方正小标宋_GBK" w:eastAsia="方正小标宋_GBK" w:cs="方正小标宋_GBK"/>
          <w:color w:val="000000"/>
          <w:sz w:val="44"/>
        </w:rPr>
        <w:t>二、石家庄市藁城区人民广场收支预算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8"/>
            </w:pPr>
            <w:r>
              <w:t>333003石家庄市藁城区人民广场</w:t>
            </w:r>
          </w:p>
        </w:tc>
        <w:tc>
          <w:tcPr>
            <w:tcW w:w="2959" w:type="dxa"/>
            <w:tcBorders>
              <w:top w:val="single" w:color="FFFFFF" w:sz="6" w:space="0"/>
              <w:left w:val="single" w:color="FFFFFF" w:sz="6" w:space="0"/>
              <w:right w:val="single" w:color="FFFFFF" w:sz="6" w:space="0"/>
            </w:tcBorders>
            <w:vAlign w:val="center"/>
          </w:tcPr>
          <w:p>
            <w:pPr>
              <w:pStyle w:val="9"/>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w:t>
            </w:r>
          </w:p>
        </w:tc>
        <w:tc>
          <w:tcPr>
            <w:tcW w:w="2959" w:type="dxa"/>
            <w:vAlign w:val="center"/>
          </w:tcPr>
          <w:p>
            <w:pPr>
              <w:pStyle w:val="13"/>
            </w:pPr>
            <w:r>
              <w:t>一、一般公共预算拨款收入</w:t>
            </w:r>
          </w:p>
        </w:tc>
        <w:tc>
          <w:tcPr>
            <w:tcW w:w="2959" w:type="dxa"/>
            <w:vAlign w:val="center"/>
          </w:tcPr>
          <w:p>
            <w:pPr>
              <w:pStyle w:val="14"/>
            </w:pPr>
            <w:r>
              <w:t>448.77</w:t>
            </w:r>
          </w:p>
        </w:tc>
        <w:tc>
          <w:tcPr>
            <w:tcW w:w="2959" w:type="dxa"/>
            <w:vAlign w:val="center"/>
          </w:tcPr>
          <w:p>
            <w:pPr>
              <w:pStyle w:val="13"/>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w:t>
            </w:r>
          </w:p>
        </w:tc>
        <w:tc>
          <w:tcPr>
            <w:tcW w:w="2959" w:type="dxa"/>
            <w:vAlign w:val="center"/>
          </w:tcPr>
          <w:p>
            <w:pPr>
              <w:pStyle w:val="13"/>
            </w:pPr>
            <w:r>
              <w:t>二、政府性基金预算拨款收入</w:t>
            </w:r>
          </w:p>
        </w:tc>
        <w:tc>
          <w:tcPr>
            <w:tcW w:w="2959" w:type="dxa"/>
            <w:vAlign w:val="center"/>
          </w:tcPr>
          <w:p>
            <w:pPr>
              <w:pStyle w:val="14"/>
            </w:pPr>
            <w:r>
              <w:t>212.28</w:t>
            </w:r>
          </w:p>
        </w:tc>
        <w:tc>
          <w:tcPr>
            <w:tcW w:w="2959" w:type="dxa"/>
            <w:vAlign w:val="center"/>
          </w:tcPr>
          <w:p>
            <w:pPr>
              <w:pStyle w:val="13"/>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3</w:t>
            </w:r>
          </w:p>
        </w:tc>
        <w:tc>
          <w:tcPr>
            <w:tcW w:w="2959" w:type="dxa"/>
            <w:vAlign w:val="center"/>
          </w:tcPr>
          <w:p>
            <w:pPr>
              <w:pStyle w:val="13"/>
            </w:pPr>
            <w:r>
              <w:t>三、国有资本经营预算拨款收入</w:t>
            </w:r>
          </w:p>
        </w:tc>
        <w:tc>
          <w:tcPr>
            <w:tcW w:w="2959" w:type="dxa"/>
            <w:vAlign w:val="center"/>
          </w:tcPr>
          <w:p>
            <w:pPr>
              <w:pStyle w:val="14"/>
            </w:pPr>
          </w:p>
        </w:tc>
        <w:tc>
          <w:tcPr>
            <w:tcW w:w="2959" w:type="dxa"/>
            <w:vAlign w:val="center"/>
          </w:tcPr>
          <w:p>
            <w:pPr>
              <w:pStyle w:val="13"/>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4</w:t>
            </w:r>
          </w:p>
        </w:tc>
        <w:tc>
          <w:tcPr>
            <w:tcW w:w="2959" w:type="dxa"/>
            <w:vAlign w:val="center"/>
          </w:tcPr>
          <w:p>
            <w:pPr>
              <w:pStyle w:val="13"/>
            </w:pPr>
            <w:r>
              <w:t>四、财政专户管理资金收入</w:t>
            </w:r>
          </w:p>
        </w:tc>
        <w:tc>
          <w:tcPr>
            <w:tcW w:w="2959" w:type="dxa"/>
            <w:vAlign w:val="center"/>
          </w:tcPr>
          <w:p>
            <w:pPr>
              <w:pStyle w:val="14"/>
            </w:pPr>
          </w:p>
        </w:tc>
        <w:tc>
          <w:tcPr>
            <w:tcW w:w="2959" w:type="dxa"/>
            <w:vAlign w:val="center"/>
          </w:tcPr>
          <w:p>
            <w:pPr>
              <w:pStyle w:val="13"/>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5</w:t>
            </w:r>
          </w:p>
        </w:tc>
        <w:tc>
          <w:tcPr>
            <w:tcW w:w="2959" w:type="dxa"/>
            <w:vAlign w:val="center"/>
          </w:tcPr>
          <w:p>
            <w:pPr>
              <w:pStyle w:val="13"/>
            </w:pPr>
            <w:r>
              <w:t>五、事业收入</w:t>
            </w:r>
          </w:p>
        </w:tc>
        <w:tc>
          <w:tcPr>
            <w:tcW w:w="2959" w:type="dxa"/>
            <w:vAlign w:val="center"/>
          </w:tcPr>
          <w:p>
            <w:pPr>
              <w:pStyle w:val="14"/>
            </w:pPr>
          </w:p>
        </w:tc>
        <w:tc>
          <w:tcPr>
            <w:tcW w:w="2959" w:type="dxa"/>
            <w:vAlign w:val="center"/>
          </w:tcPr>
          <w:p>
            <w:pPr>
              <w:pStyle w:val="13"/>
            </w:pPr>
            <w:r>
              <w:t>五、教育支出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6</w:t>
            </w:r>
          </w:p>
        </w:tc>
        <w:tc>
          <w:tcPr>
            <w:tcW w:w="2959" w:type="dxa"/>
            <w:vAlign w:val="center"/>
          </w:tcPr>
          <w:p>
            <w:pPr>
              <w:pStyle w:val="13"/>
            </w:pPr>
            <w:r>
              <w:t>六、事业单位经营收入</w:t>
            </w:r>
          </w:p>
        </w:tc>
        <w:tc>
          <w:tcPr>
            <w:tcW w:w="2959" w:type="dxa"/>
            <w:vAlign w:val="center"/>
          </w:tcPr>
          <w:p>
            <w:pPr>
              <w:pStyle w:val="14"/>
            </w:pPr>
          </w:p>
        </w:tc>
        <w:tc>
          <w:tcPr>
            <w:tcW w:w="2959" w:type="dxa"/>
            <w:vAlign w:val="center"/>
          </w:tcPr>
          <w:p>
            <w:pPr>
              <w:pStyle w:val="13"/>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7</w:t>
            </w:r>
          </w:p>
        </w:tc>
        <w:tc>
          <w:tcPr>
            <w:tcW w:w="2959" w:type="dxa"/>
            <w:vAlign w:val="center"/>
          </w:tcPr>
          <w:p>
            <w:pPr>
              <w:pStyle w:val="13"/>
            </w:pPr>
            <w:r>
              <w:t>七、上级补助收入</w:t>
            </w:r>
          </w:p>
        </w:tc>
        <w:tc>
          <w:tcPr>
            <w:tcW w:w="2959" w:type="dxa"/>
            <w:vAlign w:val="center"/>
          </w:tcPr>
          <w:p>
            <w:pPr>
              <w:pStyle w:val="14"/>
            </w:pPr>
          </w:p>
        </w:tc>
        <w:tc>
          <w:tcPr>
            <w:tcW w:w="2959" w:type="dxa"/>
            <w:vAlign w:val="center"/>
          </w:tcPr>
          <w:p>
            <w:pPr>
              <w:pStyle w:val="13"/>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8</w:t>
            </w:r>
          </w:p>
        </w:tc>
        <w:tc>
          <w:tcPr>
            <w:tcW w:w="2959" w:type="dxa"/>
            <w:vAlign w:val="center"/>
          </w:tcPr>
          <w:p>
            <w:pPr>
              <w:pStyle w:val="13"/>
            </w:pPr>
            <w:r>
              <w:t>八、附属单位上缴收入</w:t>
            </w:r>
          </w:p>
        </w:tc>
        <w:tc>
          <w:tcPr>
            <w:tcW w:w="2959" w:type="dxa"/>
            <w:vAlign w:val="center"/>
          </w:tcPr>
          <w:p>
            <w:pPr>
              <w:pStyle w:val="14"/>
            </w:pPr>
          </w:p>
        </w:tc>
        <w:tc>
          <w:tcPr>
            <w:tcW w:w="2959" w:type="dxa"/>
            <w:vAlign w:val="center"/>
          </w:tcPr>
          <w:p>
            <w:pPr>
              <w:pStyle w:val="13"/>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9</w:t>
            </w:r>
          </w:p>
        </w:tc>
        <w:tc>
          <w:tcPr>
            <w:tcW w:w="2959" w:type="dxa"/>
            <w:vAlign w:val="center"/>
          </w:tcPr>
          <w:p>
            <w:pPr>
              <w:pStyle w:val="13"/>
            </w:pPr>
            <w:r>
              <w:t>九、其他收入</w:t>
            </w:r>
          </w:p>
        </w:tc>
        <w:tc>
          <w:tcPr>
            <w:tcW w:w="2959" w:type="dxa"/>
            <w:vAlign w:val="center"/>
          </w:tcPr>
          <w:p>
            <w:pPr>
              <w:pStyle w:val="14"/>
            </w:pPr>
          </w:p>
        </w:tc>
        <w:tc>
          <w:tcPr>
            <w:tcW w:w="2959" w:type="dxa"/>
            <w:vAlign w:val="center"/>
          </w:tcPr>
          <w:p>
            <w:pPr>
              <w:pStyle w:val="13"/>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10</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11</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12</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十二、城乡社区支出</w:t>
            </w:r>
          </w:p>
        </w:tc>
        <w:tc>
          <w:tcPr>
            <w:tcW w:w="2959" w:type="dxa"/>
            <w:vAlign w:val="center"/>
          </w:tcPr>
          <w:p>
            <w:pPr>
              <w:pStyle w:val="14"/>
            </w:pPr>
            <w:r>
              <w:t>661.05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13</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14</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15</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16</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17</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18</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19</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20</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21</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22</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23</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24</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25</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26</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27</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28</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29</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30</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31</w:t>
            </w:r>
          </w:p>
        </w:tc>
        <w:tc>
          <w:tcPr>
            <w:tcW w:w="2959" w:type="dxa"/>
            <w:vAlign w:val="center"/>
          </w:tcPr>
          <w:p>
            <w:pPr>
              <w:pStyle w:val="15"/>
            </w:pPr>
            <w:r>
              <w:t>本年收入合计</w:t>
            </w:r>
          </w:p>
        </w:tc>
        <w:tc>
          <w:tcPr>
            <w:tcW w:w="2959" w:type="dxa"/>
            <w:vAlign w:val="center"/>
          </w:tcPr>
          <w:p>
            <w:pPr>
              <w:pStyle w:val="16"/>
            </w:pPr>
            <w:r>
              <w:t>661.05</w:t>
            </w:r>
          </w:p>
        </w:tc>
        <w:tc>
          <w:tcPr>
            <w:tcW w:w="2959" w:type="dxa"/>
            <w:vAlign w:val="center"/>
          </w:tcPr>
          <w:p>
            <w:pPr>
              <w:pStyle w:val="15"/>
            </w:pPr>
            <w:r>
              <w:t>本年支出合计</w:t>
            </w:r>
          </w:p>
        </w:tc>
        <w:tc>
          <w:tcPr>
            <w:tcW w:w="2959" w:type="dxa"/>
            <w:vAlign w:val="center"/>
          </w:tcPr>
          <w:p>
            <w:pPr>
              <w:pStyle w:val="16"/>
            </w:pPr>
            <w:r>
              <w:t>661.05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32</w:t>
            </w:r>
          </w:p>
        </w:tc>
        <w:tc>
          <w:tcPr>
            <w:tcW w:w="2959" w:type="dxa"/>
            <w:vAlign w:val="center"/>
          </w:tcPr>
          <w:p>
            <w:pPr>
              <w:pStyle w:val="13"/>
            </w:pPr>
            <w:r>
              <w:t>上年结转结余</w:t>
            </w:r>
          </w:p>
        </w:tc>
        <w:tc>
          <w:tcPr>
            <w:tcW w:w="2959" w:type="dxa"/>
            <w:vAlign w:val="center"/>
          </w:tcPr>
          <w:p>
            <w:pPr>
              <w:pStyle w:val="14"/>
            </w:pPr>
          </w:p>
        </w:tc>
        <w:tc>
          <w:tcPr>
            <w:tcW w:w="2959" w:type="dxa"/>
            <w:vAlign w:val="center"/>
          </w:tcPr>
          <w:p>
            <w:pPr>
              <w:pStyle w:val="13"/>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33</w:t>
            </w:r>
          </w:p>
        </w:tc>
        <w:tc>
          <w:tcPr>
            <w:tcW w:w="2959" w:type="dxa"/>
            <w:vAlign w:val="center"/>
          </w:tcPr>
          <w:p>
            <w:pPr>
              <w:pStyle w:val="15"/>
            </w:pPr>
            <w:r>
              <w:t>收入总计</w:t>
            </w:r>
          </w:p>
        </w:tc>
        <w:tc>
          <w:tcPr>
            <w:tcW w:w="2959" w:type="dxa"/>
            <w:vAlign w:val="center"/>
          </w:tcPr>
          <w:p>
            <w:pPr>
              <w:pStyle w:val="16"/>
            </w:pPr>
            <w:r>
              <w:t>661.05</w:t>
            </w:r>
          </w:p>
        </w:tc>
        <w:tc>
          <w:tcPr>
            <w:tcW w:w="2959" w:type="dxa"/>
            <w:vAlign w:val="center"/>
          </w:tcPr>
          <w:p>
            <w:pPr>
              <w:pStyle w:val="15"/>
            </w:pPr>
            <w:r>
              <w:t>支出总计</w:t>
            </w:r>
          </w:p>
        </w:tc>
        <w:tc>
          <w:tcPr>
            <w:tcW w:w="2959" w:type="dxa"/>
            <w:vAlign w:val="center"/>
          </w:tcPr>
          <w:p>
            <w:pPr>
              <w:pStyle w:val="16"/>
            </w:pPr>
            <w:r>
              <w:t>661.05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8"/>
            </w:pPr>
            <w:r>
              <w:t>333003石家庄市藁城区人民广场</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661.05</w:t>
            </w:r>
          </w:p>
        </w:tc>
        <w:tc>
          <w:tcPr>
            <w:tcW w:w="758" w:type="dxa"/>
            <w:vAlign w:val="center"/>
          </w:tcPr>
          <w:p>
            <w:pPr>
              <w:pStyle w:val="16"/>
            </w:pPr>
            <w:r>
              <w:t>661.05</w:t>
            </w:r>
          </w:p>
        </w:tc>
        <w:tc>
          <w:tcPr>
            <w:tcW w:w="758" w:type="dxa"/>
            <w:vAlign w:val="center"/>
          </w:tcPr>
          <w:p>
            <w:pPr>
              <w:pStyle w:val="16"/>
            </w:pPr>
            <w:r>
              <w:t>661.05</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2</w:t>
            </w:r>
          </w:p>
        </w:tc>
        <w:tc>
          <w:tcPr>
            <w:tcW w:w="758" w:type="dxa"/>
            <w:vAlign w:val="center"/>
          </w:tcPr>
          <w:p>
            <w:pPr>
              <w:pStyle w:val="13"/>
            </w:pPr>
            <w:r>
              <w:t>212</w:t>
            </w:r>
          </w:p>
        </w:tc>
        <w:tc>
          <w:tcPr>
            <w:tcW w:w="758" w:type="dxa"/>
            <w:vAlign w:val="center"/>
          </w:tcPr>
          <w:p>
            <w:pPr>
              <w:pStyle w:val="13"/>
            </w:pPr>
            <w:r>
              <w:t>城乡社区支出</w:t>
            </w:r>
          </w:p>
        </w:tc>
        <w:tc>
          <w:tcPr>
            <w:tcW w:w="758" w:type="dxa"/>
            <w:vAlign w:val="center"/>
          </w:tcPr>
          <w:p>
            <w:pPr>
              <w:pStyle w:val="14"/>
            </w:pPr>
            <w:r>
              <w:t>661.05</w:t>
            </w:r>
          </w:p>
        </w:tc>
        <w:tc>
          <w:tcPr>
            <w:tcW w:w="758" w:type="dxa"/>
            <w:vAlign w:val="center"/>
          </w:tcPr>
          <w:p>
            <w:pPr>
              <w:pStyle w:val="14"/>
            </w:pPr>
            <w:r>
              <w:t>661.05</w:t>
            </w:r>
          </w:p>
        </w:tc>
        <w:tc>
          <w:tcPr>
            <w:tcW w:w="758" w:type="dxa"/>
            <w:vAlign w:val="center"/>
          </w:tcPr>
          <w:p>
            <w:pPr>
              <w:pStyle w:val="14"/>
            </w:pPr>
            <w:r>
              <w:t>661.05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3</w:t>
            </w:r>
          </w:p>
        </w:tc>
        <w:tc>
          <w:tcPr>
            <w:tcW w:w="758" w:type="dxa"/>
            <w:vAlign w:val="center"/>
          </w:tcPr>
          <w:p>
            <w:pPr>
              <w:pStyle w:val="13"/>
            </w:pPr>
            <w:r>
              <w:t>21202</w:t>
            </w:r>
          </w:p>
        </w:tc>
        <w:tc>
          <w:tcPr>
            <w:tcW w:w="758" w:type="dxa"/>
            <w:vAlign w:val="center"/>
          </w:tcPr>
          <w:p>
            <w:pPr>
              <w:pStyle w:val="13"/>
            </w:pPr>
            <w:r>
              <w:t>城乡社区规划与管理</w:t>
            </w:r>
          </w:p>
        </w:tc>
        <w:tc>
          <w:tcPr>
            <w:tcW w:w="758" w:type="dxa"/>
            <w:vAlign w:val="center"/>
          </w:tcPr>
          <w:p>
            <w:pPr>
              <w:pStyle w:val="14"/>
            </w:pPr>
            <w:r>
              <w:t>448.77</w:t>
            </w:r>
          </w:p>
        </w:tc>
        <w:tc>
          <w:tcPr>
            <w:tcW w:w="758" w:type="dxa"/>
            <w:vAlign w:val="center"/>
          </w:tcPr>
          <w:p>
            <w:pPr>
              <w:pStyle w:val="14"/>
            </w:pPr>
            <w:r>
              <w:t>448.77</w:t>
            </w:r>
          </w:p>
        </w:tc>
        <w:tc>
          <w:tcPr>
            <w:tcW w:w="758" w:type="dxa"/>
            <w:vAlign w:val="center"/>
          </w:tcPr>
          <w:p>
            <w:pPr>
              <w:pStyle w:val="14"/>
            </w:pPr>
            <w:r>
              <w:t>448.77</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4</w:t>
            </w:r>
          </w:p>
        </w:tc>
        <w:tc>
          <w:tcPr>
            <w:tcW w:w="758" w:type="dxa"/>
            <w:vAlign w:val="center"/>
          </w:tcPr>
          <w:p>
            <w:pPr>
              <w:pStyle w:val="13"/>
            </w:pPr>
            <w:r>
              <w:t>2120201</w:t>
            </w:r>
          </w:p>
        </w:tc>
        <w:tc>
          <w:tcPr>
            <w:tcW w:w="758" w:type="dxa"/>
            <w:vAlign w:val="center"/>
          </w:tcPr>
          <w:p>
            <w:pPr>
              <w:pStyle w:val="13"/>
            </w:pPr>
            <w:r>
              <w:t>城乡社区规划与管理</w:t>
            </w:r>
          </w:p>
        </w:tc>
        <w:tc>
          <w:tcPr>
            <w:tcW w:w="758" w:type="dxa"/>
            <w:vAlign w:val="center"/>
          </w:tcPr>
          <w:p>
            <w:pPr>
              <w:pStyle w:val="14"/>
            </w:pPr>
            <w:r>
              <w:t>448.77</w:t>
            </w:r>
          </w:p>
        </w:tc>
        <w:tc>
          <w:tcPr>
            <w:tcW w:w="758" w:type="dxa"/>
            <w:vAlign w:val="center"/>
          </w:tcPr>
          <w:p>
            <w:pPr>
              <w:pStyle w:val="14"/>
            </w:pPr>
            <w:r>
              <w:t>448.77</w:t>
            </w:r>
          </w:p>
        </w:tc>
        <w:tc>
          <w:tcPr>
            <w:tcW w:w="758" w:type="dxa"/>
            <w:vAlign w:val="center"/>
          </w:tcPr>
          <w:p>
            <w:pPr>
              <w:pStyle w:val="14"/>
            </w:pPr>
            <w:r>
              <w:t>448.77</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5</w:t>
            </w:r>
          </w:p>
        </w:tc>
        <w:tc>
          <w:tcPr>
            <w:tcW w:w="758" w:type="dxa"/>
            <w:vAlign w:val="center"/>
          </w:tcPr>
          <w:p>
            <w:pPr>
              <w:pStyle w:val="13"/>
            </w:pPr>
            <w:r>
              <w:t>21208</w:t>
            </w:r>
          </w:p>
        </w:tc>
        <w:tc>
          <w:tcPr>
            <w:tcW w:w="758" w:type="dxa"/>
            <w:vAlign w:val="center"/>
          </w:tcPr>
          <w:p>
            <w:pPr>
              <w:pStyle w:val="13"/>
            </w:pPr>
            <w:r>
              <w:t>国有土地使用权出让收入安排的支出</w:t>
            </w:r>
          </w:p>
        </w:tc>
        <w:tc>
          <w:tcPr>
            <w:tcW w:w="758" w:type="dxa"/>
            <w:vAlign w:val="center"/>
          </w:tcPr>
          <w:p>
            <w:pPr>
              <w:pStyle w:val="14"/>
            </w:pPr>
            <w:r>
              <w:t>212.28</w:t>
            </w:r>
          </w:p>
        </w:tc>
        <w:tc>
          <w:tcPr>
            <w:tcW w:w="758" w:type="dxa"/>
            <w:vAlign w:val="center"/>
          </w:tcPr>
          <w:p>
            <w:pPr>
              <w:pStyle w:val="14"/>
            </w:pPr>
            <w:r>
              <w:t>212.28</w:t>
            </w:r>
          </w:p>
        </w:tc>
        <w:tc>
          <w:tcPr>
            <w:tcW w:w="758" w:type="dxa"/>
            <w:vAlign w:val="center"/>
          </w:tcPr>
          <w:p>
            <w:pPr>
              <w:pStyle w:val="14"/>
            </w:pPr>
            <w:r>
              <w:t>212.28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6</w:t>
            </w:r>
          </w:p>
        </w:tc>
        <w:tc>
          <w:tcPr>
            <w:tcW w:w="758" w:type="dxa"/>
            <w:vAlign w:val="center"/>
          </w:tcPr>
          <w:p>
            <w:pPr>
              <w:pStyle w:val="13"/>
            </w:pPr>
            <w:r>
              <w:t>2120803</w:t>
            </w:r>
          </w:p>
        </w:tc>
        <w:tc>
          <w:tcPr>
            <w:tcW w:w="758" w:type="dxa"/>
            <w:vAlign w:val="center"/>
          </w:tcPr>
          <w:p>
            <w:pPr>
              <w:pStyle w:val="13"/>
            </w:pPr>
            <w:r>
              <w:t>城市建设支出</w:t>
            </w:r>
          </w:p>
        </w:tc>
        <w:tc>
          <w:tcPr>
            <w:tcW w:w="758" w:type="dxa"/>
            <w:vAlign w:val="center"/>
          </w:tcPr>
          <w:p>
            <w:pPr>
              <w:pStyle w:val="14"/>
            </w:pPr>
            <w:r>
              <w:t>212.28</w:t>
            </w:r>
          </w:p>
        </w:tc>
        <w:tc>
          <w:tcPr>
            <w:tcW w:w="758" w:type="dxa"/>
            <w:vAlign w:val="center"/>
          </w:tcPr>
          <w:p>
            <w:pPr>
              <w:pStyle w:val="14"/>
            </w:pPr>
            <w:r>
              <w:t>212.28</w:t>
            </w:r>
          </w:p>
        </w:tc>
        <w:tc>
          <w:tcPr>
            <w:tcW w:w="758" w:type="dxa"/>
            <w:vAlign w:val="center"/>
          </w:tcPr>
          <w:p>
            <w:pPr>
              <w:pStyle w:val="14"/>
            </w:pPr>
            <w:r>
              <w:t>212.28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8"/>
            </w:pPr>
            <w:r>
              <w:t>333003石家庄市藁城区人民广场</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661.05</w:t>
            </w:r>
          </w:p>
        </w:tc>
        <w:tc>
          <w:tcPr>
            <w:tcW w:w="1095" w:type="dxa"/>
            <w:vAlign w:val="center"/>
          </w:tcPr>
          <w:p>
            <w:pPr>
              <w:pStyle w:val="16"/>
            </w:pPr>
            <w:r>
              <w:t>448.77</w:t>
            </w:r>
          </w:p>
        </w:tc>
        <w:tc>
          <w:tcPr>
            <w:tcW w:w="1095" w:type="dxa"/>
            <w:vAlign w:val="center"/>
          </w:tcPr>
          <w:p>
            <w:pPr>
              <w:pStyle w:val="16"/>
            </w:pPr>
            <w:r>
              <w:t>212.28</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2</w:t>
            </w:r>
          </w:p>
        </w:tc>
        <w:tc>
          <w:tcPr>
            <w:tcW w:w="1095" w:type="dxa"/>
            <w:vAlign w:val="center"/>
          </w:tcPr>
          <w:p>
            <w:pPr>
              <w:pStyle w:val="13"/>
            </w:pPr>
            <w:r>
              <w:t>212</w:t>
            </w:r>
          </w:p>
        </w:tc>
        <w:tc>
          <w:tcPr>
            <w:tcW w:w="1095" w:type="dxa"/>
            <w:vAlign w:val="center"/>
          </w:tcPr>
          <w:p>
            <w:pPr>
              <w:pStyle w:val="13"/>
            </w:pPr>
            <w:r>
              <w:t>城乡社区支出</w:t>
            </w:r>
          </w:p>
        </w:tc>
        <w:tc>
          <w:tcPr>
            <w:tcW w:w="1095" w:type="dxa"/>
            <w:vAlign w:val="center"/>
          </w:tcPr>
          <w:p>
            <w:pPr>
              <w:pStyle w:val="14"/>
            </w:pPr>
            <w:r>
              <w:t>661.05</w:t>
            </w:r>
          </w:p>
        </w:tc>
        <w:tc>
          <w:tcPr>
            <w:tcW w:w="1095" w:type="dxa"/>
            <w:vAlign w:val="center"/>
          </w:tcPr>
          <w:p>
            <w:pPr>
              <w:pStyle w:val="14"/>
            </w:pPr>
            <w:r>
              <w:t>448.77</w:t>
            </w:r>
          </w:p>
        </w:tc>
        <w:tc>
          <w:tcPr>
            <w:tcW w:w="1095" w:type="dxa"/>
            <w:vAlign w:val="center"/>
          </w:tcPr>
          <w:p>
            <w:pPr>
              <w:pStyle w:val="14"/>
            </w:pPr>
            <w:r>
              <w:t>212.28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3</w:t>
            </w:r>
          </w:p>
        </w:tc>
        <w:tc>
          <w:tcPr>
            <w:tcW w:w="1095" w:type="dxa"/>
            <w:vAlign w:val="center"/>
          </w:tcPr>
          <w:p>
            <w:pPr>
              <w:pStyle w:val="13"/>
            </w:pPr>
            <w:r>
              <w:t>21202</w:t>
            </w:r>
          </w:p>
        </w:tc>
        <w:tc>
          <w:tcPr>
            <w:tcW w:w="1095" w:type="dxa"/>
            <w:vAlign w:val="center"/>
          </w:tcPr>
          <w:p>
            <w:pPr>
              <w:pStyle w:val="13"/>
            </w:pPr>
            <w:r>
              <w:t>城乡社区规划与管理</w:t>
            </w:r>
          </w:p>
        </w:tc>
        <w:tc>
          <w:tcPr>
            <w:tcW w:w="1095" w:type="dxa"/>
            <w:vAlign w:val="center"/>
          </w:tcPr>
          <w:p>
            <w:pPr>
              <w:pStyle w:val="14"/>
            </w:pPr>
            <w:r>
              <w:t>448.77</w:t>
            </w:r>
          </w:p>
        </w:tc>
        <w:tc>
          <w:tcPr>
            <w:tcW w:w="1095" w:type="dxa"/>
            <w:vAlign w:val="center"/>
          </w:tcPr>
          <w:p>
            <w:pPr>
              <w:pStyle w:val="14"/>
            </w:pPr>
            <w:r>
              <w:t>448.77</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4</w:t>
            </w:r>
          </w:p>
        </w:tc>
        <w:tc>
          <w:tcPr>
            <w:tcW w:w="1095" w:type="dxa"/>
            <w:vAlign w:val="center"/>
          </w:tcPr>
          <w:p>
            <w:pPr>
              <w:pStyle w:val="13"/>
            </w:pPr>
            <w:r>
              <w:t>2120201</w:t>
            </w:r>
          </w:p>
        </w:tc>
        <w:tc>
          <w:tcPr>
            <w:tcW w:w="1095" w:type="dxa"/>
            <w:vAlign w:val="center"/>
          </w:tcPr>
          <w:p>
            <w:pPr>
              <w:pStyle w:val="13"/>
            </w:pPr>
            <w:r>
              <w:t>城乡社区规划与管理</w:t>
            </w:r>
          </w:p>
        </w:tc>
        <w:tc>
          <w:tcPr>
            <w:tcW w:w="1095" w:type="dxa"/>
            <w:vAlign w:val="center"/>
          </w:tcPr>
          <w:p>
            <w:pPr>
              <w:pStyle w:val="14"/>
            </w:pPr>
            <w:r>
              <w:t>448.77</w:t>
            </w:r>
          </w:p>
        </w:tc>
        <w:tc>
          <w:tcPr>
            <w:tcW w:w="1095" w:type="dxa"/>
            <w:vAlign w:val="center"/>
          </w:tcPr>
          <w:p>
            <w:pPr>
              <w:pStyle w:val="14"/>
            </w:pPr>
            <w:r>
              <w:t>448.77</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5</w:t>
            </w:r>
          </w:p>
        </w:tc>
        <w:tc>
          <w:tcPr>
            <w:tcW w:w="1095" w:type="dxa"/>
            <w:vAlign w:val="center"/>
          </w:tcPr>
          <w:p>
            <w:pPr>
              <w:pStyle w:val="13"/>
            </w:pPr>
            <w:r>
              <w:t>21208</w:t>
            </w:r>
          </w:p>
        </w:tc>
        <w:tc>
          <w:tcPr>
            <w:tcW w:w="1095" w:type="dxa"/>
            <w:vAlign w:val="center"/>
          </w:tcPr>
          <w:p>
            <w:pPr>
              <w:pStyle w:val="13"/>
            </w:pPr>
            <w:r>
              <w:t>国有土地使用权出让收入安排的支出</w:t>
            </w:r>
          </w:p>
        </w:tc>
        <w:tc>
          <w:tcPr>
            <w:tcW w:w="1095" w:type="dxa"/>
            <w:vAlign w:val="center"/>
          </w:tcPr>
          <w:p>
            <w:pPr>
              <w:pStyle w:val="14"/>
            </w:pPr>
            <w:r>
              <w:t>212.28</w:t>
            </w:r>
          </w:p>
        </w:tc>
        <w:tc>
          <w:tcPr>
            <w:tcW w:w="1095" w:type="dxa"/>
            <w:vAlign w:val="center"/>
          </w:tcPr>
          <w:p>
            <w:pPr>
              <w:pStyle w:val="14"/>
            </w:pPr>
          </w:p>
        </w:tc>
        <w:tc>
          <w:tcPr>
            <w:tcW w:w="1095" w:type="dxa"/>
            <w:vAlign w:val="center"/>
          </w:tcPr>
          <w:p>
            <w:pPr>
              <w:pStyle w:val="14"/>
            </w:pPr>
            <w:r>
              <w:t>212.28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6</w:t>
            </w:r>
          </w:p>
        </w:tc>
        <w:tc>
          <w:tcPr>
            <w:tcW w:w="1095" w:type="dxa"/>
            <w:vAlign w:val="center"/>
          </w:tcPr>
          <w:p>
            <w:pPr>
              <w:pStyle w:val="13"/>
            </w:pPr>
            <w:r>
              <w:t>2120803</w:t>
            </w:r>
          </w:p>
        </w:tc>
        <w:tc>
          <w:tcPr>
            <w:tcW w:w="1095" w:type="dxa"/>
            <w:vAlign w:val="center"/>
          </w:tcPr>
          <w:p>
            <w:pPr>
              <w:pStyle w:val="13"/>
            </w:pPr>
            <w:r>
              <w:t>城市建设支出</w:t>
            </w:r>
          </w:p>
        </w:tc>
        <w:tc>
          <w:tcPr>
            <w:tcW w:w="1095" w:type="dxa"/>
            <w:vAlign w:val="center"/>
          </w:tcPr>
          <w:p>
            <w:pPr>
              <w:pStyle w:val="14"/>
            </w:pPr>
            <w:r>
              <w:t>212.28</w:t>
            </w:r>
          </w:p>
        </w:tc>
        <w:tc>
          <w:tcPr>
            <w:tcW w:w="1095" w:type="dxa"/>
            <w:vAlign w:val="center"/>
          </w:tcPr>
          <w:p>
            <w:pPr>
              <w:pStyle w:val="14"/>
            </w:pPr>
          </w:p>
        </w:tc>
        <w:tc>
          <w:tcPr>
            <w:tcW w:w="1095" w:type="dxa"/>
            <w:vAlign w:val="center"/>
          </w:tcPr>
          <w:p>
            <w:pPr>
              <w:pStyle w:val="14"/>
            </w:pPr>
            <w:r>
              <w:t>212.28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8"/>
            </w:pPr>
            <w:r>
              <w:t>333003石家庄市藁城区人民广场</w:t>
            </w:r>
          </w:p>
        </w:tc>
        <w:tc>
          <w:tcPr>
            <w:tcW w:w="1232" w:type="dxa"/>
            <w:tcBorders>
              <w:top w:val="single" w:color="FFFFFF" w:sz="6" w:space="0"/>
              <w:left w:val="single" w:color="FFFFFF" w:sz="6" w:space="0"/>
              <w:right w:val="single" w:color="FFFFFF" w:sz="6" w:space="0"/>
            </w:tcBorders>
            <w:vAlign w:val="center"/>
          </w:tcPr>
          <w:p>
            <w:pPr>
              <w:pStyle w:val="9"/>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w:t>
            </w:r>
          </w:p>
        </w:tc>
        <w:tc>
          <w:tcPr>
            <w:tcW w:w="1232" w:type="dxa"/>
            <w:vAlign w:val="center"/>
          </w:tcPr>
          <w:p>
            <w:pPr>
              <w:pStyle w:val="13"/>
            </w:pPr>
            <w:r>
              <w:t>一、一般公共预算拨款</w:t>
            </w:r>
          </w:p>
        </w:tc>
        <w:tc>
          <w:tcPr>
            <w:tcW w:w="1232" w:type="dxa"/>
            <w:vAlign w:val="center"/>
          </w:tcPr>
          <w:p>
            <w:pPr>
              <w:pStyle w:val="14"/>
            </w:pPr>
            <w:r>
              <w:t>448.77</w:t>
            </w:r>
          </w:p>
        </w:tc>
        <w:tc>
          <w:tcPr>
            <w:tcW w:w="1232" w:type="dxa"/>
            <w:vAlign w:val="center"/>
          </w:tcPr>
          <w:p>
            <w:pPr>
              <w:pStyle w:val="13"/>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w:t>
            </w:r>
          </w:p>
        </w:tc>
        <w:tc>
          <w:tcPr>
            <w:tcW w:w="1232" w:type="dxa"/>
            <w:vAlign w:val="center"/>
          </w:tcPr>
          <w:p>
            <w:pPr>
              <w:pStyle w:val="13"/>
            </w:pPr>
            <w:r>
              <w:t>二、政府性基金预算拨款</w:t>
            </w:r>
          </w:p>
        </w:tc>
        <w:tc>
          <w:tcPr>
            <w:tcW w:w="1232" w:type="dxa"/>
            <w:vAlign w:val="center"/>
          </w:tcPr>
          <w:p>
            <w:pPr>
              <w:pStyle w:val="14"/>
            </w:pPr>
            <w:r>
              <w:t>212.28</w:t>
            </w:r>
          </w:p>
        </w:tc>
        <w:tc>
          <w:tcPr>
            <w:tcW w:w="1232" w:type="dxa"/>
            <w:vAlign w:val="center"/>
          </w:tcPr>
          <w:p>
            <w:pPr>
              <w:pStyle w:val="13"/>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w:t>
            </w:r>
          </w:p>
        </w:tc>
        <w:tc>
          <w:tcPr>
            <w:tcW w:w="1232" w:type="dxa"/>
            <w:vAlign w:val="center"/>
          </w:tcPr>
          <w:p>
            <w:pPr>
              <w:pStyle w:val="13"/>
            </w:pPr>
            <w:r>
              <w:t>三、国有资本经营预算拨款</w:t>
            </w:r>
          </w:p>
        </w:tc>
        <w:tc>
          <w:tcPr>
            <w:tcW w:w="1232" w:type="dxa"/>
            <w:vAlign w:val="center"/>
          </w:tcPr>
          <w:p>
            <w:pPr>
              <w:pStyle w:val="14"/>
            </w:pPr>
          </w:p>
        </w:tc>
        <w:tc>
          <w:tcPr>
            <w:tcW w:w="1232" w:type="dxa"/>
            <w:vAlign w:val="center"/>
          </w:tcPr>
          <w:p>
            <w:pPr>
              <w:pStyle w:val="13"/>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4</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5</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6</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7</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8</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9</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10</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11</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12</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十二、城乡社区支出</w:t>
            </w:r>
          </w:p>
        </w:tc>
        <w:tc>
          <w:tcPr>
            <w:tcW w:w="1232" w:type="dxa"/>
            <w:vAlign w:val="center"/>
          </w:tcPr>
          <w:p>
            <w:pPr>
              <w:pStyle w:val="14"/>
            </w:pPr>
            <w:r>
              <w:t>661.05</w:t>
            </w:r>
          </w:p>
        </w:tc>
        <w:tc>
          <w:tcPr>
            <w:tcW w:w="1232" w:type="dxa"/>
            <w:vAlign w:val="center"/>
          </w:tcPr>
          <w:p>
            <w:pPr>
              <w:pStyle w:val="14"/>
            </w:pPr>
            <w:r>
              <w:t>448.77</w:t>
            </w:r>
          </w:p>
        </w:tc>
        <w:tc>
          <w:tcPr>
            <w:tcW w:w="1232" w:type="dxa"/>
            <w:vAlign w:val="center"/>
          </w:tcPr>
          <w:p>
            <w:pPr>
              <w:pStyle w:val="14"/>
            </w:pPr>
            <w:r>
              <w:t>212.28</w:t>
            </w: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13</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14</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15</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16</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17</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18</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19</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20</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21</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22</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23</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24</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25</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26</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27</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28</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29</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30</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31</w:t>
            </w:r>
          </w:p>
        </w:tc>
        <w:tc>
          <w:tcPr>
            <w:tcW w:w="1232" w:type="dxa"/>
            <w:vAlign w:val="center"/>
          </w:tcPr>
          <w:p>
            <w:pPr>
              <w:pStyle w:val="15"/>
            </w:pPr>
            <w:r>
              <w:t>本年收入合计</w:t>
            </w:r>
          </w:p>
        </w:tc>
        <w:tc>
          <w:tcPr>
            <w:tcW w:w="1232" w:type="dxa"/>
            <w:vAlign w:val="center"/>
          </w:tcPr>
          <w:p>
            <w:pPr>
              <w:pStyle w:val="16"/>
            </w:pPr>
            <w:r>
              <w:t>661.05</w:t>
            </w:r>
          </w:p>
        </w:tc>
        <w:tc>
          <w:tcPr>
            <w:tcW w:w="1232" w:type="dxa"/>
            <w:vAlign w:val="center"/>
          </w:tcPr>
          <w:p>
            <w:pPr>
              <w:pStyle w:val="15"/>
            </w:pPr>
            <w:r>
              <w:t>本年支出合计</w:t>
            </w:r>
          </w:p>
        </w:tc>
        <w:tc>
          <w:tcPr>
            <w:tcW w:w="1232" w:type="dxa"/>
            <w:vAlign w:val="center"/>
          </w:tcPr>
          <w:p>
            <w:pPr>
              <w:pStyle w:val="16"/>
            </w:pPr>
            <w:r>
              <w:t>661.05</w:t>
            </w:r>
          </w:p>
        </w:tc>
        <w:tc>
          <w:tcPr>
            <w:tcW w:w="1232" w:type="dxa"/>
            <w:vAlign w:val="center"/>
          </w:tcPr>
          <w:p>
            <w:pPr>
              <w:pStyle w:val="16"/>
            </w:pPr>
            <w:r>
              <w:t>448.77</w:t>
            </w:r>
          </w:p>
        </w:tc>
        <w:tc>
          <w:tcPr>
            <w:tcW w:w="1232" w:type="dxa"/>
            <w:vAlign w:val="center"/>
          </w:tcPr>
          <w:p>
            <w:pPr>
              <w:pStyle w:val="16"/>
            </w:pPr>
            <w:r>
              <w:t>212.28</w:t>
            </w: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32</w:t>
            </w:r>
          </w:p>
        </w:tc>
        <w:tc>
          <w:tcPr>
            <w:tcW w:w="1232" w:type="dxa"/>
            <w:vAlign w:val="center"/>
          </w:tcPr>
          <w:p>
            <w:pPr>
              <w:pStyle w:val="13"/>
            </w:pPr>
            <w:r>
              <w:t>年初财政拨款结转和结余</w:t>
            </w:r>
          </w:p>
        </w:tc>
        <w:tc>
          <w:tcPr>
            <w:tcW w:w="1232" w:type="dxa"/>
            <w:vAlign w:val="center"/>
          </w:tcPr>
          <w:p>
            <w:pPr>
              <w:pStyle w:val="14"/>
            </w:pPr>
          </w:p>
        </w:tc>
        <w:tc>
          <w:tcPr>
            <w:tcW w:w="1232" w:type="dxa"/>
            <w:vAlign w:val="center"/>
          </w:tcPr>
          <w:p>
            <w:pPr>
              <w:pStyle w:val="13"/>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33</w:t>
            </w:r>
          </w:p>
        </w:tc>
        <w:tc>
          <w:tcPr>
            <w:tcW w:w="1232" w:type="dxa"/>
            <w:vAlign w:val="center"/>
          </w:tcPr>
          <w:p>
            <w:pPr>
              <w:pStyle w:val="13"/>
            </w:pPr>
            <w:r>
              <w:t>一、一般公共预算拨款</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34</w:t>
            </w:r>
          </w:p>
        </w:tc>
        <w:tc>
          <w:tcPr>
            <w:tcW w:w="1232" w:type="dxa"/>
            <w:vAlign w:val="center"/>
          </w:tcPr>
          <w:p>
            <w:pPr>
              <w:pStyle w:val="13"/>
            </w:pPr>
            <w:r>
              <w:t>二、政府性基金预算拨款</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35</w:t>
            </w:r>
          </w:p>
        </w:tc>
        <w:tc>
          <w:tcPr>
            <w:tcW w:w="1232" w:type="dxa"/>
            <w:vAlign w:val="center"/>
          </w:tcPr>
          <w:p>
            <w:pPr>
              <w:pStyle w:val="13"/>
            </w:pPr>
            <w:r>
              <w:t>三、国有资本经营预算拨款</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36</w:t>
            </w:r>
          </w:p>
        </w:tc>
        <w:tc>
          <w:tcPr>
            <w:tcW w:w="1232" w:type="dxa"/>
            <w:vAlign w:val="center"/>
          </w:tcPr>
          <w:p>
            <w:pPr>
              <w:pStyle w:val="15"/>
            </w:pPr>
            <w:r>
              <w:t>收入总计</w:t>
            </w:r>
          </w:p>
        </w:tc>
        <w:tc>
          <w:tcPr>
            <w:tcW w:w="1232" w:type="dxa"/>
            <w:vAlign w:val="center"/>
          </w:tcPr>
          <w:p>
            <w:pPr>
              <w:pStyle w:val="16"/>
            </w:pPr>
            <w:r>
              <w:t>661.05</w:t>
            </w:r>
          </w:p>
        </w:tc>
        <w:tc>
          <w:tcPr>
            <w:tcW w:w="1232" w:type="dxa"/>
            <w:vAlign w:val="center"/>
          </w:tcPr>
          <w:p>
            <w:pPr>
              <w:pStyle w:val="15"/>
            </w:pPr>
            <w:r>
              <w:t>支出总计</w:t>
            </w:r>
          </w:p>
        </w:tc>
        <w:tc>
          <w:tcPr>
            <w:tcW w:w="1232" w:type="dxa"/>
            <w:vAlign w:val="center"/>
          </w:tcPr>
          <w:p>
            <w:pPr>
              <w:pStyle w:val="16"/>
            </w:pPr>
            <w:r>
              <w:t>661.05</w:t>
            </w:r>
          </w:p>
        </w:tc>
        <w:tc>
          <w:tcPr>
            <w:tcW w:w="1232" w:type="dxa"/>
            <w:vAlign w:val="center"/>
          </w:tcPr>
          <w:p>
            <w:pPr>
              <w:pStyle w:val="16"/>
            </w:pPr>
            <w:r>
              <w:t>448.77</w:t>
            </w:r>
          </w:p>
        </w:tc>
        <w:tc>
          <w:tcPr>
            <w:tcW w:w="1232" w:type="dxa"/>
            <w:vAlign w:val="center"/>
          </w:tcPr>
          <w:p>
            <w:pPr>
              <w:pStyle w:val="16"/>
            </w:pPr>
            <w:r>
              <w:t>212.28</w:t>
            </w: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333003石家庄市藁城区人民广场</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448.77</w:t>
            </w:r>
          </w:p>
        </w:tc>
        <w:tc>
          <w:tcPr>
            <w:tcW w:w="1643" w:type="dxa"/>
            <w:vAlign w:val="center"/>
          </w:tcPr>
          <w:p>
            <w:pPr>
              <w:pStyle w:val="16"/>
            </w:pPr>
            <w:r>
              <w:t>448.77</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2</w:t>
            </w:r>
          </w:p>
        </w:tc>
        <w:tc>
          <w:tcPr>
            <w:tcW w:w="1643" w:type="dxa"/>
            <w:vAlign w:val="center"/>
          </w:tcPr>
          <w:p>
            <w:pPr>
              <w:pStyle w:val="13"/>
            </w:pPr>
            <w:r>
              <w:t>212</w:t>
            </w:r>
          </w:p>
        </w:tc>
        <w:tc>
          <w:tcPr>
            <w:tcW w:w="1643" w:type="dxa"/>
            <w:vAlign w:val="center"/>
          </w:tcPr>
          <w:p>
            <w:pPr>
              <w:pStyle w:val="13"/>
            </w:pPr>
            <w:r>
              <w:t>城乡社区支出</w:t>
            </w:r>
          </w:p>
        </w:tc>
        <w:tc>
          <w:tcPr>
            <w:tcW w:w="1643" w:type="dxa"/>
            <w:vAlign w:val="center"/>
          </w:tcPr>
          <w:p>
            <w:pPr>
              <w:pStyle w:val="14"/>
            </w:pPr>
            <w:r>
              <w:t>448.77</w:t>
            </w:r>
          </w:p>
        </w:tc>
        <w:tc>
          <w:tcPr>
            <w:tcW w:w="1643" w:type="dxa"/>
            <w:vAlign w:val="center"/>
          </w:tcPr>
          <w:p>
            <w:pPr>
              <w:pStyle w:val="14"/>
            </w:pPr>
            <w:r>
              <w:t>448.77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3</w:t>
            </w:r>
          </w:p>
        </w:tc>
        <w:tc>
          <w:tcPr>
            <w:tcW w:w="1643" w:type="dxa"/>
            <w:vAlign w:val="center"/>
          </w:tcPr>
          <w:p>
            <w:pPr>
              <w:pStyle w:val="13"/>
            </w:pPr>
            <w:r>
              <w:t>21202</w:t>
            </w:r>
          </w:p>
        </w:tc>
        <w:tc>
          <w:tcPr>
            <w:tcW w:w="1643" w:type="dxa"/>
            <w:vAlign w:val="center"/>
          </w:tcPr>
          <w:p>
            <w:pPr>
              <w:pStyle w:val="13"/>
            </w:pPr>
            <w:r>
              <w:t>城乡社区规划与管理</w:t>
            </w:r>
          </w:p>
        </w:tc>
        <w:tc>
          <w:tcPr>
            <w:tcW w:w="1643" w:type="dxa"/>
            <w:vAlign w:val="center"/>
          </w:tcPr>
          <w:p>
            <w:pPr>
              <w:pStyle w:val="14"/>
            </w:pPr>
            <w:r>
              <w:t>448.77</w:t>
            </w:r>
          </w:p>
        </w:tc>
        <w:tc>
          <w:tcPr>
            <w:tcW w:w="1643" w:type="dxa"/>
            <w:vAlign w:val="center"/>
          </w:tcPr>
          <w:p>
            <w:pPr>
              <w:pStyle w:val="14"/>
            </w:pPr>
            <w:r>
              <w:t>448.77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4</w:t>
            </w:r>
          </w:p>
        </w:tc>
        <w:tc>
          <w:tcPr>
            <w:tcW w:w="1643" w:type="dxa"/>
            <w:vAlign w:val="center"/>
          </w:tcPr>
          <w:p>
            <w:pPr>
              <w:pStyle w:val="13"/>
            </w:pPr>
            <w:r>
              <w:t>2120201</w:t>
            </w:r>
          </w:p>
        </w:tc>
        <w:tc>
          <w:tcPr>
            <w:tcW w:w="1643" w:type="dxa"/>
            <w:vAlign w:val="center"/>
          </w:tcPr>
          <w:p>
            <w:pPr>
              <w:pStyle w:val="13"/>
            </w:pPr>
            <w:r>
              <w:t>城乡社区规划与管理</w:t>
            </w:r>
          </w:p>
        </w:tc>
        <w:tc>
          <w:tcPr>
            <w:tcW w:w="1643" w:type="dxa"/>
            <w:vAlign w:val="center"/>
          </w:tcPr>
          <w:p>
            <w:pPr>
              <w:pStyle w:val="14"/>
            </w:pPr>
            <w:r>
              <w:t>448.77</w:t>
            </w:r>
          </w:p>
        </w:tc>
        <w:tc>
          <w:tcPr>
            <w:tcW w:w="1643" w:type="dxa"/>
            <w:vAlign w:val="center"/>
          </w:tcPr>
          <w:p>
            <w:pPr>
              <w:pStyle w:val="14"/>
            </w:pPr>
            <w:r>
              <w:t>448.77</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333003石家庄市藁城区人民广场</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448.77</w:t>
            </w:r>
          </w:p>
        </w:tc>
        <w:tc>
          <w:tcPr>
            <w:tcW w:w="1643" w:type="dxa"/>
            <w:vAlign w:val="center"/>
          </w:tcPr>
          <w:p>
            <w:pPr>
              <w:pStyle w:val="16"/>
            </w:pPr>
            <w:r>
              <w:t>431.61</w:t>
            </w:r>
          </w:p>
        </w:tc>
        <w:tc>
          <w:tcPr>
            <w:tcW w:w="1643" w:type="dxa"/>
            <w:vAlign w:val="center"/>
          </w:tcPr>
          <w:p>
            <w:pPr>
              <w:pStyle w:val="16"/>
            </w:pPr>
            <w:r>
              <w:t>17.16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4"/>
            </w:pPr>
            <w:r>
              <w:t>431.61</w:t>
            </w:r>
          </w:p>
        </w:tc>
        <w:tc>
          <w:tcPr>
            <w:tcW w:w="1643" w:type="dxa"/>
            <w:vAlign w:val="center"/>
          </w:tcPr>
          <w:p>
            <w:pPr>
              <w:pStyle w:val="14"/>
            </w:pPr>
            <w:r>
              <w:t>431.61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4"/>
            </w:pPr>
            <w:r>
              <w:t>100.24</w:t>
            </w:r>
          </w:p>
        </w:tc>
        <w:tc>
          <w:tcPr>
            <w:tcW w:w="1643" w:type="dxa"/>
            <w:vAlign w:val="center"/>
          </w:tcPr>
          <w:p>
            <w:pPr>
              <w:pStyle w:val="14"/>
            </w:pPr>
            <w:r>
              <w:t>100.24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4"/>
            </w:pPr>
            <w:r>
              <w:t>110.41</w:t>
            </w:r>
          </w:p>
        </w:tc>
        <w:tc>
          <w:tcPr>
            <w:tcW w:w="1643" w:type="dxa"/>
            <w:vAlign w:val="center"/>
          </w:tcPr>
          <w:p>
            <w:pPr>
              <w:pStyle w:val="14"/>
            </w:pPr>
            <w:r>
              <w:t>110.41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5</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4"/>
            </w:pPr>
            <w:r>
              <w:t>81.64</w:t>
            </w:r>
          </w:p>
        </w:tc>
        <w:tc>
          <w:tcPr>
            <w:tcW w:w="1643" w:type="dxa"/>
            <w:vAlign w:val="center"/>
          </w:tcPr>
          <w:p>
            <w:pPr>
              <w:pStyle w:val="14"/>
            </w:pPr>
            <w:r>
              <w:t>81.64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6</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4"/>
            </w:pPr>
            <w:r>
              <w:t>37.71</w:t>
            </w:r>
          </w:p>
        </w:tc>
        <w:tc>
          <w:tcPr>
            <w:tcW w:w="1643" w:type="dxa"/>
            <w:vAlign w:val="center"/>
          </w:tcPr>
          <w:p>
            <w:pPr>
              <w:pStyle w:val="14"/>
            </w:pPr>
            <w:r>
              <w:t>37.71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7</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4"/>
            </w:pPr>
            <w:r>
              <w:t>19.80</w:t>
            </w:r>
          </w:p>
        </w:tc>
        <w:tc>
          <w:tcPr>
            <w:tcW w:w="1643" w:type="dxa"/>
            <w:vAlign w:val="center"/>
          </w:tcPr>
          <w:p>
            <w:pPr>
              <w:pStyle w:val="14"/>
            </w:pPr>
            <w:r>
              <w:t>19.80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8</w:t>
            </w:r>
          </w:p>
        </w:tc>
        <w:tc>
          <w:tcPr>
            <w:tcW w:w="1643" w:type="dxa"/>
            <w:vAlign w:val="center"/>
          </w:tcPr>
          <w:p>
            <w:pPr>
              <w:pStyle w:val="13"/>
            </w:pPr>
            <w:r>
              <w:t>30111</w:t>
            </w:r>
          </w:p>
        </w:tc>
        <w:tc>
          <w:tcPr>
            <w:tcW w:w="1643" w:type="dxa"/>
            <w:vAlign w:val="center"/>
          </w:tcPr>
          <w:p>
            <w:pPr>
              <w:pStyle w:val="13"/>
            </w:pPr>
            <w:r>
              <w:t>公务员医疗补助缴费</w:t>
            </w:r>
          </w:p>
        </w:tc>
        <w:tc>
          <w:tcPr>
            <w:tcW w:w="1643" w:type="dxa"/>
            <w:vAlign w:val="center"/>
          </w:tcPr>
          <w:p>
            <w:pPr>
              <w:pStyle w:val="14"/>
            </w:pPr>
            <w:r>
              <w:t>15.32</w:t>
            </w:r>
          </w:p>
        </w:tc>
        <w:tc>
          <w:tcPr>
            <w:tcW w:w="1643" w:type="dxa"/>
            <w:vAlign w:val="center"/>
          </w:tcPr>
          <w:p>
            <w:pPr>
              <w:pStyle w:val="14"/>
            </w:pPr>
            <w:r>
              <w:t>15.32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9</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4"/>
            </w:pPr>
            <w:r>
              <w:t>35.23</w:t>
            </w:r>
          </w:p>
        </w:tc>
        <w:tc>
          <w:tcPr>
            <w:tcW w:w="1643" w:type="dxa"/>
            <w:vAlign w:val="center"/>
          </w:tcPr>
          <w:p>
            <w:pPr>
              <w:pStyle w:val="14"/>
            </w:pPr>
            <w:r>
              <w:t>35.23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10</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4"/>
            </w:pPr>
            <w:r>
              <w:t>31.27</w:t>
            </w:r>
          </w:p>
        </w:tc>
        <w:tc>
          <w:tcPr>
            <w:tcW w:w="1643" w:type="dxa"/>
            <w:vAlign w:val="center"/>
          </w:tcPr>
          <w:p>
            <w:pPr>
              <w:pStyle w:val="14"/>
            </w:pPr>
            <w:r>
              <w:t>31.27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11</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4"/>
            </w:pPr>
            <w:r>
              <w:t>17.16</w:t>
            </w:r>
          </w:p>
        </w:tc>
        <w:tc>
          <w:tcPr>
            <w:tcW w:w="1643" w:type="dxa"/>
            <w:vAlign w:val="center"/>
          </w:tcPr>
          <w:p>
            <w:pPr>
              <w:pStyle w:val="14"/>
            </w:pPr>
          </w:p>
        </w:tc>
        <w:tc>
          <w:tcPr>
            <w:tcW w:w="1643" w:type="dxa"/>
            <w:vAlign w:val="center"/>
          </w:tcPr>
          <w:p>
            <w:pPr>
              <w:pStyle w:val="14"/>
            </w:pPr>
            <w:r>
              <w:t>17.16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12</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4"/>
            </w:pPr>
            <w:r>
              <w:t>8.80</w:t>
            </w:r>
          </w:p>
        </w:tc>
        <w:tc>
          <w:tcPr>
            <w:tcW w:w="1643" w:type="dxa"/>
            <w:vAlign w:val="center"/>
          </w:tcPr>
          <w:p>
            <w:pPr>
              <w:pStyle w:val="14"/>
            </w:pPr>
          </w:p>
        </w:tc>
        <w:tc>
          <w:tcPr>
            <w:tcW w:w="1643" w:type="dxa"/>
            <w:vAlign w:val="center"/>
          </w:tcPr>
          <w:p>
            <w:pPr>
              <w:pStyle w:val="14"/>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13</w:t>
            </w:r>
          </w:p>
        </w:tc>
        <w:tc>
          <w:tcPr>
            <w:tcW w:w="1643" w:type="dxa"/>
            <w:vAlign w:val="center"/>
          </w:tcPr>
          <w:p>
            <w:pPr>
              <w:pStyle w:val="13"/>
            </w:pPr>
            <w:r>
              <w:t>30205</w:t>
            </w:r>
          </w:p>
        </w:tc>
        <w:tc>
          <w:tcPr>
            <w:tcW w:w="1643" w:type="dxa"/>
            <w:vAlign w:val="center"/>
          </w:tcPr>
          <w:p>
            <w:pPr>
              <w:pStyle w:val="13"/>
            </w:pPr>
            <w:r>
              <w:t>水费</w:t>
            </w:r>
          </w:p>
        </w:tc>
        <w:tc>
          <w:tcPr>
            <w:tcW w:w="1643" w:type="dxa"/>
            <w:vAlign w:val="center"/>
          </w:tcPr>
          <w:p>
            <w:pPr>
              <w:pStyle w:val="14"/>
            </w:pPr>
            <w:r>
              <w:t>1.00</w:t>
            </w:r>
          </w:p>
        </w:tc>
        <w:tc>
          <w:tcPr>
            <w:tcW w:w="1643" w:type="dxa"/>
            <w:vAlign w:val="center"/>
          </w:tcPr>
          <w:p>
            <w:pPr>
              <w:pStyle w:val="14"/>
            </w:pPr>
          </w:p>
        </w:tc>
        <w:tc>
          <w:tcPr>
            <w:tcW w:w="1643"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14</w:t>
            </w:r>
          </w:p>
        </w:tc>
        <w:tc>
          <w:tcPr>
            <w:tcW w:w="1643" w:type="dxa"/>
            <w:vAlign w:val="center"/>
          </w:tcPr>
          <w:p>
            <w:pPr>
              <w:pStyle w:val="13"/>
            </w:pPr>
            <w:r>
              <w:t>30206</w:t>
            </w:r>
          </w:p>
        </w:tc>
        <w:tc>
          <w:tcPr>
            <w:tcW w:w="1643" w:type="dxa"/>
            <w:vAlign w:val="center"/>
          </w:tcPr>
          <w:p>
            <w:pPr>
              <w:pStyle w:val="13"/>
            </w:pPr>
            <w:r>
              <w:t>电费</w:t>
            </w:r>
          </w:p>
        </w:tc>
        <w:tc>
          <w:tcPr>
            <w:tcW w:w="1643" w:type="dxa"/>
            <w:vAlign w:val="center"/>
          </w:tcPr>
          <w:p>
            <w:pPr>
              <w:pStyle w:val="14"/>
            </w:pPr>
            <w:r>
              <w:t>1.00</w:t>
            </w:r>
          </w:p>
        </w:tc>
        <w:tc>
          <w:tcPr>
            <w:tcW w:w="1643" w:type="dxa"/>
            <w:vAlign w:val="center"/>
          </w:tcPr>
          <w:p>
            <w:pPr>
              <w:pStyle w:val="14"/>
            </w:pPr>
          </w:p>
        </w:tc>
        <w:tc>
          <w:tcPr>
            <w:tcW w:w="1643"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15</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4"/>
            </w:pPr>
            <w:r>
              <w:t>2.18</w:t>
            </w:r>
          </w:p>
        </w:tc>
        <w:tc>
          <w:tcPr>
            <w:tcW w:w="1643" w:type="dxa"/>
            <w:vAlign w:val="center"/>
          </w:tcPr>
          <w:p>
            <w:pPr>
              <w:pStyle w:val="14"/>
            </w:pPr>
          </w:p>
        </w:tc>
        <w:tc>
          <w:tcPr>
            <w:tcW w:w="1643" w:type="dxa"/>
            <w:vAlign w:val="center"/>
          </w:tcPr>
          <w:p>
            <w:pPr>
              <w:pStyle w:val="14"/>
            </w:pPr>
            <w:r>
              <w:t>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16</w:t>
            </w:r>
          </w:p>
        </w:tc>
        <w:tc>
          <w:tcPr>
            <w:tcW w:w="1643" w:type="dxa"/>
            <w:vAlign w:val="center"/>
          </w:tcPr>
          <w:p>
            <w:pPr>
              <w:pStyle w:val="13"/>
            </w:pPr>
            <w:r>
              <w:t>30229</w:t>
            </w:r>
          </w:p>
        </w:tc>
        <w:tc>
          <w:tcPr>
            <w:tcW w:w="1643" w:type="dxa"/>
            <w:vAlign w:val="center"/>
          </w:tcPr>
          <w:p>
            <w:pPr>
              <w:pStyle w:val="13"/>
            </w:pPr>
            <w:r>
              <w:t>福利费</w:t>
            </w:r>
          </w:p>
        </w:tc>
        <w:tc>
          <w:tcPr>
            <w:tcW w:w="1643" w:type="dxa"/>
            <w:vAlign w:val="center"/>
          </w:tcPr>
          <w:p>
            <w:pPr>
              <w:pStyle w:val="14"/>
            </w:pPr>
            <w:r>
              <w:t>2.51</w:t>
            </w:r>
          </w:p>
        </w:tc>
        <w:tc>
          <w:tcPr>
            <w:tcW w:w="1643" w:type="dxa"/>
            <w:vAlign w:val="center"/>
          </w:tcPr>
          <w:p>
            <w:pPr>
              <w:pStyle w:val="14"/>
            </w:pPr>
          </w:p>
        </w:tc>
        <w:tc>
          <w:tcPr>
            <w:tcW w:w="1643" w:type="dxa"/>
            <w:vAlign w:val="center"/>
          </w:tcPr>
          <w:p>
            <w:pPr>
              <w:pStyle w:val="14"/>
            </w:pPr>
            <w:r>
              <w:t>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17</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4"/>
            </w:pPr>
            <w:r>
              <w:t>0.60</w:t>
            </w:r>
          </w:p>
        </w:tc>
        <w:tc>
          <w:tcPr>
            <w:tcW w:w="1643" w:type="dxa"/>
            <w:vAlign w:val="center"/>
          </w:tcPr>
          <w:p>
            <w:pPr>
              <w:pStyle w:val="14"/>
            </w:pPr>
          </w:p>
        </w:tc>
        <w:tc>
          <w:tcPr>
            <w:tcW w:w="1643" w:type="dxa"/>
            <w:vAlign w:val="center"/>
          </w:tcPr>
          <w:p>
            <w:pPr>
              <w:pStyle w:val="14"/>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18</w:t>
            </w:r>
          </w:p>
        </w:tc>
        <w:tc>
          <w:tcPr>
            <w:tcW w:w="1643" w:type="dxa"/>
            <w:vAlign w:val="center"/>
          </w:tcPr>
          <w:p>
            <w:pPr>
              <w:pStyle w:val="13"/>
            </w:pPr>
            <w:r>
              <w:t>30299</w:t>
            </w:r>
          </w:p>
        </w:tc>
        <w:tc>
          <w:tcPr>
            <w:tcW w:w="1643" w:type="dxa"/>
            <w:vAlign w:val="center"/>
          </w:tcPr>
          <w:p>
            <w:pPr>
              <w:pStyle w:val="13"/>
            </w:pPr>
            <w:r>
              <w:t>其他商品和服务支出</w:t>
            </w:r>
          </w:p>
        </w:tc>
        <w:tc>
          <w:tcPr>
            <w:tcW w:w="1643" w:type="dxa"/>
            <w:vAlign w:val="center"/>
          </w:tcPr>
          <w:p>
            <w:pPr>
              <w:pStyle w:val="14"/>
            </w:pPr>
            <w:r>
              <w:t>1.07</w:t>
            </w:r>
          </w:p>
        </w:tc>
        <w:tc>
          <w:tcPr>
            <w:tcW w:w="1643" w:type="dxa"/>
            <w:vAlign w:val="center"/>
          </w:tcPr>
          <w:p>
            <w:pPr>
              <w:pStyle w:val="14"/>
            </w:pPr>
          </w:p>
        </w:tc>
        <w:tc>
          <w:tcPr>
            <w:tcW w:w="1643" w:type="dxa"/>
            <w:vAlign w:val="center"/>
          </w:tcPr>
          <w:p>
            <w:pPr>
              <w:pStyle w:val="14"/>
            </w:pPr>
            <w:r>
              <w:t>1.07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333003石家庄市藁城区人民广场</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212.28</w:t>
            </w:r>
          </w:p>
        </w:tc>
        <w:tc>
          <w:tcPr>
            <w:tcW w:w="1643" w:type="dxa"/>
            <w:vAlign w:val="center"/>
          </w:tcPr>
          <w:p>
            <w:pPr>
              <w:pStyle w:val="16"/>
            </w:pPr>
          </w:p>
        </w:tc>
        <w:tc>
          <w:tcPr>
            <w:tcW w:w="1643" w:type="dxa"/>
            <w:vAlign w:val="center"/>
          </w:tcPr>
          <w:p>
            <w:pPr>
              <w:pStyle w:val="16"/>
            </w:pPr>
            <w:r>
              <w:t>212.28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2</w:t>
            </w:r>
          </w:p>
        </w:tc>
        <w:tc>
          <w:tcPr>
            <w:tcW w:w="1643" w:type="dxa"/>
            <w:vAlign w:val="center"/>
          </w:tcPr>
          <w:p>
            <w:pPr>
              <w:pStyle w:val="13"/>
            </w:pPr>
            <w:r>
              <w:t>212</w:t>
            </w:r>
          </w:p>
        </w:tc>
        <w:tc>
          <w:tcPr>
            <w:tcW w:w="1643" w:type="dxa"/>
            <w:vAlign w:val="center"/>
          </w:tcPr>
          <w:p>
            <w:pPr>
              <w:pStyle w:val="13"/>
            </w:pPr>
            <w:r>
              <w:t>城乡社区支出</w:t>
            </w:r>
          </w:p>
        </w:tc>
        <w:tc>
          <w:tcPr>
            <w:tcW w:w="1643" w:type="dxa"/>
            <w:vAlign w:val="center"/>
          </w:tcPr>
          <w:p>
            <w:pPr>
              <w:pStyle w:val="14"/>
            </w:pPr>
            <w:r>
              <w:t>212.28</w:t>
            </w:r>
          </w:p>
        </w:tc>
        <w:tc>
          <w:tcPr>
            <w:tcW w:w="1643" w:type="dxa"/>
            <w:vAlign w:val="center"/>
          </w:tcPr>
          <w:p>
            <w:pPr>
              <w:pStyle w:val="14"/>
            </w:pPr>
          </w:p>
        </w:tc>
        <w:tc>
          <w:tcPr>
            <w:tcW w:w="1643" w:type="dxa"/>
            <w:vAlign w:val="center"/>
          </w:tcPr>
          <w:p>
            <w:pPr>
              <w:pStyle w:val="14"/>
            </w:pPr>
            <w:r>
              <w:t>212.28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3</w:t>
            </w:r>
          </w:p>
        </w:tc>
        <w:tc>
          <w:tcPr>
            <w:tcW w:w="1643" w:type="dxa"/>
            <w:vAlign w:val="center"/>
          </w:tcPr>
          <w:p>
            <w:pPr>
              <w:pStyle w:val="13"/>
            </w:pPr>
            <w:r>
              <w:t>21208</w:t>
            </w:r>
          </w:p>
        </w:tc>
        <w:tc>
          <w:tcPr>
            <w:tcW w:w="1643" w:type="dxa"/>
            <w:vAlign w:val="center"/>
          </w:tcPr>
          <w:p>
            <w:pPr>
              <w:pStyle w:val="13"/>
            </w:pPr>
            <w:r>
              <w:t>国有土地使用权出让收入安排的支出</w:t>
            </w:r>
          </w:p>
        </w:tc>
        <w:tc>
          <w:tcPr>
            <w:tcW w:w="1643" w:type="dxa"/>
            <w:vAlign w:val="center"/>
          </w:tcPr>
          <w:p>
            <w:pPr>
              <w:pStyle w:val="14"/>
            </w:pPr>
            <w:r>
              <w:t>212.28</w:t>
            </w:r>
          </w:p>
        </w:tc>
        <w:tc>
          <w:tcPr>
            <w:tcW w:w="1643" w:type="dxa"/>
            <w:vAlign w:val="center"/>
          </w:tcPr>
          <w:p>
            <w:pPr>
              <w:pStyle w:val="14"/>
            </w:pPr>
          </w:p>
        </w:tc>
        <w:tc>
          <w:tcPr>
            <w:tcW w:w="1643" w:type="dxa"/>
            <w:vAlign w:val="center"/>
          </w:tcPr>
          <w:p>
            <w:pPr>
              <w:pStyle w:val="14"/>
            </w:pPr>
            <w:r>
              <w:t>212.28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4</w:t>
            </w:r>
          </w:p>
        </w:tc>
        <w:tc>
          <w:tcPr>
            <w:tcW w:w="1643" w:type="dxa"/>
            <w:vAlign w:val="center"/>
          </w:tcPr>
          <w:p>
            <w:pPr>
              <w:pStyle w:val="13"/>
            </w:pPr>
            <w:r>
              <w:t>2120803</w:t>
            </w:r>
          </w:p>
        </w:tc>
        <w:tc>
          <w:tcPr>
            <w:tcW w:w="1643" w:type="dxa"/>
            <w:vAlign w:val="center"/>
          </w:tcPr>
          <w:p>
            <w:pPr>
              <w:pStyle w:val="13"/>
            </w:pPr>
            <w:r>
              <w:t>城市建设支出</w:t>
            </w:r>
          </w:p>
        </w:tc>
        <w:tc>
          <w:tcPr>
            <w:tcW w:w="1643" w:type="dxa"/>
            <w:vAlign w:val="center"/>
          </w:tcPr>
          <w:p>
            <w:pPr>
              <w:pStyle w:val="14"/>
            </w:pPr>
            <w:r>
              <w:t>212.28</w:t>
            </w:r>
          </w:p>
        </w:tc>
        <w:tc>
          <w:tcPr>
            <w:tcW w:w="1643" w:type="dxa"/>
            <w:vAlign w:val="center"/>
          </w:tcPr>
          <w:p>
            <w:pPr>
              <w:pStyle w:val="14"/>
            </w:pPr>
          </w:p>
        </w:tc>
        <w:tc>
          <w:tcPr>
            <w:tcW w:w="1643" w:type="dxa"/>
            <w:vAlign w:val="center"/>
          </w:tcPr>
          <w:p>
            <w:pPr>
              <w:pStyle w:val="14"/>
            </w:pPr>
            <w:r>
              <w:t>212.28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333003石家庄市藁城区人民广场</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333003石家庄市藁城区人民广场</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2"/>
            </w:pPr>
          </w:p>
        </w:tc>
        <w:tc>
          <w:tcPr>
            <w:tcW w:w="1643" w:type="dxa"/>
            <w:vAlign w:val="center"/>
          </w:tcPr>
          <w:p>
            <w:pPr>
              <w:pStyle w:val="13"/>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石家庄市藁城区人民广场2022年单位预算信息公开情况说明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》、《地方预决算公开操作规程》和《关于进一步推进预算公开工作的实施意见》规定，现将石家庄市藁城区人民广场2022年单位预算公开如下：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8"/>
      </w:pPr>
      <w:r>
        <w:t>广场设施维护与保养，绿地植物栽培，提供娱乐健身场所。</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石家庄市藁城区人民广场</w:t>
            </w:r>
          </w:p>
        </w:tc>
        <w:tc>
          <w:tcPr>
            <w:tcW w:w="2464" w:type="dxa"/>
            <w:vAlign w:val="center"/>
          </w:tcPr>
          <w:p>
            <w:pPr>
              <w:pStyle w:val="12"/>
            </w:pPr>
            <w:r>
              <w:t>事业</w:t>
            </w:r>
          </w:p>
        </w:tc>
        <w:tc>
          <w:tcPr>
            <w:tcW w:w="2464" w:type="dxa"/>
            <w:vAlign w:val="center"/>
          </w:tcPr>
          <w:p>
            <w:pPr>
              <w:pStyle w:val="12"/>
            </w:pPr>
            <w:r>
              <w:t>股级</w:t>
            </w:r>
          </w:p>
        </w:tc>
        <w:tc>
          <w:tcPr>
            <w:tcW w:w="2464" w:type="dxa"/>
            <w:vAlign w:val="center"/>
          </w:tcPr>
          <w:p>
            <w:pPr>
              <w:pStyle w:val="12"/>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spacing w:line="500" w:lineRule="exact"/>
        <w:ind w:firstLine="560"/>
        <w:rPr>
          <w:rFonts w:eastAsia="方正仿宋_GBK" w:cs="Times New Roman"/>
          <w:color w:val="000000"/>
          <w:sz w:val="28"/>
        </w:rPr>
      </w:pPr>
      <w:r>
        <w:rPr>
          <w:rFonts w:hint="eastAsia" w:eastAsia="方正仿宋_GBK" w:cs="Times New Roman"/>
          <w:color w:val="000000"/>
          <w:sz w:val="28"/>
        </w:rPr>
        <w:t>1、</w:t>
      </w:r>
      <w:r>
        <w:rPr>
          <w:rFonts w:eastAsia="方正仿宋_GBK" w:cs="Times New Roman"/>
          <w:color w:val="000000"/>
          <w:sz w:val="28"/>
        </w:rPr>
        <w:t>收入说明</w:t>
      </w:r>
    </w:p>
    <w:p>
      <w:pPr>
        <w:spacing w:line="500" w:lineRule="exact"/>
        <w:ind w:firstLine="560"/>
        <w:rPr>
          <w:rFonts w:eastAsia="方正仿宋_GBK" w:cs="Times New Roman"/>
          <w:color w:val="000000"/>
          <w:sz w:val="28"/>
        </w:rPr>
      </w:pPr>
      <w:r>
        <w:rPr>
          <w:rFonts w:hint="eastAsia" w:eastAsia="方正仿宋_GBK" w:cs="Times New Roman"/>
          <w:color w:val="000000"/>
          <w:sz w:val="28"/>
        </w:rPr>
        <w:t>反映本</w:t>
      </w:r>
      <w:r>
        <w:rPr>
          <w:rFonts w:hint="eastAsia" w:eastAsia="方正仿宋_GBK" w:cs="Times New Roman"/>
          <w:color w:val="000000"/>
          <w:sz w:val="28"/>
          <w:lang w:eastAsia="zh-CN"/>
        </w:rPr>
        <w:t>单位</w:t>
      </w:r>
      <w:r>
        <w:rPr>
          <w:rFonts w:hint="eastAsia" w:eastAsia="方正仿宋_GBK" w:cs="Times New Roman"/>
          <w:color w:val="000000"/>
          <w:sz w:val="28"/>
        </w:rPr>
        <w:t>当年全部收入。2022年预算收入</w:t>
      </w:r>
      <w:r>
        <w:rPr>
          <w:rFonts w:hint="eastAsia" w:eastAsia="方正仿宋_GBK" w:cs="Times New Roman"/>
          <w:color w:val="000000"/>
          <w:sz w:val="28"/>
          <w:lang w:eastAsia="zh-CN"/>
        </w:rPr>
        <w:t>661.05</w:t>
      </w:r>
      <w:r>
        <w:rPr>
          <w:rFonts w:hint="eastAsia" w:eastAsia="方正仿宋_GBK" w:cs="Times New Roman"/>
          <w:color w:val="000000"/>
          <w:sz w:val="28"/>
        </w:rPr>
        <w:t>万元，其中：一般公共预算收入</w:t>
      </w:r>
      <w:r>
        <w:rPr>
          <w:rFonts w:hint="eastAsia" w:eastAsia="方正仿宋_GBK" w:cs="Times New Roman"/>
          <w:color w:val="000000"/>
          <w:sz w:val="28"/>
          <w:lang w:eastAsia="zh-CN"/>
        </w:rPr>
        <w:t>448.77</w:t>
      </w:r>
      <w:r>
        <w:rPr>
          <w:rFonts w:hint="eastAsia" w:eastAsia="方正仿宋_GBK" w:cs="Times New Roman"/>
          <w:color w:val="000000"/>
          <w:sz w:val="28"/>
        </w:rPr>
        <w:t>万元，基金预算收入</w:t>
      </w:r>
      <w:r>
        <w:rPr>
          <w:rFonts w:hint="eastAsia" w:eastAsia="方正仿宋_GBK" w:cs="Times New Roman"/>
          <w:color w:val="000000"/>
          <w:sz w:val="28"/>
          <w:lang w:eastAsia="zh-CN"/>
        </w:rPr>
        <w:t>212.28</w:t>
      </w:r>
      <w:r>
        <w:rPr>
          <w:rFonts w:hint="eastAsia" w:eastAsia="方正仿宋_GBK" w:cs="Times New Roman"/>
          <w:color w:val="000000"/>
          <w:sz w:val="28"/>
        </w:rPr>
        <w:t>万元，财政专户核拨收入0万元，其他来源收入0万元。</w:t>
      </w:r>
    </w:p>
    <w:p>
      <w:pPr>
        <w:spacing w:line="500" w:lineRule="exact"/>
        <w:ind w:firstLine="560"/>
        <w:rPr>
          <w:rFonts w:eastAsia="方正仿宋_GBK" w:cs="Times New Roman"/>
          <w:color w:val="000000"/>
          <w:sz w:val="28"/>
        </w:rPr>
      </w:pPr>
      <w:r>
        <w:rPr>
          <w:rFonts w:hint="eastAsia" w:eastAsia="方正仿宋_GBK" w:cs="Times New Roman"/>
          <w:color w:val="000000"/>
          <w:sz w:val="28"/>
        </w:rPr>
        <w:t>2、</w:t>
      </w:r>
      <w:r>
        <w:rPr>
          <w:rFonts w:eastAsia="方正仿宋_GBK" w:cs="Times New Roman"/>
          <w:color w:val="000000"/>
          <w:sz w:val="28"/>
        </w:rPr>
        <w:t>支出说明</w:t>
      </w:r>
    </w:p>
    <w:p>
      <w:pPr>
        <w:spacing w:line="500" w:lineRule="exact"/>
        <w:ind w:firstLine="560"/>
        <w:rPr>
          <w:rFonts w:eastAsia="方正仿宋_GBK" w:cs="Times New Roman"/>
          <w:color w:val="000000"/>
          <w:sz w:val="28"/>
        </w:rPr>
      </w:pPr>
      <w:r>
        <w:rPr>
          <w:rFonts w:hint="eastAsia" w:eastAsia="方正仿宋_GBK" w:cs="Times New Roman"/>
          <w:color w:val="000000"/>
          <w:sz w:val="28"/>
        </w:rPr>
        <w:t>收支预算总表支出栏、基本支出表、项目支出表按经济分类和支出功能分类科目编制，反映本</w:t>
      </w:r>
      <w:r>
        <w:rPr>
          <w:rFonts w:hint="eastAsia" w:eastAsia="方正仿宋_GBK" w:cs="Times New Roman"/>
          <w:color w:val="000000"/>
          <w:sz w:val="28"/>
          <w:lang w:eastAsia="zh-CN"/>
        </w:rPr>
        <w:t>单位</w:t>
      </w:r>
      <w:r>
        <w:rPr>
          <w:rFonts w:hint="eastAsia" w:eastAsia="方正仿宋_GBK" w:cs="Times New Roman"/>
          <w:color w:val="000000"/>
          <w:sz w:val="28"/>
        </w:rPr>
        <w:t>预算中支出预算的总体情况。2022年</w:t>
      </w:r>
      <w:r>
        <w:rPr>
          <w:rFonts w:hint="eastAsia" w:eastAsia="方正仿宋_GBK" w:cs="Times New Roman"/>
          <w:color w:val="000000"/>
          <w:sz w:val="28"/>
          <w:lang w:eastAsia="zh-CN"/>
        </w:rPr>
        <w:t>单位</w:t>
      </w:r>
      <w:r>
        <w:rPr>
          <w:rFonts w:hint="eastAsia" w:eastAsia="方正仿宋_GBK" w:cs="Times New Roman"/>
          <w:color w:val="000000"/>
          <w:sz w:val="28"/>
        </w:rPr>
        <w:t>支出预算为</w:t>
      </w:r>
      <w:r>
        <w:rPr>
          <w:rFonts w:hint="eastAsia" w:eastAsia="方正仿宋_GBK" w:cs="Times New Roman"/>
          <w:color w:val="000000"/>
          <w:sz w:val="28"/>
          <w:lang w:eastAsia="zh-CN"/>
        </w:rPr>
        <w:t>661.05</w:t>
      </w:r>
      <w:r>
        <w:rPr>
          <w:rFonts w:hint="eastAsia" w:eastAsia="方正仿宋_GBK" w:cs="Times New Roman"/>
          <w:color w:val="000000"/>
          <w:sz w:val="28"/>
        </w:rPr>
        <w:t>万元，其中基本支出</w:t>
      </w:r>
      <w:r>
        <w:rPr>
          <w:rFonts w:hint="eastAsia" w:eastAsia="方正仿宋_GBK" w:cs="Times New Roman"/>
          <w:color w:val="000000"/>
          <w:sz w:val="28"/>
          <w:lang w:eastAsia="zh-CN"/>
        </w:rPr>
        <w:t>448.77</w:t>
      </w:r>
      <w:r>
        <w:rPr>
          <w:rFonts w:hint="eastAsia" w:eastAsia="方正仿宋_GBK" w:cs="Times New Roman"/>
          <w:color w:val="000000"/>
          <w:sz w:val="28"/>
        </w:rPr>
        <w:t>万元，包括人员经费</w:t>
      </w:r>
      <w:r>
        <w:rPr>
          <w:rFonts w:hint="eastAsia" w:eastAsia="方正仿宋_GBK" w:cs="Times New Roman"/>
          <w:color w:val="000000"/>
          <w:sz w:val="28"/>
          <w:lang w:eastAsia="zh-CN"/>
        </w:rPr>
        <w:t>431.61</w:t>
      </w:r>
      <w:r>
        <w:rPr>
          <w:rFonts w:hint="eastAsia" w:eastAsia="方正仿宋_GBK" w:cs="Times New Roman"/>
          <w:color w:val="000000"/>
          <w:sz w:val="28"/>
        </w:rPr>
        <w:t>万元和日常公用经费</w:t>
      </w:r>
      <w:r>
        <w:rPr>
          <w:rFonts w:hint="eastAsia" w:eastAsia="方正仿宋_GBK" w:cs="Times New Roman"/>
          <w:color w:val="000000"/>
          <w:sz w:val="28"/>
          <w:lang w:eastAsia="zh-CN"/>
        </w:rPr>
        <w:t>17.16</w:t>
      </w:r>
      <w:r>
        <w:rPr>
          <w:rFonts w:hint="eastAsia" w:eastAsia="方正仿宋_GBK" w:cs="Times New Roman"/>
          <w:color w:val="000000"/>
          <w:sz w:val="28"/>
        </w:rPr>
        <w:t>万元；项目支出</w:t>
      </w:r>
      <w:r>
        <w:rPr>
          <w:rFonts w:hint="eastAsia" w:eastAsia="方正仿宋_GBK" w:cs="Times New Roman"/>
          <w:color w:val="000000"/>
          <w:sz w:val="28"/>
          <w:lang w:eastAsia="zh-CN"/>
        </w:rPr>
        <w:t>212.28</w:t>
      </w:r>
      <w:r>
        <w:rPr>
          <w:rFonts w:hint="eastAsia" w:eastAsia="方正仿宋_GBK" w:cs="Times New Roman"/>
          <w:color w:val="000000"/>
          <w:sz w:val="28"/>
        </w:rPr>
        <w:t>万元，主要为城乡社区支出</w:t>
      </w:r>
      <w:r>
        <w:rPr>
          <w:rFonts w:hint="eastAsia" w:eastAsia="方正仿宋_GBK" w:cs="Times New Roman"/>
          <w:color w:val="000000"/>
          <w:sz w:val="28"/>
          <w:lang w:eastAsia="zh-CN"/>
        </w:rPr>
        <w:t>212.28</w:t>
      </w:r>
      <w:r>
        <w:rPr>
          <w:rFonts w:hint="eastAsia" w:eastAsia="方正仿宋_GBK" w:cs="Times New Roman"/>
          <w:color w:val="000000"/>
          <w:sz w:val="28"/>
        </w:rPr>
        <w:t>万元，其他支出0万元。</w:t>
      </w:r>
    </w:p>
    <w:p>
      <w:pPr>
        <w:spacing w:line="500" w:lineRule="exact"/>
        <w:ind w:firstLine="560"/>
        <w:rPr>
          <w:rFonts w:eastAsia="方正仿宋_GBK" w:cs="Times New Roman"/>
          <w:color w:val="000000"/>
          <w:sz w:val="28"/>
        </w:rPr>
      </w:pPr>
      <w:r>
        <w:rPr>
          <w:rFonts w:hint="eastAsia" w:eastAsia="方正仿宋_GBK" w:cs="Times New Roman"/>
          <w:color w:val="000000"/>
          <w:sz w:val="28"/>
        </w:rPr>
        <w:t>3、</w:t>
      </w:r>
      <w:r>
        <w:rPr>
          <w:rFonts w:eastAsia="方正仿宋_GBK" w:cs="Times New Roman"/>
          <w:color w:val="000000"/>
          <w:sz w:val="28"/>
        </w:rPr>
        <w:t>比上年增减情况</w:t>
      </w:r>
    </w:p>
    <w:p>
      <w:pPr>
        <w:spacing w:line="500" w:lineRule="exact"/>
        <w:ind w:firstLine="560"/>
        <w:rPr>
          <w:rFonts w:eastAsia="方正仿宋_GBK" w:cs="Times New Roman"/>
          <w:color w:val="000000"/>
          <w:sz w:val="28"/>
          <w:lang w:eastAsia="zh-CN"/>
        </w:rPr>
      </w:pPr>
      <w:r>
        <w:rPr>
          <w:rFonts w:hint="eastAsia" w:eastAsia="方正仿宋_GBK" w:cs="Times New Roman"/>
          <w:color w:val="000000"/>
          <w:sz w:val="28"/>
        </w:rPr>
        <w:t>2022年</w:t>
      </w:r>
      <w:r>
        <w:rPr>
          <w:rFonts w:hint="eastAsia" w:eastAsia="方正仿宋_GBK" w:cs="Times New Roman"/>
          <w:color w:val="000000"/>
          <w:sz w:val="28"/>
          <w:lang w:eastAsia="zh-CN"/>
        </w:rPr>
        <w:t>单位</w:t>
      </w:r>
      <w:r>
        <w:rPr>
          <w:rFonts w:hint="eastAsia" w:eastAsia="方正仿宋_GBK" w:cs="Times New Roman"/>
          <w:color w:val="000000"/>
          <w:sz w:val="28"/>
        </w:rPr>
        <w:t>预算收支安排</w:t>
      </w:r>
      <w:r>
        <w:rPr>
          <w:rFonts w:hint="eastAsia" w:eastAsia="方正仿宋_GBK" w:cs="Times New Roman"/>
          <w:color w:val="000000"/>
          <w:sz w:val="28"/>
          <w:lang w:eastAsia="zh-CN"/>
        </w:rPr>
        <w:t>661.05</w:t>
      </w:r>
      <w:r>
        <w:rPr>
          <w:rFonts w:hint="eastAsia" w:eastAsia="方正仿宋_GBK" w:cs="Times New Roman"/>
          <w:color w:val="000000"/>
          <w:sz w:val="28"/>
        </w:rPr>
        <w:t>万元，较2021年</w:t>
      </w:r>
      <w:r>
        <w:rPr>
          <w:rFonts w:hint="eastAsia" w:eastAsia="方正仿宋_GBK" w:cs="Times New Roman"/>
          <w:color w:val="000000"/>
          <w:sz w:val="28"/>
          <w:lang w:val="uk-UA" w:eastAsia="zh-CN"/>
        </w:rPr>
        <w:t>增加</w:t>
      </w:r>
      <w:r>
        <w:rPr>
          <w:rFonts w:hint="eastAsia" w:eastAsia="方正仿宋_GBK" w:cs="Times New Roman"/>
          <w:color w:val="000000"/>
          <w:sz w:val="28"/>
          <w:lang w:eastAsia="zh-CN"/>
        </w:rPr>
        <w:t>75.52</w:t>
      </w:r>
      <w:r>
        <w:rPr>
          <w:rFonts w:hint="eastAsia" w:eastAsia="方正仿宋_GBK" w:cs="Times New Roman"/>
          <w:color w:val="000000"/>
          <w:sz w:val="28"/>
        </w:rPr>
        <w:t>万元，其中：基本支出</w:t>
      </w:r>
      <w:r>
        <w:rPr>
          <w:rFonts w:hint="eastAsia" w:eastAsia="方正仿宋_GBK" w:cs="Times New Roman"/>
          <w:color w:val="000000"/>
          <w:sz w:val="28"/>
          <w:lang w:val="uk-UA" w:eastAsia="zh-CN"/>
        </w:rPr>
        <w:t>增加15.52</w:t>
      </w:r>
      <w:r>
        <w:rPr>
          <w:rFonts w:hint="eastAsia" w:eastAsia="方正仿宋_GBK" w:cs="Times New Roman"/>
          <w:color w:val="000000"/>
          <w:sz w:val="28"/>
        </w:rPr>
        <w:t>万元，主要是人员</w:t>
      </w:r>
      <w:r>
        <w:rPr>
          <w:rFonts w:hint="eastAsia" w:eastAsia="方正仿宋_GBK" w:cs="Times New Roman"/>
          <w:color w:val="000000"/>
          <w:sz w:val="28"/>
          <w:lang w:eastAsia="zh-CN"/>
        </w:rPr>
        <w:t>增加</w:t>
      </w:r>
      <w:r>
        <w:rPr>
          <w:rFonts w:hint="eastAsia" w:eastAsia="方正仿宋_GBK" w:cs="Times New Roman"/>
          <w:color w:val="000000"/>
          <w:sz w:val="28"/>
        </w:rPr>
        <w:t>，相应</w:t>
      </w:r>
      <w:r>
        <w:rPr>
          <w:rFonts w:hint="eastAsia" w:eastAsia="方正仿宋_GBK" w:cs="Times New Roman"/>
          <w:color w:val="000000"/>
          <w:sz w:val="28"/>
          <w:lang w:eastAsia="zh-CN"/>
        </w:rPr>
        <w:t>增加</w:t>
      </w:r>
      <w:r>
        <w:rPr>
          <w:rFonts w:hint="eastAsia" w:eastAsia="方正仿宋_GBK" w:cs="Times New Roman"/>
          <w:color w:val="000000"/>
          <w:sz w:val="28"/>
        </w:rPr>
        <w:t>人员经费和日常公用经费；项目支出</w:t>
      </w:r>
      <w:r>
        <w:rPr>
          <w:rFonts w:hint="eastAsia" w:eastAsia="方正仿宋_GBK" w:cs="Times New Roman"/>
          <w:color w:val="000000"/>
          <w:sz w:val="28"/>
          <w:lang w:eastAsia="zh-CN"/>
        </w:rPr>
        <w:t>增加60</w:t>
      </w:r>
      <w:r>
        <w:rPr>
          <w:rFonts w:hint="eastAsia" w:eastAsia="方正仿宋_GBK" w:cs="Times New Roman"/>
          <w:color w:val="000000"/>
          <w:sz w:val="28"/>
        </w:rPr>
        <w:t>万元，主要是</w:t>
      </w:r>
      <w:r>
        <w:rPr>
          <w:rFonts w:hint="eastAsia" w:eastAsia="方正仿宋_GBK" w:cs="Times New Roman"/>
          <w:color w:val="000000"/>
          <w:sz w:val="28"/>
          <w:lang w:eastAsia="zh-CN"/>
        </w:rPr>
        <w:t>城市建设支出</w:t>
      </w:r>
      <w:r>
        <w:rPr>
          <w:rFonts w:hint="eastAsia" w:eastAsia="方正仿宋_GBK" w:cs="Times New Roman"/>
          <w:color w:val="000000"/>
          <w:sz w:val="28"/>
        </w:rPr>
        <w:t>资金</w:t>
      </w:r>
      <w:r>
        <w:rPr>
          <w:rFonts w:hint="eastAsia" w:eastAsia="方正仿宋_GBK" w:cs="Times New Roman"/>
          <w:color w:val="000000"/>
          <w:sz w:val="28"/>
          <w:lang w:eastAsia="zh-CN"/>
        </w:rPr>
        <w:t>增加</w:t>
      </w:r>
      <w:r>
        <w:rPr>
          <w:rFonts w:hint="eastAsia" w:eastAsia="方正仿宋_GBK" w:cs="Times New Roman"/>
          <w:color w:val="000000"/>
          <w:sz w:val="28"/>
        </w:rPr>
        <w:t>；其他支出无增减变化。</w:t>
      </w:r>
    </w:p>
    <w:p>
      <w:pPr>
        <w:spacing w:line="500" w:lineRule="exact"/>
        <w:ind w:firstLine="560"/>
        <w:rPr>
          <w:rFonts w:eastAsia="方正仿宋_GBK" w:cs="Times New Roman"/>
          <w:color w:val="000000"/>
          <w:sz w:val="28"/>
        </w:rPr>
      </w:pPr>
      <w:r>
        <w:rPr>
          <w:rFonts w:eastAsia="方正仿宋_GBK" w:cs="Times New Roman"/>
          <w:color w:val="000000"/>
          <w:sz w:val="28"/>
        </w:rPr>
        <w:t>三、机关运行经费安排情况</w:t>
      </w:r>
    </w:p>
    <w:p>
      <w:pPr>
        <w:spacing w:line="500" w:lineRule="exact"/>
        <w:ind w:firstLine="560"/>
        <w:rPr>
          <w:rFonts w:eastAsia="方正仿宋_GBK" w:cs="Times New Roman"/>
          <w:color w:val="000000"/>
          <w:sz w:val="28"/>
        </w:rPr>
      </w:pPr>
      <w:r>
        <w:rPr>
          <w:rFonts w:hint="eastAsia" w:eastAsia="方正仿宋_GBK" w:cs="Times New Roman"/>
          <w:color w:val="000000"/>
          <w:sz w:val="28"/>
          <w:lang w:eastAsia="zh-CN"/>
        </w:rPr>
        <w:t>2022</w:t>
      </w:r>
      <w:r>
        <w:rPr>
          <w:rFonts w:hint="eastAsia" w:eastAsia="方正仿宋_GBK" w:cs="Times New Roman"/>
          <w:color w:val="000000"/>
          <w:sz w:val="28"/>
        </w:rPr>
        <w:t>年，我</w:t>
      </w:r>
      <w:r>
        <w:rPr>
          <w:rFonts w:hint="eastAsia" w:eastAsia="方正仿宋_GBK" w:cs="Times New Roman"/>
          <w:color w:val="000000"/>
          <w:sz w:val="28"/>
          <w:lang w:eastAsia="zh-CN"/>
        </w:rPr>
        <w:t>单位</w:t>
      </w:r>
      <w:r>
        <w:rPr>
          <w:rFonts w:hint="eastAsia" w:eastAsia="方正仿宋_GBK" w:cs="Times New Roman"/>
          <w:color w:val="000000"/>
          <w:sz w:val="28"/>
        </w:rPr>
        <w:t>机关运行经费共计安排</w:t>
      </w:r>
      <w:r>
        <w:rPr>
          <w:rFonts w:hint="eastAsia" w:eastAsia="方正仿宋_GBK" w:cs="Times New Roman"/>
          <w:color w:val="000000"/>
          <w:sz w:val="28"/>
          <w:lang w:eastAsia="zh-CN"/>
        </w:rPr>
        <w:t>17.16</w:t>
      </w:r>
      <w:r>
        <w:rPr>
          <w:rFonts w:hint="eastAsia" w:eastAsia="方正仿宋_GBK" w:cs="Times New Roman"/>
          <w:color w:val="000000"/>
          <w:sz w:val="28"/>
        </w:rPr>
        <w:t>万元，主要用于保证机关正常运转的办公及印刷费、邮电费、差旅费、会议费、福利费、专用材料及一般设备购置费、办公用房水电费、办公用房取暖费、日常维修费、办公楼物业管理费等支出。</w:t>
      </w:r>
    </w:p>
    <w:p>
      <w:pPr>
        <w:spacing w:line="500" w:lineRule="exact"/>
        <w:ind w:firstLine="560"/>
        <w:rPr>
          <w:rFonts w:eastAsia="方正仿宋_GBK" w:cs="Times New Roman"/>
          <w:color w:val="000000"/>
          <w:sz w:val="28"/>
        </w:rPr>
      </w:pPr>
      <w:r>
        <w:rPr>
          <w:rFonts w:eastAsia="方正仿宋_GBK" w:cs="Times New Roman"/>
          <w:color w:val="000000"/>
          <w:sz w:val="28"/>
        </w:rPr>
        <w:t>四、财政拨款“三公”经费预算情况及增减变化原因</w:t>
      </w:r>
    </w:p>
    <w:p>
      <w:pPr>
        <w:spacing w:line="500" w:lineRule="exact"/>
        <w:ind w:firstLine="560"/>
        <w:rPr>
          <w:rFonts w:eastAsia="方正仿宋_GBK" w:cs="Times New Roman"/>
          <w:color w:val="000000"/>
          <w:sz w:val="28"/>
        </w:rPr>
      </w:pPr>
      <w:r>
        <w:rPr>
          <w:rFonts w:hint="eastAsia" w:eastAsia="方正仿宋_GBK" w:cs="Times New Roman"/>
          <w:color w:val="000000"/>
          <w:sz w:val="28"/>
        </w:rPr>
        <w:t>2022年本</w:t>
      </w:r>
      <w:r>
        <w:rPr>
          <w:rFonts w:hint="eastAsia" w:eastAsia="方正仿宋_GBK" w:cs="Times New Roman"/>
          <w:color w:val="000000"/>
          <w:sz w:val="28"/>
          <w:lang w:eastAsia="zh-CN"/>
        </w:rPr>
        <w:t>单位</w:t>
      </w:r>
      <w:r>
        <w:rPr>
          <w:rFonts w:hint="eastAsia" w:eastAsia="方正仿宋_GBK" w:cs="Times New Roman"/>
          <w:color w:val="000000"/>
          <w:sz w:val="28"/>
        </w:rPr>
        <w:t>财政拨款“三公”经费预算安排0万元，其中：因公出国（境）费0万元，与上年持平；公务用车购置及运维费0万元（其中：公务用车购置费0万元，与上年持平；公务用车运行费0万元，与上年持平) ；公务接待费0万元，与上年持平。与2021年相比，“三公”经费与上年持平，无增减变化。</w:t>
      </w:r>
    </w:p>
    <w:p>
      <w:pPr>
        <w:spacing w:before="10" w:after="10"/>
        <w:ind w:firstLine="640"/>
        <w:outlineLvl w:val="5"/>
        <w:rPr>
          <w:lang w:eastAsia="zh-CN"/>
        </w:rPr>
        <w:sectPr>
          <w:pgSz w:w="16840" w:h="11900" w:orient="landscape"/>
          <w:pgMar w:top="1361" w:right="1020" w:bottom="1361" w:left="1020" w:header="720" w:footer="720" w:gutter="0"/>
          <w:cols w:space="720" w:num="1"/>
        </w:sectPr>
      </w:pPr>
      <w:r>
        <w:rPr>
          <w:rFonts w:ascii="黑体" w:hAnsi="黑体" w:eastAsia="黑体" w:cs="黑体"/>
          <w:color w:val="000000"/>
          <w:sz w:val="32"/>
        </w:rPr>
        <w:t>五、预算</w:t>
      </w:r>
      <w:r>
        <w:rPr>
          <w:rFonts w:hint="eastAsia" w:ascii="黑体" w:hAnsi="黑体" w:eastAsia="黑体" w:cs="黑体"/>
          <w:color w:val="000000"/>
          <w:sz w:val="32"/>
          <w:lang w:eastAsia="zh-CN"/>
        </w:rPr>
        <w:t>项目</w:t>
      </w:r>
      <w:r>
        <w:rPr>
          <w:rFonts w:ascii="黑体" w:hAnsi="黑体" w:eastAsia="黑体" w:cs="黑体"/>
          <w:color w:val="000000"/>
          <w:sz w:val="32"/>
        </w:rPr>
        <w:t>绩效</w:t>
      </w:r>
      <w:r>
        <w:rPr>
          <w:rFonts w:hint="eastAsia" w:ascii="黑体" w:hAnsi="黑体" w:eastAsia="黑体" w:cs="黑体"/>
          <w:color w:val="000000"/>
          <w:sz w:val="32"/>
          <w:lang w:eastAsia="zh-CN"/>
        </w:rPr>
        <w:t>目标</w:t>
      </w:r>
    </w:p>
    <w:p>
      <w:pPr>
        <w:ind w:firstLine="560"/>
      </w:pPr>
      <w:r>
        <w:rPr>
          <w:rFonts w:ascii="方正仿宋_GBK" w:hAnsi="方正仿宋_GBK" w:eastAsia="方正仿宋_GBK" w:cs="方正仿宋_GBK"/>
          <w:b/>
          <w:color w:val="000000"/>
          <w:sz w:val="28"/>
        </w:rPr>
        <w:t>1、广场维护费绩效目标表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1"/>
            </w:pPr>
            <w:r>
              <w:t>绩效目标</w:t>
            </w:r>
          </w:p>
        </w:tc>
        <w:tc>
          <w:tcPr>
            <w:tcW w:w="7399" w:type="dxa"/>
            <w:tcBorders>
              <w:bottom w:val="single" w:color="FFFFFF" w:sz="6" w:space="0"/>
            </w:tcBorders>
            <w:vAlign w:val="center"/>
          </w:tcPr>
          <w:p>
            <w:pPr>
              <w:pStyle w:val="13"/>
            </w:pPr>
            <w:r>
              <w:t>1.保障人民广场正常运行。</w:t>
            </w:r>
          </w:p>
          <w:p>
            <w:pPr>
              <w:pStyle w:val="13"/>
            </w:pPr>
            <w:r>
              <w:t>2.满足广场日常维护需要。</w:t>
            </w:r>
          </w:p>
        </w:tc>
      </w:tr>
    </w:tbl>
    <w:p>
      <w:pPr>
        <w:spacing w:line="2" w:lineRule="exact"/>
        <w:jc w:val="center"/>
      </w:pP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1"/>
            </w:pPr>
            <w:r>
              <w:t>一级指标</w:t>
            </w:r>
          </w:p>
        </w:tc>
        <w:tc>
          <w:tcPr>
            <w:tcW w:w="2466" w:type="dxa"/>
            <w:vAlign w:val="center"/>
          </w:tcPr>
          <w:p>
            <w:pPr>
              <w:pStyle w:val="11"/>
            </w:pPr>
            <w:r>
              <w:t>二级指标</w:t>
            </w:r>
          </w:p>
        </w:tc>
        <w:tc>
          <w:tcPr>
            <w:tcW w:w="2466" w:type="dxa"/>
            <w:vAlign w:val="center"/>
          </w:tcPr>
          <w:p>
            <w:pPr>
              <w:pStyle w:val="11"/>
            </w:pPr>
            <w:r>
              <w:t>三级指标</w:t>
            </w:r>
          </w:p>
        </w:tc>
        <w:tc>
          <w:tcPr>
            <w:tcW w:w="2466" w:type="dxa"/>
            <w:vAlign w:val="center"/>
          </w:tcPr>
          <w:p>
            <w:pPr>
              <w:pStyle w:val="11"/>
            </w:pPr>
            <w:r>
              <w:t>绩效指标描述</w:t>
            </w:r>
          </w:p>
        </w:tc>
        <w:tc>
          <w:tcPr>
            <w:tcW w:w="2466" w:type="dxa"/>
            <w:vAlign w:val="center"/>
          </w:tcPr>
          <w:p>
            <w:pPr>
              <w:pStyle w:val="11"/>
            </w:pPr>
            <w:r>
              <w:t>指标值</w:t>
            </w:r>
          </w:p>
        </w:tc>
        <w:tc>
          <w:tcPr>
            <w:tcW w:w="246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2"/>
            </w:pPr>
            <w:r>
              <w:t>产出指标</w:t>
            </w:r>
          </w:p>
        </w:tc>
        <w:tc>
          <w:tcPr>
            <w:tcW w:w="2466" w:type="dxa"/>
            <w:vAlign w:val="center"/>
          </w:tcPr>
          <w:p>
            <w:pPr>
              <w:pStyle w:val="13"/>
            </w:pPr>
            <w:r>
              <w:t>数量指标</w:t>
            </w:r>
          </w:p>
        </w:tc>
        <w:tc>
          <w:tcPr>
            <w:tcW w:w="2466" w:type="dxa"/>
            <w:vAlign w:val="center"/>
          </w:tcPr>
          <w:p>
            <w:pPr>
              <w:pStyle w:val="13"/>
            </w:pPr>
            <w:r>
              <w:t>绿化面积数</w:t>
            </w:r>
          </w:p>
        </w:tc>
        <w:tc>
          <w:tcPr>
            <w:tcW w:w="2466" w:type="dxa"/>
            <w:vAlign w:val="center"/>
          </w:tcPr>
          <w:p>
            <w:pPr>
              <w:pStyle w:val="13"/>
            </w:pPr>
            <w:r>
              <w:t>绿化养护面积平方米数</w:t>
            </w:r>
          </w:p>
        </w:tc>
        <w:tc>
          <w:tcPr>
            <w:tcW w:w="2466" w:type="dxa"/>
            <w:vAlign w:val="center"/>
          </w:tcPr>
          <w:p>
            <w:pPr>
              <w:pStyle w:val="13"/>
            </w:pPr>
            <w:r>
              <w:t>≥10万平方米</w:t>
            </w:r>
          </w:p>
        </w:tc>
        <w:tc>
          <w:tcPr>
            <w:tcW w:w="246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3"/>
            </w:pPr>
            <w:r>
              <w:t>数量指标</w:t>
            </w:r>
          </w:p>
        </w:tc>
        <w:tc>
          <w:tcPr>
            <w:tcW w:w="2466" w:type="dxa"/>
            <w:vAlign w:val="center"/>
          </w:tcPr>
          <w:p>
            <w:pPr>
              <w:pStyle w:val="13"/>
            </w:pPr>
            <w:r>
              <w:t>甬路数量</w:t>
            </w:r>
          </w:p>
        </w:tc>
        <w:tc>
          <w:tcPr>
            <w:tcW w:w="2466" w:type="dxa"/>
            <w:vAlign w:val="center"/>
          </w:tcPr>
          <w:p>
            <w:pPr>
              <w:pStyle w:val="13"/>
            </w:pPr>
            <w:r>
              <w:t>甬路维护数量</w:t>
            </w:r>
          </w:p>
        </w:tc>
        <w:tc>
          <w:tcPr>
            <w:tcW w:w="2466" w:type="dxa"/>
            <w:vAlign w:val="center"/>
          </w:tcPr>
          <w:p>
            <w:pPr>
              <w:pStyle w:val="13"/>
            </w:pPr>
            <w:r>
              <w:t>≥5.9万平方米</w:t>
            </w:r>
          </w:p>
        </w:tc>
        <w:tc>
          <w:tcPr>
            <w:tcW w:w="246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3"/>
            </w:pPr>
            <w:r>
              <w:t>数量指标</w:t>
            </w:r>
          </w:p>
        </w:tc>
        <w:tc>
          <w:tcPr>
            <w:tcW w:w="2466" w:type="dxa"/>
            <w:vAlign w:val="center"/>
          </w:tcPr>
          <w:p>
            <w:pPr>
              <w:pStyle w:val="13"/>
            </w:pPr>
            <w:r>
              <w:t>小品、灯具数</w:t>
            </w:r>
          </w:p>
        </w:tc>
        <w:tc>
          <w:tcPr>
            <w:tcW w:w="2466" w:type="dxa"/>
            <w:vAlign w:val="center"/>
          </w:tcPr>
          <w:p>
            <w:pPr>
              <w:pStyle w:val="13"/>
            </w:pPr>
            <w:r>
              <w:t>小品、灯具维护数量</w:t>
            </w:r>
          </w:p>
        </w:tc>
        <w:tc>
          <w:tcPr>
            <w:tcW w:w="2466" w:type="dxa"/>
            <w:vAlign w:val="center"/>
          </w:tcPr>
          <w:p>
            <w:pPr>
              <w:pStyle w:val="13"/>
            </w:pPr>
            <w:r>
              <w:t>≥275个</w:t>
            </w:r>
          </w:p>
        </w:tc>
        <w:tc>
          <w:tcPr>
            <w:tcW w:w="246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3"/>
            </w:pPr>
            <w:r>
              <w:t>质量指标</w:t>
            </w:r>
          </w:p>
        </w:tc>
        <w:tc>
          <w:tcPr>
            <w:tcW w:w="2466" w:type="dxa"/>
            <w:vAlign w:val="center"/>
          </w:tcPr>
          <w:p>
            <w:pPr>
              <w:pStyle w:val="13"/>
            </w:pPr>
            <w:r>
              <w:t>养护情况</w:t>
            </w:r>
          </w:p>
        </w:tc>
        <w:tc>
          <w:tcPr>
            <w:tcW w:w="2466" w:type="dxa"/>
            <w:vAlign w:val="center"/>
          </w:tcPr>
          <w:p>
            <w:pPr>
              <w:pStyle w:val="13"/>
            </w:pPr>
            <w:r>
              <w:t>绿化养护覆盖率；甬路、小品保洁养护覆盖率；灯具完好亮灯率</w:t>
            </w:r>
          </w:p>
        </w:tc>
        <w:tc>
          <w:tcPr>
            <w:tcW w:w="2466" w:type="dxa"/>
            <w:vAlign w:val="center"/>
          </w:tcPr>
          <w:p>
            <w:pPr>
              <w:pStyle w:val="13"/>
            </w:pPr>
            <w:r>
              <w:t>≥90%</w:t>
            </w:r>
          </w:p>
        </w:tc>
        <w:tc>
          <w:tcPr>
            <w:tcW w:w="246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3"/>
            </w:pPr>
            <w:r>
              <w:t>时效指标</w:t>
            </w:r>
          </w:p>
        </w:tc>
        <w:tc>
          <w:tcPr>
            <w:tcW w:w="2466" w:type="dxa"/>
            <w:vAlign w:val="center"/>
          </w:tcPr>
          <w:p>
            <w:pPr>
              <w:pStyle w:val="13"/>
            </w:pPr>
            <w:r>
              <w:t>按时完成情况</w:t>
            </w:r>
          </w:p>
        </w:tc>
        <w:tc>
          <w:tcPr>
            <w:tcW w:w="2466" w:type="dxa"/>
            <w:vAlign w:val="center"/>
          </w:tcPr>
          <w:p>
            <w:pPr>
              <w:pStyle w:val="13"/>
            </w:pPr>
            <w:r>
              <w:t>绿化、铺装、小品按时间节点定期养护，全年养护天数</w:t>
            </w:r>
          </w:p>
        </w:tc>
        <w:tc>
          <w:tcPr>
            <w:tcW w:w="2466" w:type="dxa"/>
            <w:vAlign w:val="center"/>
          </w:tcPr>
          <w:p>
            <w:pPr>
              <w:pStyle w:val="13"/>
            </w:pPr>
            <w:r>
              <w:t>≥360天</w:t>
            </w:r>
          </w:p>
        </w:tc>
        <w:tc>
          <w:tcPr>
            <w:tcW w:w="246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3"/>
            </w:pPr>
            <w:r>
              <w:t>成本指标</w:t>
            </w:r>
          </w:p>
        </w:tc>
        <w:tc>
          <w:tcPr>
            <w:tcW w:w="2466" w:type="dxa"/>
            <w:vAlign w:val="center"/>
          </w:tcPr>
          <w:p>
            <w:pPr>
              <w:pStyle w:val="13"/>
            </w:pPr>
            <w:r>
              <w:t>资金成本</w:t>
            </w:r>
          </w:p>
        </w:tc>
        <w:tc>
          <w:tcPr>
            <w:tcW w:w="2466" w:type="dxa"/>
            <w:vAlign w:val="center"/>
          </w:tcPr>
          <w:p>
            <w:pPr>
              <w:pStyle w:val="13"/>
            </w:pPr>
            <w:r>
              <w:t>广场维护费成本</w:t>
            </w:r>
          </w:p>
        </w:tc>
        <w:tc>
          <w:tcPr>
            <w:tcW w:w="2466" w:type="dxa"/>
            <w:vAlign w:val="center"/>
          </w:tcPr>
          <w:p>
            <w:pPr>
              <w:pStyle w:val="13"/>
            </w:pPr>
            <w:r>
              <w:t>≤212.28万元</w:t>
            </w:r>
          </w:p>
        </w:tc>
        <w:tc>
          <w:tcPr>
            <w:tcW w:w="246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2"/>
            </w:pPr>
            <w:r>
              <w:t>效益指标</w:t>
            </w:r>
          </w:p>
        </w:tc>
        <w:tc>
          <w:tcPr>
            <w:tcW w:w="2466" w:type="dxa"/>
            <w:vAlign w:val="center"/>
          </w:tcPr>
          <w:p>
            <w:pPr>
              <w:pStyle w:val="13"/>
            </w:pPr>
            <w:r>
              <w:t>社会效益指标</w:t>
            </w:r>
          </w:p>
        </w:tc>
        <w:tc>
          <w:tcPr>
            <w:tcW w:w="2466" w:type="dxa"/>
            <w:vAlign w:val="center"/>
          </w:tcPr>
          <w:p>
            <w:pPr>
              <w:pStyle w:val="13"/>
            </w:pPr>
            <w:r>
              <w:t>人民广场条件改善</w:t>
            </w:r>
          </w:p>
        </w:tc>
        <w:tc>
          <w:tcPr>
            <w:tcW w:w="2466" w:type="dxa"/>
            <w:vAlign w:val="center"/>
          </w:tcPr>
          <w:p>
            <w:pPr>
              <w:pStyle w:val="13"/>
            </w:pPr>
            <w:r>
              <w:t>提高城市居民生活质量，增强城市综合文化能力</w:t>
            </w:r>
          </w:p>
        </w:tc>
        <w:tc>
          <w:tcPr>
            <w:tcW w:w="2466" w:type="dxa"/>
            <w:vAlign w:val="center"/>
          </w:tcPr>
          <w:p>
            <w:pPr>
              <w:pStyle w:val="13"/>
            </w:pPr>
            <w:r>
              <w:t>实际反馈</w:t>
            </w:r>
          </w:p>
        </w:tc>
        <w:tc>
          <w:tcPr>
            <w:tcW w:w="246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2"/>
            </w:pPr>
            <w:r>
              <w:t>满意度指标</w:t>
            </w:r>
          </w:p>
        </w:tc>
        <w:tc>
          <w:tcPr>
            <w:tcW w:w="2466" w:type="dxa"/>
            <w:vAlign w:val="center"/>
          </w:tcPr>
          <w:p>
            <w:pPr>
              <w:pStyle w:val="13"/>
            </w:pPr>
            <w:r>
              <w:t>服务对象满意度指标</w:t>
            </w:r>
          </w:p>
        </w:tc>
        <w:tc>
          <w:tcPr>
            <w:tcW w:w="2466" w:type="dxa"/>
            <w:vAlign w:val="center"/>
          </w:tcPr>
          <w:p>
            <w:pPr>
              <w:pStyle w:val="13"/>
            </w:pPr>
            <w:r>
              <w:t>服务对象满意度</w:t>
            </w:r>
          </w:p>
        </w:tc>
        <w:tc>
          <w:tcPr>
            <w:tcW w:w="2466" w:type="dxa"/>
            <w:vAlign w:val="center"/>
          </w:tcPr>
          <w:p>
            <w:pPr>
              <w:pStyle w:val="13"/>
            </w:pPr>
            <w:r>
              <w:t>服务对象满意度</w:t>
            </w:r>
          </w:p>
        </w:tc>
        <w:tc>
          <w:tcPr>
            <w:tcW w:w="2466" w:type="dxa"/>
            <w:vAlign w:val="center"/>
          </w:tcPr>
          <w:p>
            <w:pPr>
              <w:pStyle w:val="13"/>
            </w:pPr>
            <w:r>
              <w:t>≥85%</w:t>
            </w:r>
          </w:p>
        </w:tc>
        <w:tc>
          <w:tcPr>
            <w:tcW w:w="246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2022年，石家庄市藁城区人民广场安排政府采购预算0.00万元。具体内容见下表。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8"/>
            </w:pPr>
            <w:r>
              <w:t>333003石家庄市藁城区人民广场</w:t>
            </w:r>
          </w:p>
        </w:tc>
        <w:tc>
          <w:tcPr>
            <w:tcW w:w="831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1"/>
            </w:pPr>
            <w:r>
              <w:t>政府采购项目来源</w:t>
            </w:r>
          </w:p>
        </w:tc>
        <w:tc>
          <w:tcPr>
            <w:tcW w:w="924" w:type="dxa"/>
            <w:vMerge w:val="restart"/>
            <w:vAlign w:val="center"/>
          </w:tcPr>
          <w:p>
            <w:pPr>
              <w:pStyle w:val="11"/>
            </w:pPr>
            <w:r>
              <w:t>采购物品名称</w:t>
            </w:r>
          </w:p>
        </w:tc>
        <w:tc>
          <w:tcPr>
            <w:tcW w:w="924" w:type="dxa"/>
            <w:vMerge w:val="restart"/>
            <w:vAlign w:val="center"/>
          </w:tcPr>
          <w:p>
            <w:pPr>
              <w:pStyle w:val="11"/>
            </w:pPr>
            <w:r>
              <w:t>政府采购目录序号</w:t>
            </w:r>
          </w:p>
        </w:tc>
        <w:tc>
          <w:tcPr>
            <w:tcW w:w="924" w:type="dxa"/>
            <w:vMerge w:val="restart"/>
            <w:vAlign w:val="center"/>
          </w:tcPr>
          <w:p>
            <w:pPr>
              <w:pStyle w:val="11"/>
            </w:pPr>
            <w:r>
              <w:t>计量  单位</w:t>
            </w:r>
          </w:p>
        </w:tc>
        <w:tc>
          <w:tcPr>
            <w:tcW w:w="924" w:type="dxa"/>
            <w:vMerge w:val="restart"/>
            <w:vAlign w:val="center"/>
          </w:tcPr>
          <w:p>
            <w:pPr>
              <w:pStyle w:val="11"/>
            </w:pPr>
            <w:r>
              <w:t>数量</w:t>
            </w:r>
          </w:p>
        </w:tc>
        <w:tc>
          <w:tcPr>
            <w:tcW w:w="924" w:type="dxa"/>
            <w:vMerge w:val="restart"/>
            <w:vAlign w:val="center"/>
          </w:tcPr>
          <w:p>
            <w:pPr>
              <w:pStyle w:val="11"/>
            </w:pPr>
            <w:r>
              <w:t>单价</w:t>
            </w:r>
          </w:p>
        </w:tc>
        <w:tc>
          <w:tcPr>
            <w:tcW w:w="7392" w:type="dxa"/>
            <w:gridSpan w:val="8"/>
            <w:vAlign w:val="center"/>
          </w:tcPr>
          <w:p>
            <w:pPr>
              <w:pStyle w:val="11"/>
            </w:pPr>
            <w:r>
              <w:t>政府采购金额（当年部门预算安排资金）</w:t>
            </w:r>
          </w:p>
        </w:tc>
        <w:tc>
          <w:tcPr>
            <w:tcW w:w="924"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1"/>
            </w:pPr>
            <w:r>
              <w:t>项目名称</w:t>
            </w:r>
          </w:p>
        </w:tc>
        <w:tc>
          <w:tcPr>
            <w:tcW w:w="924" w:type="dxa"/>
            <w:vAlign w:val="center"/>
          </w:tcPr>
          <w:p>
            <w:pPr>
              <w:pStyle w:val="11"/>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1"/>
            </w:pPr>
            <w:r>
              <w:t>合计</w:t>
            </w:r>
          </w:p>
        </w:tc>
        <w:tc>
          <w:tcPr>
            <w:tcW w:w="924" w:type="dxa"/>
            <w:vAlign w:val="center"/>
          </w:tcPr>
          <w:p>
            <w:pPr>
              <w:pStyle w:val="11"/>
            </w:pPr>
            <w:r>
              <w:t>一般公共预算拨款</w:t>
            </w:r>
          </w:p>
        </w:tc>
        <w:tc>
          <w:tcPr>
            <w:tcW w:w="924" w:type="dxa"/>
            <w:vAlign w:val="center"/>
          </w:tcPr>
          <w:p>
            <w:pPr>
              <w:pStyle w:val="11"/>
            </w:pPr>
            <w:r>
              <w:t>基金预算拨款</w:t>
            </w:r>
          </w:p>
        </w:tc>
        <w:tc>
          <w:tcPr>
            <w:tcW w:w="924" w:type="dxa"/>
            <w:vAlign w:val="center"/>
          </w:tcPr>
          <w:p>
            <w:pPr>
              <w:pStyle w:val="11"/>
            </w:pPr>
            <w:r>
              <w:t>国有资本经营预算拨款</w:t>
            </w:r>
          </w:p>
        </w:tc>
        <w:tc>
          <w:tcPr>
            <w:tcW w:w="924" w:type="dxa"/>
            <w:vAlign w:val="center"/>
          </w:tcPr>
          <w:p>
            <w:pPr>
              <w:pStyle w:val="11"/>
            </w:pPr>
            <w:r>
              <w:t>财政专户核拨</w:t>
            </w:r>
          </w:p>
        </w:tc>
        <w:tc>
          <w:tcPr>
            <w:tcW w:w="924" w:type="dxa"/>
            <w:vAlign w:val="center"/>
          </w:tcPr>
          <w:p>
            <w:pPr>
              <w:pStyle w:val="11"/>
            </w:pPr>
            <w:r>
              <w:t>单位    资金</w:t>
            </w:r>
          </w:p>
        </w:tc>
        <w:tc>
          <w:tcPr>
            <w:tcW w:w="924" w:type="dxa"/>
            <w:vAlign w:val="center"/>
          </w:tcPr>
          <w:p>
            <w:pPr>
              <w:pStyle w:val="11"/>
            </w:pPr>
            <w:r>
              <w:t>财政拨    款结转</w:t>
            </w:r>
          </w:p>
        </w:tc>
        <w:tc>
          <w:tcPr>
            <w:tcW w:w="924" w:type="dxa"/>
            <w:vAlign w:val="center"/>
          </w:tcPr>
          <w:p>
            <w:pPr>
              <w:pStyle w:val="11"/>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3"/>
            </w:pPr>
          </w:p>
        </w:tc>
        <w:tc>
          <w:tcPr>
            <w:tcW w:w="924" w:type="dxa"/>
            <w:vAlign w:val="center"/>
          </w:tcPr>
          <w:p>
            <w:pPr>
              <w:pStyle w:val="14"/>
            </w:pPr>
          </w:p>
        </w:tc>
        <w:tc>
          <w:tcPr>
            <w:tcW w:w="924" w:type="dxa"/>
            <w:vAlign w:val="center"/>
          </w:tcPr>
          <w:p>
            <w:pPr>
              <w:pStyle w:val="13"/>
            </w:pPr>
          </w:p>
        </w:tc>
        <w:tc>
          <w:tcPr>
            <w:tcW w:w="924" w:type="dxa"/>
            <w:vAlign w:val="center"/>
          </w:tcPr>
          <w:p>
            <w:pPr>
              <w:pStyle w:val="13"/>
            </w:pPr>
          </w:p>
        </w:tc>
        <w:tc>
          <w:tcPr>
            <w:tcW w:w="924" w:type="dxa"/>
            <w:vAlign w:val="center"/>
          </w:tcPr>
          <w:p>
            <w:pPr>
              <w:pStyle w:val="12"/>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石家庄市藁城区人民广场上年末固定资产金额为</w:t>
      </w:r>
      <w:r>
        <w:rPr>
          <w:rFonts w:hint="eastAsia"/>
          <w:lang w:eastAsia="zh-CN"/>
        </w:rPr>
        <w:t>203.09</w:t>
      </w:r>
      <w:r>
        <w:rPr>
          <w:rFonts w:eastAsia="方正仿宋_GBK" w:cs="Times New Roman"/>
          <w:color w:val="000000"/>
          <w:sz w:val="28"/>
        </w:rPr>
        <w:t>万元（详见下表）。本年度拟购置固定资产总额为22.50万元，</w:t>
      </w:r>
      <w:r>
        <w:rPr>
          <w:rFonts w:hint="eastAsia" w:eastAsia="方正仿宋_GBK" w:cs="Times New Roman"/>
          <w:color w:val="000000"/>
          <w:sz w:val="28"/>
        </w:rPr>
        <w:t>主要购买计算机</w:t>
      </w:r>
      <w:r>
        <w:rPr>
          <w:rFonts w:hint="eastAsia" w:cs="Times New Roman" w:eastAsiaTheme="minorEastAsia"/>
          <w:color w:val="000000"/>
          <w:sz w:val="28"/>
          <w:lang w:eastAsia="zh-CN"/>
        </w:rPr>
        <w:t>、</w:t>
      </w:r>
      <w:r>
        <w:rPr>
          <w:rFonts w:hint="eastAsia" w:eastAsia="方正仿宋_GBK" w:cs="Times New Roman"/>
          <w:color w:val="000000"/>
          <w:sz w:val="28"/>
        </w:rPr>
        <w:t>碎纸机、空调、起草坪机、景观灯、广场座椅，因未达到政府采购限额，故未列入政府采购预算。</w:t>
      </w:r>
      <w:r>
        <w:rPr>
          <w:rFonts w:eastAsia="方正仿宋_GBK" w:cs="Times New Roman"/>
          <w:color w:val="000000"/>
          <w:sz w:val="28"/>
        </w:rPr>
        <w:t>。</w:t>
      </w:r>
    </w:p>
    <w:p>
      <w:pPr>
        <w:jc w:val="center"/>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8"/>
            </w:pPr>
            <w:r>
              <w:t>333003石家庄市藁城区人民广场</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2"/>
            </w:pPr>
          </w:p>
        </w:tc>
        <w:tc>
          <w:tcPr>
            <w:tcW w:w="4933" w:type="dxa"/>
            <w:vAlign w:val="center"/>
          </w:tcPr>
          <w:p>
            <w:pPr>
              <w:pStyle w:val="14"/>
              <w:rPr>
                <w:lang w:eastAsia="zh-CN"/>
              </w:rPr>
            </w:pPr>
            <w:r>
              <w:rPr>
                <w:rFonts w:hint="eastAsia"/>
                <w:lang w:eastAsia="zh-CN"/>
              </w:rPr>
              <w:t>203.09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2"/>
            </w:pPr>
            <w:r>
              <w:t>997.28</w:t>
            </w:r>
          </w:p>
        </w:tc>
        <w:tc>
          <w:tcPr>
            <w:tcW w:w="4933" w:type="dxa"/>
            <w:vAlign w:val="center"/>
          </w:tcPr>
          <w:p>
            <w:pPr>
              <w:pStyle w:val="14"/>
            </w:pPr>
            <w:r>
              <w:t>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2"/>
            </w:pPr>
            <w:r>
              <w:t>324.55</w:t>
            </w:r>
          </w:p>
        </w:tc>
        <w:tc>
          <w:tcPr>
            <w:tcW w:w="4933" w:type="dxa"/>
            <w:vAlign w:val="center"/>
          </w:tcPr>
          <w:p>
            <w:pPr>
              <w:pStyle w:val="14"/>
            </w:pPr>
            <w:r>
              <w:t>25.06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2"/>
            </w:pPr>
            <w:r>
              <w:t>5</w:t>
            </w:r>
          </w:p>
        </w:tc>
        <w:tc>
          <w:tcPr>
            <w:tcW w:w="4933" w:type="dxa"/>
            <w:vAlign w:val="center"/>
          </w:tcPr>
          <w:p>
            <w:pPr>
              <w:pStyle w:val="14"/>
            </w:pPr>
            <w:r>
              <w:t>53.18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2"/>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2"/>
            </w:pPr>
            <w:r>
              <w:t>294</w:t>
            </w:r>
          </w:p>
        </w:tc>
        <w:tc>
          <w:tcPr>
            <w:tcW w:w="4933" w:type="dxa"/>
            <w:vAlign w:val="center"/>
          </w:tcPr>
          <w:p>
            <w:pPr>
              <w:pStyle w:val="14"/>
            </w:pPr>
            <w:r>
              <w:t>72.91</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rPr>
        <w:t>区县级</w:t>
      </w:r>
      <w:r>
        <w:rPr>
          <w:rFonts w:eastAsia="方正仿宋_GBK" w:cs="Times New Roman"/>
          <w:color w:val="000000"/>
          <w:sz w:val="28"/>
        </w:rPr>
        <w:t>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rPr>
        <w:t>区县级</w:t>
      </w:r>
      <w:r>
        <w:rPr>
          <w:rFonts w:eastAsia="方正仿宋_GBK" w:cs="Times New Roman"/>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rPr>
          <w:rFonts w:hint="eastAsia" w:eastAsia="方正仿宋_GBK" w:cs="Times New Roman"/>
          <w:color w:val="000000"/>
          <w:sz w:val="28"/>
          <w:lang w:eastAsia="zh-CN"/>
        </w:rPr>
      </w:pPr>
      <w:r>
        <w:rPr>
          <w:rFonts w:eastAsia="方正仿宋_GBK" w:cs="Times New Roman"/>
          <w:color w:val="000000"/>
          <w:sz w:val="28"/>
        </w:rPr>
        <w:t>我单位无其他需要说明的事</w:t>
      </w:r>
      <w:r>
        <w:rPr>
          <w:rFonts w:hint="eastAsia" w:eastAsia="方正仿宋_GBK" w:cs="Times New Roman"/>
          <w:color w:val="000000"/>
          <w:sz w:val="28"/>
          <w:lang w:eastAsia="zh-CN"/>
        </w:rPr>
        <w:t>项</w:t>
      </w:r>
    </w:p>
    <w:p>
      <w:pPr>
        <w:spacing w:line="500" w:lineRule="exact"/>
        <w:ind w:firstLine="560"/>
        <w:rPr>
          <w:rFonts w:hint="eastAsia" w:eastAsia="方正仿宋_GBK" w:cs="Times New Roman"/>
          <w:color w:val="000000"/>
          <w:sz w:val="28"/>
          <w:lang w:eastAsia="zh-CN"/>
        </w:rPr>
      </w:pPr>
    </w:p>
    <w:p>
      <w:pPr>
        <w:spacing w:line="500" w:lineRule="exact"/>
        <w:ind w:firstLine="560"/>
        <w:rPr>
          <w:rFonts w:hint="eastAsia" w:eastAsia="方正仿宋_GBK" w:cs="Times New Roman"/>
          <w:color w:val="000000"/>
          <w:sz w:val="28"/>
          <w:lang w:eastAsia="zh-CN"/>
        </w:rPr>
      </w:pPr>
    </w:p>
    <w:p>
      <w:pPr>
        <w:spacing w:before="0" w:after="0" w:line="500" w:lineRule="exact"/>
        <w:jc w:val="left"/>
        <w:outlineLvl w:val="9"/>
      </w:pPr>
    </w:p>
    <w:p>
      <w:pPr>
        <w:spacing w:before="0" w:after="0" w:line="500" w:lineRule="exact"/>
        <w:jc w:val="left"/>
        <w:outlineLvl w:val="9"/>
      </w:pPr>
    </w:p>
    <w:sectPr>
      <w:footerReference r:id="rId5" w:type="default"/>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98</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97</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tabs>
        <w:tab w:val="clear" w:pos="4153"/>
      </w:tabs>
      <w:jc w:val="right"/>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JkN2Q0NTI4Y2VhMjU2MWZhNTc4MWUxYjdmZTkxZmEifQ=="/>
  </w:docVars>
  <w:rsids>
    <w:rsidRoot w:val="00000000"/>
    <w:rsid w:val="047333D2"/>
    <w:rsid w:val="083E4D1A"/>
    <w:rsid w:val="0A622F41"/>
    <w:rsid w:val="0C574563"/>
    <w:rsid w:val="154F0566"/>
    <w:rsid w:val="1DCB016B"/>
    <w:rsid w:val="29332221"/>
    <w:rsid w:val="296A6656"/>
    <w:rsid w:val="2C797FA0"/>
    <w:rsid w:val="2D142369"/>
    <w:rsid w:val="2D3C71CA"/>
    <w:rsid w:val="30C45E54"/>
    <w:rsid w:val="32C043F9"/>
    <w:rsid w:val="377953FE"/>
    <w:rsid w:val="37A662B4"/>
    <w:rsid w:val="37C779E7"/>
    <w:rsid w:val="38136B53"/>
    <w:rsid w:val="39055179"/>
    <w:rsid w:val="3B365BA1"/>
    <w:rsid w:val="3C920BB5"/>
    <w:rsid w:val="3F450160"/>
    <w:rsid w:val="40187347"/>
    <w:rsid w:val="420460B1"/>
    <w:rsid w:val="42A209E3"/>
    <w:rsid w:val="44B92823"/>
    <w:rsid w:val="45DB537A"/>
    <w:rsid w:val="49EC57DB"/>
    <w:rsid w:val="4D875DE8"/>
    <w:rsid w:val="4DBA5F96"/>
    <w:rsid w:val="51637001"/>
    <w:rsid w:val="52DA5E76"/>
    <w:rsid w:val="54290784"/>
    <w:rsid w:val="54D44008"/>
    <w:rsid w:val="58A14202"/>
    <w:rsid w:val="5B955B74"/>
    <w:rsid w:val="5D335644"/>
    <w:rsid w:val="5D441908"/>
    <w:rsid w:val="61BD31FB"/>
    <w:rsid w:val="63426F15"/>
    <w:rsid w:val="6841155D"/>
    <w:rsid w:val="6E755ABD"/>
    <w:rsid w:val="6FEF5A8F"/>
    <w:rsid w:val="7012558D"/>
    <w:rsid w:val="71952665"/>
    <w:rsid w:val="72B62B48"/>
    <w:rsid w:val="73E334C8"/>
    <w:rsid w:val="76373F9F"/>
    <w:rsid w:val="765D3A06"/>
    <w:rsid w:val="768D79DD"/>
    <w:rsid w:val="7DC901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1260" w:leftChars="600"/>
    </w:pPr>
  </w:style>
  <w:style w:type="paragraph" w:customStyle="1" w:styleId="8">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3">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Normal_070a4898-0a2b-46dd-9677-98cef1729757"/>
    <w:qFormat/>
    <w:uiPriority w:val="0"/>
    <w:rPr>
      <w:rFonts w:ascii="Times New Roman" w:hAnsi="Times New Roman" w:eastAsia="Times New Roman" w:cs="Times New Roman"/>
      <w:sz w:val="24"/>
      <w:szCs w:val="24"/>
      <w:lang w:val="en-US" w:eastAsia="uk-UA" w:bidi="ar-SA"/>
    </w:rPr>
  </w:style>
  <w:style w:type="paragraph" w:customStyle="1" w:styleId="26">
    <w:name w:val="单元格样式1_5c4658c9-d84e-4ae3-aeb4-48391ab47d8d"/>
    <w:basedOn w:val="1"/>
    <w:qFormat/>
    <w:uiPriority w:val="0"/>
    <w:pPr>
      <w:jc w:val="center"/>
    </w:pPr>
    <w:rPr>
      <w:rFonts w:ascii="方正书宋_GBK" w:hAnsi="方正书宋_GBK" w:eastAsia="方正书宋_GBK" w:cs="方正书宋_GBK"/>
      <w:b/>
      <w:sz w:val="21"/>
    </w:rPr>
  </w:style>
  <w:style w:type="paragraph" w:customStyle="1" w:styleId="27">
    <w:name w:val="单元格样式2_e32e9588-a136-4608-b757-23cabd5ee53c"/>
    <w:basedOn w:val="1"/>
    <w:qFormat/>
    <w:uiPriority w:val="0"/>
    <w:rPr>
      <w:rFonts w:ascii="方正书宋_GBK" w:hAnsi="方正书宋_GBK" w:eastAsia="方正书宋_GBK" w:cs="方正书宋_GBK"/>
      <w:sz w:val="21"/>
    </w:rPr>
  </w:style>
  <w:style w:type="paragraph" w:customStyle="1" w:styleId="28">
    <w:name w:val="单元格样式3_6a8fec8a-7918-4473-bc4f-215cb6230afe"/>
    <w:basedOn w:val="1"/>
    <w:qFormat/>
    <w:uiPriority w:val="0"/>
    <w:pPr>
      <w:jc w:val="center"/>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2023-09-15T03:26:00Z</dcterms:created>
  <dc:creator>Administrator</dc:creator>
  <cp:lastModifiedBy>Administrator</cp:lastModifiedBy>
  <dcterms:modified xsi:type="dcterms:W3CDTF">2024-02-23T02:36:58Z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FDAE8015B25C47CCBD17E1BF2F918EBD_12</vt:lpwstr>
  </property>
</Properties>
</file>