
<file path=[Content_Types].xml><?xml version="1.0" encoding="utf-8"?>
<Types xmlns="http://schemas.openxmlformats.org/package/2006/content-types">
  <Default Extension="xml" ContentType="application/xml"/>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highlight w:val="none"/>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highlight w:val="none"/>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廉州镇人民政府</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hint="eastAsia" w:ascii="仿宋_GB2312" w:eastAsia="仿宋_GB2312" w:cs="ArialUnicodeMS"/>
          <w:kern w:val="0"/>
          <w:sz w:val="32"/>
          <w:szCs w:val="32"/>
          <w:highlight w:val="none"/>
          <w:lang w:val="en-US"/>
        </w:rPr>
      </w:pPr>
      <w:r>
        <w:rPr>
          <w:rFonts w:hint="eastAsia" w:ascii="仿宋_GB2312" w:eastAsia="仿宋_GB2312" w:cs="ArialUnicodeMS"/>
          <w:kern w:val="0"/>
          <w:sz w:val="32"/>
          <w:szCs w:val="32"/>
          <w:highlight w:val="none"/>
          <w:lang w:val="en-US" w:eastAsia="zh-CN"/>
        </w:rPr>
        <w:t>乡镇财政作为乡镇政府用以履行各项经济职能的保障，随着社会经济的发展，以及财政改革制度的深化，乡镇的财政管理模式逐渐的向着公共服务型模式转变。内部控制制度作为一项现代化的管理方法和管理手段，关系到全体群众的利益，也关系到民生政策的落实情况，更关系到乡镇政权的稳定。</w:t>
      </w:r>
    </w:p>
    <w:p>
      <w:pPr>
        <w:widowControl/>
        <w:spacing w:line="580" w:lineRule="exact"/>
        <w:ind w:firstLine="640" w:firstLineChars="200"/>
        <w:rPr>
          <w:rFonts w:hint="eastAsia" w:ascii="仿宋_GB2312" w:hAnsi="Calibri" w:eastAsia="仿宋_GB2312" w:cs="ArialUnicodeMS"/>
          <w:kern w:val="0"/>
          <w:sz w:val="32"/>
          <w:szCs w:val="32"/>
          <w:highlight w:val="none"/>
        </w:rPr>
      </w:pPr>
      <w:r>
        <w:rPr>
          <w:rFonts w:hint="eastAsia" w:ascii="仿宋_GB2312" w:eastAsia="仿宋_GB2312" w:cs="ArialUnicodeMS"/>
          <w:kern w:val="0"/>
          <w:sz w:val="32"/>
          <w:szCs w:val="32"/>
          <w:highlight w:val="none"/>
          <w:lang w:val="en-US" w:eastAsia="zh-CN"/>
        </w:rPr>
        <w:t>因此，为适应财政体制的改革和发展，有效的保障财政资金的完整、规范、安全运行，乡镇财政必须要对内部控制制度进行健全、整合、修订以及优化，对于现行的管理制度和办法进行完善，树立应有的风险意识，对岗位进行合理的责任设置，从会计控制以及管理控制等多个方面进行管理，对资金的安全，运行效率以及运行过程等多个方面进行全面监管，借以确保乡镇财政资金的安全和高效，化解财政风险，治理腐败，促进乡镇财政的科学化以及规范化。</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w:t>
      </w:r>
      <w:r>
        <w:rPr>
          <w:rFonts w:hint="eastAsia" w:ascii="仿宋_GB2312" w:hAnsi="Calibri" w:eastAsia="仿宋_GB2312" w:cs="ArialUnicodeMS"/>
          <w:kern w:val="0"/>
          <w:sz w:val="32"/>
          <w:szCs w:val="32"/>
          <w:lang w:val="en-US" w:eastAsia="zh-CN"/>
        </w:rPr>
        <w:t>2</w:t>
      </w:r>
      <w:r>
        <w:rPr>
          <w:rFonts w:hint="eastAsia" w:ascii="仿宋_GB2312" w:hAnsi="Calibri" w:eastAsia="仿宋_GB2312" w:cs="ArialUnicodeMS"/>
          <w:kern w:val="0"/>
          <w:sz w:val="32"/>
          <w:szCs w:val="32"/>
        </w:rPr>
        <w:t>个，具体情况如下：</w:t>
      </w:r>
    </w:p>
    <w:tbl>
      <w:tblPr>
        <w:tblStyle w:val="7"/>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廉州镇人民政府</w:t>
            </w:r>
          </w:p>
        </w:tc>
        <w:tc>
          <w:tcPr>
            <w:tcW w:w="244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行政单位</w:t>
            </w:r>
          </w:p>
        </w:tc>
        <w:tc>
          <w:tcPr>
            <w:tcW w:w="266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廉州镇中心校</w:t>
            </w:r>
          </w:p>
        </w:tc>
        <w:tc>
          <w:tcPr>
            <w:tcW w:w="244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事业单位</w:t>
            </w:r>
          </w:p>
        </w:tc>
        <w:tc>
          <w:tcPr>
            <w:tcW w:w="2665" w:type="dxa"/>
            <w:vAlign w:val="top"/>
          </w:tcPr>
          <w:p>
            <w:pPr>
              <w:spacing w:line="560" w:lineRule="exact"/>
              <w:jc w:val="center"/>
              <w:rPr>
                <w:rFonts w:hint="eastAsia" w:ascii="仿宋_GB2312" w:hAnsi="Calibri" w:eastAsia="仿宋_GB2312" w:cs="ArialUnicodeMS"/>
                <w:kern w:val="0"/>
                <w:sz w:val="28"/>
                <w:szCs w:val="28"/>
              </w:rPr>
            </w:pPr>
            <w:r>
              <w:rPr>
                <w:rFonts w:hint="eastAsia" w:ascii="仿宋_GB2312" w:hAnsi="Calibri" w:eastAsia="仿宋_GB2312" w:cs="ArialUnicodeMS"/>
                <w:kern w:val="0"/>
                <w:sz w:val="28"/>
                <w:szCs w:val="28"/>
                <w:lang w:val="zh-CN" w:eastAsia="zh-CN"/>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keepNext/>
        <w:keepLines/>
        <w:snapToGrid w:val="0"/>
        <w:spacing w:line="580" w:lineRule="exact"/>
        <w:ind w:firstLine="640" w:firstLineChars="200"/>
        <w:outlineLvl w:val="1"/>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eastAsia="zh-CN"/>
        </w:rPr>
        <w:t>入增加</w:t>
      </w:r>
      <w:r>
        <w:rPr>
          <w:rFonts w:hint="eastAsia" w:ascii="仿宋_GB2312" w:hAnsi="Times New Roman" w:eastAsia="仿宋_GB2312" w:cs="DengXian-Regular"/>
          <w:sz w:val="32"/>
          <w:szCs w:val="32"/>
          <w:lang w:val="en-US" w:eastAsia="zh-CN"/>
        </w:rPr>
        <w:t>6784.96万元，增长38%，</w:t>
      </w:r>
      <w:r>
        <w:rPr>
          <w:rFonts w:hint="eastAsia" w:ascii="仿宋_GB2312" w:hAnsi="Times New Roman" w:eastAsia="仿宋_GB2312" w:cs="DengXian-Regular"/>
          <w:sz w:val="32"/>
          <w:szCs w:val="32"/>
        </w:rPr>
        <w:t>支</w:t>
      </w:r>
      <w:r>
        <w:rPr>
          <w:rFonts w:hint="eastAsia" w:ascii="仿宋_GB2312" w:hAnsi="Times New Roman" w:eastAsia="仿宋_GB2312" w:cs="DengXian-Regular"/>
          <w:sz w:val="32"/>
          <w:szCs w:val="32"/>
          <w:lang w:eastAsia="zh-CN"/>
        </w:rPr>
        <w:t>出</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4521.96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税收增加，同时项目也相应增加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eastAsia="zh-CN"/>
        </w:rPr>
        <w:t>：</w:t>
      </w:r>
    </w:p>
    <w:p>
      <w:pPr>
        <w:adjustRightInd w:val="0"/>
        <w:snapToGrid w:val="0"/>
        <w:spacing w:line="580" w:lineRule="exact"/>
        <w:ind w:firstLine="420" w:firstLineChars="200"/>
        <w:rPr>
          <w:rFonts w:hint="eastAsia" w:ascii="仿宋_GB2312" w:hAnsi="Times New Roman" w:eastAsia="仿宋_GB2312" w:cs="DengXian-Regular"/>
          <w:sz w:val="32"/>
          <w:szCs w:val="32"/>
          <w:highlight w:val="yellow"/>
        </w:rPr>
      </w:pPr>
      <w:r>
        <w:drawing>
          <wp:anchor distT="0" distB="0" distL="114300" distR="114300" simplePos="0" relativeHeight="251692032" behindDoc="0" locked="0" layoutInCell="1" allowOverlap="1">
            <wp:simplePos x="0" y="0"/>
            <wp:positionH relativeFrom="column">
              <wp:posOffset>629920</wp:posOffset>
            </wp:positionH>
            <wp:positionV relativeFrom="paragraph">
              <wp:posOffset>19050</wp:posOffset>
            </wp:positionV>
            <wp:extent cx="4572000" cy="2743200"/>
            <wp:effectExtent l="0" t="0" r="0" b="0"/>
            <wp:wrapNone/>
            <wp:docPr id="3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3056" behindDoc="0" locked="0" layoutInCell="1" allowOverlap="1">
            <wp:simplePos x="0" y="0"/>
            <wp:positionH relativeFrom="column">
              <wp:posOffset>954405</wp:posOffset>
            </wp:positionH>
            <wp:positionV relativeFrom="paragraph">
              <wp:posOffset>781050</wp:posOffset>
            </wp:positionV>
            <wp:extent cx="4175125" cy="2016760"/>
            <wp:effectExtent l="0" t="0" r="15875" b="2540"/>
            <wp:wrapNone/>
            <wp:docPr id="3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9956.33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14883.63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60</w:t>
      </w:r>
      <w:r>
        <w:rPr>
          <w:rFonts w:hint="eastAsia" w:ascii="仿宋_GB2312" w:hAnsi="Times New Roman" w:eastAsia="仿宋_GB2312" w:cs="DengXian-Regular"/>
          <w:sz w:val="32"/>
          <w:szCs w:val="32"/>
        </w:rPr>
        <w:t>%。如图所示：</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6784.96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税收增加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4521.96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22</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4080" behindDoc="0" locked="0" layoutInCell="1" allowOverlap="1">
            <wp:simplePos x="0" y="0"/>
            <wp:positionH relativeFrom="column">
              <wp:posOffset>673735</wp:posOffset>
            </wp:positionH>
            <wp:positionV relativeFrom="paragraph">
              <wp:posOffset>10160</wp:posOffset>
            </wp:positionV>
            <wp:extent cx="4572000" cy="2743200"/>
            <wp:effectExtent l="0" t="0" r="0" b="0"/>
            <wp:wrapNone/>
            <wp:docPr id="3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eastAsia="zh-CN"/>
        </w:rPr>
      </w:pPr>
    </w:p>
    <w:p>
      <w:pPr>
        <w:adjustRightInd w:val="0"/>
        <w:snapToGrid w:val="0"/>
        <w:spacing w:line="580" w:lineRule="exact"/>
        <w:ind w:firstLine="1960" w:firstLineChars="700"/>
        <w:rPr>
          <w:rFonts w:hint="default" w:ascii="仿宋_GB2312" w:hAnsi="Times New Roman" w:eastAsia="仿宋_GB2312" w:cs="DengXian-Regular"/>
          <w:sz w:val="28"/>
          <w:szCs w:val="28"/>
          <w:lang w:val="en-US" w:eastAsia="zh-CN"/>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3：2018-2019年财政拨款收支情况</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90</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2781.36</w:t>
      </w:r>
      <w:r>
        <w:rPr>
          <w:rFonts w:hint="eastAsia" w:ascii="仿宋_GB2312" w:hAnsi="Times New Roman" w:eastAsia="仿宋_GB2312" w:cs="DengXian-Regular"/>
          <w:sz w:val="32"/>
          <w:szCs w:val="32"/>
        </w:rPr>
        <w:t>万元，</w:t>
      </w:r>
      <w:r>
        <w:rPr>
          <w:rFonts w:hint="eastAsia" w:ascii="仿宋_GB2312" w:hAnsi="Times New Roman" w:eastAsia="仿宋_GB2312" w:cs="DengXian-Regular"/>
          <w:color w:val="000000" w:themeColor="text1"/>
          <w:sz w:val="32"/>
          <w:szCs w:val="32"/>
          <w:highlight w:val="none"/>
          <w14:textFill>
            <w14:solidFill>
              <w14:schemeClr w14:val="tx1"/>
            </w14:solidFill>
          </w14:textFill>
        </w:rPr>
        <w:t>决算数小于预算数主要原因是</w:t>
      </w:r>
      <w:r>
        <w:rPr>
          <w:rFonts w:hint="eastAsia" w:ascii="仿宋_GB2312" w:hAnsi="Times New Roman" w:eastAsia="仿宋_GB2312" w:cs="DengXian-Regular"/>
          <w:color w:val="000000" w:themeColor="text1"/>
          <w:sz w:val="32"/>
          <w:szCs w:val="32"/>
          <w:highlight w:val="none"/>
          <w:lang w:eastAsia="zh-CN"/>
          <w14:textFill>
            <w14:solidFill>
              <w14:schemeClr w14:val="tx1"/>
            </w14:solidFill>
          </w14:textFill>
        </w:rPr>
        <w:t>税收年初预计偏高</w:t>
      </w:r>
      <w:r>
        <w:rPr>
          <w:rFonts w:hint="eastAsia" w:ascii="仿宋_GB2312" w:hAnsi="Times New Roman" w:eastAsia="仿宋_GB2312" w:cs="DengXian-Regular"/>
          <w:color w:val="000000" w:themeColor="text1"/>
          <w:sz w:val="32"/>
          <w:szCs w:val="32"/>
          <w:highlight w:val="none"/>
          <w14:textFill>
            <w14:solidFill>
              <w14:schemeClr w14:val="tx1"/>
            </w14:solidFill>
          </w14:textFill>
        </w:rPr>
        <w:t>；本年支出</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24839.96</w:t>
      </w:r>
      <w:r>
        <w:rPr>
          <w:rFonts w:hint="eastAsia" w:ascii="仿宋_GB2312" w:hAnsi="Times New Roman" w:eastAsia="仿宋_GB2312" w:cs="DengXian-Regular"/>
          <w:color w:val="000000" w:themeColor="text1"/>
          <w:sz w:val="32"/>
          <w:szCs w:val="32"/>
          <w:highlight w:val="none"/>
          <w14:textFill>
            <w14:solidFill>
              <w14:schemeClr w14:val="tx1"/>
            </w14:solidFill>
          </w14:textFill>
        </w:rPr>
        <w:t>万元，完成年初预算的</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90</w:t>
      </w:r>
      <w:r>
        <w:rPr>
          <w:rFonts w:hint="eastAsia" w:ascii="仿宋_GB2312" w:hAnsi="Times New Roman" w:eastAsia="仿宋_GB2312" w:cs="DengXian-Regular"/>
          <w:color w:val="000000" w:themeColor="text1"/>
          <w:sz w:val="32"/>
          <w:szCs w:val="32"/>
          <w:highlight w:val="none"/>
          <w14:textFill>
            <w14:solidFill>
              <w14:schemeClr w14:val="tx1"/>
            </w14:solidFill>
          </w14:textFill>
        </w:rPr>
        <w:t>%,比年初预算减少</w:t>
      </w:r>
      <w:r>
        <w:rPr>
          <w:rFonts w:hint="eastAsia" w:ascii="仿宋_GB2312" w:hAnsi="Times New Roman" w:eastAsia="仿宋_GB2312" w:cs="DengXian-Regular"/>
          <w:color w:val="000000" w:themeColor="text1"/>
          <w:sz w:val="32"/>
          <w:szCs w:val="32"/>
          <w:highlight w:val="none"/>
          <w:lang w:val="en-US" w:eastAsia="zh-CN"/>
          <w14:textFill>
            <w14:solidFill>
              <w14:schemeClr w14:val="tx1"/>
            </w14:solidFill>
          </w14:textFill>
        </w:rPr>
        <w:t>2781.36</w:t>
      </w:r>
      <w:r>
        <w:rPr>
          <w:rFonts w:hint="eastAsia" w:ascii="仿宋_GB2312" w:hAnsi="Times New Roman" w:eastAsia="仿宋_GB2312" w:cs="DengXian-Regular"/>
          <w:color w:val="000000" w:themeColor="text1"/>
          <w:sz w:val="32"/>
          <w:szCs w:val="32"/>
          <w:highlight w:val="none"/>
          <w14:textFill>
            <w14:solidFill>
              <w14:schemeClr w14:val="tx1"/>
            </w14:solidFill>
          </w14:textFill>
        </w:rPr>
        <w:t>万元，决算数小于预算数主要原因是主要是</w:t>
      </w:r>
      <w:r>
        <w:rPr>
          <w:rFonts w:hint="eastAsia" w:ascii="仿宋_GB2312" w:hAnsi="Times New Roman" w:eastAsia="仿宋_GB2312" w:cs="DengXian-Regular"/>
          <w:color w:val="000000" w:themeColor="text1"/>
          <w:sz w:val="32"/>
          <w:szCs w:val="32"/>
          <w:highlight w:val="none"/>
          <w:lang w:eastAsia="zh-CN"/>
          <w14:textFill>
            <w14:solidFill>
              <w14:schemeClr w14:val="tx1"/>
            </w14:solidFill>
          </w14:textFill>
        </w:rPr>
        <w:t>收入减少，压减部分项目所至</w:t>
      </w:r>
      <w:r>
        <w:rPr>
          <w:rFonts w:hint="eastAsia" w:ascii="仿宋_GB2312" w:hAnsi="Times New Roman" w:eastAsia="仿宋_GB2312" w:cs="DengXian-Regular"/>
          <w:color w:val="000000" w:themeColor="text1"/>
          <w:sz w:val="32"/>
          <w:szCs w:val="32"/>
          <w14:textFill>
            <w14:solidFill>
              <w14:schemeClr w14:val="tx1"/>
            </w14:solidFill>
          </w14:textFill>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rPr>
      </w:pPr>
      <w:r>
        <w:drawing>
          <wp:anchor distT="0" distB="0" distL="114300" distR="114300" simplePos="0" relativeHeight="251695104" behindDoc="0" locked="0" layoutInCell="1" allowOverlap="1">
            <wp:simplePos x="0" y="0"/>
            <wp:positionH relativeFrom="column">
              <wp:posOffset>396240</wp:posOffset>
            </wp:positionH>
            <wp:positionV relativeFrom="paragraph">
              <wp:posOffset>111125</wp:posOffset>
            </wp:positionV>
            <wp:extent cx="4572000" cy="2743200"/>
            <wp:effectExtent l="0" t="0" r="0" b="0"/>
            <wp:wrapNone/>
            <wp:docPr id="3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1400" w:firstLineChars="500"/>
        <w:rPr>
          <w:rFonts w:ascii="仿宋_GB2312" w:hAnsi="Times New Roman" w:eastAsia="仿宋_GB2312" w:cs="DengXian-Regular"/>
          <w:sz w:val="32"/>
          <w:szCs w:val="32"/>
          <w:highlight w:val="yellow"/>
        </w:rPr>
      </w:pPr>
      <w:r>
        <w:rPr>
          <w:rFonts w:hint="eastAsia" w:ascii="仿宋_GB2312" w:hAnsi="Times New Roman" w:eastAsia="仿宋_GB2312" w:cs="DengXian-Regular"/>
          <w:sz w:val="28"/>
          <w:szCs w:val="28"/>
          <w:lang w:eastAsia="zh-CN"/>
        </w:rPr>
        <w:t>图</w:t>
      </w:r>
      <w:r>
        <w:rPr>
          <w:rFonts w:hint="eastAsia" w:ascii="仿宋_GB2312" w:hAnsi="Times New Roman" w:eastAsia="仿宋_GB2312" w:cs="DengXian-Regular"/>
          <w:sz w:val="28"/>
          <w:szCs w:val="28"/>
          <w:lang w:val="en-US" w:eastAsia="zh-CN"/>
        </w:rPr>
        <w:t>4：财政拨款收支与年初预算数对比情况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24839.96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如图所示：</w:t>
      </w:r>
    </w:p>
    <w:p>
      <w:pPr>
        <w:adjustRightInd w:val="0"/>
        <w:snapToGrid w:val="0"/>
        <w:spacing w:line="580" w:lineRule="exact"/>
        <w:ind w:firstLine="420" w:firstLineChars="200"/>
        <w:rPr>
          <w:rFonts w:hint="eastAsia" w:ascii="仿宋_GB2312" w:hAnsi="Times New Roman" w:eastAsia="仿宋_GB2312" w:cs="DengXian-Regular"/>
          <w:sz w:val="32"/>
          <w:szCs w:val="32"/>
          <w:lang w:eastAsia="zh-CN"/>
        </w:rPr>
      </w:pPr>
      <w:r>
        <w:drawing>
          <wp:anchor distT="0" distB="0" distL="114300" distR="114300" simplePos="0" relativeHeight="251696128" behindDoc="0" locked="0" layoutInCell="1" allowOverlap="1">
            <wp:simplePos x="0" y="0"/>
            <wp:positionH relativeFrom="column">
              <wp:posOffset>690880</wp:posOffset>
            </wp:positionH>
            <wp:positionV relativeFrom="paragraph">
              <wp:posOffset>93345</wp:posOffset>
            </wp:positionV>
            <wp:extent cx="4572000" cy="2743200"/>
            <wp:effectExtent l="0" t="0" r="0" b="0"/>
            <wp:wrapNone/>
            <wp:docPr id="3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9956.33</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9602.95</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353.38</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4.1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76</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1.3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24</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严格控制三公经费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lang w:eastAsia="zh-CN"/>
        </w:rPr>
        <w:t>（二）</w:t>
      </w:r>
      <w:r>
        <w:rPr>
          <w:rFonts w:hint="eastAsia" w:ascii="楷体_GB2312" w:hAnsi="Times New Roman" w:eastAsia="楷体_GB2312" w:cs="DengXian-Bold"/>
          <w:b/>
          <w:bCs/>
          <w:sz w:val="32"/>
          <w:szCs w:val="32"/>
        </w:rPr>
        <w:t>公务用车购置及运行维护费支出</w:t>
      </w:r>
      <w:r>
        <w:rPr>
          <w:rFonts w:hint="eastAsia" w:ascii="楷体_GB2312" w:hAnsi="Times New Roman" w:eastAsia="楷体_GB2312" w:cs="DengXian-Bold"/>
          <w:b/>
          <w:bCs/>
          <w:sz w:val="32"/>
          <w:szCs w:val="32"/>
          <w:lang w:val="en-US" w:eastAsia="zh-CN"/>
        </w:rPr>
        <w:t>4.1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Bold"/>
          <w:b w:val="0"/>
          <w:bCs w:val="0"/>
          <w:sz w:val="32"/>
          <w:szCs w:val="32"/>
        </w:rPr>
        <w:t>其中：</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textAlignment w:val="auto"/>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eastAsia="zh-CN"/>
        </w:rPr>
        <w:t>与年初预算</w:t>
      </w:r>
      <w:r>
        <w:rPr>
          <w:rFonts w:hint="eastAsia" w:ascii="仿宋_GB2312" w:hAnsi="Times New Roman" w:eastAsia="仿宋_GB2312" w:cs="DengXian-Regular"/>
          <w:sz w:val="32"/>
          <w:szCs w:val="32"/>
          <w:lang w:val="en-US" w:eastAsia="zh-CN"/>
        </w:rPr>
        <w:t>0万元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2018年度决算支出0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严格控制公车经费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r>
        <w:rPr>
          <w:rFonts w:hint="eastAsia" w:ascii="仿宋_GB2312" w:hAnsi="Times New Roman" w:eastAsia="仿宋_GB2312" w:cs="DengXian-Regular"/>
          <w:sz w:val="32"/>
          <w:szCs w:val="32"/>
          <w:lang w:val="en-US" w:eastAsia="zh-CN"/>
        </w:rPr>
        <w:t xml:space="preserve"> </w:t>
      </w:r>
    </w:p>
    <w:p>
      <w:pPr>
        <w:numPr>
          <w:ilvl w:val="0"/>
          <w:numId w:val="0"/>
        </w:numPr>
        <w:adjustRightInd w:val="0"/>
        <w:snapToGrid w:val="0"/>
        <w:spacing w:line="580" w:lineRule="exact"/>
        <w:ind w:firstLine="643" w:firstLineChars="200"/>
        <w:rPr>
          <w:rFonts w:hint="eastAsia" w:ascii="仿宋_GB2312" w:hAnsi="Times New Roman" w:eastAsia="仿宋_GB2312" w:cs="DengXian-Regular"/>
          <w:sz w:val="32"/>
          <w:szCs w:val="32"/>
          <w:lang w:eastAsia="zh-CN"/>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严格控制公务接待经费</w:t>
      </w:r>
      <w:r>
        <w:rPr>
          <w:rFonts w:hint="eastAsia" w:ascii="仿宋_GB2312" w:hAnsi="Times New Roman" w:eastAsia="仿宋_GB2312" w:cs="DengXian-Regular"/>
          <w:sz w:val="32"/>
          <w:szCs w:val="32"/>
        </w:rPr>
        <w:t>；较2018年度</w:t>
      </w:r>
      <w:r>
        <w:rPr>
          <w:rFonts w:hint="eastAsia" w:ascii="仿宋_GB2312" w:hAnsi="Times New Roman" w:eastAsia="仿宋_GB2312" w:cs="DengXian-Regular"/>
          <w:sz w:val="32"/>
          <w:szCs w:val="32"/>
          <w:lang w:eastAsia="zh-CN"/>
        </w:rPr>
        <w:t>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14883.63</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eastAsia="zh-CN"/>
        </w:rPr>
        <w:t>一级项目</w:t>
      </w:r>
      <w:r>
        <w:rPr>
          <w:rFonts w:hint="eastAsia" w:ascii="仿宋_GB2312" w:hAnsi="仿宋_GB2312" w:eastAsia="仿宋_GB2312" w:cs="仿宋_GB2312"/>
          <w:sz w:val="32"/>
          <w:szCs w:val="32"/>
          <w:highlight w:val="none"/>
          <w:lang w:val="en-US" w:eastAsia="zh-CN"/>
        </w:rPr>
        <w:t>19</w:t>
      </w:r>
      <w:r>
        <w:rPr>
          <w:rFonts w:hint="eastAsia" w:ascii="仿宋_GB2312" w:hAnsi="仿宋_GB2312" w:eastAsia="仿宋_GB2312" w:cs="仿宋_GB2312"/>
          <w:sz w:val="32"/>
          <w:szCs w:val="32"/>
          <w:highlight w:val="none"/>
        </w:rPr>
        <w:t>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村级运行及服务群众等支出</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自评综述：</w:t>
      </w:r>
      <w:r>
        <w:rPr>
          <w:rFonts w:hint="eastAsia" w:ascii="仿宋_GB2312" w:hAnsi="仿宋_GB2312" w:eastAsia="仿宋_GB2312" w:cs="仿宋_GB2312"/>
          <w:sz w:val="32"/>
          <w:szCs w:val="32"/>
        </w:rPr>
        <w:t>根据年初设定的绩效目标，</w:t>
      </w:r>
      <w:r>
        <w:rPr>
          <w:rFonts w:hint="eastAsia" w:ascii="仿宋" w:hAnsi="仿宋" w:eastAsia="仿宋"/>
          <w:sz w:val="32"/>
          <w:szCs w:val="32"/>
        </w:rPr>
        <w:t>村级运行及服务群众等支出</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5431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5431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9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60"/>
        <w:gridCol w:w="881"/>
        <w:gridCol w:w="1"/>
        <w:gridCol w:w="703"/>
        <w:gridCol w:w="1115"/>
        <w:gridCol w:w="735"/>
        <w:gridCol w:w="669"/>
        <w:gridCol w:w="1"/>
        <w:gridCol w:w="578"/>
        <w:gridCol w:w="35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5" w:hRule="atLeast"/>
        </w:trPr>
        <w:tc>
          <w:tcPr>
            <w:tcW w:w="892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5" w:hRule="atLeast"/>
        </w:trPr>
        <w:tc>
          <w:tcPr>
            <w:tcW w:w="892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5" w:hRule="atLeast"/>
        </w:trPr>
        <w:tc>
          <w:tcPr>
            <w:tcW w:w="892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0" w:hRule="atLeast"/>
        </w:trPr>
        <w:tc>
          <w:tcPr>
            <w:tcW w:w="6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88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廉州镇人民政府</w:t>
            </w:r>
          </w:p>
        </w:tc>
        <w:tc>
          <w:tcPr>
            <w:tcW w:w="70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1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3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415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88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1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村级运行及服务群众等支出</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482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5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2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11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357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5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11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66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5431</w:t>
            </w:r>
          </w:p>
        </w:tc>
        <w:tc>
          <w:tcPr>
            <w:tcW w:w="3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1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5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1"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70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1983"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99"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70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农村人居环境进一步得到改善、全面执行农村“三清三洗三收”、农村私搭乱建及时拆除、城区宅基地超高建筑得到有效控制、部分村污水管网及村委会建设有效改善了村内环境及办公条件</w:t>
            </w:r>
          </w:p>
        </w:tc>
        <w:tc>
          <w:tcPr>
            <w:tcW w:w="198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农村人居环境进一步得到改善、农村“三清三洗三收”全面执行、农村私搭乱建基本拆除、城区宅基地超高建筑得到有效控制、部分村污水管网及村委会建设基本完成、村内环境及办公条件得到有效改善</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47" w:hRule="atLeast"/>
        </w:trPr>
        <w:tc>
          <w:tcPr>
            <w:tcW w:w="6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5"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工程量完成率（%）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配套设施完成率（%）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6"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工程验收合格率（%）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4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预算资金使用到位100%</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基础设施综合利用率（%）</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0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8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0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8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6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57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6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468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35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879" w:hRule="atLeast"/>
        </w:trPr>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8260"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0"/>
        </w:numPr>
        <w:adjustRightInd w:val="0"/>
        <w:snapToGrid w:val="0"/>
        <w:spacing w:line="580" w:lineRule="exact"/>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重点项目征地拆迁费用</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 w:hAnsi="仿宋" w:eastAsia="仿宋"/>
          <w:sz w:val="32"/>
          <w:szCs w:val="32"/>
        </w:rPr>
        <w:t>重点项目征地拆迁费用</w:t>
      </w:r>
      <w:r>
        <w:rPr>
          <w:rFonts w:hint="eastAsia" w:ascii="仿宋" w:hAnsi="仿宋" w:eastAsia="仿宋"/>
          <w:sz w:val="32"/>
          <w:szCs w:val="32"/>
          <w:lang w:eastAsia="zh-CN"/>
        </w:rPr>
        <w:t>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80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06"/>
        <w:gridCol w:w="1277"/>
        <w:gridCol w:w="1"/>
        <w:gridCol w:w="805"/>
        <w:gridCol w:w="1147"/>
        <w:gridCol w:w="1"/>
        <w:gridCol w:w="1005"/>
        <w:gridCol w:w="1074"/>
        <w:gridCol w:w="1038"/>
        <w:gridCol w:w="11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3" w:hRule="atLeast"/>
        </w:trPr>
        <w:tc>
          <w:tcPr>
            <w:tcW w:w="8802"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8802"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8802"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0" w:hRule="atLeast"/>
        </w:trPr>
        <w:tc>
          <w:tcPr>
            <w:tcW w:w="130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7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80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18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5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重点项目征地拆迁费用</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8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1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2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63"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23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及时拨付拆迁补偿款，完成藁梅路征地拆迁工作</w:t>
            </w:r>
          </w:p>
        </w:tc>
        <w:tc>
          <w:tcPr>
            <w:tcW w:w="311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已准时拨付拆迁补偿款，推动藁梅路征地拆迁工作顺利完成</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8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8"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征地拆迁涉及户数（户）</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51</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4"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拆迁款覆盖率（%）</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资金拨付完成时间</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2019年4季度</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2019年4季度</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0"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8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563"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项目用地</w:t>
            </w:r>
          </w:p>
        </w:tc>
        <w:tc>
          <w:tcPr>
            <w:tcW w:w="10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完成藁梅路征地拆迁工作，保障项目用地</w:t>
            </w:r>
          </w:p>
        </w:tc>
        <w:tc>
          <w:tcPr>
            <w:tcW w:w="10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藁梅路征地拆迁工作已完成，保障了项目用地</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78"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8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征地拆迁涉及对象满意度（%）</w:t>
            </w: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7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8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5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30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4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7" w:hRule="atLeast"/>
        </w:trPr>
        <w:tc>
          <w:tcPr>
            <w:tcW w:w="13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496"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综合公用经费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综合公用经费项目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1499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1499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5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30"/>
        <w:gridCol w:w="914"/>
        <w:gridCol w:w="1022"/>
        <w:gridCol w:w="1537"/>
        <w:gridCol w:w="468"/>
        <w:gridCol w:w="1159"/>
        <w:gridCol w:w="1091"/>
        <w:gridCol w:w="14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525"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1" w:hRule="atLeast"/>
        </w:trPr>
        <w:tc>
          <w:tcPr>
            <w:tcW w:w="8525"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8525"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9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91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c>
          <w:tcPr>
            <w:tcW w:w="1022"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537"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46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249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5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综合公用经费</w:t>
            </w:r>
          </w:p>
        </w:tc>
        <w:tc>
          <w:tcPr>
            <w:tcW w:w="4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65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193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2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40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1499</w:t>
            </w: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4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7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31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34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及时支付各户租金、困难补助按时到位、及时上交机关人员的工伤保险和职业年金、加强党组织建设，保障各项资金按时到位，减少不稳定因素发生</w:t>
            </w:r>
          </w:p>
        </w:tc>
        <w:tc>
          <w:tcPr>
            <w:tcW w:w="27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已及时支付各户租金、困难补助已按时到位、体现了政府对困难群体的关爱、及时为机关人员上交了工伤保险和职业年金、加强了党组织建设</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9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党组织活动经费</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29</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机关人员五险</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69</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退伍军人补助及困难补助</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81</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各村绿化租地费</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262</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预算资金使用到位100%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22"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及时支付各户租金、体现政府对困难群体的关爱、减少不稳定因素发生、及时上交机关人员的工伤保险和职业年金、加强党组织建设</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及时支付各户租金、困难补助按时到位、及时上交机关人员的工伤保险和职业年金、加强党组织建设，保障各项资金按时到位，减少不稳定因素发生</w:t>
            </w:r>
          </w:p>
        </w:tc>
        <w:tc>
          <w:tcPr>
            <w:tcW w:w="10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已及时支付各户租金、困难补助已按时到位、体现了政府对困难群体的关爱、及时为机关人员上交了工伤保险和职业年金、加强了党组织建设</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1"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102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91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2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4" w:hRule="atLeast"/>
        </w:trPr>
        <w:tc>
          <w:tcPr>
            <w:tcW w:w="9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619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4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1" w:hRule="atLeast"/>
        </w:trPr>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5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环境保护与治理</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环境保护与治理项目绩效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900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900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53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4"/>
        <w:gridCol w:w="1054"/>
        <w:gridCol w:w="886"/>
        <w:gridCol w:w="1260"/>
        <w:gridCol w:w="704"/>
        <w:gridCol w:w="1159"/>
        <w:gridCol w:w="1037"/>
        <w:gridCol w:w="11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539"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0" w:hRule="atLeast"/>
        </w:trPr>
        <w:tc>
          <w:tcPr>
            <w:tcW w:w="8539"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8539"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9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填报单位：</w:t>
            </w:r>
          </w:p>
        </w:tc>
        <w:tc>
          <w:tcPr>
            <w:tcW w:w="105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c>
          <w:tcPr>
            <w:tcW w:w="886"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260"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70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218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一、基本情况</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项目名称</w:t>
            </w:r>
          </w:p>
        </w:tc>
        <w:tc>
          <w:tcPr>
            <w:tcW w:w="214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环境保护与治理</w:t>
            </w:r>
          </w:p>
        </w:tc>
        <w:tc>
          <w:tcPr>
            <w:tcW w:w="7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实施（主管单位）</w:t>
            </w:r>
          </w:p>
        </w:tc>
        <w:tc>
          <w:tcPr>
            <w:tcW w:w="33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二、预算执行</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19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预算安排情况（调整后）</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资金到位情况</w:t>
            </w:r>
          </w:p>
        </w:tc>
        <w:tc>
          <w:tcPr>
            <w:tcW w:w="219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资金执行情况</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预算数：</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到位数：</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执行数：</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其中：财政</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 xml:space="preserve">     资金</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w:t>
            </w:r>
          </w:p>
        </w:tc>
        <w:tc>
          <w:tcPr>
            <w:tcW w:w="1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 xml:space="preserve">     其他</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三、目标完成</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情况</w:t>
            </w:r>
          </w:p>
        </w:tc>
        <w:tc>
          <w:tcPr>
            <w:tcW w:w="32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年度预算目标</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具体完成情况</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665"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32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主要用于环境保护与环境整体治理，大气污染防治的监测与控制，地下水的开采与利用等，改善环境，提升空气质量</w:t>
            </w:r>
          </w:p>
        </w:tc>
        <w:tc>
          <w:tcPr>
            <w:tcW w:w="29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资金已及时拨付，使我镇土地及大气污染得到有效治理，强化了环境管理，空气质量得到改善</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四、年度绩效指标完成情况</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一级指标</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二级指标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三级指标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预期指标值</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实际完成值</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产出指标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排查天数</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300天以上</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300天以上</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排查数量</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1400场次以上</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1400场次以上</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质量指标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重点污染治理完成率（%）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0"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资金拨付及时率（%）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Style w:val="12"/>
                <w:sz w:val="18"/>
                <w:szCs w:val="18"/>
                <w:lang w:val="en-US" w:eastAsia="zh-CN" w:bidi="ar"/>
              </w:rPr>
              <w:t>≥</w:t>
            </w:r>
            <w:r>
              <w:rPr>
                <w:rStyle w:val="13"/>
                <w:sz w:val="18"/>
                <w:szCs w:val="18"/>
                <w:lang w:val="en-US" w:eastAsia="zh-CN" w:bidi="ar"/>
              </w:rPr>
              <w:t>90%</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成本指标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预算执行率指标（10分）</w:t>
            </w:r>
          </w:p>
        </w:tc>
        <w:tc>
          <w:tcPr>
            <w:tcW w:w="8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执行率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预算资金使用到位100%</w:t>
            </w: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效益指标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（40分）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重大环保事件及时发现率（%）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2"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可持续影响指标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全年空气优良天数增长率（%）</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37"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满意度指标</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（10分）</w:t>
            </w:r>
          </w:p>
        </w:tc>
        <w:tc>
          <w:tcPr>
            <w:tcW w:w="8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满意度</w:t>
            </w:r>
            <w:r>
              <w:rPr>
                <w:rFonts w:hint="eastAsia" w:ascii="宋体" w:hAnsi="宋体" w:eastAsia="宋体" w:cs="宋体"/>
                <w:i w:val="0"/>
                <w:color w:val="000000"/>
                <w:kern w:val="0"/>
                <w:sz w:val="18"/>
                <w:szCs w:val="18"/>
                <w:u w:val="none"/>
                <w:lang w:val="en-US" w:eastAsia="zh-CN" w:bidi="ar"/>
              </w:rPr>
              <w:br w:type="textWrapping"/>
            </w:r>
            <w:r>
              <w:rPr>
                <w:rFonts w:hint="eastAsia" w:ascii="宋体" w:hAnsi="宋体" w:eastAsia="宋体" w:cs="宋体"/>
                <w:i w:val="0"/>
                <w:color w:val="000000"/>
                <w:kern w:val="0"/>
                <w:sz w:val="18"/>
                <w:szCs w:val="18"/>
                <w:u w:val="none"/>
                <w:lang w:val="en-US" w:eastAsia="zh-CN" w:bidi="ar"/>
              </w:rPr>
              <w:t>指标</w:t>
            </w: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03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0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8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19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33" w:hRule="atLeast"/>
        </w:trPr>
        <w:tc>
          <w:tcPr>
            <w:tcW w:w="12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18"/>
                <w:szCs w:val="18"/>
                <w:u w:val="none"/>
              </w:rPr>
            </w:pPr>
          </w:p>
        </w:tc>
        <w:tc>
          <w:tcPr>
            <w:tcW w:w="6100"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总分</w:t>
            </w:r>
          </w:p>
        </w:tc>
        <w:tc>
          <w:tcPr>
            <w:tcW w:w="11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60" w:hRule="atLeast"/>
        </w:trPr>
        <w:tc>
          <w:tcPr>
            <w:tcW w:w="12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五、存在问题、原因及下一步整改措施</w:t>
            </w:r>
          </w:p>
        </w:tc>
        <w:tc>
          <w:tcPr>
            <w:tcW w:w="724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城市基础设施建设</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城市基础设施建设项目绩效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1500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1500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2"/>
        <w:gridCol w:w="1254"/>
        <w:gridCol w:w="791"/>
        <w:gridCol w:w="1126"/>
        <w:gridCol w:w="1035"/>
        <w:gridCol w:w="1054"/>
        <w:gridCol w:w="1"/>
        <w:gridCol w:w="1018"/>
        <w:gridCol w:w="12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20"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820" w:type="dxa"/>
            <w:gridSpan w:val="9"/>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3" w:hRule="atLeast"/>
        </w:trPr>
        <w:tc>
          <w:tcPr>
            <w:tcW w:w="8820"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3" w:hRule="atLeast"/>
        </w:trPr>
        <w:tc>
          <w:tcPr>
            <w:tcW w:w="128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5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6"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78"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28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城市基础设施建设</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3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4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5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1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1500</w:t>
            </w: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0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95"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完成东垒下、常家庄、郭庄及塔头共五条外环连接线工程和博物馆拆迁改造工程，完善城镇基础设施建设</w:t>
            </w:r>
          </w:p>
        </w:tc>
        <w:tc>
          <w:tcPr>
            <w:tcW w:w="310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五条外环连接线工程已完工，已完成博物馆拆迁改造，完善了城镇基础设施建设</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外环连接线铺设道路面积（㎡）</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9702</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9702</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4"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人行辅道铺装面包砖面积（㎡）</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3830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3830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5"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外环连接线工程按时完成率（%）</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6"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拆迁工程按时完成率（%）</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2"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88"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建立完善的道路交通网，进一步完善城镇基础设施建设</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接通外环连接线，完成博物馆拆迁改造，完善城镇基础设施建设</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外环连接线已接通使用，博物馆拆迁改造已完成，完善了基础设施建设</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1"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9" w:hRule="atLeast"/>
        </w:trPr>
        <w:tc>
          <w:tcPr>
            <w:tcW w:w="12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27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0" w:hRule="atLeast"/>
        </w:trPr>
        <w:tc>
          <w:tcPr>
            <w:tcW w:w="12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38"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安全生产与食品安全</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eastAsia="zh-CN"/>
        </w:rPr>
        <w:t>安全生产与食品安全项目绩效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8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8"/>
        <w:gridCol w:w="1260"/>
        <w:gridCol w:w="794"/>
        <w:gridCol w:w="1131"/>
        <w:gridCol w:w="1039"/>
        <w:gridCol w:w="1"/>
        <w:gridCol w:w="1058"/>
        <w:gridCol w:w="1"/>
        <w:gridCol w:w="1022"/>
        <w:gridCol w:w="12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62"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6" w:hRule="atLeast"/>
        </w:trPr>
        <w:tc>
          <w:tcPr>
            <w:tcW w:w="8862"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0" w:hRule="atLeast"/>
        </w:trPr>
        <w:tc>
          <w:tcPr>
            <w:tcW w:w="8862"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0" w:hRule="atLeast"/>
        </w:trPr>
        <w:tc>
          <w:tcPr>
            <w:tcW w:w="128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60"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4" w:hRule="atLeast"/>
        </w:trPr>
        <w:tc>
          <w:tcPr>
            <w:tcW w:w="12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2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安全生产与食品安全</w:t>
            </w:r>
          </w:p>
        </w:tc>
        <w:tc>
          <w:tcPr>
            <w:tcW w:w="10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35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5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8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4"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3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2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43"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通过抓食品安全隐患，杜绝辖区各类安全生产事故发生，杜绝危害群众身体健康的食品进入流通领域，保证群众生命财产安全</w:t>
            </w:r>
          </w:p>
        </w:tc>
        <w:tc>
          <w:tcPr>
            <w:tcW w:w="312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已准时拨付资金，保障了安全生产与食品安全，保证了群众生命财产安全</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隐患排查率（%）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52"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安全生产标准化达标率（%）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安全培训达标率（%）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4"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隐患整改率（%）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1"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生产经营单位合法率（%）</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7"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服务群众满意度（%）</w:t>
            </w: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7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5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12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06"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48" w:hRule="atLeast"/>
        </w:trPr>
        <w:tc>
          <w:tcPr>
            <w:tcW w:w="12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7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政府工会费</w:t>
      </w:r>
      <w:r>
        <w:rPr>
          <w:rFonts w:hint="eastAsia" w:ascii="仿宋" w:hAnsi="仿宋" w:eastAsia="仿宋"/>
          <w:sz w:val="32"/>
          <w:szCs w:val="32"/>
          <w:lang w:eastAsia="zh-CN"/>
        </w:rPr>
        <w:t>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政府工会费项目绩效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p>
      <w:pPr>
        <w:numPr>
          <w:ilvl w:val="0"/>
          <w:numId w:val="0"/>
        </w:numPr>
        <w:adjustRightInd w:val="0"/>
        <w:snapToGrid w:val="0"/>
        <w:spacing w:line="580" w:lineRule="exact"/>
        <w:rPr>
          <w:rFonts w:hint="eastAsia" w:ascii="仿宋" w:hAnsi="仿宋" w:eastAsia="仿宋"/>
          <w:sz w:val="32"/>
          <w:szCs w:val="32"/>
        </w:rPr>
      </w:pPr>
    </w:p>
    <w:tbl>
      <w:tblPr>
        <w:tblStyle w:val="6"/>
        <w:tblW w:w="888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1"/>
        <w:gridCol w:w="1262"/>
        <w:gridCol w:w="1"/>
        <w:gridCol w:w="796"/>
        <w:gridCol w:w="1133"/>
        <w:gridCol w:w="1"/>
        <w:gridCol w:w="973"/>
        <w:gridCol w:w="1129"/>
        <w:gridCol w:w="1"/>
        <w:gridCol w:w="1025"/>
        <w:gridCol w:w="127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8883"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8883"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883"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6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97"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74"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97" w:type="dxa"/>
            <w:gridSpan w:val="3"/>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9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政府工会费</w:t>
            </w:r>
          </w:p>
        </w:tc>
        <w:tc>
          <w:tcPr>
            <w:tcW w:w="97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42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5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1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w:t>
            </w: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2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9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12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9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及时上缴工会费，切实提高廉州镇学区工会工作水平，保障工会工作顺利开展。</w:t>
            </w:r>
          </w:p>
        </w:tc>
        <w:tc>
          <w:tcPr>
            <w:tcW w:w="312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工会费及时、足额上缴区总工会，工会工作开展顺利，达到预期目标</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会员人数（人）</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工会经费保障率 （%）</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工会经费拨付及时率（%）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9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项目是否按进度执行</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12月全部完成</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4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综合影响力</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通过工会活动提升社会影响力</w:t>
            </w:r>
          </w:p>
        </w:tc>
        <w:tc>
          <w:tcPr>
            <w:tcW w:w="1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社会影响力提升</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6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9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单位群众对工会工作的满意率（%）</w:t>
            </w: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6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9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0" w:hRule="atLeast"/>
        </w:trPr>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321"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80" w:hRule="atLeast"/>
        </w:trPr>
        <w:tc>
          <w:tcPr>
            <w:tcW w:w="12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592"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村级运行及服务群众等支出项目自评综述：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村级运行及服务群众等支出项目绩效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W w:w="864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6"/>
        <w:gridCol w:w="1228"/>
        <w:gridCol w:w="775"/>
        <w:gridCol w:w="1104"/>
        <w:gridCol w:w="1014"/>
        <w:gridCol w:w="1032"/>
        <w:gridCol w:w="998"/>
        <w:gridCol w:w="12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641"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641"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641"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09" w:hRule="atLeast"/>
        </w:trPr>
        <w:tc>
          <w:tcPr>
            <w:tcW w:w="125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2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7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3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7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村级运行及服务群众等支出</w:t>
            </w:r>
          </w:p>
        </w:tc>
        <w:tc>
          <w:tcPr>
            <w:tcW w:w="10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3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2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1000</w:t>
            </w: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12"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0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金五路提升改造及北营村污水管网改造和村民服务中心建设 </w:t>
            </w:r>
          </w:p>
        </w:tc>
        <w:tc>
          <w:tcPr>
            <w:tcW w:w="30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金五路提升改造已竣工验收并完成决算评审，北营村污水管网已完工投入使用、村民中心已完成验收</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工程量完成率（%）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工程验收合格率（%）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8"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基础设施综合利用率（%）</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1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22"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8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村级运行及服务群众等支出项目自评综述：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村级运行及服务群众等支出项目绩效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318</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318</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6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6"/>
        <w:gridCol w:w="1228"/>
        <w:gridCol w:w="774"/>
        <w:gridCol w:w="1104"/>
        <w:gridCol w:w="1013"/>
        <w:gridCol w:w="1033"/>
        <w:gridCol w:w="999"/>
        <w:gridCol w:w="12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640"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640"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00" w:hRule="atLeast"/>
        </w:trPr>
        <w:tc>
          <w:tcPr>
            <w:tcW w:w="864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（2019年度）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87" w:hRule="atLeast"/>
        </w:trPr>
        <w:tc>
          <w:tcPr>
            <w:tcW w:w="125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填报单位：</w:t>
            </w:r>
          </w:p>
        </w:tc>
        <w:tc>
          <w:tcPr>
            <w:tcW w:w="122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c>
          <w:tcPr>
            <w:tcW w:w="77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223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一、基本情况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项目名称</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村级运行及服务群众等支出</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实施（主管单位）</w:t>
            </w:r>
          </w:p>
        </w:tc>
        <w:tc>
          <w:tcPr>
            <w:tcW w:w="326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二、预算执行</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200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预算安排情况（调整后）</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资金到位情况</w:t>
            </w:r>
          </w:p>
        </w:tc>
        <w:tc>
          <w:tcPr>
            <w:tcW w:w="203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资金执行情况</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预算数：</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到位数：</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执行数：</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23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1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其中：财政</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 xml:space="preserve">     资金</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318</w:t>
            </w: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1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     其他</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三、目标完成</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情况</w:t>
            </w: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年度预算目标</w:t>
            </w:r>
          </w:p>
        </w:tc>
        <w:tc>
          <w:tcPr>
            <w:tcW w:w="30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具体完成情况</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02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310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农村人居环境进一步得到改善、全面执行农村“三清三洗三收”、农村私搭乱建及时拆除、城区宅基地超高建筑得到有效控制、部分村污水管网及村委会建设有效改善了村内环境及办公条件</w:t>
            </w:r>
          </w:p>
        </w:tc>
        <w:tc>
          <w:tcPr>
            <w:tcW w:w="3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农村人居环境进一步得到改善、农村“三清三洗三收”全面执行、农村私搭乱建基本拆除、城区宅基地超高建筑得到有效控制、部分村污水管网及村委会建设基本完成、村内环境及办公条件得到有效改善</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四、年度绩效指标完成情况</w:t>
            </w:r>
          </w:p>
        </w:tc>
        <w:tc>
          <w:tcPr>
            <w:tcW w:w="12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一级指标</w:t>
            </w:r>
          </w:p>
        </w:tc>
        <w:tc>
          <w:tcPr>
            <w:tcW w:w="7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二级指标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三级指标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预期指标值</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实际完成值</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工程量完成率（%）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9"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工程验收合格率（%）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预算执行率指标（10分）</w:t>
            </w:r>
          </w:p>
        </w:tc>
        <w:tc>
          <w:tcPr>
            <w:tcW w:w="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执行率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预算资金使用到位100%</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（40分）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经济效益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96"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基础设施综合利用率（%）</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right"/>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（10分）</w:t>
            </w:r>
          </w:p>
        </w:tc>
        <w:tc>
          <w:tcPr>
            <w:tcW w:w="7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r>
              <w:rPr>
                <w:rFonts w:hint="eastAsia" w:ascii="宋体" w:hAnsi="宋体" w:eastAsia="宋体" w:cs="宋体"/>
                <w:i w:val="0"/>
                <w:color w:val="000000"/>
                <w:kern w:val="0"/>
                <w:sz w:val="22"/>
                <w:szCs w:val="22"/>
                <w:u w:val="none"/>
                <w:lang w:val="en-US" w:eastAsia="zh-CN" w:bidi="ar"/>
              </w:rPr>
              <w:br w:type="textWrapping"/>
            </w:r>
            <w:r>
              <w:rPr>
                <w:rFonts w:hint="eastAsia" w:ascii="宋体" w:hAnsi="宋体" w:eastAsia="宋体" w:cs="宋体"/>
                <w:i w:val="0"/>
                <w:color w:val="000000"/>
                <w:kern w:val="0"/>
                <w:sz w:val="22"/>
                <w:szCs w:val="22"/>
                <w:u w:val="none"/>
                <w:lang w:val="en-US" w:eastAsia="zh-CN" w:bidi="ar"/>
              </w:rPr>
              <w:t>指标</w:t>
            </w: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2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7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211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9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0" w:hRule="atLeast"/>
        </w:trPr>
        <w:tc>
          <w:tcPr>
            <w:tcW w:w="12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615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总分</w:t>
            </w:r>
          </w:p>
        </w:tc>
        <w:tc>
          <w:tcPr>
            <w:tcW w:w="123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77" w:hRule="atLeast"/>
        </w:trPr>
        <w:tc>
          <w:tcPr>
            <w:tcW w:w="12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五、存在问题、原因及下一步整改措施</w:t>
            </w:r>
          </w:p>
        </w:tc>
        <w:tc>
          <w:tcPr>
            <w:tcW w:w="738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教育临时教师工资及其他教育投入项目自评综述：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教育临时教师工资及其他教育投入项目绩效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0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5"/>
        <w:gridCol w:w="1210"/>
        <w:gridCol w:w="1"/>
        <w:gridCol w:w="798"/>
        <w:gridCol w:w="1"/>
        <w:gridCol w:w="1283"/>
        <w:gridCol w:w="871"/>
        <w:gridCol w:w="1065"/>
        <w:gridCol w:w="1029"/>
        <w:gridCol w:w="124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0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3" w:hRule="atLeast"/>
        </w:trPr>
        <w:tc>
          <w:tcPr>
            <w:tcW w:w="880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9" w:hRule="atLeast"/>
        </w:trPr>
        <w:tc>
          <w:tcPr>
            <w:tcW w:w="880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9" w:hRule="atLeast"/>
        </w:trPr>
        <w:tc>
          <w:tcPr>
            <w:tcW w:w="129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1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9"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4"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1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82"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教育临时教师工资及其他教育投入</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4"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3"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6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400"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提高教育水平，扩大老师队伍，缓解中小学教师资源严重不足带来的负面影响，同时为了保障学校安全，聘请保安进行24小时职守，同时对个别学校安全措施方面进行补充、对必要的修理、修缮进行投入。</w:t>
            </w:r>
          </w:p>
        </w:tc>
        <w:tc>
          <w:tcPr>
            <w:tcW w:w="29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完成年初预算目标，缓解了中小教师资源严重不足带来的负面影响</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4"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临时老师人数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4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发放工资及时率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缴纳保险及时率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74"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9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保障教师工作稳定性</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8"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58"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858"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05"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联防队员及保安工资、福利等人员开支项目自评综述：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联防队员及保安工资、福利等人员开支项目绩效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202"/>
        <w:gridCol w:w="1"/>
        <w:gridCol w:w="792"/>
        <w:gridCol w:w="1"/>
        <w:gridCol w:w="1274"/>
        <w:gridCol w:w="866"/>
        <w:gridCol w:w="1058"/>
        <w:gridCol w:w="1023"/>
        <w:gridCol w:w="12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21" w:hRule="atLeast"/>
        </w:trPr>
        <w:tc>
          <w:tcPr>
            <w:tcW w:w="8740"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8740"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8740"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1" w:hRule="atLeast"/>
        </w:trPr>
        <w:tc>
          <w:tcPr>
            <w:tcW w:w="12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6"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6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联防队员及保安工资、福利等人员开支</w:t>
            </w:r>
          </w:p>
        </w:tc>
        <w:tc>
          <w:tcPr>
            <w:tcW w:w="8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1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3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400</w:t>
            </w:r>
          </w:p>
        </w:tc>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4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61"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联防队员工资、社保及保安工资，加强治安巡逻，环保督察、拆迁等各项工作，并保障镇工作有序进行</w:t>
            </w:r>
          </w:p>
        </w:tc>
        <w:tc>
          <w:tcPr>
            <w:tcW w:w="2947"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完成治安巡逻，环保督察、拆迁等各项工作，并保障了镇工作有序进行</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联防队员人数</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50</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52</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7"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拆迁环保治理及时率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工资发放及时率</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16"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33"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保障镇资金安全，工作有序</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3"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3"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17"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47"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54"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村标门牌等村志制作费项目自评综述：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村标门牌等村志制作费项目绩效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13.91815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13.91815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3"/>
        <w:gridCol w:w="1199"/>
        <w:gridCol w:w="826"/>
        <w:gridCol w:w="1"/>
        <w:gridCol w:w="1270"/>
        <w:gridCol w:w="1"/>
        <w:gridCol w:w="863"/>
        <w:gridCol w:w="1055"/>
        <w:gridCol w:w="1"/>
        <w:gridCol w:w="1019"/>
        <w:gridCol w:w="13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874"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874"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3" w:hRule="atLeast"/>
        </w:trPr>
        <w:tc>
          <w:tcPr>
            <w:tcW w:w="8874"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43" w:hRule="atLeast"/>
        </w:trPr>
        <w:tc>
          <w:tcPr>
            <w:tcW w:w="1283"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27"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1"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37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2" w:hRule="atLeast"/>
        </w:trPr>
        <w:tc>
          <w:tcPr>
            <w:tcW w:w="12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9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村标门牌等村志制作费</w:t>
            </w:r>
          </w:p>
        </w:tc>
        <w:tc>
          <w:tcPr>
            <w:tcW w:w="86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7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2"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3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98"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重新规划街道名称、各居委会名称，镇改街、村改居门牌、标志等制作费</w:t>
            </w:r>
          </w:p>
        </w:tc>
        <w:tc>
          <w:tcPr>
            <w:tcW w:w="293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完成镇改街、村改居门牌、标志等制作</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97" w:hRule="atLeast"/>
        </w:trPr>
        <w:tc>
          <w:tcPr>
            <w:tcW w:w="12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8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社区数量</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5"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门牌安装及时率</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门牌制作费</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1391815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2"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8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提高居民办事效率</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82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1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82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3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0" w:hRule="atLeast"/>
        </w:trPr>
        <w:tc>
          <w:tcPr>
            <w:tcW w:w="12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35"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21" w:hRule="atLeast"/>
        </w:trPr>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91"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粮价补贴项目自评综述：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粮价补贴项目绩效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556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6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74"/>
        <w:gridCol w:w="1191"/>
        <w:gridCol w:w="786"/>
        <w:gridCol w:w="1"/>
        <w:gridCol w:w="1262"/>
        <w:gridCol w:w="857"/>
        <w:gridCol w:w="1"/>
        <w:gridCol w:w="1048"/>
        <w:gridCol w:w="1013"/>
        <w:gridCol w:w="12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662"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8" w:hRule="atLeast"/>
        </w:trPr>
        <w:tc>
          <w:tcPr>
            <w:tcW w:w="8662"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662"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127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19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87"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62"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5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42"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9"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4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粮价补贴</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29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2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2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9"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0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556</w:t>
            </w: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1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15"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4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资金主要用于被征地群众的粮食补贴，利息补贴等</w:t>
            </w:r>
          </w:p>
        </w:tc>
        <w:tc>
          <w:tcPr>
            <w:tcW w:w="2919"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完成被征地群众的粮食补贴，利息补贴等</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9" w:hRule="atLeast"/>
        </w:trPr>
        <w:tc>
          <w:tcPr>
            <w:tcW w:w="127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19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1"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补贴村数</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1"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补贴发放及时率</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粮价补贴金额</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448.95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448.95</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利息补贴</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80.3784</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80.3784</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19"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5"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2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3" w:hRule="atLeast"/>
        </w:trPr>
        <w:tc>
          <w:tcPr>
            <w:tcW w:w="127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159"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2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6" w:hRule="atLeast"/>
        </w:trPr>
        <w:tc>
          <w:tcPr>
            <w:tcW w:w="12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388"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土地保护与违法治理项目自评综述：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土地保护与违法治理项目绩效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8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2"/>
        <w:gridCol w:w="1208"/>
        <w:gridCol w:w="797"/>
        <w:gridCol w:w="1280"/>
        <w:gridCol w:w="869"/>
        <w:gridCol w:w="1"/>
        <w:gridCol w:w="1062"/>
        <w:gridCol w:w="1"/>
        <w:gridCol w:w="1026"/>
        <w:gridCol w:w="12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781" w:type="dxa"/>
            <w:gridSpan w:val="10"/>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781" w:type="dxa"/>
            <w:gridSpan w:val="10"/>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3" w:hRule="atLeast"/>
        </w:trPr>
        <w:tc>
          <w:tcPr>
            <w:tcW w:w="8781" w:type="dxa"/>
            <w:gridSpan w:val="10"/>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3" w:hRule="atLeast"/>
        </w:trPr>
        <w:tc>
          <w:tcPr>
            <w:tcW w:w="1292"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7"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0"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0"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1"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7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土地保护与违法治理</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5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8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保护土地资源，制止违法占地，并对违法占地进行治理</w:t>
            </w:r>
          </w:p>
        </w:tc>
        <w:tc>
          <w:tcPr>
            <w:tcW w:w="295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完成年初土地资源保护，违法占地制止，并对违法占地进行治理</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2" w:hRule="atLeast"/>
        </w:trPr>
        <w:tc>
          <w:tcPr>
            <w:tcW w:w="12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6"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6"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违法占地处置完成率</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90%</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89%</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违法占地及时处理</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及时发现违法占地</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2"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54"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社会稳定</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71" w:hRule="atLeast"/>
        </w:trPr>
        <w:tc>
          <w:tcPr>
            <w:tcW w:w="12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44"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81" w:hRule="atLeast"/>
        </w:trPr>
        <w:tc>
          <w:tcPr>
            <w:tcW w:w="12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89" w:type="dxa"/>
            <w:gridSpan w:val="9"/>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农村文化建设资金项目自评综述：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农村文化建设资金项目绩效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6"/>
        <w:gridCol w:w="1202"/>
        <w:gridCol w:w="1"/>
        <w:gridCol w:w="793"/>
        <w:gridCol w:w="1274"/>
        <w:gridCol w:w="1"/>
        <w:gridCol w:w="865"/>
        <w:gridCol w:w="1057"/>
        <w:gridCol w:w="1"/>
        <w:gridCol w:w="1021"/>
        <w:gridCol w:w="12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740"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740"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2" w:hRule="atLeast"/>
        </w:trPr>
        <w:tc>
          <w:tcPr>
            <w:tcW w:w="874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2" w:hRule="atLeast"/>
        </w:trPr>
        <w:tc>
          <w:tcPr>
            <w:tcW w:w="128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3"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3"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0"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6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农村文化建设资金</w:t>
            </w:r>
          </w:p>
        </w:tc>
        <w:tc>
          <w:tcPr>
            <w:tcW w:w="86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1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99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0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70</w:t>
            </w: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2"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4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52"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支持我镇35个村的文化建设，丰富农村文化活动，开展农村文化活动竞赛，组织各种讲座，提高群众文化生活水平，活跃农村文化气氛。</w:t>
            </w:r>
          </w:p>
        </w:tc>
        <w:tc>
          <w:tcPr>
            <w:tcW w:w="294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完成我镇35个村的文化建设，丰富农村文化活动，开展农村文化活动竞赛，组织各种讲座，提高群众文化生活水平，活跃农村文化气氛。</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4" w:hRule="atLeast"/>
        </w:trPr>
        <w:tc>
          <w:tcPr>
            <w:tcW w:w="12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文化建设村数</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开展公共文化数量</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58"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开展活动及时率</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6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00"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活跃农村文化氛围</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5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39" w:hRule="atLeast"/>
        </w:trPr>
        <w:tc>
          <w:tcPr>
            <w:tcW w:w="12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15"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3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88" w:hRule="atLeast"/>
        </w:trPr>
        <w:tc>
          <w:tcPr>
            <w:tcW w:w="12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54"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城乡环境卫生项目自评综述：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城乡环境卫生项目绩效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80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95"/>
        <w:gridCol w:w="1210"/>
        <w:gridCol w:w="799"/>
        <w:gridCol w:w="1284"/>
        <w:gridCol w:w="871"/>
        <w:gridCol w:w="1065"/>
        <w:gridCol w:w="1"/>
        <w:gridCol w:w="1028"/>
        <w:gridCol w:w="12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7" w:hRule="atLeast"/>
        </w:trPr>
        <w:tc>
          <w:tcPr>
            <w:tcW w:w="8801" w:type="dxa"/>
            <w:gridSpan w:val="9"/>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9" w:hRule="atLeast"/>
        </w:trPr>
        <w:tc>
          <w:tcPr>
            <w:tcW w:w="8801" w:type="dxa"/>
            <w:gridSpan w:val="9"/>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7" w:hRule="atLeast"/>
        </w:trPr>
        <w:tc>
          <w:tcPr>
            <w:tcW w:w="8801" w:type="dxa"/>
            <w:gridSpan w:val="9"/>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7" w:hRule="atLeast"/>
        </w:trPr>
        <w:tc>
          <w:tcPr>
            <w:tcW w:w="129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10"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7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76"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9"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8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城乡环境卫生</w:t>
            </w:r>
          </w:p>
        </w:tc>
        <w:tc>
          <w:tcPr>
            <w:tcW w:w="8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4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9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300</w:t>
            </w: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93"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6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1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9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加强城乡环境卫生整治，对35个村及城区环境卫生提升进行资金补助</w:t>
            </w:r>
          </w:p>
        </w:tc>
        <w:tc>
          <w:tcPr>
            <w:tcW w:w="29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完成城乡环境卫生整治，对35个村及城区环境卫生提升进行资金补助</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79" w:hRule="atLeast"/>
        </w:trPr>
        <w:tc>
          <w:tcPr>
            <w:tcW w:w="12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2"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补助村数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35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72"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环境卫生机制的建立</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清理垃圾及时率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9"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26"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提升乡村环境卫生</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5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7" w:hRule="atLeast"/>
        </w:trPr>
        <w:tc>
          <w:tcPr>
            <w:tcW w:w="12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58"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41" w:hRule="atLeast"/>
        </w:trPr>
        <w:tc>
          <w:tcPr>
            <w:tcW w:w="12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506"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城乡环境卫生项目自评综述：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城乡环境卫生项目绩效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800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89"/>
        <w:gridCol w:w="1205"/>
        <w:gridCol w:w="1"/>
        <w:gridCol w:w="795"/>
        <w:gridCol w:w="1277"/>
        <w:gridCol w:w="867"/>
        <w:gridCol w:w="1"/>
        <w:gridCol w:w="1059"/>
        <w:gridCol w:w="1"/>
        <w:gridCol w:w="1024"/>
        <w:gridCol w:w="124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4" w:hRule="atLeast"/>
        </w:trPr>
        <w:tc>
          <w:tcPr>
            <w:tcW w:w="8760" w:type="dxa"/>
            <w:gridSpan w:val="11"/>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4" w:hRule="atLeast"/>
        </w:trPr>
        <w:tc>
          <w:tcPr>
            <w:tcW w:w="8760" w:type="dxa"/>
            <w:gridSpan w:val="11"/>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4" w:hRule="atLeast"/>
        </w:trPr>
        <w:tc>
          <w:tcPr>
            <w:tcW w:w="8760" w:type="dxa"/>
            <w:gridSpan w:val="11"/>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4" w:hRule="atLeast"/>
        </w:trPr>
        <w:tc>
          <w:tcPr>
            <w:tcW w:w="1289"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205"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6" w:type="dxa"/>
            <w:gridSpan w:val="2"/>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7"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867"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1"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265"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4" w:hRule="atLeast"/>
        </w:trPr>
        <w:tc>
          <w:tcPr>
            <w:tcW w:w="12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12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07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城乡环境卫生</w:t>
            </w:r>
          </w:p>
        </w:tc>
        <w:tc>
          <w:tcPr>
            <w:tcW w:w="86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32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00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4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8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4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7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800</w:t>
            </w: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86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10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3278"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952"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1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327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加大卫生清扫范围，建立卫生清扫机制，保证农村环境干净、有序</w:t>
            </w:r>
          </w:p>
        </w:tc>
        <w:tc>
          <w:tcPr>
            <w:tcW w:w="2952"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加大卫生清扫范围，建立卫生清扫机制，保证农村环境干净、有序</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4" w:hRule="atLeast"/>
        </w:trPr>
        <w:tc>
          <w:tcPr>
            <w:tcW w:w="12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7"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环境卫生机制的建立</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已建立</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路面垃圾清理完成率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清理垃圾及时率</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6"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提升乡村环境卫生</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群众满意度</w:t>
            </w: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0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2"/>
                <w:szCs w:val="22"/>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206"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14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6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2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4" w:hRule="atLeast"/>
        </w:trPr>
        <w:tc>
          <w:tcPr>
            <w:tcW w:w="12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6230"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33" w:hRule="atLeast"/>
        </w:trPr>
        <w:tc>
          <w:tcPr>
            <w:tcW w:w="12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7471" w:type="dxa"/>
            <w:gridSpan w:val="10"/>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学区工会费项目自评综述：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学区工会费项目绩效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41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p>
      <w:pPr>
        <w:numPr>
          <w:ilvl w:val="0"/>
          <w:numId w:val="0"/>
        </w:numPr>
        <w:adjustRightInd w:val="0"/>
        <w:snapToGrid w:val="0"/>
        <w:spacing w:line="580" w:lineRule="exact"/>
        <w:rPr>
          <w:rFonts w:ascii="仿宋_GB2312" w:hAnsi="仿宋_GB2312" w:eastAsia="仿宋_GB2312" w:cs="仿宋_GB2312"/>
          <w:sz w:val="32"/>
          <w:szCs w:val="32"/>
        </w:rPr>
      </w:pPr>
    </w:p>
    <w:tbl>
      <w:tblPr>
        <w:tblStyle w:val="6"/>
        <w:tblW w:w="876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227"/>
        <w:gridCol w:w="912"/>
        <w:gridCol w:w="728"/>
        <w:gridCol w:w="1168"/>
        <w:gridCol w:w="766"/>
        <w:gridCol w:w="971"/>
        <w:gridCol w:w="907"/>
        <w:gridCol w:w="10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762"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762"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0" w:hRule="atLeast"/>
        </w:trPr>
        <w:tc>
          <w:tcPr>
            <w:tcW w:w="8762"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0" w:hRule="atLeast"/>
        </w:trPr>
        <w:tc>
          <w:tcPr>
            <w:tcW w:w="222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填报单位：藁城区廉州镇人民政府</w:t>
            </w:r>
          </w:p>
        </w:tc>
        <w:tc>
          <w:tcPr>
            <w:tcW w:w="912"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2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6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66"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990"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6" w:hRule="atLeast"/>
        </w:trPr>
        <w:tc>
          <w:tcPr>
            <w:tcW w:w="22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89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学区工会费</w:t>
            </w:r>
          </w:p>
        </w:tc>
        <w:tc>
          <w:tcPr>
            <w:tcW w:w="7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296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64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08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41</w:t>
            </w: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6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80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4"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80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及时上缴工会费，切实提高廉州镇学区工会工作水平，保障学区工会工作顺利开展。</w:t>
            </w:r>
          </w:p>
        </w:tc>
        <w:tc>
          <w:tcPr>
            <w:tcW w:w="2644"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工会费及时、足额上缴区总工会，学区工会工作开展顺利，达到预期目标</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69" w:hRule="atLeast"/>
        </w:trPr>
        <w:tc>
          <w:tcPr>
            <w:tcW w:w="22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91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会员人数</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615</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4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工会经费保障率 </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工会经费拨付及时率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项目是否按进度执行</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12月全部完成</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80"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646"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综合影响力</w:t>
            </w:r>
          </w:p>
        </w:tc>
        <w:tc>
          <w:tcPr>
            <w:tcW w:w="9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通过工会活动提升社会影响力</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2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单位群众对工会工作的满意率</w:t>
            </w: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2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934"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0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27" w:hRule="atLeast"/>
        </w:trPr>
        <w:tc>
          <w:tcPr>
            <w:tcW w:w="22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5452"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08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08" w:hRule="atLeast"/>
        </w:trPr>
        <w:tc>
          <w:tcPr>
            <w:tcW w:w="22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65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维护社会稳定和国家安全项目自评综述：</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维护社会稳定和国家安全项目绩效</w:t>
      </w:r>
      <w:r>
        <w:rPr>
          <w:rFonts w:hint="eastAsia" w:ascii="仿宋_GB2312" w:hAnsi="仿宋_GB2312" w:eastAsia="仿宋_GB2312" w:cs="仿宋_GB2312"/>
          <w:sz w:val="32"/>
          <w:szCs w:val="32"/>
        </w:rPr>
        <w:t>自评得分为</w:t>
      </w:r>
      <w:r>
        <w:rPr>
          <w:rFonts w:hint="eastAsia" w:ascii="仿宋_GB2312" w:hAnsi="仿宋_GB2312" w:eastAsia="仿宋_GB2312" w:cs="仿宋_GB2312"/>
          <w:sz w:val="32"/>
          <w:szCs w:val="32"/>
          <w:lang w:val="en-US" w:eastAsia="zh-CN"/>
        </w:rPr>
        <w:t>96</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优</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发现的主要问题及原因：无。下一步整改的措施：</w:t>
      </w:r>
      <w:r>
        <w:rPr>
          <w:rFonts w:hint="eastAsia" w:ascii="仿宋" w:hAnsi="仿宋" w:eastAsia="仿宋"/>
          <w:sz w:val="32"/>
          <w:szCs w:val="32"/>
        </w:rPr>
        <w:t>尽量做到科学、合理的分配资金，在财政资金按时到位的情况下，有序进行各项工作，以确保各项工作保质完成。</w:t>
      </w:r>
    </w:p>
    <w:tbl>
      <w:tblPr>
        <w:tblStyle w:val="6"/>
        <w:tblW w:w="876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16"/>
        <w:gridCol w:w="989"/>
        <w:gridCol w:w="790"/>
        <w:gridCol w:w="930"/>
        <w:gridCol w:w="457"/>
        <w:gridCol w:w="998"/>
        <w:gridCol w:w="993"/>
        <w:gridCol w:w="119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312" w:hRule="atLeast"/>
        </w:trPr>
        <w:tc>
          <w:tcPr>
            <w:tcW w:w="8763" w:type="dxa"/>
            <w:gridSpan w:val="8"/>
            <w:vMerge w:val="restart"/>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i w:val="0"/>
                <w:color w:val="000000"/>
                <w:sz w:val="36"/>
                <w:szCs w:val="36"/>
                <w:u w:val="none"/>
              </w:rPr>
            </w:pPr>
            <w:r>
              <w:rPr>
                <w:rFonts w:hint="eastAsia" w:ascii="宋体" w:hAnsi="宋体" w:eastAsia="宋体" w:cs="宋体"/>
                <w:b/>
                <w:i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2" w:hRule="atLeast"/>
        </w:trPr>
        <w:tc>
          <w:tcPr>
            <w:tcW w:w="8763" w:type="dxa"/>
            <w:gridSpan w:val="8"/>
            <w:vMerge w:val="continue"/>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b/>
                <w:i w:val="0"/>
                <w:color w:val="000000"/>
                <w:sz w:val="36"/>
                <w:szCs w:val="3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1" w:hRule="atLeast"/>
        </w:trPr>
        <w:tc>
          <w:tcPr>
            <w:tcW w:w="8763"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2019  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1" w:hRule="atLeast"/>
        </w:trPr>
        <w:tc>
          <w:tcPr>
            <w:tcW w:w="2416"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填报单位：藁城区廉州镇人民政府</w:t>
            </w:r>
          </w:p>
        </w:tc>
        <w:tc>
          <w:tcPr>
            <w:tcW w:w="989"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30"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457"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nil"/>
              <w:left w:val="nil"/>
              <w:bottom w:val="nil"/>
              <w:right w:val="nil"/>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2183" w:type="dxa"/>
            <w:gridSpan w:val="2"/>
            <w:tcBorders>
              <w:top w:val="nil"/>
              <w:left w:val="nil"/>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单位金额：万元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6" w:hRule="atLeast"/>
        </w:trPr>
        <w:tc>
          <w:tcPr>
            <w:tcW w:w="24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一、基本情况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17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维护社会稳定和国家安全</w:t>
            </w:r>
          </w:p>
        </w:tc>
        <w:tc>
          <w:tcPr>
            <w:tcW w:w="4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18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藁城区廉州镇人民政府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177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199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1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其中：财政</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 xml:space="preserve">     资金</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250</w:t>
            </w: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45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其他</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情况</w:t>
            </w: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年度预算目标</w:t>
            </w:r>
          </w:p>
        </w:tc>
        <w:tc>
          <w:tcPr>
            <w:tcW w:w="244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24"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27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指导协调各级各部门排查、化解社会隐患，减少不稳定因素的发生，保证信访人到镇反映问题有人接待，并负责信访事件的跟踪，尽快使信访案件达到解决，交保证不出现越级上访，进京访</w:t>
            </w:r>
          </w:p>
        </w:tc>
        <w:tc>
          <w:tcPr>
            <w:tcW w:w="244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完成协调各级各部门排查、化解社会隐患，减少不稳定因素的发生，保证信访人到镇反映问题有人接待，并负责信访事件的跟踪，尽快使信访案件达到解决，交保证不出现越级上访，进京访</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59" w:hRule="atLeast"/>
        </w:trPr>
        <w:tc>
          <w:tcPr>
            <w:tcW w:w="241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四、年度绩效指标完成情况</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7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6"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接访人次</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600人以上</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650人以上</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26"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信访案件完成率</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信访处理及时率</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94%</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Calibri" w:hAnsi="Calibri" w:eastAsia="宋体" w:cs="Calibri"/>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default" w:ascii="Calibri" w:hAnsi="Calibri" w:eastAsia="宋体" w:cs="Calibri"/>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19"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预算执行率指标（10分）</w:t>
            </w:r>
          </w:p>
        </w:tc>
        <w:tc>
          <w:tcPr>
            <w:tcW w:w="7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执行率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财政拨款及时率100%</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65"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（40分）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保障社会安全稳定</w:t>
            </w: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9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left"/>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7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指标</w:t>
            </w: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服务对象满意度</w:t>
            </w: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95%</w:t>
            </w:r>
            <w:bookmarkStart w:id="0" w:name="_GoBack"/>
            <w:bookmarkEnd w:id="0"/>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93%</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7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138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9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0"/>
                <w:szCs w:val="20"/>
                <w:u w:val="none"/>
              </w:rPr>
            </w:pP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18" w:hRule="atLeast"/>
        </w:trPr>
        <w:tc>
          <w:tcPr>
            <w:tcW w:w="241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jc w:val="center"/>
              <w:rPr>
                <w:rFonts w:hint="eastAsia" w:ascii="宋体" w:hAnsi="宋体" w:eastAsia="宋体" w:cs="宋体"/>
                <w:i w:val="0"/>
                <w:color w:val="000000"/>
                <w:sz w:val="20"/>
                <w:szCs w:val="20"/>
                <w:u w:val="none"/>
              </w:rPr>
            </w:pPr>
          </w:p>
        </w:tc>
        <w:tc>
          <w:tcPr>
            <w:tcW w:w="515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1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8" w:hRule="atLeast"/>
        </w:trPr>
        <w:tc>
          <w:tcPr>
            <w:tcW w:w="24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五、存在问题、原因及下一步整改措施</w:t>
            </w:r>
          </w:p>
        </w:tc>
        <w:tc>
          <w:tcPr>
            <w:tcW w:w="634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suppressLineNumbers w:val="0"/>
              <w:spacing w:before="0" w:beforeAutospacing="0" w:after="0" w:afterAutospacing="0"/>
              <w:ind w:left="0" w:right="0"/>
              <w:rPr>
                <w:rFonts w:hint="eastAsia" w:ascii="宋体" w:hAnsi="宋体" w:eastAsia="宋体" w:cs="宋体"/>
                <w:i w:val="0"/>
                <w:color w:val="000000"/>
                <w:sz w:val="22"/>
                <w:szCs w:val="22"/>
                <w:u w:val="none"/>
                <w:lang w:eastAsia="zh-CN"/>
              </w:rPr>
            </w:pPr>
            <w:r>
              <w:rPr>
                <w:rFonts w:hint="eastAsia" w:ascii="宋体" w:hAnsi="宋体" w:eastAsia="宋体" w:cs="宋体"/>
                <w:i w:val="0"/>
                <w:color w:val="000000"/>
                <w:sz w:val="22"/>
                <w:szCs w:val="22"/>
                <w:u w:val="none"/>
                <w:lang w:eastAsia="zh-CN"/>
              </w:rPr>
              <w:t>无</w:t>
            </w:r>
          </w:p>
        </w:tc>
      </w:tr>
    </w:tbl>
    <w:p>
      <w:pPr>
        <w:adjustRightInd w:val="0"/>
        <w:snapToGrid w:val="0"/>
        <w:spacing w:line="580" w:lineRule="exact"/>
        <w:rPr>
          <w:rFonts w:hint="eastAsia" w:ascii="仿宋_GB2312" w:hAnsi="仿宋_GB2312" w:eastAsia="仿宋_GB2312" w:cs="仿宋_GB2312"/>
          <w:sz w:val="32"/>
          <w:szCs w:val="32"/>
          <w:lang w:eastAsia="zh-CN"/>
        </w:rPr>
      </w:pPr>
    </w:p>
    <w:p>
      <w:pPr>
        <w:keepNext/>
        <w:keepLines/>
        <w:numPr>
          <w:ilvl w:val="0"/>
          <w:numId w:val="0"/>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rPr>
        <w:t>财政评价项目绩效评价结果</w:t>
      </w:r>
      <w:r>
        <w:rPr>
          <w:rFonts w:hint="eastAsia" w:ascii="仿宋_GB2312" w:hAnsi="仿宋_GB2312" w:eastAsia="仿宋_GB2312" w:cs="仿宋_GB2312"/>
          <w:b/>
          <w:bCs/>
          <w:sz w:val="32"/>
          <w:szCs w:val="32"/>
          <w:lang w:eastAsia="zh-CN"/>
        </w:rPr>
        <w:t>：无</w:t>
      </w:r>
      <w:r>
        <w:rPr>
          <w:rFonts w:hint="eastAsia" w:ascii="仿宋_GB2312" w:hAnsi="仿宋_GB2312" w:eastAsia="仿宋_GB2312" w:cs="仿宋_GB2312"/>
          <w:b/>
          <w:bCs/>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353.38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149.18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73</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学校日常经费拨入乡镇。</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after="0" w:afterLines="0"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仿宋_GB2312" w:eastAsia="仿宋_GB2312" w:cs="仿宋_GB2312"/>
          <w:b w:val="0"/>
          <w:bCs w:val="0"/>
          <w:sz w:val="32"/>
          <w:szCs w:val="32"/>
        </w:rPr>
        <w:t>从采购类型来看，</w:t>
      </w:r>
      <w:r>
        <w:rPr>
          <w:rFonts w:hint="eastAsia" w:ascii="仿宋_GB2312" w:hAnsi="仿宋_GB2312" w:eastAsia="仿宋_GB2312" w:cs="仿宋_GB2312"/>
          <w:b w:val="0"/>
          <w:bCs w:val="0"/>
          <w:color w:val="000000"/>
          <w:kern w:val="0"/>
          <w:sz w:val="32"/>
          <w:szCs w:val="32"/>
        </w:rPr>
        <w:t>政府采购货物支出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万元、政府采购工程支出</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万元、政府采购服务支出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万元。授予中小企业合同金</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万元，占政府采购支出总额的</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%，其中授予小微企业合同金额</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 xml:space="preserve">万元，占政府采购支出总额的 </w:t>
      </w:r>
      <w:r>
        <w:rPr>
          <w:rFonts w:hint="eastAsia" w:ascii="仿宋_GB2312" w:hAnsi="仿宋_GB2312" w:eastAsia="仿宋_GB2312" w:cs="仿宋_GB2312"/>
          <w:b w:val="0"/>
          <w:bCs w:val="0"/>
          <w:color w:val="000000"/>
          <w:kern w:val="0"/>
          <w:sz w:val="32"/>
          <w:szCs w:val="32"/>
          <w:lang w:val="en-US" w:eastAsia="zh-CN"/>
        </w:rPr>
        <w:t>0</w:t>
      </w:r>
      <w:r>
        <w:rPr>
          <w:rFonts w:hint="eastAsia" w:ascii="仿宋_GB2312" w:hAnsi="仿宋_GB2312" w:eastAsia="仿宋_GB2312" w:cs="仿宋_GB2312"/>
          <w:b w:val="0"/>
          <w:bCs w:val="0"/>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after="0" w:afterLines="0"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宋体" w:hAnsi="宋体" w:cs="宋体"/>
          <w:sz w:val="32"/>
          <w:szCs w:val="32"/>
          <w:lang w:eastAsia="zh-CN"/>
        </w:rPr>
        <w:t>其中，副部（省）级及以上领导用车</w:t>
      </w:r>
      <w:r>
        <w:rPr>
          <w:rFonts w:hint="eastAsia" w:ascii="宋体" w:hAnsi="宋体" w:cs="宋体"/>
          <w:sz w:val="32"/>
          <w:szCs w:val="32"/>
          <w:lang w:val="en-US" w:eastAsia="zh-CN"/>
        </w:rPr>
        <w:t>0辆，机要通信用车0辆，应急保障用车1辆，执法执勤用车1辆，特种专业技术用车0辆，离退休干部用车0辆，其他用车0辆；</w:t>
      </w:r>
      <w:r>
        <w:rPr>
          <w:rFonts w:hint="eastAsia" w:ascii="宋体" w:hAnsi="宋体" w:eastAsia="宋体" w:cs="宋体"/>
          <w:sz w:val="32"/>
          <w:szCs w:val="32"/>
        </w:rPr>
        <w:t>单位价值50万元以上通用设备</w:t>
      </w:r>
      <w:r>
        <w:rPr>
          <w:rFonts w:hint="eastAsia" w:ascii="宋体" w:hAnsi="宋体" w:eastAsia="宋体" w:cs="宋体"/>
          <w:sz w:val="32"/>
          <w:szCs w:val="32"/>
          <w:lang w:val="en-US" w:eastAsia="zh-CN"/>
        </w:rPr>
        <w:t>0</w:t>
      </w:r>
      <w:r>
        <w:rPr>
          <w:rFonts w:hint="eastAsia" w:ascii="宋体" w:hAnsi="宋体" w:eastAsia="宋体" w:cs="宋体"/>
          <w:sz w:val="32"/>
          <w:szCs w:val="32"/>
        </w:rPr>
        <w:t>台（套），</w:t>
      </w:r>
      <w:r>
        <w:rPr>
          <w:rFonts w:hint="eastAsia" w:ascii="宋体" w:hAnsi="宋体" w:cs="宋体"/>
          <w:sz w:val="32"/>
          <w:szCs w:val="32"/>
          <w:lang w:eastAsia="zh-CN"/>
        </w:rPr>
        <w:t>与上年无增减变化</w:t>
      </w:r>
      <w:r>
        <w:rPr>
          <w:rFonts w:hint="eastAsia" w:ascii="宋体" w:hAnsi="宋体" w:eastAsia="宋体" w:cs="宋体"/>
          <w:sz w:val="32"/>
          <w:szCs w:val="32"/>
        </w:rPr>
        <w:t xml:space="preserve"> </w:t>
      </w:r>
      <w:r>
        <w:rPr>
          <w:rFonts w:hint="eastAsia" w:ascii="宋体" w:hAnsi="宋体" w:cs="宋体"/>
          <w:sz w:val="32"/>
          <w:szCs w:val="32"/>
          <w:lang w:eastAsia="zh-CN"/>
        </w:rPr>
        <w:t>；</w:t>
      </w:r>
      <w:r>
        <w:rPr>
          <w:rFonts w:hint="eastAsia" w:ascii="宋体" w:hAnsi="宋体" w:eastAsia="宋体" w:cs="宋体"/>
          <w:sz w:val="32"/>
          <w:szCs w:val="32"/>
        </w:rPr>
        <w:t>单位价值100万元以上专用设备</w:t>
      </w:r>
      <w:r>
        <w:rPr>
          <w:rFonts w:hint="eastAsia" w:ascii="宋体" w:hAnsi="宋体" w:eastAsia="宋体" w:cs="宋体"/>
          <w:sz w:val="32"/>
          <w:szCs w:val="32"/>
          <w:lang w:val="en-US" w:eastAsia="zh-CN"/>
        </w:rPr>
        <w:t>0</w:t>
      </w:r>
      <w:r>
        <w:rPr>
          <w:rFonts w:hint="eastAsia" w:ascii="宋体" w:hAnsi="宋体" w:eastAsia="宋体" w:cs="宋体"/>
          <w:sz w:val="32"/>
          <w:szCs w:val="32"/>
        </w:rPr>
        <w:t>台（套）</w:t>
      </w:r>
      <w:r>
        <w:rPr>
          <w:rFonts w:hint="eastAsia" w:ascii="宋体" w:hAnsi="宋体" w:eastAsia="宋体" w:cs="宋体"/>
          <w:sz w:val="32"/>
          <w:szCs w:val="32"/>
          <w:lang w:eastAsia="zh-CN"/>
        </w:rPr>
        <w:t>，</w:t>
      </w:r>
      <w:r>
        <w:rPr>
          <w:rFonts w:hint="eastAsia" w:ascii="宋体" w:hAnsi="宋体" w:cs="宋体"/>
          <w:sz w:val="32"/>
          <w:szCs w:val="32"/>
          <w:lang w:eastAsia="zh-CN"/>
        </w:rPr>
        <w:t>与上年无增减变化</w:t>
      </w:r>
      <w:r>
        <w:rPr>
          <w:rFonts w:hint="eastAsia" w:ascii="宋体" w:hAnsi="宋体" w:eastAsia="宋体" w:cs="宋体"/>
          <w:sz w:val="32"/>
          <w:szCs w:val="32"/>
          <w:lang w:eastAsia="zh-CN"/>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1、本部门201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政府性基金预算财政拨款收入支出决算表、国有资本经营预算财政拨款支出决算表、政府采购情况表无收支及结转结余情况，故政府性基金预算财政拨款收入支出决算表、国有资本经营预算财政拨款支出决算表、政府采购情况表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r>
        <mc:AlternateContent>
          <mc:Choice Requires="wps">
            <w:drawing>
              <wp:anchor distT="0" distB="0" distL="114300" distR="114300" simplePos="0" relativeHeight="251691008"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10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宋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486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djZTFlMmY2NTdjNWQzYjk1ODFlZTZlY2VmMjEyZjY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44849"/>
    <w:rsid w:val="00F665F4"/>
    <w:rsid w:val="00FD225F"/>
    <w:rsid w:val="04642A28"/>
    <w:rsid w:val="04A73554"/>
    <w:rsid w:val="05B00A30"/>
    <w:rsid w:val="061D7DC7"/>
    <w:rsid w:val="068E7E9E"/>
    <w:rsid w:val="06C6052A"/>
    <w:rsid w:val="084E28EB"/>
    <w:rsid w:val="08875035"/>
    <w:rsid w:val="09355A5F"/>
    <w:rsid w:val="09595EB2"/>
    <w:rsid w:val="0A726934"/>
    <w:rsid w:val="0AF42696"/>
    <w:rsid w:val="0B011416"/>
    <w:rsid w:val="0BA456F3"/>
    <w:rsid w:val="0D876AFA"/>
    <w:rsid w:val="0F7E6D8A"/>
    <w:rsid w:val="1008605A"/>
    <w:rsid w:val="12BD1B06"/>
    <w:rsid w:val="14BB6DB6"/>
    <w:rsid w:val="14CD4BE3"/>
    <w:rsid w:val="15AB4C57"/>
    <w:rsid w:val="15AF622D"/>
    <w:rsid w:val="190F6A2B"/>
    <w:rsid w:val="1A252A9C"/>
    <w:rsid w:val="1BA234A1"/>
    <w:rsid w:val="1E3A7007"/>
    <w:rsid w:val="1E4526F4"/>
    <w:rsid w:val="21BA71AA"/>
    <w:rsid w:val="261369BB"/>
    <w:rsid w:val="26CB7B11"/>
    <w:rsid w:val="2888102A"/>
    <w:rsid w:val="288B351D"/>
    <w:rsid w:val="2BAC2FE9"/>
    <w:rsid w:val="2BE7005C"/>
    <w:rsid w:val="2CBB4D27"/>
    <w:rsid w:val="2DDC6725"/>
    <w:rsid w:val="2E417F9D"/>
    <w:rsid w:val="2E7A0E1F"/>
    <w:rsid w:val="2E86538E"/>
    <w:rsid w:val="2F9A1FBD"/>
    <w:rsid w:val="313305CA"/>
    <w:rsid w:val="31C2036A"/>
    <w:rsid w:val="320D02A5"/>
    <w:rsid w:val="32922322"/>
    <w:rsid w:val="334650FE"/>
    <w:rsid w:val="334807F6"/>
    <w:rsid w:val="33794662"/>
    <w:rsid w:val="34854AB8"/>
    <w:rsid w:val="348E566F"/>
    <w:rsid w:val="3504546B"/>
    <w:rsid w:val="36765987"/>
    <w:rsid w:val="378E40A1"/>
    <w:rsid w:val="38560C2F"/>
    <w:rsid w:val="391A6E8A"/>
    <w:rsid w:val="397A27DE"/>
    <w:rsid w:val="3A226944"/>
    <w:rsid w:val="3AC954F5"/>
    <w:rsid w:val="3AE33407"/>
    <w:rsid w:val="3AEE6A48"/>
    <w:rsid w:val="3B6B6F76"/>
    <w:rsid w:val="3C1620AA"/>
    <w:rsid w:val="3C7C18AE"/>
    <w:rsid w:val="3D8F080F"/>
    <w:rsid w:val="414A4DFC"/>
    <w:rsid w:val="41601C29"/>
    <w:rsid w:val="44784A0D"/>
    <w:rsid w:val="44AC3189"/>
    <w:rsid w:val="44CE1FA4"/>
    <w:rsid w:val="45945A1C"/>
    <w:rsid w:val="45E61B0C"/>
    <w:rsid w:val="45F82BA5"/>
    <w:rsid w:val="461842F3"/>
    <w:rsid w:val="471F7B79"/>
    <w:rsid w:val="47DD728B"/>
    <w:rsid w:val="487F73ED"/>
    <w:rsid w:val="4A347EAE"/>
    <w:rsid w:val="4A900E09"/>
    <w:rsid w:val="4C3E30DC"/>
    <w:rsid w:val="4D5C46F3"/>
    <w:rsid w:val="4D971D66"/>
    <w:rsid w:val="4DB6583F"/>
    <w:rsid w:val="4EA3315B"/>
    <w:rsid w:val="51E47CA9"/>
    <w:rsid w:val="52600405"/>
    <w:rsid w:val="529B4319"/>
    <w:rsid w:val="533E4FEF"/>
    <w:rsid w:val="53412C4F"/>
    <w:rsid w:val="56322314"/>
    <w:rsid w:val="563D0DFA"/>
    <w:rsid w:val="57773DD6"/>
    <w:rsid w:val="578B79AB"/>
    <w:rsid w:val="58CF1DE2"/>
    <w:rsid w:val="59803A94"/>
    <w:rsid w:val="5C053A2D"/>
    <w:rsid w:val="5C8B0842"/>
    <w:rsid w:val="5CCD3FD5"/>
    <w:rsid w:val="5E40290D"/>
    <w:rsid w:val="5E751C71"/>
    <w:rsid w:val="5F872FF1"/>
    <w:rsid w:val="60F11376"/>
    <w:rsid w:val="61AC3F19"/>
    <w:rsid w:val="61FA5F9D"/>
    <w:rsid w:val="62881E1D"/>
    <w:rsid w:val="64CD6910"/>
    <w:rsid w:val="65B663C0"/>
    <w:rsid w:val="66436F4A"/>
    <w:rsid w:val="67713C8A"/>
    <w:rsid w:val="6789158D"/>
    <w:rsid w:val="67D81BA4"/>
    <w:rsid w:val="69CD2EE3"/>
    <w:rsid w:val="6AAF1C96"/>
    <w:rsid w:val="6BA60EE1"/>
    <w:rsid w:val="6BF8057F"/>
    <w:rsid w:val="6D2B1661"/>
    <w:rsid w:val="6D3C0480"/>
    <w:rsid w:val="6DDC3048"/>
    <w:rsid w:val="6E1557BF"/>
    <w:rsid w:val="6EBF50E0"/>
    <w:rsid w:val="708077CD"/>
    <w:rsid w:val="718A63CB"/>
    <w:rsid w:val="722D39ED"/>
    <w:rsid w:val="734F3055"/>
    <w:rsid w:val="73703621"/>
    <w:rsid w:val="73AB451C"/>
    <w:rsid w:val="75681757"/>
    <w:rsid w:val="75A346A8"/>
    <w:rsid w:val="767E55A6"/>
    <w:rsid w:val="77C143ED"/>
    <w:rsid w:val="79B9382C"/>
    <w:rsid w:val="7A690BBD"/>
    <w:rsid w:val="7B043B76"/>
    <w:rsid w:val="7C041A6A"/>
    <w:rsid w:val="7D1B6761"/>
    <w:rsid w:val="7D343C0F"/>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eastAsia="Times New Roman" w:cs="Times New Roman"/>
      <w:sz w:val="20"/>
      <w:szCs w:val="20"/>
    </w:rPr>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11"/>
    <w:basedOn w:val="8"/>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openxmlformats.org/officeDocument/2006/relationships/chart" Target="charts/chart5.xml"/><Relationship Id="rId31" Type="http://schemas.openxmlformats.org/officeDocument/2006/relationships/chart" Target="charts/chart4.xml"/><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lenovo\Desktop\&#26032;&#24314;%20Microsoft%20Excel%20&#24037;&#20316;&#34920;%20(2).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lenovo\Desktop\&#26032;&#24314;%20Microsoft%20Excel%20&#24037;&#20316;&#34920;%20(2).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lenovo\Desktop\&#26032;&#24314;%20Microsoft%20Excel%20&#24037;&#20316;&#34920;%20(2).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lenovo\Desktop\&#26032;&#24314;%20Microsoft%20Excel%20&#24037;&#20316;&#34920;%20(2).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lenovo\Desktop\&#26032;&#24314;%20Microsoft%20Excel%20&#24037;&#20316;&#34920;%20(2).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a:latin typeface="仿宋" panose="02010609060101010101" charset="-122"/>
                <a:ea typeface="仿宋" panose="02010609060101010101" charset="-122"/>
                <a:cs typeface="仿宋" panose="02010609060101010101" charset="-122"/>
                <a:sym typeface="仿宋" panose="02010609060101010101" charset="-122"/>
              </a:rPr>
              <a:t>图</a:t>
            </a:r>
            <a:r>
              <a:rPr lang="en-US" altLang="zh-CN">
                <a:latin typeface="仿宋" panose="02010609060101010101" charset="-122"/>
                <a:ea typeface="仿宋" panose="02010609060101010101" charset="-122"/>
                <a:cs typeface="仿宋" panose="02010609060101010101" charset="-122"/>
                <a:sym typeface="仿宋" panose="02010609060101010101" charset="-122"/>
              </a:rPr>
              <a:t>1</a:t>
            </a:r>
            <a:r>
              <a:rPr altLang="en-US">
                <a:latin typeface="仿宋" panose="02010609060101010101" charset="-122"/>
                <a:ea typeface="仿宋" panose="02010609060101010101" charset="-122"/>
                <a:cs typeface="仿宋" panose="02010609060101010101" charset="-122"/>
                <a:sym typeface="仿宋" panose="02010609060101010101" charset="-122"/>
              </a:rPr>
              <a:t>：</a:t>
            </a:r>
            <a:r>
              <a:rPr>
                <a:latin typeface="仿宋" panose="02010609060101010101" charset="-122"/>
                <a:ea typeface="仿宋" panose="02010609060101010101" charset="-122"/>
                <a:cs typeface="仿宋" panose="02010609060101010101" charset="-122"/>
                <a:sym typeface="仿宋" panose="02010609060101010101" charset="-122"/>
              </a:rPr>
              <a:t>收入构成情况</a:t>
            </a:r>
            <a:endParaRPr>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330972222222222"/>
          <c:y val="0.857638888888889"/>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27777777777778"/>
          <c:y val="0.0997685185185186"/>
          <c:w val="0.938888888888889"/>
          <c:h val="0.771990740740741"/>
        </c:manualLayout>
      </c:layout>
      <c:pie3DChart>
        <c:varyColors val="1"/>
        <c:ser>
          <c:idx val="0"/>
          <c:order val="0"/>
          <c:tx>
            <c:strRef>
              <c:f>'[新建 Microsoft Excel 工作表 (2).xls]Sheet1'!$A$4</c:f>
              <c:strCache>
                <c:ptCount val="1"/>
                <c:pt idx="0">
                  <c:v>财政拨款收入</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0.00208243281781973"/>
                  <c:y val="-0.322467178661123"/>
                </c:manualLayout>
              </c:layout>
              <c:tx>
                <c:rich>
                  <a:bodyPr rot="0" spcFirstLastPara="0" vertOverflow="ellipsis" vert="horz" wrap="square" lIns="38100" tIns="19050" rIns="38100" bIns="19050" anchor="ctr" anchorCtr="1"/>
                  <a:lstStyle/>
                  <a:p>
                    <a:pPr defTabSz="914400">
                      <a:defRPr lang="zh-CN" sz="1000" b="0" i="0" u="none" strike="noStrike" kern="1200" baseline="0">
                        <a:solidFill>
                          <a:schemeClr val="tx1">
                            <a:lumMod val="75000"/>
                            <a:lumOff val="25000"/>
                          </a:schemeClr>
                        </a:solidFill>
                        <a:latin typeface="+mn-lt"/>
                        <a:ea typeface="+mn-ea"/>
                        <a:cs typeface="+mn-cs"/>
                      </a:defRPr>
                    </a:pPr>
                    <a:r>
                      <a:rPr sz="1000"/>
                      <a:t>财政拨款收入100%</a:t>
                    </a:r>
                    <a:endParaRPr sz="1000"/>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Microsoft Excel 工作表 (2).xls]Sheet1'!$B$4</c:f>
              <c:numCache>
                <c:formatCode>General</c:formatCode>
                <c:ptCount val="1"/>
                <c:pt idx="0">
                  <c:v>24839.96</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仿宋" panose="02010609060101010101" charset="-122"/>
                <a:ea typeface="仿宋" panose="02010609060101010101" charset="-122"/>
                <a:cs typeface="仿宋" panose="02010609060101010101" charset="-122"/>
                <a:sym typeface="仿宋" panose="02010609060101010101" charset="-122"/>
              </a:defRPr>
            </a:pPr>
            <a:r>
              <a:rPr>
                <a:latin typeface="仿宋" panose="02010609060101010101" charset="-122"/>
                <a:ea typeface="仿宋" panose="02010609060101010101" charset="-122"/>
                <a:cs typeface="仿宋" panose="02010609060101010101" charset="-122"/>
                <a:sym typeface="仿宋" panose="02010609060101010101" charset="-122"/>
              </a:rPr>
              <a:t>图</a:t>
            </a:r>
            <a:r>
              <a:rPr lang="en-US" altLang="zh-CN">
                <a:latin typeface="仿宋" panose="02010609060101010101" charset="-122"/>
                <a:ea typeface="仿宋" panose="02010609060101010101" charset="-122"/>
                <a:cs typeface="仿宋" panose="02010609060101010101" charset="-122"/>
                <a:sym typeface="仿宋" panose="02010609060101010101" charset="-122"/>
              </a:rPr>
              <a:t>2</a:t>
            </a:r>
            <a:r>
              <a:rPr altLang="en-US">
                <a:latin typeface="仿宋" panose="02010609060101010101" charset="-122"/>
                <a:ea typeface="仿宋" panose="02010609060101010101" charset="-122"/>
                <a:cs typeface="仿宋" panose="02010609060101010101" charset="-122"/>
                <a:sym typeface="仿宋" panose="02010609060101010101" charset="-122"/>
              </a:rPr>
              <a:t>：支出构成情况（按支出性质）</a:t>
            </a:r>
            <a:endParaRPr altLang="en-US">
              <a:latin typeface="仿宋" panose="02010609060101010101" charset="-122"/>
              <a:ea typeface="仿宋" panose="02010609060101010101" charset="-122"/>
              <a:cs typeface="仿宋" panose="02010609060101010101" charset="-122"/>
              <a:sym typeface="仿宋" panose="02010609060101010101" charset="-122"/>
            </a:endParaRPr>
          </a:p>
        </c:rich>
      </c:tx>
      <c:layout>
        <c:manualLayout>
          <c:xMode val="edge"/>
          <c:yMode val="edge"/>
          <c:x val="0.211666666666667"/>
          <c:y val="0.885416666666667"/>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13616515500415"/>
          <c:y val="0.0801213618015719"/>
          <c:w val="0.938888888888889"/>
          <c:h val="0.772685185185185"/>
        </c:manualLayout>
      </c:layout>
      <c:pie3DChart>
        <c:varyColors val="1"/>
        <c:ser>
          <c:idx val="0"/>
          <c:order val="0"/>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Pt>
            <c:idx val="1"/>
            <c:bubble3D val="0"/>
            <c:spPr>
              <a:solidFill>
                <a:schemeClr val="accent2"/>
              </a:solidFill>
              <a:ln w="25400">
                <a:solidFill>
                  <a:schemeClr val="lt1"/>
                </a:solidFill>
              </a:ln>
              <a:effectLst/>
              <a:scene3d>
                <a:camera prst="orthographicFront"/>
                <a:lightRig rig="threePt" dir="t"/>
              </a:scene3d>
              <a:sp3d contourW="25400"/>
            </c:spPr>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(2).xls]Sheet2'!$A$4:$A$5</c:f>
              <c:strCache>
                <c:ptCount val="2"/>
                <c:pt idx="0">
                  <c:v>基本支出</c:v>
                </c:pt>
                <c:pt idx="1">
                  <c:v>项目支出</c:v>
                </c:pt>
              </c:strCache>
            </c:strRef>
          </c:cat>
          <c:val>
            <c:numRef>
              <c:f>'[新建 Microsoft Excel 工作表 (2).xls]Sheet2'!$B$4:$B$5</c:f>
              <c:numCache>
                <c:formatCode>General</c:formatCode>
                <c:ptCount val="2"/>
                <c:pt idx="0">
                  <c:v>9956.33</c:v>
                </c:pt>
                <c:pt idx="1">
                  <c:v>14883.63</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Microsoft Excel 工作表 (2).xls]Sheet3'!$A$5</c:f>
              <c:strCache>
                <c:ptCount val="1"/>
                <c:pt idx="0">
                  <c:v>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(2).xls]Sheet3'!$B$4:$C$4</c:f>
              <c:strCache>
                <c:ptCount val="2"/>
                <c:pt idx="0">
                  <c:v>2018年</c:v>
                </c:pt>
                <c:pt idx="1">
                  <c:v>2019年</c:v>
                </c:pt>
              </c:strCache>
            </c:strRef>
          </c:cat>
          <c:val>
            <c:numRef>
              <c:f>'[新建 Microsoft Excel 工作表 (2).xls]Sheet3'!$B$5:$C$5</c:f>
              <c:numCache>
                <c:formatCode>General</c:formatCode>
                <c:ptCount val="2"/>
                <c:pt idx="0">
                  <c:v>18055</c:v>
                </c:pt>
                <c:pt idx="1">
                  <c:v>24839.96</c:v>
                </c:pt>
              </c:numCache>
            </c:numRef>
          </c:val>
        </c:ser>
        <c:ser>
          <c:idx val="1"/>
          <c:order val="1"/>
          <c:tx>
            <c:strRef>
              <c:f>'[新建 Microsoft Excel 工作表 (2).xls]Sheet3'!$A$6</c:f>
              <c:strCache>
                <c:ptCount val="1"/>
                <c:pt idx="0">
                  <c:v>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(2).xls]Sheet3'!$B$4:$C$4</c:f>
              <c:strCache>
                <c:ptCount val="2"/>
                <c:pt idx="0">
                  <c:v>2018年</c:v>
                </c:pt>
                <c:pt idx="1">
                  <c:v>2019年</c:v>
                </c:pt>
              </c:strCache>
            </c:strRef>
          </c:cat>
          <c:val>
            <c:numRef>
              <c:f>'[新建 Microsoft Excel 工作表 (2).xls]Sheet3'!$B$6:$C$6</c:f>
              <c:numCache>
                <c:formatCode>General</c:formatCode>
                <c:ptCount val="2"/>
                <c:pt idx="0">
                  <c:v>20318</c:v>
                </c:pt>
                <c:pt idx="1">
                  <c:v>24839.96</c:v>
                </c:pt>
              </c:numCache>
            </c:numRef>
          </c:val>
        </c:ser>
        <c:dLbls>
          <c:showLegendKey val="0"/>
          <c:showVal val="1"/>
          <c:showCatName val="0"/>
          <c:showSerName val="0"/>
          <c:showPercent val="0"/>
          <c:showBubbleSize val="0"/>
        </c:dLbls>
        <c:gapWidth val="219"/>
        <c:overlap val="-27"/>
        <c:axId val="744901337"/>
        <c:axId val="162447607"/>
      </c:barChart>
      <c:catAx>
        <c:axId val="74490133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62447607"/>
        <c:crosses val="autoZero"/>
        <c:auto val="1"/>
        <c:lblAlgn val="ctr"/>
        <c:lblOffset val="100"/>
        <c:noMultiLvlLbl val="0"/>
      </c:catAx>
      <c:valAx>
        <c:axId val="1624476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44901337"/>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'[新建 Microsoft Excel 工作表 (2).xls]Sheet4'!$A$8</c:f>
              <c:strCache>
                <c:ptCount val="1"/>
                <c:pt idx="0">
                  <c:v>年初预算</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(2).xls]Sheet4'!$B$7:$C$7</c:f>
              <c:strCache>
                <c:ptCount val="2"/>
                <c:pt idx="0">
                  <c:v>收入</c:v>
                </c:pt>
                <c:pt idx="1">
                  <c:v>支出</c:v>
                </c:pt>
              </c:strCache>
            </c:strRef>
          </c:cat>
          <c:val>
            <c:numRef>
              <c:f>'[新建 Microsoft Excel 工作表 (2).xls]Sheet4'!$B$8:$C$8</c:f>
              <c:numCache>
                <c:formatCode>General</c:formatCode>
                <c:ptCount val="2"/>
                <c:pt idx="0">
                  <c:v>27621.32</c:v>
                </c:pt>
                <c:pt idx="1">
                  <c:v>27621.32</c:v>
                </c:pt>
              </c:numCache>
            </c:numRef>
          </c:val>
        </c:ser>
        <c:ser>
          <c:idx val="1"/>
          <c:order val="1"/>
          <c:tx>
            <c:strRef>
              <c:f>'[新建 Microsoft Excel 工作表 (2).xls]Sheet4'!$A$9</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Microsoft Excel 工作表 (2).xls]Sheet4'!$B$7:$C$7</c:f>
              <c:strCache>
                <c:ptCount val="2"/>
                <c:pt idx="0">
                  <c:v>收入</c:v>
                </c:pt>
                <c:pt idx="1">
                  <c:v>支出</c:v>
                </c:pt>
              </c:strCache>
            </c:strRef>
          </c:cat>
          <c:val>
            <c:numRef>
              <c:f>'[新建 Microsoft Excel 工作表 (2).xls]Sheet4'!$B$9:$C$9</c:f>
              <c:numCache>
                <c:formatCode>General</c:formatCode>
                <c:ptCount val="2"/>
                <c:pt idx="0">
                  <c:v>24839.96</c:v>
                </c:pt>
                <c:pt idx="1">
                  <c:v>24839.96</c:v>
                </c:pt>
              </c:numCache>
            </c:numRef>
          </c:val>
        </c:ser>
        <c:dLbls>
          <c:showLegendKey val="0"/>
          <c:showVal val="1"/>
          <c:showCatName val="0"/>
          <c:showSerName val="0"/>
          <c:showPercent val="0"/>
          <c:showBubbleSize val="0"/>
        </c:dLbls>
        <c:gapWidth val="219"/>
        <c:overlap val="-27"/>
        <c:axId val="448039093"/>
        <c:axId val="335138739"/>
      </c:barChart>
      <c:catAx>
        <c:axId val="448039093"/>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335138739"/>
        <c:crosses val="autoZero"/>
        <c:auto val="1"/>
        <c:lblAlgn val="ctr"/>
        <c:lblOffset val="100"/>
        <c:noMultiLvlLbl val="0"/>
      </c:catAx>
      <c:valAx>
        <c:axId val="3351387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48039093"/>
        <c:crosses val="autoZero"/>
        <c:crossBetween val="between"/>
      </c:valAx>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5</a:t>
            </a:r>
            <a:r>
              <a:rPr altLang="en-US"/>
              <a:t>：财政拨款支出决算结构（按功能分类）</a:t>
            </a:r>
            <a:endParaRPr altLang="en-US"/>
          </a:p>
        </c:rich>
      </c:tx>
      <c:layout>
        <c:manualLayout>
          <c:xMode val="edge"/>
          <c:yMode val="edge"/>
          <c:x val="0.14"/>
          <c:y val="0.868055555555556"/>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47222222222222"/>
          <c:y val="0.0793981481481481"/>
          <c:w val="0.938888888888889"/>
          <c:h val="0.771990740740741"/>
        </c:manualLayout>
      </c:layout>
      <c:pie3DChart>
        <c:varyColors val="1"/>
        <c:ser>
          <c:idx val="0"/>
          <c:order val="0"/>
          <c:tx>
            <c:strRef>
              <c:f>'[新建 Microsoft Excel 工作表 (2).xls]Sheet5'!$A$3</c:f>
              <c:strCache>
                <c:ptCount val="1"/>
                <c:pt idx="0">
                  <c:v>一般公共服务（类）支出</c:v>
                </c:pt>
              </c:strCache>
            </c:strRef>
          </c:tx>
          <c:spPr>
            <a:scene3d>
              <a:camera prst="orthographicFront"/>
              <a:lightRig rig="threePt" dir="t"/>
            </a:scene3d>
            <a:sp3d contourW="25400"/>
          </c:spPr>
          <c:explosion val="0"/>
          <c:dPt>
            <c:idx val="0"/>
            <c:bubble3D val="0"/>
            <c:spPr>
              <a:solidFill>
                <a:schemeClr val="accent1"/>
              </a:solidFill>
              <a:ln w="25400">
                <a:solidFill>
                  <a:schemeClr val="lt1"/>
                </a:solidFill>
              </a:ln>
              <a:effectLst/>
              <a:scene3d>
                <a:camera prst="orthographicFront"/>
                <a:lightRig rig="threePt" dir="t"/>
              </a:scene3d>
              <a:sp3d contourW="25400"/>
            </c:spPr>
          </c:dPt>
          <c:dLbls>
            <c:dLbl>
              <c:idx val="0"/>
              <c:layout>
                <c:manualLayout>
                  <c:x val="0.00416470583614783"/>
                  <c:y val="-0.335397094724412"/>
                </c:manualLayout>
              </c:layout>
              <c:tx>
                <c:rich>
                  <a:bodyPr rot="0" spcFirstLastPara="0" vertOverflow="ellipsis" vert="horz" wrap="square" lIns="38100" tIns="19050" rIns="38100" bIns="19050" anchor="ctr" anchorCtr="1"/>
                  <a:lstStyle/>
                  <a:p>
                    <a:pPr defTabSz="914400">
                      <a:defRPr lang="zh-CN" sz="1100" b="0" i="0" u="none" strike="noStrike" kern="1200" baseline="0">
                        <a:solidFill>
                          <a:schemeClr val="tx1">
                            <a:lumMod val="75000"/>
                            <a:lumOff val="25000"/>
                          </a:schemeClr>
                        </a:solidFill>
                        <a:latin typeface="+mn-lt"/>
                        <a:ea typeface="+mn-ea"/>
                        <a:cs typeface="+mn-cs"/>
                      </a:defRPr>
                    </a:pPr>
                    <a:r>
                      <a:rPr sz="1000"/>
                      <a:t>一般公共服务（类）支出100%</a:t>
                    </a:r>
                    <a:endParaRPr sz="1000"/>
                  </a:p>
                </c:rich>
              </c:tx>
              <c:numFmt formatCode="General" sourceLinked="1"/>
              <c:spPr>
                <a:noFill/>
                <a:ln>
                  <a:noFill/>
                </a:ln>
                <a:effectLst/>
              </c:spPr>
              <c:txPr>
                <a:bodyPr rot="0" spcFirstLastPara="0" vertOverflow="ellipsis" vert="horz" wrap="square" lIns="38100" tIns="19050" rIns="38100" bIns="19050" anchor="ctr" anchorCtr="1"/>
                <a:lstStyle/>
                <a:p>
                  <a:pPr>
                    <a:defRPr lang="zh-CN" sz="11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376388888888889"/>
                      <c:h val="0.16388888888888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val>
            <c:numRef>
              <c:f>'[新建 Microsoft Excel 工作表 (2).xls]Sheet5'!$A$4</c:f>
              <c:numCache>
                <c:formatCode>General</c:formatCode>
                <c:ptCount val="1"/>
                <c:pt idx="0">
                  <c:v>24839.96</c:v>
                </c:pt>
              </c:numCache>
            </c:numRef>
          </c:val>
        </c:ser>
        <c:dLbls>
          <c:showLegendKey val="0"/>
          <c:showVal val="0"/>
          <c:showCatName val="1"/>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54</Pages>
  <Words>16739</Words>
  <Characters>18404</Characters>
  <Lines>78</Lines>
  <Paragraphs>22</Paragraphs>
  <TotalTime>1</TotalTime>
  <ScaleCrop>false</ScaleCrop>
  <LinksUpToDate>false</LinksUpToDate>
  <CharactersWithSpaces>19056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2024-02-23T02:07:25Z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BF30BBFC095C4D2F951F2E44BFE9DEAC_12</vt:lpwstr>
  </property>
</Properties>
</file>