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sz w:val="44"/>
          <w:szCs w:val="44"/>
          <w:lang w:eastAsia="zh-CN"/>
        </w:rPr>
      </w:pPr>
      <w:r>
        <w:rPr>
          <w:rFonts w:hint="eastAsia" w:ascii="楷体_GB2312" w:hAnsi="楷体_GB2312" w:eastAsia="楷体_GB2312" w:cs="楷体_GB2312"/>
          <w:sz w:val="44"/>
          <w:szCs w:val="44"/>
          <w:lang w:eastAsia="zh-CN"/>
        </w:rPr>
        <w:t>中国共产党石家庄市藁城区委员会统战部</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beforeLines="0" w:after="0" w:afterLines="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（一）</w:t>
      </w:r>
      <w:r>
        <w:rPr>
          <w:rFonts w:hint="eastAsia" w:ascii="仿宋" w:hAnsi="仿宋" w:eastAsia="仿宋" w:cs="仿宋_GB2312"/>
          <w:color w:val="000000"/>
          <w:sz w:val="32"/>
          <w:szCs w:val="32"/>
          <w:shd w:val="clear" w:color="auto" w:fill="FFFFFF"/>
        </w:rPr>
        <w:t>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（二）</w:t>
      </w:r>
      <w:r>
        <w:rPr>
          <w:rFonts w:hint="eastAsia" w:ascii="仿宋" w:hAnsi="仿宋" w:eastAsia="仿宋" w:cs="仿宋_GB2312"/>
          <w:color w:val="000000"/>
          <w:sz w:val="32"/>
          <w:szCs w:val="32"/>
          <w:shd w:val="clear" w:color="auto" w:fill="FFFFFF"/>
        </w:rPr>
        <w:t>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（三）</w:t>
      </w:r>
      <w:r>
        <w:rPr>
          <w:rFonts w:hint="eastAsia" w:ascii="仿宋" w:hAnsi="仿宋" w:eastAsia="仿宋" w:cs="仿宋_GB2312"/>
          <w:color w:val="000000"/>
          <w:sz w:val="32"/>
          <w:szCs w:val="32"/>
          <w:shd w:val="clear" w:color="auto" w:fill="FFFFFF"/>
        </w:rPr>
        <w:t>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（四）</w:t>
      </w:r>
      <w:r>
        <w:rPr>
          <w:rFonts w:hint="eastAsia" w:ascii="仿宋" w:hAnsi="仿宋" w:eastAsia="仿宋" w:cs="仿宋_GB2312"/>
          <w:color w:val="000000"/>
          <w:sz w:val="32"/>
          <w:szCs w:val="32"/>
          <w:shd w:val="clear" w:color="auto" w:fill="FFFFFF"/>
        </w:rPr>
        <w:t>贯彻落实党的宣传工作方针，统筹推进全区统一战线宣传工作，拟订全区统一战线宣传工作规划并组织实施，研判涉及统一战线的舆情并协调有关部门应对处置。</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（五）</w:t>
      </w:r>
      <w:r>
        <w:rPr>
          <w:rFonts w:hint="eastAsia" w:ascii="仿宋" w:hAnsi="仿宋" w:eastAsia="仿宋" w:cs="仿宋_GB2312"/>
          <w:color w:val="000000"/>
          <w:sz w:val="32"/>
          <w:szCs w:val="32"/>
          <w:shd w:val="clear" w:color="auto" w:fill="FFFFFF"/>
        </w:rPr>
        <w:t>负责联系各民主党派，通报情况、反映意见，贯彻落实中国共产党领导的多党合作和政治协商制度以及对民主党派的方针政策，支持、帮助民主党派加强自身建设，做好支持民主党派履行职责、发挥作用的工作。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(六）</w:t>
      </w:r>
      <w:r>
        <w:rPr>
          <w:rFonts w:hint="eastAsia" w:ascii="仿宋" w:hAnsi="仿宋" w:eastAsia="仿宋" w:cs="仿宋_GB2312"/>
          <w:color w:val="000000"/>
          <w:sz w:val="32"/>
          <w:szCs w:val="32"/>
          <w:shd w:val="clear" w:color="auto" w:fill="FFFFFF"/>
        </w:rPr>
        <w:t>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（七）</w:t>
      </w:r>
      <w:r>
        <w:rPr>
          <w:rFonts w:hint="eastAsia" w:ascii="仿宋" w:hAnsi="仿宋" w:eastAsia="仿宋" w:cs="仿宋_GB2312"/>
          <w:color w:val="000000"/>
          <w:sz w:val="32"/>
          <w:szCs w:val="32"/>
          <w:shd w:val="clear" w:color="auto" w:fill="FFFFFF"/>
        </w:rPr>
        <w:t>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（八）</w:t>
      </w:r>
      <w:r>
        <w:rPr>
          <w:rFonts w:hint="eastAsia" w:ascii="仿宋" w:hAnsi="仿宋" w:eastAsia="仿宋" w:cs="仿宋_GB2312"/>
          <w:color w:val="000000"/>
          <w:sz w:val="32"/>
          <w:szCs w:val="32"/>
          <w:shd w:val="clear" w:color="auto" w:fill="FFFFFF"/>
        </w:rPr>
        <w:t>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（九）</w:t>
      </w:r>
      <w:r>
        <w:rPr>
          <w:rFonts w:hint="eastAsia" w:ascii="仿宋" w:hAnsi="仿宋" w:eastAsia="仿宋" w:cs="仿宋_GB2312"/>
          <w:color w:val="000000"/>
          <w:sz w:val="32"/>
          <w:szCs w:val="32"/>
          <w:shd w:val="clear" w:color="auto" w:fill="FFFFFF"/>
        </w:rPr>
        <w:t>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w:t>
      </w:r>
      <w:r>
        <w:rPr>
          <w:rFonts w:hint="eastAsia" w:ascii="仿宋" w:hAnsi="仿宋" w:eastAsia="仿宋" w:cs="仿宋_GB2312"/>
          <w:color w:val="000000"/>
          <w:sz w:val="32"/>
          <w:szCs w:val="32"/>
          <w:shd w:val="clear" w:color="auto" w:fill="FFFFFF"/>
        </w:rPr>
        <w:t>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（十一）</w:t>
      </w:r>
      <w:r>
        <w:rPr>
          <w:rFonts w:hint="eastAsia" w:ascii="仿宋" w:hAnsi="仿宋" w:eastAsia="仿宋" w:cs="仿宋_GB2312"/>
          <w:color w:val="000000"/>
          <w:sz w:val="32"/>
          <w:szCs w:val="32"/>
          <w:shd w:val="clear" w:color="auto" w:fill="FFFFFF"/>
        </w:rPr>
        <w:t>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（十二)</w:t>
      </w:r>
      <w:r>
        <w:rPr>
          <w:rFonts w:hint="eastAsia" w:ascii="仿宋" w:hAnsi="仿宋" w:eastAsia="仿宋" w:cs="仿宋_GB2312"/>
          <w:color w:val="000000"/>
          <w:sz w:val="32"/>
          <w:szCs w:val="32"/>
          <w:shd w:val="clear" w:color="auto" w:fill="FFFFFF"/>
        </w:rPr>
        <w:t>负责统战系统干部的培训工作；协助做好民族宗教部门领导班子成员推荐工作；受区委委托，领导区工商联党组，指导区工商联工作。做好统一战线有关单位和团体的管理工作。</w:t>
      </w:r>
    </w:p>
    <w:p>
      <w:pPr>
        <w:adjustRightInd w:val="0"/>
        <w:snapToGrid w:val="0"/>
        <w:spacing w:line="560" w:lineRule="exact"/>
        <w:ind w:firstLine="640" w:firstLineChars="200"/>
        <w:rPr>
          <w:rFonts w:ascii="仿宋_GB2312" w:hAnsi="Cambria" w:eastAsia="仿宋_GB2312" w:cs="ArialUnicodeMS"/>
          <w:kern w:val="0"/>
          <w:sz w:val="32"/>
          <w:szCs w:val="32"/>
        </w:rPr>
      </w:pPr>
      <w:r>
        <w:rPr>
          <w:rFonts w:hint="eastAsia" w:ascii="楷体" w:hAnsi="楷体" w:eastAsia="楷体" w:cs="仿宋_GB2312"/>
          <w:color w:val="000000"/>
          <w:sz w:val="32"/>
          <w:szCs w:val="32"/>
          <w:shd w:val="clear" w:color="auto" w:fill="FFFFFF"/>
        </w:rPr>
        <w:t>（十三)</w:t>
      </w:r>
      <w:r>
        <w:rPr>
          <w:rFonts w:hint="eastAsia" w:ascii="仿宋" w:hAnsi="仿宋" w:eastAsia="仿宋" w:cs="仿宋_GB2312"/>
          <w:color w:val="000000"/>
          <w:sz w:val="32"/>
          <w:szCs w:val="32"/>
          <w:shd w:val="clear" w:color="auto" w:fill="FFFFFF"/>
        </w:rPr>
        <w:t>完成区委交办的其他任务。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after="0" w:afterLines="0" w:line="560" w:lineRule="exact"/>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中国共产党石家庄市藁城区委员会</w:t>
            </w:r>
            <w:r>
              <w:rPr>
                <w:rFonts w:hint="eastAsia" w:ascii="仿宋_GB2312" w:hAnsi="Cambria" w:eastAsia="仿宋_GB2312" w:cs="ArialUnicodeMS"/>
                <w:kern w:val="0"/>
                <w:sz w:val="28"/>
                <w:szCs w:val="28"/>
                <w:lang w:eastAsia="zh-CN"/>
              </w:rPr>
              <w:t>统战部</w:t>
            </w:r>
          </w:p>
        </w:tc>
        <w:tc>
          <w:tcPr>
            <w:tcW w:w="2445" w:type="dxa"/>
            <w:vAlign w:val="top"/>
          </w:tcPr>
          <w:p>
            <w:pPr>
              <w:spacing w:after="0" w:afterLines="0" w:line="560" w:lineRule="exact"/>
              <w:jc w:val="center"/>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行政单位</w:t>
            </w:r>
          </w:p>
        </w:tc>
        <w:tc>
          <w:tcPr>
            <w:tcW w:w="2665" w:type="dxa"/>
            <w:vAlign w:val="top"/>
          </w:tcPr>
          <w:p>
            <w:pPr>
              <w:spacing w:after="0" w:afterLines="0" w:line="560" w:lineRule="exact"/>
              <w:jc w:val="center"/>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691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691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22.28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16.78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基本支出增大</w:t>
      </w:r>
      <w:r>
        <w:rPr>
          <w:rFonts w:hint="eastAsia" w:ascii="仿宋_GB2312" w:hAnsi="Times New Roman" w:eastAsia="仿宋_GB2312" w:cs="DengXian-Regular"/>
          <w:sz w:val="32"/>
          <w:szCs w:val="32"/>
          <w:lang w:val="en-US"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95.77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72.13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27.87</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anchor distT="0" distB="0" distL="114935" distR="114935" simplePos="0" relativeHeight="251691008" behindDoc="0" locked="0" layoutInCell="1" allowOverlap="1">
            <wp:simplePos x="0" y="0"/>
            <wp:positionH relativeFrom="column">
              <wp:posOffset>-362585</wp:posOffset>
            </wp:positionH>
            <wp:positionV relativeFrom="paragraph">
              <wp:posOffset>10160</wp:posOffset>
            </wp:positionV>
            <wp:extent cx="6068060" cy="3578225"/>
            <wp:effectExtent l="4445" t="4445" r="23495" b="17780"/>
            <wp:wrapNone/>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22.28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16.78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基本支出增大</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22.28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16.78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基本支出增大</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935" distR="114935" simplePos="0" relativeHeight="251692032" behindDoc="0" locked="0" layoutInCell="1" allowOverlap="1">
            <wp:simplePos x="0" y="0"/>
            <wp:positionH relativeFrom="column">
              <wp:posOffset>210820</wp:posOffset>
            </wp:positionH>
            <wp:positionV relativeFrom="paragraph">
              <wp:posOffset>153035</wp:posOffset>
            </wp:positionV>
            <wp:extent cx="5080000" cy="3810000"/>
            <wp:effectExtent l="4445" t="4445" r="20955" b="1460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117.53</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eastAsia="zh-CN"/>
        </w:rPr>
        <w:t>三</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19.8</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w:t>
      </w:r>
      <w:r>
        <w:rPr>
          <w:rFonts w:hint="eastAsia" w:ascii="仿宋_GB2312" w:hAnsi="Times New Roman" w:eastAsia="仿宋_GB2312" w:cs="DengXian-Regular"/>
          <w:sz w:val="32"/>
          <w:szCs w:val="32"/>
        </w:rPr>
        <w:t>于预算数主要原因是</w:t>
      </w:r>
      <w:r>
        <w:rPr>
          <w:rFonts w:hint="eastAsia" w:ascii="仿宋_GB2312" w:hAnsi="Times New Roman" w:eastAsia="仿宋_GB2312" w:cs="DengXian-Regular"/>
          <w:sz w:val="32"/>
          <w:szCs w:val="32"/>
          <w:lang w:eastAsia="zh-CN"/>
        </w:rPr>
        <w:t>基本支出增加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117.53</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19.8</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w:t>
      </w:r>
      <w:r>
        <w:rPr>
          <w:rFonts w:hint="eastAsia" w:ascii="仿宋_GB2312" w:hAnsi="Times New Roman" w:eastAsia="仿宋_GB2312" w:cs="DengXian-Regular"/>
          <w:sz w:val="32"/>
          <w:szCs w:val="32"/>
        </w:rPr>
        <w:t>于预算数主要原因是主要是</w:t>
      </w:r>
      <w:r>
        <w:rPr>
          <w:rFonts w:hint="eastAsia" w:ascii="仿宋_GB2312" w:hAnsi="Times New Roman" w:eastAsia="仿宋_GB2312" w:cs="DengXian-Regular"/>
          <w:sz w:val="32"/>
          <w:szCs w:val="32"/>
          <w:lang w:eastAsia="zh-CN"/>
        </w:rPr>
        <w:t>基本支出增加</w:t>
      </w:r>
      <w:r>
        <w:rPr>
          <w:rFonts w:hint="eastAsia" w:ascii="仿宋_GB2312" w:hAnsi="Times New Roman" w:eastAsia="仿宋_GB2312" w:cs="DengXian-Regular"/>
          <w:sz w:val="32"/>
          <w:szCs w:val="32"/>
        </w:rPr>
        <w:t>。</w:t>
      </w:r>
    </w:p>
    <w:p>
      <w:pPr>
        <w:adjustRightInd w:val="0"/>
        <w:snapToGrid w:val="0"/>
        <w:spacing w:line="580" w:lineRule="exact"/>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anchor distT="0" distB="0" distL="114935" distR="114935" simplePos="0" relativeHeight="251693056" behindDoc="0" locked="0" layoutInCell="1" allowOverlap="1">
            <wp:simplePos x="0" y="0"/>
            <wp:positionH relativeFrom="column">
              <wp:posOffset>280670</wp:posOffset>
            </wp:positionH>
            <wp:positionV relativeFrom="paragraph">
              <wp:posOffset>153035</wp:posOffset>
            </wp:positionV>
            <wp:extent cx="5080000" cy="3810000"/>
            <wp:effectExtent l="4445" t="4445" r="20955" b="1460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adjustRightInd w:val="0"/>
        <w:snapToGrid w:val="0"/>
        <w:spacing w:line="580" w:lineRule="exact"/>
        <w:rPr>
          <w:rFonts w:hint="eastAsia" w:ascii="仿宋_GB2312" w:hAnsi="Times New Roman" w:eastAsia="仿宋_GB2312" w:cs="DengXian-Regular"/>
          <w:sz w:val="32"/>
          <w:szCs w:val="32"/>
          <w:highlight w:val="yellow"/>
          <w:lang w:eastAsia="zh-CN"/>
        </w:rPr>
      </w:pPr>
    </w:p>
    <w:p>
      <w:pPr>
        <w:numPr>
          <w:ilvl w:val="0"/>
          <w:numId w:val="0"/>
        </w:num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（三）</w:t>
      </w: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万元，主要用于</w:t>
      </w:r>
      <w:r>
        <w:rPr>
          <w:rFonts w:hint="eastAsia" w:ascii="仿宋_GB2312" w:hAnsi="Times New Roman" w:eastAsia="仿宋_GB2312" w:cs="DengXian-Regular"/>
          <w:sz w:val="32"/>
          <w:szCs w:val="32"/>
          <w:lang w:eastAsia="zh-CN"/>
        </w:rPr>
        <w:t>基本支出和项目</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95.77</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86.28</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9.49</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其他交通费用、税金及附加费用、其他商品和服务支出、办公设备购置、专用设备购置、信息网络及软件购置更新、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万元，与年初预算持平，主要是认真贯彻落实中央八项规定精神和厉行节约要求，从严控制“三公”经费开支，全年无“三公”经费支出。具体情况如下：</w:t>
      </w:r>
    </w:p>
    <w:p>
      <w:pPr>
        <w:adjustRightInd w:val="0"/>
        <w:snapToGrid w:val="0"/>
        <w:spacing w:after="0" w:afterLines="0"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无本单位组织的出国（境）团组。与年初预算</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本部门2019年度公务用车购置及运行维护费与年初预算持平，与2018年度决算支出持平，主要是认真贯彻落实中央八项规定精神和厉行节约要求，从严控制“三公”经费开支。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万元。公务用车购置费支出与年初预算持平，与2018年度决算支出持平，主要是认真贯彻落实中央八项规定精神和厉行节约要求，从严控制“三公”经费开支。</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辆。公车运行维护费支出与年初预算持平，与2018年度决算支出持平，主要是认真贯彻落实中央八项规定精神和厉行节约要求，从严控制“三公”经费开支。</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人次。公务接待费支出与年初预算持平，与2018年度决算支出持平，主要是认真贯彻落实中央八项规定精神和厉行节约要求，从严控制“三公”经费开支。</w:t>
      </w:r>
      <w:bookmarkStart w:id="0" w:name="_GoBack"/>
      <w:bookmarkEnd w:id="0"/>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hAnsi="仿宋_GB2312" w:eastAsia="仿宋_GB2312" w:cs="仿宋_GB2312"/>
          <w:sz w:val="32"/>
          <w:szCs w:val="32"/>
          <w:lang w:eastAsia="zh-CN"/>
        </w:rPr>
        <w:t>三个项目</w:t>
      </w:r>
      <w:r>
        <w:rPr>
          <w:rFonts w:hint="eastAsia" w:ascii="仿宋_GB2312" w:hAnsi="仿宋_GB2312" w:eastAsia="仿宋_GB2312" w:cs="仿宋_GB2312"/>
          <w:sz w:val="32"/>
          <w:szCs w:val="32"/>
        </w:rPr>
        <w:t>，共涉及资金</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民主党派工作经费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知识分子联谊会活动经费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“民族宗教领域社会稳定专项经费”</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万元，从评价情况来看，</w:t>
      </w:r>
      <w:r>
        <w:rPr>
          <w:rFonts w:hint="eastAsia" w:ascii="仿宋_GB2312" w:hAnsi="Times New Roman" w:eastAsia="仿宋_GB2312" w:cs="DengXian-Regular"/>
          <w:sz w:val="32"/>
          <w:szCs w:val="32"/>
        </w:rPr>
        <w:t>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年通过加强预算收支管理，不断梳理内部管理流程，建立健全内部管理制度，部门整体支出管理水平得到提升</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项目绩效自评得分</w:t>
      </w:r>
      <w:r>
        <w:rPr>
          <w:rFonts w:hint="eastAsia" w:ascii="仿宋_GB2312" w:hAnsi="Times New Roman" w:eastAsia="仿宋_GB2312" w:cs="DengXian-Regular"/>
          <w:sz w:val="32"/>
          <w:szCs w:val="32"/>
          <w:lang w:eastAsia="zh-CN"/>
        </w:rPr>
        <w:t>都</w:t>
      </w:r>
      <w:r>
        <w:rPr>
          <w:rFonts w:hint="eastAsia" w:ascii="仿宋_GB2312" w:hAnsi="Times New Roman" w:eastAsia="仿宋_GB2312" w:cs="DengXian-Regular"/>
          <w:sz w:val="32"/>
          <w:szCs w:val="32"/>
        </w:rPr>
        <w:t>在90 分以上，占所有参加绩效自评项目总数的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%。从整体看，我</w:t>
      </w:r>
      <w:r>
        <w:rPr>
          <w:rFonts w:hint="eastAsia" w:ascii="仿宋_GB2312" w:hAnsi="Times New Roman" w:eastAsia="仿宋_GB2312" w:cs="DengXian-Regular"/>
          <w:sz w:val="32"/>
          <w:szCs w:val="32"/>
          <w:lang w:eastAsia="zh-CN"/>
        </w:rPr>
        <w:t>部</w:t>
      </w:r>
      <w:r>
        <w:rPr>
          <w:rFonts w:hint="eastAsia" w:ascii="仿宋_GB2312" w:hAnsi="Times New Roman" w:eastAsia="仿宋_GB2312" w:cs="DengXian-Regular"/>
          <w:sz w:val="32"/>
          <w:szCs w:val="32"/>
        </w:rPr>
        <w:t>各部门项目工作开展情况良好。</w:t>
      </w:r>
      <w:r>
        <w:rPr>
          <w:rFonts w:hint="eastAsia" w:ascii="仿宋_GB2312" w:hAnsi="Times New Roman" w:eastAsia="仿宋_GB2312" w:cs="DengXian-Regular"/>
          <w:sz w:val="32"/>
          <w:szCs w:val="32"/>
          <w:lang w:eastAsia="zh-CN"/>
        </w:rPr>
        <w:t>保障了我部各项工作的正常开展。很好地完成了年初设定的工作目标</w:t>
      </w:r>
      <w:r>
        <w:rPr>
          <w:rFonts w:hint="eastAsia" w:ascii="仿宋_GB2312" w:hAnsi="Times New Roman" w:eastAsia="仿宋_GB2312" w:cs="DengXian-Regular"/>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民主党派工作经费、知识分子联谊会活动经费和民族宗教领域社会稳定专项经费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党外知识分子联谊会活动经费</w:t>
      </w:r>
      <w:r>
        <w:rPr>
          <w:rFonts w:hint="eastAsia" w:ascii="仿宋_GB2312" w:hAnsi="仿宋_GB2312" w:eastAsia="仿宋_GB2312" w:cs="仿宋_GB2312"/>
          <w:sz w:val="32"/>
          <w:szCs w:val="32"/>
          <w:lang w:val="en-US" w:eastAsia="zh-CN"/>
        </w:rPr>
        <w:t>项目</w:t>
      </w:r>
      <w:r>
        <w:rPr>
          <w:rFonts w:hint="eastAsia" w:ascii="仿宋_GB2312" w:hAnsi="仿宋_GB2312" w:eastAsia="仿宋_GB2312" w:cs="仿宋_GB2312"/>
          <w:sz w:val="32"/>
          <w:szCs w:val="32"/>
          <w:highlight w:val="none"/>
        </w:rPr>
        <w:t>自评综述：</w:t>
      </w:r>
      <w:r>
        <w:rPr>
          <w:rFonts w:hint="eastAsia" w:ascii="仿宋" w:hAnsi="仿宋" w:eastAsia="仿宋"/>
          <w:sz w:val="32"/>
          <w:szCs w:val="32"/>
        </w:rPr>
        <w:t>绩效指标权重根据</w:t>
      </w:r>
      <w:r>
        <w:rPr>
          <w:rFonts w:hint="eastAsia" w:ascii="仿宋" w:hAnsi="仿宋" w:eastAsia="仿宋"/>
          <w:sz w:val="32"/>
          <w:szCs w:val="32"/>
          <w:lang w:val="en-US" w:eastAsia="zh-CN"/>
        </w:rPr>
        <w:t>本项目</w:t>
      </w:r>
      <w:r>
        <w:rPr>
          <w:rFonts w:hint="eastAsia" w:ascii="仿宋" w:hAnsi="仿宋" w:eastAsia="仿宋"/>
          <w:sz w:val="32"/>
          <w:szCs w:val="32"/>
        </w:rPr>
        <w:t>实际情况确定，总分设定为100分。一级指标权重统一设置为：产出指标40分（数量</w:t>
      </w:r>
      <w:r>
        <w:rPr>
          <w:rFonts w:hint="eastAsia" w:ascii="仿宋" w:hAnsi="仿宋" w:eastAsia="仿宋"/>
          <w:sz w:val="32"/>
          <w:szCs w:val="32"/>
          <w:lang w:val="en-US" w:eastAsia="zh-CN"/>
        </w:rPr>
        <w:t>指标：组织开展爱国主义教育活动次数，自评得分20分；质量指标：服务社会活动覆盖率稳定（%）100%，自评得分20分</w:t>
      </w:r>
      <w:r>
        <w:rPr>
          <w:rFonts w:hint="eastAsia" w:ascii="仿宋" w:hAnsi="仿宋" w:eastAsia="仿宋"/>
          <w:sz w:val="32"/>
          <w:szCs w:val="32"/>
        </w:rPr>
        <w:t>）、预算执行率指标10分、效益指标40分（</w:t>
      </w:r>
      <w:r>
        <w:rPr>
          <w:rFonts w:hint="eastAsia" w:ascii="仿宋" w:hAnsi="仿宋" w:eastAsia="仿宋"/>
          <w:sz w:val="32"/>
          <w:szCs w:val="32"/>
          <w:lang w:val="en-US" w:eastAsia="zh-CN"/>
        </w:rPr>
        <w:t>社会效益指标：对党外知识分子进行政治引领，联谊交友覆盖率（%）100%，自评得分40分</w:t>
      </w:r>
      <w:r>
        <w:rPr>
          <w:rFonts w:hint="eastAsia" w:ascii="仿宋" w:hAnsi="仿宋" w:eastAsia="仿宋"/>
          <w:sz w:val="32"/>
          <w:szCs w:val="32"/>
        </w:rPr>
        <w:t>）、满意度指标10分</w:t>
      </w:r>
      <w:r>
        <w:rPr>
          <w:rFonts w:hint="eastAsia" w:ascii="仿宋" w:hAnsi="仿宋" w:eastAsia="仿宋"/>
          <w:sz w:val="32"/>
          <w:szCs w:val="32"/>
          <w:lang w:eastAsia="zh-CN"/>
        </w:rPr>
        <w:t>（</w:t>
      </w:r>
      <w:r>
        <w:rPr>
          <w:rFonts w:hint="eastAsia" w:ascii="仿宋" w:hAnsi="仿宋" w:eastAsia="仿宋"/>
          <w:sz w:val="32"/>
          <w:szCs w:val="32"/>
          <w:lang w:val="en-US" w:eastAsia="zh-CN"/>
        </w:rPr>
        <w:t>社会满意度（%）95%以上，自评得分8分</w:t>
      </w:r>
      <w:r>
        <w:rPr>
          <w:rFonts w:hint="eastAsia" w:ascii="仿宋" w:hAnsi="仿宋" w:eastAsia="仿宋"/>
          <w:sz w:val="32"/>
          <w:szCs w:val="32"/>
          <w:lang w:eastAsia="zh-CN"/>
        </w:rPr>
        <w:t>）</w:t>
      </w:r>
      <w:r>
        <w:rPr>
          <w:rFonts w:hint="eastAsia" w:ascii="仿宋" w:hAnsi="仿宋" w:eastAsia="仿宋"/>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highlight w:val="yellow"/>
          <w:lang w:val="en-US" w:eastAsia="zh-CN"/>
        </w:rPr>
      </w:pPr>
    </w:p>
    <w:p>
      <w:pPr>
        <w:rPr>
          <w:rFonts w:hint="eastAsia" w:ascii="仿宋_GB2312" w:hAnsi="仿宋_GB2312" w:eastAsia="仿宋_GB2312" w:cs="仿宋_GB2312"/>
          <w:sz w:val="32"/>
          <w:szCs w:val="32"/>
          <w:highlight w:val="yellow"/>
          <w:lang w:val="en-US" w:eastAsia="zh-CN"/>
        </w:rPr>
        <w:sectPr>
          <w:type w:val="continuous"/>
          <w:pgSz w:w="11906" w:h="16838"/>
          <w:pgMar w:top="2098" w:right="1474" w:bottom="1984" w:left="1588" w:header="851" w:footer="992" w:gutter="0"/>
          <w:pgNumType w:fmt="numberInDash"/>
          <w:cols w:space="0" w:num="1"/>
          <w:docGrid w:type="lines" w:linePitch="312" w:charSpace="0"/>
        </w:sectPr>
      </w:pPr>
      <w:r>
        <w:rPr>
          <w:rFonts w:hint="eastAsia" w:ascii="仿宋_GB2312" w:hAnsi="仿宋_GB2312" w:eastAsia="仿宋_GB2312" w:cs="仿宋_GB2312"/>
          <w:sz w:val="32"/>
          <w:szCs w:val="32"/>
          <w:highlight w:val="yellow"/>
          <w:lang w:val="en-US" w:eastAsia="zh-CN"/>
        </w:rPr>
        <w:br w:type="page"/>
      </w:r>
    </w:p>
    <w:tbl>
      <w:tblPr>
        <w:tblStyle w:val="6"/>
        <w:tblW w:w="109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05"/>
        <w:gridCol w:w="1500"/>
        <w:gridCol w:w="1011"/>
        <w:gridCol w:w="1439"/>
        <w:gridCol w:w="1080"/>
        <w:gridCol w:w="1320"/>
        <w:gridCol w:w="1275"/>
        <w:gridCol w:w="16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092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092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092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60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511"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藁城区委统战部</w:t>
            </w:r>
          </w:p>
        </w:tc>
        <w:tc>
          <w:tcPr>
            <w:tcW w:w="143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97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知识分子联谊会活动经费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29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藁城区委统战部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1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4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4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0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对党外知识分子进行政治引领，培养人才，建言献策，联谊交友</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全部按时完成</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组织开展爱国主义教育活动</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服务社会活动覆盖率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按时完成预算指标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对党外知识分子进行政治引领，联谊交友覆盖率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党外知识分子满意度</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62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5"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32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问题：预算的计划性不强、科学性不强。下步措施：1、严格预算管理标准，提高预算绩效指标。2、认真做好前期预算执行准备工作，加强项目跟踪及项目支出执行管理，提高预算资金使用效率。</w:t>
            </w:r>
          </w:p>
        </w:tc>
      </w:tr>
    </w:tbl>
    <w:p>
      <w:pPr>
        <w:rPr>
          <w:rFonts w:hint="eastAsia" w:ascii="仿宋_GB2312" w:hAnsi="仿宋_GB2312" w:eastAsia="仿宋_GB2312" w:cs="仿宋_GB2312"/>
          <w:sz w:val="32"/>
          <w:szCs w:val="32"/>
          <w:highlight w:val="yellow"/>
          <w:lang w:val="en-US" w:eastAsia="zh-CN"/>
        </w:rPr>
        <w:sectPr>
          <w:pgSz w:w="16838" w:h="11906" w:orient="landscape"/>
          <w:pgMar w:top="1588" w:right="2098" w:bottom="1474" w:left="1984" w:header="851" w:footer="992" w:gutter="0"/>
          <w:pgNumType w:fmt="numberInDash"/>
          <w:cols w:space="0" w:num="1"/>
          <w:docGrid w:type="lines" w:linePitch="312" w:charSpace="0"/>
        </w:sect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民主党派</w:t>
      </w:r>
      <w:r>
        <w:rPr>
          <w:rFonts w:hint="eastAsia" w:ascii="仿宋" w:hAnsi="仿宋" w:eastAsia="仿宋"/>
          <w:sz w:val="32"/>
          <w:szCs w:val="32"/>
          <w:lang w:val="en-US" w:eastAsia="zh-CN"/>
        </w:rPr>
        <w:t>工作</w:t>
      </w:r>
      <w:r>
        <w:rPr>
          <w:rFonts w:hint="eastAsia" w:ascii="仿宋_GB2312" w:hAnsi="仿宋_GB2312" w:eastAsia="仿宋_GB2312" w:cs="仿宋_GB2312"/>
          <w:sz w:val="32"/>
          <w:szCs w:val="32"/>
          <w:highlight w:val="none"/>
        </w:rPr>
        <w:t>项目绩效自评综述</w:t>
      </w:r>
      <w:r>
        <w:rPr>
          <w:rFonts w:hint="eastAsia" w:ascii="仿宋_GB2312" w:hAnsi="仿宋_GB2312" w:eastAsia="仿宋_GB2312" w:cs="仿宋_GB2312"/>
          <w:sz w:val="32"/>
          <w:szCs w:val="32"/>
          <w:highlight w:val="none"/>
          <w:lang w:eastAsia="zh-CN"/>
        </w:rPr>
        <w:t>：</w:t>
      </w:r>
      <w:r>
        <w:rPr>
          <w:rFonts w:hint="eastAsia" w:ascii="仿宋" w:hAnsi="仿宋" w:eastAsia="仿宋"/>
          <w:sz w:val="32"/>
          <w:szCs w:val="32"/>
        </w:rPr>
        <w:t>绩效指标权重根据</w:t>
      </w:r>
      <w:r>
        <w:rPr>
          <w:rFonts w:hint="eastAsia" w:ascii="仿宋" w:hAnsi="仿宋" w:eastAsia="仿宋"/>
          <w:sz w:val="32"/>
          <w:szCs w:val="32"/>
          <w:lang w:val="en-US" w:eastAsia="zh-CN"/>
        </w:rPr>
        <w:t>本项目</w:t>
      </w:r>
      <w:r>
        <w:rPr>
          <w:rFonts w:hint="eastAsia" w:ascii="仿宋" w:hAnsi="仿宋" w:eastAsia="仿宋"/>
          <w:sz w:val="32"/>
          <w:szCs w:val="32"/>
        </w:rPr>
        <w:t>实际情况确定，总分设定为100分。一级指标权重统一设置为：产出指标40分（数量</w:t>
      </w:r>
      <w:r>
        <w:rPr>
          <w:rFonts w:hint="eastAsia" w:ascii="仿宋" w:hAnsi="仿宋" w:eastAsia="仿宋"/>
          <w:sz w:val="32"/>
          <w:szCs w:val="32"/>
          <w:lang w:val="en-US" w:eastAsia="zh-CN"/>
        </w:rPr>
        <w:t>指标：组织调研视察活动次数，自评得分15分，学习培训次数，自评得分15分；质量指标：服务社会活动覆盖率稳定（%）100%，自评得分10分</w:t>
      </w:r>
      <w:r>
        <w:rPr>
          <w:rFonts w:hint="eastAsia" w:ascii="仿宋" w:hAnsi="仿宋" w:eastAsia="仿宋"/>
          <w:sz w:val="32"/>
          <w:szCs w:val="32"/>
        </w:rPr>
        <w:t>）、预算执行率指标10分、效益指标40分（</w:t>
      </w:r>
      <w:r>
        <w:rPr>
          <w:rFonts w:hint="eastAsia" w:ascii="仿宋" w:hAnsi="仿宋" w:eastAsia="仿宋"/>
          <w:sz w:val="32"/>
          <w:szCs w:val="32"/>
          <w:lang w:val="en-US" w:eastAsia="zh-CN"/>
        </w:rPr>
        <w:t>社会效益指标：形成调研报告，自评得分20分，各民主党派参政议政覆盖率（%）100%，自评得分20分，合计40分</w:t>
      </w:r>
      <w:r>
        <w:rPr>
          <w:rFonts w:hint="eastAsia" w:ascii="仿宋" w:hAnsi="仿宋" w:eastAsia="仿宋"/>
          <w:sz w:val="32"/>
          <w:szCs w:val="32"/>
        </w:rPr>
        <w:t>）、满意度指标10分</w:t>
      </w:r>
      <w:r>
        <w:rPr>
          <w:rFonts w:hint="eastAsia" w:ascii="仿宋" w:hAnsi="仿宋" w:eastAsia="仿宋"/>
          <w:sz w:val="32"/>
          <w:szCs w:val="32"/>
          <w:lang w:eastAsia="zh-CN"/>
        </w:rPr>
        <w:t>（</w:t>
      </w:r>
      <w:r>
        <w:rPr>
          <w:rFonts w:hint="eastAsia" w:ascii="仿宋" w:hAnsi="仿宋" w:eastAsia="仿宋"/>
          <w:sz w:val="32"/>
          <w:szCs w:val="32"/>
          <w:lang w:val="en-US" w:eastAsia="zh-CN"/>
        </w:rPr>
        <w:t>社会满意度（%）95%以上，自评得分8分</w:t>
      </w:r>
      <w:r>
        <w:rPr>
          <w:rFonts w:hint="eastAsia" w:ascii="仿宋" w:hAnsi="仿宋" w:eastAsia="仿宋"/>
          <w:sz w:val="32"/>
          <w:szCs w:val="32"/>
          <w:lang w:eastAsia="zh-CN"/>
        </w:rPr>
        <w:t>）</w:t>
      </w:r>
      <w:r>
        <w:rPr>
          <w:rFonts w:hint="eastAsia" w:ascii="仿宋" w:hAnsi="仿宋" w:eastAsia="仿宋"/>
          <w:sz w:val="32"/>
          <w:szCs w:val="32"/>
        </w:rPr>
        <w:t>。</w:t>
      </w:r>
    </w:p>
    <w:p>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pPr>
    </w:p>
    <w:p>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pPr>
    </w:p>
    <w:p>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sectPr>
          <w:pgSz w:w="11906" w:h="16838"/>
          <w:pgMar w:top="2098" w:right="1474" w:bottom="1984" w:left="1588" w:header="851" w:footer="992" w:gutter="0"/>
          <w:pgNumType w:fmt="numberInDash"/>
          <w:cols w:space="0" w:num="1"/>
          <w:docGrid w:type="lines" w:linePitch="312" w:charSpace="0"/>
        </w:sectPr>
      </w:pPr>
    </w:p>
    <w:tbl>
      <w:tblPr>
        <w:tblStyle w:val="6"/>
        <w:tblW w:w="94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50"/>
        <w:gridCol w:w="1225"/>
        <w:gridCol w:w="1225"/>
        <w:gridCol w:w="1080"/>
        <w:gridCol w:w="760"/>
        <w:gridCol w:w="1130"/>
        <w:gridCol w:w="1130"/>
        <w:gridCol w:w="15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949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949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949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450"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藁城区委统战部</w:t>
            </w: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6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72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民主党派工作经费</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8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藁城区委统战部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2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5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4.00</w:t>
            </w:r>
          </w:p>
        </w:tc>
        <w:tc>
          <w:tcPr>
            <w:tcW w:w="15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5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8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进一步加强中国共产党领导的多党合作和政治协商制度建设，充分发挥民主党派职能作用，构建和谐政党关系。</w:t>
            </w:r>
          </w:p>
        </w:tc>
        <w:tc>
          <w:tcPr>
            <w:tcW w:w="30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全部按时完成</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组织调研视察活动</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学习培训次数</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服务社会活动覆盖率</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按时完成预算指标</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形成调研报告</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各民主党派参政议政覆盖率</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各民主党派满意度</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5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4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14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问题：预算的计划性不强、科学性不强。下步措施：1、严格预算管理标准，提高预算绩效指标。2、认真做好前期预算执行准备工作，加强项目跟踪及项目支出执行管理，提高预算资金使用效率。</w:t>
            </w:r>
          </w:p>
        </w:tc>
      </w:tr>
    </w:tbl>
    <w:p>
      <w:pPr>
        <w:adjustRightInd w:val="0"/>
        <w:snapToGrid w:val="0"/>
        <w:spacing w:line="580" w:lineRule="exact"/>
        <w:rPr>
          <w:rFonts w:hint="eastAsia" w:ascii="仿宋_GB2312" w:hAnsi="仿宋_GB2312" w:eastAsia="仿宋_GB2312" w:cs="仿宋_GB2312"/>
          <w:sz w:val="32"/>
          <w:szCs w:val="32"/>
          <w:highlight w:val="none"/>
          <w:lang w:eastAsia="zh-CN"/>
        </w:rPr>
        <w:sectPr>
          <w:pgSz w:w="16838" w:h="11906" w:orient="landscape"/>
          <w:pgMar w:top="1588" w:right="2098" w:bottom="1474" w:left="1984" w:header="851" w:footer="992" w:gutter="0"/>
          <w:pgNumType w:fmt="numberInDash"/>
          <w:cols w:space="0" w:num="1"/>
          <w:docGrid w:type="lines" w:linePitch="312" w:charSpace="0"/>
        </w:sect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lang w:eastAsia="zh-CN"/>
        </w:rPr>
        <w:t>民族宗教领域维稳</w:t>
      </w:r>
      <w:r>
        <w:rPr>
          <w:rFonts w:hint="eastAsia" w:ascii="仿宋" w:hAnsi="仿宋" w:eastAsia="仿宋"/>
          <w:sz w:val="32"/>
          <w:szCs w:val="32"/>
          <w:lang w:val="en-US" w:eastAsia="zh-CN"/>
        </w:rPr>
        <w:t>工作</w:t>
      </w:r>
      <w:r>
        <w:rPr>
          <w:rFonts w:hint="eastAsia" w:ascii="仿宋_GB2312" w:hAnsi="仿宋_GB2312" w:eastAsia="仿宋_GB2312" w:cs="仿宋_GB2312"/>
          <w:sz w:val="32"/>
          <w:szCs w:val="32"/>
          <w:highlight w:val="none"/>
        </w:rPr>
        <w:t>项目绩效自评综述</w:t>
      </w:r>
      <w:r>
        <w:rPr>
          <w:rFonts w:hint="eastAsia" w:ascii="仿宋_GB2312" w:hAnsi="仿宋_GB2312" w:eastAsia="仿宋_GB2312" w:cs="仿宋_GB2312"/>
          <w:sz w:val="32"/>
          <w:szCs w:val="32"/>
          <w:highlight w:val="none"/>
          <w:lang w:eastAsia="zh-CN"/>
        </w:rPr>
        <w:t>：</w:t>
      </w:r>
      <w:r>
        <w:rPr>
          <w:rFonts w:hint="eastAsia" w:ascii="仿宋" w:hAnsi="仿宋" w:eastAsia="仿宋"/>
          <w:sz w:val="32"/>
          <w:szCs w:val="32"/>
        </w:rPr>
        <w:t>设计能够体现项目特点绩效评价指标体系。绩效指标权重根据</w:t>
      </w:r>
      <w:r>
        <w:rPr>
          <w:rFonts w:hint="eastAsia" w:ascii="仿宋" w:hAnsi="仿宋" w:eastAsia="仿宋"/>
          <w:sz w:val="32"/>
          <w:szCs w:val="32"/>
          <w:lang w:val="en-US" w:eastAsia="zh-CN"/>
        </w:rPr>
        <w:t>本项目</w:t>
      </w:r>
      <w:r>
        <w:rPr>
          <w:rFonts w:hint="eastAsia" w:ascii="仿宋" w:hAnsi="仿宋" w:eastAsia="仿宋"/>
          <w:sz w:val="32"/>
          <w:szCs w:val="32"/>
        </w:rPr>
        <w:t>实际情况确定，总分设定为100分。一级指标权重统一设置为：产出指标40分（数量</w:t>
      </w:r>
      <w:r>
        <w:rPr>
          <w:rFonts w:hint="eastAsia" w:ascii="仿宋" w:hAnsi="仿宋" w:eastAsia="仿宋"/>
          <w:sz w:val="32"/>
          <w:szCs w:val="32"/>
          <w:lang w:val="en-US" w:eastAsia="zh-CN"/>
        </w:rPr>
        <w:t>指标：维稳完成数量，自评得分20分；质量指标：稳定和发展执行率（%）100%，自评得分20分</w:t>
      </w:r>
      <w:r>
        <w:rPr>
          <w:rFonts w:hint="eastAsia" w:ascii="仿宋" w:hAnsi="仿宋" w:eastAsia="仿宋"/>
          <w:sz w:val="32"/>
          <w:szCs w:val="32"/>
        </w:rPr>
        <w:t>）、预算执行率指标10分、效益指标40分（经济效益指标</w:t>
      </w:r>
      <w:r>
        <w:rPr>
          <w:rFonts w:hint="eastAsia" w:ascii="仿宋" w:hAnsi="仿宋" w:eastAsia="仿宋"/>
          <w:sz w:val="32"/>
          <w:szCs w:val="32"/>
          <w:lang w:val="en-US" w:eastAsia="zh-CN"/>
        </w:rPr>
        <w:t>：维护民族宗教领域的稳定和发展率（%）100%，社会效益指标：维护民族宗教领域的稳定和发展率（%）100%，自评得分40分</w:t>
      </w:r>
      <w:r>
        <w:rPr>
          <w:rFonts w:hint="eastAsia" w:ascii="仿宋" w:hAnsi="仿宋" w:eastAsia="仿宋"/>
          <w:sz w:val="32"/>
          <w:szCs w:val="32"/>
        </w:rPr>
        <w:t>）、满意度指标10分</w:t>
      </w:r>
      <w:r>
        <w:rPr>
          <w:rFonts w:hint="eastAsia" w:ascii="仿宋" w:hAnsi="仿宋" w:eastAsia="仿宋"/>
          <w:sz w:val="32"/>
          <w:szCs w:val="32"/>
          <w:lang w:eastAsia="zh-CN"/>
        </w:rPr>
        <w:t>（</w:t>
      </w:r>
      <w:r>
        <w:rPr>
          <w:rFonts w:hint="eastAsia" w:ascii="仿宋" w:hAnsi="仿宋" w:eastAsia="仿宋"/>
          <w:sz w:val="32"/>
          <w:szCs w:val="32"/>
          <w:lang w:val="en-US" w:eastAsia="zh-CN"/>
        </w:rPr>
        <w:t>社会满意度（%）95%以上，自评得分8分</w:t>
      </w:r>
      <w:r>
        <w:rPr>
          <w:rFonts w:hint="eastAsia" w:ascii="仿宋" w:hAnsi="仿宋" w:eastAsia="仿宋"/>
          <w:sz w:val="32"/>
          <w:szCs w:val="32"/>
          <w:lang w:eastAsia="zh-CN"/>
        </w:rPr>
        <w:t>）</w:t>
      </w:r>
      <w:r>
        <w:rPr>
          <w:rFonts w:hint="eastAsia" w:ascii="仿宋" w:hAnsi="仿宋" w:eastAsia="仿宋"/>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tbl>
      <w:tblPr>
        <w:tblStyle w:val="6"/>
        <w:tblpPr w:leftFromText="180" w:rightFromText="180" w:vertAnchor="text" w:horzAnchor="page" w:tblpX="244" w:tblpY="7560"/>
        <w:tblOverlap w:val="never"/>
        <w:tblW w:w="1167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35"/>
        <w:gridCol w:w="1328"/>
        <w:gridCol w:w="1393"/>
        <w:gridCol w:w="2177"/>
        <w:gridCol w:w="933"/>
        <w:gridCol w:w="1355"/>
        <w:gridCol w:w="1250"/>
        <w:gridCol w:w="16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1673"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1673"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0" w:hRule="atLeast"/>
        </w:trPr>
        <w:tc>
          <w:tcPr>
            <w:tcW w:w="11673"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6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721"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藁城区委统战部</w:t>
            </w:r>
          </w:p>
        </w:tc>
        <w:tc>
          <w:tcPr>
            <w:tcW w:w="217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3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85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10" w:hRule="atLeast"/>
        </w:trPr>
        <w:tc>
          <w:tcPr>
            <w:tcW w:w="16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3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民族宗教领域社会稳定专项经费</w:t>
            </w:r>
          </w:p>
        </w:tc>
        <w:tc>
          <w:tcPr>
            <w:tcW w:w="9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2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藁城区委统战部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16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7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6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16.00</w:t>
            </w:r>
          </w:p>
        </w:tc>
        <w:tc>
          <w:tcPr>
            <w:tcW w:w="2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16.00</w:t>
            </w: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16.00</w:t>
            </w:r>
          </w:p>
        </w:tc>
        <w:tc>
          <w:tcPr>
            <w:tcW w:w="16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16.00</w:t>
            </w:r>
          </w:p>
        </w:tc>
        <w:tc>
          <w:tcPr>
            <w:tcW w:w="21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16.00</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16.00</w:t>
            </w:r>
          </w:p>
        </w:tc>
        <w:tc>
          <w:tcPr>
            <w:tcW w:w="16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16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89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53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89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完成全区民族宗教领域的稳定和发展</w:t>
            </w:r>
          </w:p>
        </w:tc>
        <w:tc>
          <w:tcPr>
            <w:tcW w:w="353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全部按时完成</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16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维稳完成数量</w:t>
            </w: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稳定和发展执行率</w:t>
            </w: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按时完成预算指标</w:t>
            </w: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维护民族宗教领域的稳定和发展</w:t>
            </w: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维护民族宗教领域的稳定和发展</w:t>
            </w: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3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1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社会满意度（%）</w:t>
            </w: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436"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6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5" w:hRule="atLeast"/>
        </w:trPr>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003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问题：预算的计划性，科学性不强，下步措施：1、严格预算管理标准，提高预算绩效指标。2、认真做好前期预算执行准备工作，加强项目跟踪及项目支出执行管理，提高预算资金使用效率。</w:t>
            </w: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 w:hAnsi="仿宋" w:eastAsia="仿宋"/>
          <w:sz w:val="32"/>
          <w:szCs w:val="32"/>
        </w:rPr>
      </w:pPr>
    </w:p>
    <w:p>
      <w:pPr>
        <w:adjustRightInd w:val="0"/>
        <w:snapToGrid w:val="0"/>
        <w:spacing w:line="580" w:lineRule="exact"/>
        <w:rPr>
          <w:rFonts w:hint="eastAsia" w:ascii="仿宋_GB2312" w:hAnsi="仿宋_GB2312" w:eastAsia="仿宋_GB2312" w:cs="仿宋_GB2312"/>
          <w:sz w:val="32"/>
          <w:szCs w:val="32"/>
          <w:highlight w:val="none"/>
          <w:lang w:eastAsia="zh-CN"/>
        </w:rPr>
      </w:pPr>
    </w:p>
    <w:p>
      <w:pPr>
        <w:keepNext/>
        <w:keepLines/>
        <w:numPr>
          <w:ilvl w:val="0"/>
          <w:numId w:val="1"/>
        </w:numPr>
        <w:snapToGrid w:val="0"/>
        <w:spacing w:line="580" w:lineRule="exact"/>
        <w:ind w:left="840" w:leftChars="0"/>
        <w:jc w:val="left"/>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jc w:val="left"/>
        <w:outlineLvl w:val="1"/>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本部门无</w:t>
      </w:r>
      <w:r>
        <w:rPr>
          <w:rFonts w:hint="eastAsia" w:ascii="仿宋_GB2312" w:hAnsi="仿宋_GB2312" w:eastAsia="仿宋_GB2312" w:cs="仿宋_GB2312"/>
          <w:b w:val="0"/>
          <w:bCs w:val="0"/>
          <w:sz w:val="32"/>
          <w:szCs w:val="32"/>
        </w:rPr>
        <w:t>财政评价项目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9.49</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3.36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增加35.4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2019年我单位人员调入2人，提职1人，从而其他交通费，通讯费有所增加。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5.38</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4.73</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0.65</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5.38</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5.38</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hAnsi="宋体" w:eastAsia="仿宋_GB2312" w:cs="Times New Roman"/>
          <w:color w:val="000000"/>
          <w:kern w:val="0"/>
          <w:sz w:val="32"/>
          <w:szCs w:val="32"/>
        </w:rPr>
      </w:pPr>
      <w:r>
        <w:rPr>
          <w:rFonts w:hint="eastAsia" w:ascii="仿宋_GB2312" w:hAnsi="Times New Roman" w:eastAsia="仿宋_GB2312" w:cs="DengXian-Regular"/>
          <w:sz w:val="32"/>
          <w:szCs w:val="32"/>
        </w:rPr>
        <w:t xml:space="preserve">1. </w:t>
      </w:r>
      <w:r>
        <w:rPr>
          <w:rFonts w:hint="eastAsia" w:ascii="仿宋_GB2312" w:hAnsi="宋体" w:eastAsia="仿宋_GB2312" w:cs="Times New Roman"/>
          <w:color w:val="000000"/>
          <w:kern w:val="0"/>
          <w:sz w:val="32"/>
          <w:szCs w:val="32"/>
        </w:rPr>
        <w:t>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年度政府性基金预算财政拨款收入支出无收支及结转结余情况，故政府性基金预算财政拨款收入支出决算表以空表列示。本部门201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年度国有资本经营预算财政拨款支出无收支及结转结余情况，故国有资本经营预算财政拨款支出决算表以空表列示。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793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896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896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458"/>
        <w:gridCol w:w="1095"/>
        <w:gridCol w:w="3105"/>
        <w:gridCol w:w="530"/>
        <w:gridCol w:w="1093"/>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2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2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67" w:hRule="atLeast"/>
          <w:jc w:val="center"/>
        </w:trPr>
        <w:tc>
          <w:tcPr>
            <w:tcW w:w="47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2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62"/>
                <w:tab w:val="right" w:pos="1132"/>
              </w:tabs>
              <w:jc w:val="left"/>
              <w:textAlignment w:val="center"/>
              <w:rPr>
                <w:rFonts w:ascii="宋体" w:hAnsi="宋体" w:eastAsia="宋体" w:cs="宋体"/>
                <w:color w:val="000000"/>
                <w:sz w:val="22"/>
              </w:rPr>
            </w:pP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val="en-US" w:eastAsia="zh-CN" w:bidi="ar"/>
              </w:rPr>
              <w:t>132.77</w:t>
            </w: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60"/>
                <w:tab w:val="right" w:pos="1258"/>
              </w:tabs>
              <w:jc w:val="left"/>
              <w:textAlignment w:val="center"/>
              <w:rPr>
                <w:rFonts w:ascii="宋体" w:hAnsi="宋体" w:eastAsia="宋体" w:cs="宋体"/>
                <w:color w:val="000000"/>
                <w:sz w:val="22"/>
              </w:rPr>
            </w:pP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val="en-US" w:eastAsia="zh-CN" w:bidi="ar"/>
              </w:rPr>
              <w:t>132.77</w:t>
            </w: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132.77</w:t>
            </w: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15"/>
                <w:tab w:val="right" w:pos="1295"/>
              </w:tabs>
              <w:jc w:val="left"/>
              <w:textAlignment w:val="center"/>
              <w:rPr>
                <w:rFonts w:ascii="宋体" w:hAnsi="宋体" w:eastAsia="宋体" w:cs="宋体"/>
                <w:color w:val="000000"/>
                <w:sz w:val="22"/>
              </w:rPr>
            </w:pP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val="en-US" w:eastAsia="zh-CN" w:bidi="ar"/>
              </w:rPr>
              <w:t>132.77</w:t>
            </w: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bidi="ar"/>
              </w:rPr>
              <w:t>　</w:t>
            </w:r>
          </w:p>
        </w:tc>
        <w:tc>
          <w:tcPr>
            <w:tcW w:w="31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10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45"/>
                <w:tab w:val="right" w:pos="1403"/>
              </w:tabs>
              <w:jc w:val="left"/>
              <w:textAlignment w:val="center"/>
              <w:rPr>
                <w:rFonts w:ascii="宋体" w:hAnsi="宋体" w:eastAsia="宋体" w:cs="宋体"/>
                <w:color w:val="000000"/>
                <w:sz w:val="22"/>
              </w:rPr>
            </w:pP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val="en-US" w:eastAsia="zh-CN" w:bidi="ar"/>
              </w:rPr>
              <w:t>132.77</w:t>
            </w: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62" w:type="dxa"/>
        <w:jc w:val="center"/>
        <w:tblLayout w:type="fixed"/>
        <w:tblCellMar>
          <w:top w:w="0" w:type="dxa"/>
          <w:left w:w="0" w:type="dxa"/>
          <w:bottom w:w="0" w:type="dxa"/>
          <w:right w:w="0" w:type="dxa"/>
        </w:tblCellMar>
      </w:tblPr>
      <w:tblGrid>
        <w:gridCol w:w="729"/>
        <w:gridCol w:w="43"/>
        <w:gridCol w:w="95"/>
        <w:gridCol w:w="1979"/>
        <w:gridCol w:w="1134"/>
        <w:gridCol w:w="870"/>
        <w:gridCol w:w="810"/>
        <w:gridCol w:w="930"/>
        <w:gridCol w:w="1170"/>
        <w:gridCol w:w="1046"/>
        <w:gridCol w:w="756"/>
      </w:tblGrid>
      <w:tr>
        <w:tblPrEx>
          <w:tblCellMar>
            <w:top w:w="0" w:type="dxa"/>
            <w:left w:w="0" w:type="dxa"/>
            <w:bottom w:w="0" w:type="dxa"/>
            <w:right w:w="0" w:type="dxa"/>
          </w:tblCellMar>
        </w:tblPrEx>
        <w:trPr>
          <w:trHeight w:val="670" w:hRule="atLeast"/>
          <w:jc w:val="center"/>
        </w:trPr>
        <w:tc>
          <w:tcPr>
            <w:tcW w:w="9562"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7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7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0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729"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7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7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84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8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81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93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7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867"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97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67"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7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67"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7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84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415" w:hRule="atLeast"/>
          <w:jc w:val="center"/>
        </w:trPr>
        <w:tc>
          <w:tcPr>
            <w:tcW w:w="284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b/>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132.77</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r>
      <w:tr>
        <w:tblPrEx>
          <w:tblCellMar>
            <w:top w:w="0" w:type="dxa"/>
            <w:left w:w="0" w:type="dxa"/>
            <w:bottom w:w="0" w:type="dxa"/>
            <w:right w:w="0" w:type="dxa"/>
          </w:tblCellMar>
        </w:tblPrEx>
        <w:trPr>
          <w:trHeight w:val="385" w:hRule="atLeast"/>
          <w:jc w:val="center"/>
        </w:trPr>
        <w:tc>
          <w:tcPr>
            <w:tcW w:w="8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一般公共服务支出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sz w:val="22"/>
                <w:lang w:val="en-US" w:eastAsia="zh-CN"/>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20123</w:t>
            </w:r>
          </w:p>
        </w:tc>
        <w:tc>
          <w:tcPr>
            <w:tcW w:w="1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eastAsia="zh-CN"/>
              </w:rPr>
            </w:pPr>
            <w:r>
              <w:rPr>
                <w:rFonts w:hint="eastAsia" w:ascii="宋体" w:hAnsi="宋体" w:eastAsia="宋体" w:cs="宋体"/>
                <w:color w:val="000000"/>
                <w:sz w:val="22"/>
                <w:lang w:eastAsia="zh-CN"/>
              </w:rPr>
              <w:t>民族事务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16.00</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2012304</w:t>
            </w:r>
          </w:p>
        </w:tc>
        <w:tc>
          <w:tcPr>
            <w:tcW w:w="1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sz w:val="22"/>
                <w:lang w:eastAsia="zh-CN"/>
              </w:rPr>
            </w:pPr>
            <w:r>
              <w:rPr>
                <w:rFonts w:hint="eastAsia" w:ascii="宋体" w:hAnsi="宋体" w:eastAsia="宋体" w:cs="宋体"/>
                <w:color w:val="000000"/>
                <w:sz w:val="22"/>
                <w:lang w:eastAsia="zh-CN"/>
              </w:rPr>
              <w:t>民族工作专项</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16.00</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20134</w:t>
            </w:r>
          </w:p>
        </w:tc>
        <w:tc>
          <w:tcPr>
            <w:tcW w:w="1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统战事务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116.77</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2013401</w:t>
            </w:r>
          </w:p>
        </w:tc>
        <w:tc>
          <w:tcPr>
            <w:tcW w:w="1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行政运行</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01"/>
              </w:tabs>
              <w:jc w:val="left"/>
              <w:rPr>
                <w:rFonts w:hint="default" w:ascii="宋体" w:hAnsi="宋体" w:eastAsia="宋体" w:cs="宋体"/>
                <w:color w:val="000000"/>
                <w:sz w:val="22"/>
                <w:lang w:val="en-US" w:eastAsia="zh-CN"/>
              </w:rPr>
            </w:pPr>
            <w:r>
              <w:rPr>
                <w:rFonts w:hint="eastAsia" w:ascii="宋体" w:hAnsi="宋体" w:eastAsia="宋体" w:cs="宋体"/>
                <w:color w:val="000000"/>
                <w:sz w:val="22"/>
                <w:lang w:eastAsia="zh-CN"/>
              </w:rPr>
              <w:tab/>
            </w:r>
            <w:r>
              <w:rPr>
                <w:rFonts w:hint="eastAsia" w:ascii="宋体" w:hAnsi="宋体" w:eastAsia="宋体" w:cs="宋体"/>
                <w:color w:val="000000"/>
                <w:sz w:val="22"/>
                <w:lang w:val="en-US" w:eastAsia="zh-CN"/>
              </w:rPr>
              <w:t>99.77</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2013404</w:t>
            </w:r>
          </w:p>
        </w:tc>
        <w:tc>
          <w:tcPr>
            <w:tcW w:w="1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宗教事务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13.00</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6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2013499</w:t>
            </w:r>
          </w:p>
        </w:tc>
        <w:tc>
          <w:tcPr>
            <w:tcW w:w="1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其他统战事务支出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491"/>
              </w:tabs>
              <w:ind w:firstLine="220" w:firstLineChars="100"/>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4.00</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62"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10890" w:type="dxa"/>
        <w:jc w:val="center"/>
        <w:tblLayout w:type="fixed"/>
        <w:tblCellMar>
          <w:top w:w="0" w:type="dxa"/>
          <w:left w:w="0" w:type="dxa"/>
          <w:bottom w:w="0" w:type="dxa"/>
          <w:right w:w="0" w:type="dxa"/>
        </w:tblCellMar>
      </w:tblPr>
      <w:tblGrid>
        <w:gridCol w:w="941"/>
        <w:gridCol w:w="53"/>
        <w:gridCol w:w="111"/>
        <w:gridCol w:w="1359"/>
        <w:gridCol w:w="1281"/>
        <w:gridCol w:w="1041"/>
        <w:gridCol w:w="1161"/>
        <w:gridCol w:w="1161"/>
        <w:gridCol w:w="1161"/>
        <w:gridCol w:w="1411"/>
        <w:gridCol w:w="1210"/>
      </w:tblGrid>
      <w:tr>
        <w:tblPrEx>
          <w:tblCellMar>
            <w:top w:w="0" w:type="dxa"/>
            <w:left w:w="0" w:type="dxa"/>
            <w:bottom w:w="0" w:type="dxa"/>
            <w:right w:w="0" w:type="dxa"/>
          </w:tblCellMar>
        </w:tblPrEx>
        <w:trPr>
          <w:gridAfter w:val="1"/>
          <w:wAfter w:w="1210" w:type="dxa"/>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gridAfter w:val="1"/>
          <w:wAfter w:w="1210" w:type="dxa"/>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gridAfter w:val="1"/>
          <w:wAfter w:w="1210" w:type="dxa"/>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gridAfter w:val="1"/>
          <w:wAfter w:w="1210" w:type="dxa"/>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28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0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gridAfter w:val="1"/>
          <w:wAfter w:w="1210" w:type="dxa"/>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210" w:type="dxa"/>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210" w:type="dxa"/>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210" w:type="dxa"/>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2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gridAfter w:val="1"/>
          <w:wAfter w:w="1210" w:type="dxa"/>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132.77</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95.77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37.00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一般公共服务支出</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lang w:val="en-US" w:eastAsia="zh-CN"/>
              </w:rPr>
              <w:t>132.77</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210" w:type="dxa"/>
            <w:vAlign w:val="center"/>
          </w:tcPr>
          <w:p>
            <w:pPr>
              <w:keepNext w:val="0"/>
              <w:keepLines w:val="0"/>
              <w:widowControl/>
              <w:suppressLineNumbers w:val="0"/>
              <w:jc w:val="both"/>
              <w:textAlignment w:val="cente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20123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民族事务</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16.00</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16.00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210" w:type="dxa"/>
            <w:vAlign w:val="center"/>
          </w:tcPr>
          <w:p>
            <w:pPr>
              <w:keepNext w:val="0"/>
              <w:keepLines w:val="0"/>
              <w:widowControl/>
              <w:suppressLineNumbers w:val="0"/>
              <w:jc w:val="center"/>
              <w:textAlignment w:val="cente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2012304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民族工作专项</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16.00</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color w:val="000000"/>
                <w:sz w:val="22"/>
                <w:lang w:val="en-US"/>
              </w:rPr>
            </w:pPr>
            <w:r>
              <w:rPr>
                <w:rFonts w:hint="eastAsia" w:ascii="宋体" w:hAnsi="宋体" w:eastAsia="宋体" w:cs="宋体"/>
                <w:i w:val="0"/>
                <w:color w:val="000000"/>
                <w:kern w:val="0"/>
                <w:sz w:val="22"/>
                <w:szCs w:val="22"/>
                <w:u w:val="none"/>
                <w:lang w:val="en-US" w:eastAsia="zh-CN" w:bidi="ar"/>
              </w:rPr>
              <w:t>16.00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1210" w:type="dxa"/>
            <w:vAlign w:val="center"/>
          </w:tcPr>
          <w:p>
            <w:pPr>
              <w:keepNext w:val="0"/>
              <w:keepLines w:val="0"/>
              <w:widowControl/>
              <w:suppressLineNumbers w:val="0"/>
              <w:jc w:val="both"/>
              <w:textAlignment w:val="cente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统战事务</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lang w:val="en-US" w:eastAsia="zh-CN"/>
              </w:rPr>
              <w:t>116.77</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vAlign w:val="center"/>
          </w:tcPr>
          <w:p>
            <w:pPr>
              <w:jc w:val="right"/>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2013401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行政运行</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01"/>
              </w:tabs>
              <w:jc w:val="center"/>
              <w:rPr>
                <w:rFonts w:ascii="宋体" w:hAnsi="宋体" w:eastAsia="宋体" w:cs="宋体"/>
                <w:color w:val="000000"/>
                <w:sz w:val="22"/>
              </w:rPr>
            </w:pPr>
            <w:r>
              <w:rPr>
                <w:rFonts w:hint="eastAsia" w:ascii="宋体" w:hAnsi="宋体" w:eastAsia="宋体" w:cs="宋体"/>
                <w:color w:val="000000"/>
                <w:sz w:val="22"/>
                <w:lang w:val="en-US" w:eastAsia="zh-CN"/>
              </w:rPr>
              <w:t>99.77</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01"/>
              </w:tabs>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95.77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vAlign w:val="center"/>
          </w:tcPr>
          <w:p>
            <w:pPr>
              <w:jc w:val="right"/>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2013404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宗教事务</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13.00</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vAlign w:val="center"/>
          </w:tcPr>
          <w:p>
            <w:pPr>
              <w:jc w:val="right"/>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rPr>
            </w:pPr>
            <w:r>
              <w:rPr>
                <w:rFonts w:hint="eastAsia" w:ascii="宋体" w:hAnsi="宋体" w:eastAsia="宋体" w:cs="宋体"/>
                <w:color w:val="000000"/>
                <w:sz w:val="22"/>
                <w:lang w:val="en-US" w:eastAsia="zh-CN"/>
              </w:rPr>
              <w:t>2013499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其他统战事务支出</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4.00</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491"/>
              </w:tabs>
              <w:jc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vAlign w:val="center"/>
          </w:tcPr>
          <w:p>
            <w:pPr>
              <w:jc w:val="right"/>
            </w:pPr>
          </w:p>
        </w:tc>
      </w:tr>
      <w:tr>
        <w:tblPrEx>
          <w:tblCellMar>
            <w:top w:w="0" w:type="dxa"/>
            <w:left w:w="0" w:type="dxa"/>
            <w:bottom w:w="0" w:type="dxa"/>
            <w:right w:w="0" w:type="dxa"/>
          </w:tblCellMar>
        </w:tblPrEx>
        <w:trPr>
          <w:gridAfter w:val="1"/>
          <w:wAfter w:w="1210" w:type="dxa"/>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755" w:type="dxa"/>
        <w:jc w:val="center"/>
        <w:tblLayout w:type="fixed"/>
        <w:tblCellMar>
          <w:top w:w="0" w:type="dxa"/>
          <w:left w:w="0" w:type="dxa"/>
          <w:bottom w:w="0" w:type="dxa"/>
          <w:right w:w="0" w:type="dxa"/>
        </w:tblCellMar>
      </w:tblPr>
      <w:tblGrid>
        <w:gridCol w:w="2808"/>
        <w:gridCol w:w="539"/>
        <w:gridCol w:w="858"/>
        <w:gridCol w:w="2188"/>
        <w:gridCol w:w="1069"/>
        <w:gridCol w:w="836"/>
        <w:gridCol w:w="930"/>
        <w:gridCol w:w="527"/>
      </w:tblGrid>
      <w:tr>
        <w:tblPrEx>
          <w:tblCellMar>
            <w:top w:w="0" w:type="dxa"/>
            <w:left w:w="0" w:type="dxa"/>
            <w:bottom w:w="0" w:type="dxa"/>
            <w:right w:w="0" w:type="dxa"/>
          </w:tblCellMar>
        </w:tblPrEx>
        <w:trPr>
          <w:trHeight w:val="406" w:hRule="atLeast"/>
          <w:jc w:val="center"/>
        </w:trPr>
        <w:tc>
          <w:tcPr>
            <w:tcW w:w="9755"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8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8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2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5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80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5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1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3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5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80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36"/>
              </w:tabs>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470"/>
              </w:tabs>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79"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kern w:val="2"/>
                <w:sz w:val="22"/>
                <w:szCs w:val="22"/>
                <w:lang w:val="en-US" w:eastAsia="zh-CN" w:bidi="ar-SA"/>
              </w:rPr>
              <w:t>132.77</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132.77</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CellMar>
            <w:top w:w="0" w:type="dxa"/>
            <w:left w:w="0" w:type="dxa"/>
            <w:bottom w:w="0" w:type="dxa"/>
            <w:right w:w="0" w:type="dxa"/>
          </w:tblCellMar>
        </w:tblPrEx>
        <w:trPr>
          <w:trHeight w:val="90" w:hRule="atLeast"/>
          <w:jc w:val="center"/>
        </w:trPr>
        <w:tc>
          <w:tcPr>
            <w:tcW w:w="9755"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912"/>
        <w:gridCol w:w="52"/>
        <w:gridCol w:w="52"/>
        <w:gridCol w:w="2613"/>
        <w:gridCol w:w="2170"/>
        <w:gridCol w:w="2027"/>
        <w:gridCol w:w="2164"/>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9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1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9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91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1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9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62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36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01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61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0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16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01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1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01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1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62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62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kern w:val="2"/>
                <w:sz w:val="22"/>
                <w:szCs w:val="22"/>
                <w:lang w:val="en-US" w:eastAsia="zh-CN" w:bidi="ar-SA"/>
              </w:rPr>
              <w:t>132.77</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kern w:val="2"/>
                <w:sz w:val="22"/>
                <w:szCs w:val="22"/>
                <w:lang w:val="en-US" w:eastAsia="zh-CN" w:bidi="ar-SA"/>
              </w:rPr>
              <w:t>95.77</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kern w:val="2"/>
                <w:sz w:val="22"/>
                <w:szCs w:val="22"/>
                <w:lang w:val="en-US" w:eastAsia="zh-CN" w:bidi="ar-SA"/>
              </w:rPr>
              <w:t>37.00</w:t>
            </w:r>
          </w:p>
        </w:tc>
      </w:tr>
      <w:tr>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一般公共服务支出</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132.77</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95.77</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37.00</w:t>
            </w:r>
          </w:p>
        </w:tc>
      </w:tr>
      <w:tr>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20123</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民族事务</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16.00</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2"/>
                <w:sz w:val="22"/>
                <w:szCs w:val="22"/>
                <w:lang w:val="en-US" w:eastAsia="zh-CN" w:bidi="ar-SA"/>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16.00</w:t>
            </w:r>
          </w:p>
        </w:tc>
      </w:tr>
      <w:tr>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2012304</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民族工作专项</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16.00</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kern w:val="2"/>
                <w:sz w:val="22"/>
                <w:szCs w:val="22"/>
                <w:lang w:val="en-US" w:eastAsia="zh-CN" w:bidi="ar-SA"/>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color w:val="000000"/>
                <w:kern w:val="2"/>
                <w:sz w:val="22"/>
                <w:szCs w:val="22"/>
                <w:lang w:val="en-US" w:eastAsia="zh-CN" w:bidi="ar-SA"/>
              </w:rPr>
            </w:pPr>
            <w:r>
              <w:rPr>
                <w:rFonts w:hint="eastAsia" w:ascii="宋体" w:hAnsi="宋体" w:eastAsia="宋体" w:cs="宋体"/>
                <w:i w:val="0"/>
                <w:color w:val="000000"/>
                <w:kern w:val="0"/>
                <w:sz w:val="22"/>
                <w:szCs w:val="22"/>
                <w:u w:val="none"/>
                <w:lang w:val="en-US" w:eastAsia="zh-CN" w:bidi="ar"/>
              </w:rPr>
              <w:t>16.00</w:t>
            </w:r>
          </w:p>
        </w:tc>
      </w:tr>
      <w:tr>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20134</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统战事务</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lang w:val="en-US" w:eastAsia="zh-CN"/>
              </w:rPr>
              <w:t>116.77</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lang w:val="en-US" w:eastAsia="zh-CN"/>
              </w:rPr>
              <w:t>95.77</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21.00</w:t>
            </w:r>
          </w:p>
        </w:tc>
      </w:tr>
      <w:tr>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2013401</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行政运行</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01"/>
              </w:tabs>
              <w:jc w:val="center"/>
              <w:rPr>
                <w:rFonts w:ascii="宋体" w:hAnsi="宋体" w:eastAsia="宋体" w:cs="宋体"/>
                <w:color w:val="000000"/>
                <w:sz w:val="22"/>
              </w:rPr>
            </w:pPr>
            <w:r>
              <w:rPr>
                <w:rFonts w:hint="eastAsia" w:ascii="宋体" w:hAnsi="宋体" w:eastAsia="宋体" w:cs="宋体"/>
                <w:color w:val="000000"/>
                <w:sz w:val="22"/>
                <w:lang w:val="en-US" w:eastAsia="zh-CN"/>
              </w:rPr>
              <w:t>99.77</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01"/>
              </w:tabs>
              <w:jc w:val="center"/>
              <w:rPr>
                <w:rFonts w:ascii="宋体" w:hAnsi="宋体" w:eastAsia="宋体" w:cs="宋体"/>
                <w:color w:val="000000"/>
                <w:sz w:val="22"/>
              </w:rPr>
            </w:pPr>
            <w:r>
              <w:rPr>
                <w:rFonts w:hint="eastAsia" w:ascii="宋体" w:hAnsi="宋体" w:eastAsia="宋体" w:cs="宋体"/>
                <w:color w:val="000000"/>
                <w:sz w:val="22"/>
                <w:lang w:val="en-US" w:eastAsia="zh-CN"/>
              </w:rPr>
              <w:t>95.77</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4.00</w:t>
            </w:r>
          </w:p>
        </w:tc>
      </w:tr>
      <w:tr>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2013404</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宗教事务</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13.00</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13.00</w:t>
            </w:r>
          </w:p>
        </w:tc>
      </w:tr>
      <w:tr>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2013499</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其他统战事务支出</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4.00</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4.00</w:t>
            </w:r>
          </w:p>
        </w:tc>
      </w:tr>
      <w:tr>
        <w:tblPrEx>
          <w:tblCellMar>
            <w:top w:w="0" w:type="dxa"/>
            <w:left w:w="0" w:type="dxa"/>
            <w:bottom w:w="0" w:type="dxa"/>
            <w:right w:w="0" w:type="dxa"/>
          </w:tblCellMar>
        </w:tblPrEx>
        <w:trPr>
          <w:trHeight w:val="308" w:hRule="atLeast"/>
          <w:jc w:val="center"/>
        </w:trPr>
        <w:tc>
          <w:tcPr>
            <w:tcW w:w="1016" w:type="dxa"/>
            <w:gridSpan w:val="3"/>
            <w:vAlign w:val="center"/>
          </w:tcPr>
          <w:p>
            <w:pPr>
              <w:jc w:val="both"/>
              <w:rPr>
                <w:rFonts w:ascii="宋体" w:hAnsi="宋体" w:eastAsia="宋体" w:cs="宋体"/>
                <w:color w:val="000000"/>
                <w:sz w:val="22"/>
              </w:rPr>
            </w:pPr>
          </w:p>
        </w:tc>
        <w:tc>
          <w:tcPr>
            <w:tcW w:w="2613" w:type="dxa"/>
            <w:vAlign w:val="center"/>
          </w:tcPr>
          <w:p>
            <w:pPr>
              <w:jc w:val="left"/>
              <w:rPr>
                <w:rFonts w:ascii="宋体" w:hAnsi="宋体" w:eastAsia="宋体" w:cs="宋体"/>
                <w:color w:val="000000"/>
                <w:sz w:val="22"/>
              </w:rPr>
            </w:pPr>
          </w:p>
        </w:tc>
        <w:tc>
          <w:tcPr>
            <w:tcW w:w="2170" w:type="dxa"/>
            <w:vAlign w:val="center"/>
          </w:tcPr>
          <w:p>
            <w:pPr>
              <w:jc w:val="center"/>
              <w:rPr>
                <w:rFonts w:ascii="宋体" w:hAnsi="宋体" w:eastAsia="宋体" w:cs="宋体"/>
                <w:color w:val="000000"/>
                <w:sz w:val="22"/>
              </w:rPr>
            </w:pPr>
          </w:p>
        </w:tc>
        <w:tc>
          <w:tcPr>
            <w:tcW w:w="2027" w:type="dxa"/>
            <w:vAlign w:val="center"/>
          </w:tcPr>
          <w:p>
            <w:pPr>
              <w:tabs>
                <w:tab w:val="left" w:pos="491"/>
              </w:tabs>
              <w:jc w:val="center"/>
              <w:rPr>
                <w:rFonts w:ascii="宋体" w:hAnsi="宋体" w:eastAsia="宋体" w:cs="宋体"/>
                <w:color w:val="000000"/>
                <w:sz w:val="22"/>
              </w:rPr>
            </w:pPr>
          </w:p>
        </w:tc>
        <w:tc>
          <w:tcPr>
            <w:tcW w:w="2164" w:type="dxa"/>
            <w:vAlign w:val="center"/>
          </w:tcPr>
          <w:p>
            <w:pPr>
              <w:jc w:val="center"/>
              <w:rPr>
                <w:rFonts w:ascii="宋体" w:hAnsi="宋体" w:eastAsia="宋体" w:cs="宋体"/>
                <w:color w:val="000000"/>
                <w:sz w:val="22"/>
              </w:rPr>
            </w:pPr>
          </w:p>
        </w:tc>
      </w:tr>
    </w:tbl>
    <w:p>
      <w:r>
        <w:rPr>
          <w:rFonts w:hint="eastAsia"/>
        </w:rPr>
        <w:t>注：本表反映部门本年度一般公共预算财政拨款支出情况。</w:t>
      </w:r>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86.12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9.49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24.81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21.70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 xml:space="preserve">  6.67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5.95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0.20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 xml:space="preserve">  6.12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18.67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0.48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0.16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86.28</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hint="default"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公用经费合计</w:t>
            </w:r>
            <w:r>
              <w:rPr>
                <w:rFonts w:hint="eastAsia" w:ascii="宋体" w:hAnsi="宋体" w:eastAsia="宋体" w:cs="宋体"/>
                <w:color w:val="000000"/>
                <w:kern w:val="0"/>
                <w:sz w:val="20"/>
                <w:szCs w:val="20"/>
                <w:lang w:val="en-US" w:eastAsia="zh-CN" w:bidi="ar"/>
              </w:rPr>
              <w:t>9.49</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bl>
    <w:p>
      <w:r>
        <w:rPr>
          <w:rFonts w:hint="eastAsia"/>
          <w:lang w:val="en-US" w:eastAsia="zh-CN"/>
        </w:rPr>
        <w:t>注：本表反映部门本年度一般公共预算财政拨款基本支出情况。</w:t>
      </w:r>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color w:val="000000"/>
                <w:sz w:val="22"/>
                <w:lang w:val="en-US" w:eastAsia="zh-CN"/>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926"/>
        <w:gridCol w:w="53"/>
        <w:gridCol w:w="53"/>
        <w:gridCol w:w="1337"/>
        <w:gridCol w:w="1190"/>
        <w:gridCol w:w="1190"/>
        <w:gridCol w:w="1190"/>
        <w:gridCol w:w="1190"/>
        <w:gridCol w:w="1190"/>
        <w:gridCol w:w="1191"/>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9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8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92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8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36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7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03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3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03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3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03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3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36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36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val="0"/>
                <w:bCs/>
                <w:color w:val="000000"/>
                <w:kern w:val="2"/>
                <w:sz w:val="22"/>
                <w:szCs w:val="22"/>
                <w:lang w:val="en-US" w:eastAsia="zh-CN" w:bidi="ar-SA"/>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r>
      <w:tr>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6"/>
        <w:tblW w:w="9915" w:type="dxa"/>
        <w:jc w:val="center"/>
        <w:tblLayout w:type="fixed"/>
        <w:tblCellMar>
          <w:top w:w="0" w:type="dxa"/>
          <w:left w:w="0" w:type="dxa"/>
          <w:bottom w:w="0" w:type="dxa"/>
          <w:right w:w="0" w:type="dxa"/>
        </w:tblCellMar>
      </w:tblPr>
      <w:tblGrid>
        <w:gridCol w:w="1287"/>
        <w:gridCol w:w="74"/>
        <w:gridCol w:w="74"/>
        <w:gridCol w:w="3795"/>
        <w:gridCol w:w="968"/>
        <w:gridCol w:w="1859"/>
        <w:gridCol w:w="1858"/>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17"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17"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5"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color w:val="000000"/>
                <w:sz w:val="22"/>
                <w:lang w:val="en-US" w:eastAsia="zh-CN"/>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color w:val="000000"/>
                <w:sz w:val="22"/>
                <w:lang w:val="en-US" w:eastAsia="zh-CN"/>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宋体" w:hAnsi="宋体" w:eastAsia="宋体" w:cs="宋体"/>
                <w:b/>
                <w:color w:val="000000"/>
                <w:sz w:val="22"/>
                <w:lang w:val="en-US" w:eastAsia="zh-CN"/>
              </w:rPr>
            </w:pPr>
          </w:p>
        </w:tc>
      </w:tr>
      <w:tr>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注：本表反映部门本年度国有资本经营预算财政拨款支出情况。本部门本年度无相关支出情况，按要求以空表列示。</w:t>
      </w:r>
      <w:r>
        <w:br w:type="page"/>
      </w:r>
    </w:p>
    <w:p>
      <w:r>
        <mc:AlternateContent>
          <mc:Choice Requires="wps">
            <w:drawing>
              <wp:anchor distT="0" distB="0" distL="114300" distR="114300" simplePos="0" relativeHeight="25168998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8998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564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564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667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667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769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872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179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179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486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588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281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281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384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7974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076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96B4A8"/>
    <w:multiLevelType w:val="singleLevel"/>
    <w:tmpl w:val="6D96B4A8"/>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4MzFjZWRlMzcxMzg0NGE0NGE1ODM2ZmU5Mzk3YjA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EB0421"/>
    <w:rsid w:val="03097DDE"/>
    <w:rsid w:val="04804112"/>
    <w:rsid w:val="05B00A30"/>
    <w:rsid w:val="06406477"/>
    <w:rsid w:val="072E6A27"/>
    <w:rsid w:val="0AEA4459"/>
    <w:rsid w:val="0B011416"/>
    <w:rsid w:val="0D0F5395"/>
    <w:rsid w:val="0DCD233C"/>
    <w:rsid w:val="0E6615EC"/>
    <w:rsid w:val="0FFF07F1"/>
    <w:rsid w:val="100C5941"/>
    <w:rsid w:val="10CC50D2"/>
    <w:rsid w:val="10E456BB"/>
    <w:rsid w:val="12491BA6"/>
    <w:rsid w:val="135E5D86"/>
    <w:rsid w:val="14540FD1"/>
    <w:rsid w:val="14FD50F3"/>
    <w:rsid w:val="153125D7"/>
    <w:rsid w:val="16B25C5B"/>
    <w:rsid w:val="16FF7A62"/>
    <w:rsid w:val="173A1097"/>
    <w:rsid w:val="191E5451"/>
    <w:rsid w:val="1A400971"/>
    <w:rsid w:val="1CFA0C6A"/>
    <w:rsid w:val="1D216CE1"/>
    <w:rsid w:val="1D940516"/>
    <w:rsid w:val="1DD4203E"/>
    <w:rsid w:val="204006FB"/>
    <w:rsid w:val="21320616"/>
    <w:rsid w:val="231927DC"/>
    <w:rsid w:val="23524A1F"/>
    <w:rsid w:val="240A623E"/>
    <w:rsid w:val="24F3596E"/>
    <w:rsid w:val="258938B8"/>
    <w:rsid w:val="26C74D8A"/>
    <w:rsid w:val="28AB1F36"/>
    <w:rsid w:val="28E45A33"/>
    <w:rsid w:val="297217E9"/>
    <w:rsid w:val="2C757C65"/>
    <w:rsid w:val="2E0D2D74"/>
    <w:rsid w:val="2E592C10"/>
    <w:rsid w:val="31921BF0"/>
    <w:rsid w:val="31C2036A"/>
    <w:rsid w:val="320D02A5"/>
    <w:rsid w:val="33177891"/>
    <w:rsid w:val="348E566F"/>
    <w:rsid w:val="36851C66"/>
    <w:rsid w:val="39BE04D6"/>
    <w:rsid w:val="3A226944"/>
    <w:rsid w:val="3AEE6A48"/>
    <w:rsid w:val="3BC2008B"/>
    <w:rsid w:val="3BF63CE5"/>
    <w:rsid w:val="3C1620AA"/>
    <w:rsid w:val="3C355296"/>
    <w:rsid w:val="3C527EC8"/>
    <w:rsid w:val="3D1067AE"/>
    <w:rsid w:val="3D8F080F"/>
    <w:rsid w:val="3E6C720B"/>
    <w:rsid w:val="417C1F70"/>
    <w:rsid w:val="430D2823"/>
    <w:rsid w:val="4420490D"/>
    <w:rsid w:val="44CE1FA4"/>
    <w:rsid w:val="453341B0"/>
    <w:rsid w:val="45A364EE"/>
    <w:rsid w:val="487F73ED"/>
    <w:rsid w:val="49966C70"/>
    <w:rsid w:val="4A347EAE"/>
    <w:rsid w:val="4AFB21D7"/>
    <w:rsid w:val="4CDA7EE9"/>
    <w:rsid w:val="500977A0"/>
    <w:rsid w:val="52600405"/>
    <w:rsid w:val="527F5BC7"/>
    <w:rsid w:val="529B4319"/>
    <w:rsid w:val="57773DD6"/>
    <w:rsid w:val="57830412"/>
    <w:rsid w:val="578B79AB"/>
    <w:rsid w:val="57C32DA0"/>
    <w:rsid w:val="59772723"/>
    <w:rsid w:val="59994967"/>
    <w:rsid w:val="5BDB5875"/>
    <w:rsid w:val="5C020F67"/>
    <w:rsid w:val="5CCD3FD5"/>
    <w:rsid w:val="60641469"/>
    <w:rsid w:val="61683A44"/>
    <w:rsid w:val="61FA5F9D"/>
    <w:rsid w:val="62BB3F1A"/>
    <w:rsid w:val="62E30238"/>
    <w:rsid w:val="632A1A01"/>
    <w:rsid w:val="64CD6910"/>
    <w:rsid w:val="6652643C"/>
    <w:rsid w:val="66FF1AEC"/>
    <w:rsid w:val="674C2E8E"/>
    <w:rsid w:val="6789158D"/>
    <w:rsid w:val="67D81BA4"/>
    <w:rsid w:val="67E8414F"/>
    <w:rsid w:val="6A5C585F"/>
    <w:rsid w:val="6AAF1C96"/>
    <w:rsid w:val="6B325DCE"/>
    <w:rsid w:val="6C9607E4"/>
    <w:rsid w:val="6E63526B"/>
    <w:rsid w:val="71962B76"/>
    <w:rsid w:val="741828B0"/>
    <w:rsid w:val="75681757"/>
    <w:rsid w:val="75A346A8"/>
    <w:rsid w:val="75C161E1"/>
    <w:rsid w:val="75CC126D"/>
    <w:rsid w:val="79B9382C"/>
    <w:rsid w:val="7B043B76"/>
    <w:rsid w:val="7BEE6272"/>
    <w:rsid w:val="7C041A6A"/>
    <w:rsid w:val="7D082D30"/>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2">
    <w:name w:val="Normal"/>
    <w:basedOn w:val="13"/>
    <w:qFormat/>
    <w:uiPriority w:val="0"/>
    <w:pPr>
      <w:widowControl/>
      <w:jc w:val="both"/>
    </w:pPr>
    <w:rPr>
      <w:rFonts w:ascii="Times New Roman" w:hAnsi="Times New Roman" w:eastAsia="Times New Roman"/>
      <w:sz w:val="21"/>
    </w:rPr>
  </w:style>
  <w:style w:type="paragraph" w:customStyle="1" w:styleId="13">
    <w:name w:val="[Normal]"/>
    <w:qFormat/>
    <w:uiPriority w:val="0"/>
    <w:rPr>
      <w:rFonts w:ascii="宋体" w:hAnsi="宋体" w:eastAsia="宋体" w:cs="Times New Roman"/>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t>图</a:t>
            </a:r>
            <a:r>
              <a:rPr lang="en-US" altLang="zh-CN"/>
              <a:t>1</a:t>
            </a:r>
            <a:r>
              <a:t>：支出构成情况（按支出性质）  </a:t>
            </a:r>
          </a:p>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endParaRPr lang="en-US" altLang="zh-CN"/>
          </a:p>
        </c:rich>
      </c:tx>
      <c:layout>
        <c:manualLayout>
          <c:xMode val="edge"/>
          <c:yMode val="edge"/>
          <c:x val="0.0909282596880414"/>
          <c:y val="0.0146312914553258"/>
        </c:manualLayout>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explosion val="0"/>
            <c:spPr>
              <a:solidFill>
                <a:schemeClr val="accent2"/>
              </a:solidFill>
              <a:ln w="19050">
                <a:solidFill>
                  <a:schemeClr val="lt1"/>
                </a:solidFill>
              </a:ln>
              <a:effectLst/>
            </c:spPr>
          </c:dPt>
          <c:dLbls>
            <c:dLbl>
              <c:idx val="0"/>
              <c:layout>
                <c:manualLayout>
                  <c:x val="-0.0334974924185012"/>
                  <c:y val="0.104350923832743"/>
                </c:manualLayout>
              </c:layout>
              <c:tx>
                <c:rich>
                  <a:bodyPr rot="0" spcFirstLastPara="0" vertOverflow="ellipsis" vert="horz" wrap="square" lIns="38100" tIns="19050" rIns="38100" bIns="19050" anchor="ctr" anchorCtr="1"/>
                  <a:lstStyle/>
                  <a:p>
                    <a:pPr defTabSz="914400">
                      <a:defRPr lang="zh-CN" sz="14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r>
                      <a:rPr lang="en-US" altLang="zh-CN"/>
                      <a:t>11.81%</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869909135963567"/>
                  <c:y val="-0.189560457268478"/>
                </c:manualLayout>
              </c:layout>
              <c:tx>
                <c:rich>
                  <a:bodyPr rot="0" spcFirstLastPara="0" vertOverflow="ellipsis" vert="horz" wrap="square" lIns="38100" tIns="19050" rIns="38100" bIns="19050" anchor="ctr" anchorCtr="1"/>
                  <a:lstStyle/>
                  <a:p>
                    <a:pPr defTabSz="914400">
                      <a:defRPr lang="zh-CN" sz="14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r>
                      <a:rPr lang="en-US" altLang="zh-CN"/>
                      <a:t>88.19%</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4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95.77</c:v>
                </c:pt>
                <c:pt idx="1">
                  <c:v>37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2:2018-2019</a:t>
            </a:r>
            <a:r>
              <a:rPr altLang="en-US"/>
              <a:t>年度财政拨款收支对比</a:t>
            </a:r>
            <a:endParaRPr altLang="en-US"/>
          </a:p>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rPr altLang="en-US"/>
              <a:t>（单位：万）</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110.49</c:v>
                </c:pt>
                <c:pt idx="1">
                  <c:v>110.49</c:v>
                </c:pt>
              </c:numCache>
            </c:numRef>
          </c:val>
        </c:ser>
        <c:ser>
          <c:idx val="1"/>
          <c:order val="1"/>
          <c:tx>
            <c:strRef>
              <c:f>Sheet1!$C$1</c:f>
              <c:strCache>
                <c:ptCount val="1"/>
                <c:pt idx="0">
                  <c:v>2019</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132.77</c:v>
                </c:pt>
                <c:pt idx="1">
                  <c:v>132.77</c:v>
                </c:pt>
              </c:numCache>
            </c:numRef>
          </c:val>
        </c:ser>
        <c:dLbls>
          <c:showLegendKey val="0"/>
          <c:showVal val="0"/>
          <c:showCatName val="0"/>
          <c:showSerName val="0"/>
          <c:showPercent val="0"/>
          <c:showBubbleSize val="0"/>
        </c:dLbls>
        <c:gapWidth val="219"/>
        <c:overlap val="-27"/>
        <c:axId val="697298603"/>
        <c:axId val="415787216"/>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69729860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787216"/>
        <c:crosses val="autoZero"/>
        <c:auto val="1"/>
        <c:lblAlgn val="ctr"/>
        <c:lblOffset val="100"/>
        <c:noMultiLvlLbl val="0"/>
      </c:catAx>
      <c:valAx>
        <c:axId val="415787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9729860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图3：财政拨款收支与预算对比</a:t>
            </a:r>
          </a:p>
          <a:p>
            <a:pPr defTabSz="914400">
              <a:defRPr lang="zh-CN" sz="1400" b="0" i="0" u="none" strike="noStrike" kern="1200" spc="0" baseline="0">
                <a:solidFill>
                  <a:schemeClr val="tx1">
                    <a:lumMod val="65000"/>
                    <a:lumOff val="35000"/>
                  </a:schemeClr>
                </a:solidFill>
                <a:latin typeface="+mn-lt"/>
                <a:ea typeface="+mn-ea"/>
                <a:cs typeface="+mn-cs"/>
              </a:defRPr>
            </a:pPr>
            <a:r>
              <a:t>                                                      （单位：万）</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112.97</c:v>
                </c:pt>
                <c:pt idx="1">
                  <c:v>112.97</c:v>
                </c:pt>
              </c:numCache>
            </c:numRef>
          </c:val>
        </c:ser>
        <c:ser>
          <c:idx val="1"/>
          <c:order val="1"/>
          <c:tx>
            <c:strRef>
              <c:f>Sheet1!$C$1</c:f>
              <c:strCache>
                <c:ptCount val="1"/>
                <c:pt idx="0">
                  <c:v>2019决算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132.77</c:v>
                </c:pt>
                <c:pt idx="1">
                  <c:v>132.77</c:v>
                </c:pt>
              </c:numCache>
            </c:numRef>
          </c:val>
        </c:ser>
        <c:dLbls>
          <c:showLegendKey val="0"/>
          <c:showVal val="1"/>
          <c:showCatName val="0"/>
          <c:showSerName val="0"/>
          <c:showPercent val="0"/>
          <c:showBubbleSize val="0"/>
        </c:dLbls>
        <c:gapWidth val="219"/>
        <c:overlap val="-27"/>
        <c:axId val="47411803"/>
        <c:axId val="3138726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4741180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13872690"/>
        <c:crosses val="autoZero"/>
        <c:auto val="1"/>
        <c:lblAlgn val="ctr"/>
        <c:lblOffset val="100"/>
        <c:noMultiLvlLbl val="0"/>
      </c:catAx>
      <c:valAx>
        <c:axId val="313872690"/>
        <c:scaling>
          <c:orientation val="minMax"/>
          <c:max val="35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41180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30</TotalTime>
  <ScaleCrop>false</ScaleCrop>
  <LinksUpToDate>false</LinksUpToDate>
  <CharactersWithSpaces>11119</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2023-09-20T00:28:44Z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48F86C07D0EB45FC97991CD4CB55150A</vt:lpwstr>
  </property>
</Properties>
</file>