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整体支出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pStyle w:val="1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1、</w:t>
      </w:r>
      <w:r>
        <w:rPr>
          <w:rFonts w:hint="eastAsia"/>
          <w:lang w:eastAsia="zh-CN"/>
        </w:rPr>
        <w:t>廉州镇人民政府部门概况及部门职责：</w:t>
      </w:r>
    </w:p>
    <w:p>
      <w:pPr>
        <w:pStyle w:val="10"/>
      </w:pPr>
      <w:r>
        <w:t>落实国家政策，严格依法行政，发挥经济管理职能，加强政策引导，制定发展规划，服务市场主体和营造发展环境，搞好市场监管，大力促进社会事业发展，发展镇村经济、文化和社会事业，提供公共服务，维护社会稳定，构建社会主义和谐社会。</w:t>
      </w:r>
    </w:p>
    <w:p>
      <w:pPr>
        <w:pStyle w:val="10"/>
      </w:pPr>
      <w:r>
        <w:rPr>
          <w:rFonts w:hint="eastAsia"/>
          <w:lang w:eastAsia="zh-CN"/>
        </w:rPr>
        <w:t>（</w:t>
      </w:r>
      <w:r>
        <w:t>1</w:t>
      </w:r>
      <w:r>
        <w:rPr>
          <w:rFonts w:hint="eastAsia"/>
          <w:lang w:eastAsia="zh-CN"/>
        </w:rPr>
        <w:t>）、</w:t>
      </w:r>
      <w:r>
        <w:t>执行本级人民代表大会的决议和上级国家行政机关的决定和命令，发布决定和命令；</w:t>
      </w:r>
    </w:p>
    <w:p>
      <w:pPr>
        <w:pStyle w:val="10"/>
      </w:pPr>
      <w:r>
        <w:rPr>
          <w:rFonts w:hint="eastAsia"/>
          <w:lang w:eastAsia="zh-CN"/>
        </w:rPr>
        <w:t>（</w:t>
      </w:r>
      <w:r>
        <w:t>2</w:t>
      </w:r>
      <w:r>
        <w:rPr>
          <w:rFonts w:hint="eastAsia"/>
          <w:lang w:eastAsia="zh-CN"/>
        </w:rPr>
        <w:t>）</w:t>
      </w:r>
      <w:r>
        <w:t>、执行本行政区域内的经济和社会发展计划、预算，管理本行政区域内的经济、教育、科学、文化、卫生、体育事业和财政、民政、公安、司法行政、计划生育等行政工作；</w:t>
      </w:r>
    </w:p>
    <w:p>
      <w:pPr>
        <w:pStyle w:val="10"/>
      </w:pPr>
      <w:r>
        <w:rPr>
          <w:rFonts w:hint="eastAsia"/>
          <w:lang w:eastAsia="zh-CN"/>
        </w:rPr>
        <w:t>（</w:t>
      </w:r>
      <w:r>
        <w:t>3</w:t>
      </w:r>
      <w:r>
        <w:rPr>
          <w:rFonts w:hint="eastAsia"/>
          <w:lang w:eastAsia="zh-CN"/>
        </w:rPr>
        <w:t>）</w:t>
      </w:r>
      <w:r>
        <w:t>、保护社会主义的全民所有的财产和劳动群众集体所有的财产，保护公民私人所有的合法财产，维护社会秩序，保障公民的人身权利、民主权利和其他权利；</w:t>
      </w:r>
    </w:p>
    <w:p>
      <w:pPr>
        <w:pStyle w:val="10"/>
      </w:pPr>
      <w:r>
        <w:rPr>
          <w:rFonts w:hint="eastAsia"/>
          <w:lang w:eastAsia="zh-CN"/>
        </w:rPr>
        <w:t>（</w:t>
      </w:r>
      <w:r>
        <w:t>4</w:t>
      </w:r>
      <w:r>
        <w:rPr>
          <w:rFonts w:hint="eastAsia"/>
          <w:lang w:eastAsia="zh-CN"/>
        </w:rPr>
        <w:t>）</w:t>
      </w:r>
      <w:r>
        <w:t>、保护各种经济组织的合法权益； </w:t>
      </w:r>
    </w:p>
    <w:p>
      <w:pPr>
        <w:pStyle w:val="10"/>
      </w:pPr>
      <w:r>
        <w:rPr>
          <w:rFonts w:hint="eastAsia"/>
          <w:lang w:eastAsia="zh-CN"/>
        </w:rPr>
        <w:t>（</w:t>
      </w:r>
      <w:r>
        <w:t>5</w:t>
      </w:r>
      <w:r>
        <w:rPr>
          <w:rFonts w:hint="eastAsia"/>
          <w:lang w:eastAsia="zh-CN"/>
        </w:rPr>
        <w:t>）</w:t>
      </w:r>
      <w:r>
        <w:t>、保障少数民族的权利和尊重少数民族的风俗习惯； </w:t>
      </w:r>
    </w:p>
    <w:p>
      <w:pPr>
        <w:pStyle w:val="10"/>
      </w:pPr>
      <w:r>
        <w:rPr>
          <w:rFonts w:hint="eastAsia"/>
          <w:lang w:eastAsia="zh-CN"/>
        </w:rPr>
        <w:t>（</w:t>
      </w:r>
      <w:r>
        <w:t>6</w:t>
      </w:r>
      <w:r>
        <w:rPr>
          <w:rFonts w:hint="eastAsia"/>
          <w:lang w:eastAsia="zh-CN"/>
        </w:rPr>
        <w:t>）</w:t>
      </w:r>
      <w:r>
        <w:t>、办理上级人民政府交办的其他事项。</w:t>
      </w:r>
    </w:p>
    <w:p>
      <w:pPr>
        <w:pStyle w:val="1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2、组织机构：</w:t>
      </w:r>
    </w:p>
    <w:p>
      <w:pPr>
        <w:pStyle w:val="1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石家庄市藁城区廉州镇人民政府，单位性质：行政，单位规格：正科级，经济保险形式：财政拨款。</w:t>
      </w:r>
    </w:p>
    <w:p>
      <w:pPr>
        <w:pStyle w:val="10"/>
        <w:numPr>
          <w:ilvl w:val="0"/>
          <w:numId w:val="0"/>
        </w:numPr>
        <w:ind w:firstLine="280" w:firstLineChars="100"/>
        <w:rPr>
          <w:rFonts w:hint="eastAsia" w:cs="Times New Roman"/>
          <w:color w:val="000000"/>
          <w:sz w:val="28"/>
          <w:lang w:val="en-US" w:eastAsia="zh-CN"/>
        </w:rPr>
      </w:pPr>
      <w:r>
        <w:rPr>
          <w:rFonts w:hint="eastAsia" w:cs="Times New Roman"/>
          <w:color w:val="000000"/>
          <w:sz w:val="28"/>
          <w:lang w:val="en-US" w:eastAsia="zh-CN"/>
        </w:rPr>
        <w:t>3、部门收支预决算：</w:t>
      </w:r>
    </w:p>
    <w:p>
      <w:pPr>
        <w:pStyle w:val="10"/>
        <w:numPr>
          <w:ilvl w:val="0"/>
          <w:numId w:val="0"/>
        </w:numPr>
        <w:ind w:firstLine="560" w:firstLineChars="200"/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1）、</w:t>
      </w:r>
      <w:r>
        <w:t>收入说明</w:t>
      </w:r>
    </w:p>
    <w:p>
      <w:pPr>
        <w:pStyle w:val="10"/>
        <w:numPr>
          <w:ilvl w:val="0"/>
          <w:numId w:val="0"/>
        </w:numPr>
        <w:ind w:left="487" w:leftChars="232" w:firstLine="560" w:firstLineChars="200"/>
      </w:pPr>
      <w:r>
        <w:rPr>
          <w:rFonts w:hint="eastAsia"/>
        </w:rPr>
        <w:t>反映本</w:t>
      </w:r>
      <w:r>
        <w:rPr>
          <w:rFonts w:hint="eastAsia"/>
          <w:lang w:eastAsia="zh-CN"/>
        </w:rPr>
        <w:t>部门</w:t>
      </w:r>
      <w:r>
        <w:rPr>
          <w:rFonts w:hint="eastAsia"/>
        </w:rPr>
        <w:t>当年全部收入。2022年预算收入</w:t>
      </w:r>
      <w:r>
        <w:rPr>
          <w:rFonts w:hint="eastAsia"/>
          <w:lang w:val="en-US" w:eastAsia="zh-CN"/>
        </w:rPr>
        <w:t>11859.51</w:t>
      </w:r>
      <w:r>
        <w:rPr>
          <w:rFonts w:hint="eastAsia"/>
        </w:rPr>
        <w:t>万元，其中：一般公共预算收入</w:t>
      </w:r>
      <w:r>
        <w:rPr>
          <w:rFonts w:hint="eastAsia"/>
          <w:lang w:val="en-US" w:eastAsia="zh-CN"/>
        </w:rPr>
        <w:t>11859.51</w:t>
      </w:r>
      <w:r>
        <w:rPr>
          <w:rFonts w:hint="eastAsia"/>
        </w:rPr>
        <w:t>万元，基金预算收入0万元，财政专户核拨收入0万元，其他来源收入0万元。</w:t>
      </w:r>
    </w:p>
    <w:p>
      <w:pPr>
        <w:pStyle w:val="10"/>
        <w:numPr>
          <w:ilvl w:val="0"/>
          <w:numId w:val="0"/>
        </w:numPr>
        <w:ind w:left="560" w:leftChars="0"/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2）、</w:t>
      </w:r>
      <w:r>
        <w:t>支出说明</w:t>
      </w:r>
    </w:p>
    <w:p>
      <w:pPr>
        <w:pStyle w:val="11"/>
        <w:rPr>
          <w:rFonts w:hint="eastAsia"/>
        </w:rPr>
      </w:pPr>
      <w:r>
        <w:rPr>
          <w:rFonts w:hint="eastAsia"/>
        </w:rPr>
        <w:t>收支预算总表支出栏、基本支出表、项目支出表按经济分类和支出功能分类科目编制，反映本部门预算中支出预算的总体情况。2022年部门支出预算为</w:t>
      </w:r>
      <w:r>
        <w:rPr>
          <w:rFonts w:hint="eastAsia"/>
          <w:lang w:val="en-US" w:eastAsia="zh-CN"/>
        </w:rPr>
        <w:t>11859.51</w:t>
      </w:r>
      <w:r>
        <w:rPr>
          <w:rFonts w:hint="eastAsia"/>
        </w:rPr>
        <w:t>万元，其中基本支出</w:t>
      </w:r>
      <w:r>
        <w:rPr>
          <w:rFonts w:hint="eastAsia"/>
          <w:lang w:val="en-US" w:eastAsia="zh-CN"/>
        </w:rPr>
        <w:t>1994.44</w:t>
      </w:r>
      <w:r>
        <w:rPr>
          <w:rFonts w:hint="eastAsia"/>
        </w:rPr>
        <w:t>万元，包括人员经费</w:t>
      </w:r>
      <w:r>
        <w:rPr>
          <w:rFonts w:hint="eastAsia"/>
          <w:lang w:val="en-US" w:eastAsia="zh-CN"/>
        </w:rPr>
        <w:t>1715.5</w:t>
      </w:r>
      <w:r>
        <w:rPr>
          <w:rFonts w:hint="eastAsia"/>
        </w:rPr>
        <w:t>万元和日常公用经费</w:t>
      </w:r>
      <w:r>
        <w:rPr>
          <w:rFonts w:hint="eastAsia"/>
          <w:lang w:val="en-US" w:eastAsia="zh-CN"/>
        </w:rPr>
        <w:t>278.95</w:t>
      </w:r>
      <w:r>
        <w:rPr>
          <w:rFonts w:hint="eastAsia"/>
        </w:rPr>
        <w:t>万元；项目支出</w:t>
      </w:r>
      <w:r>
        <w:rPr>
          <w:rFonts w:hint="eastAsia"/>
          <w:lang w:val="en-US" w:eastAsia="zh-CN"/>
        </w:rPr>
        <w:t>9865.07</w:t>
      </w:r>
      <w:r>
        <w:rPr>
          <w:rFonts w:hint="eastAsia"/>
        </w:rPr>
        <w:t>万元，主要为</w:t>
      </w:r>
      <w:r>
        <w:rPr>
          <w:rFonts w:hint="eastAsia"/>
          <w:lang w:eastAsia="zh-CN"/>
        </w:rPr>
        <w:t>一般公共服务</w:t>
      </w:r>
      <w:r>
        <w:rPr>
          <w:rFonts w:hint="eastAsia"/>
        </w:rPr>
        <w:t>支出</w:t>
      </w:r>
      <w:r>
        <w:rPr>
          <w:rFonts w:hint="eastAsia"/>
          <w:lang w:val="en-US" w:eastAsia="zh-CN"/>
        </w:rPr>
        <w:t>1456.65</w:t>
      </w:r>
      <w:r>
        <w:rPr>
          <w:rFonts w:hint="eastAsia"/>
        </w:rPr>
        <w:t>万元，</w:t>
      </w:r>
      <w:r>
        <w:rPr>
          <w:rFonts w:hint="eastAsia"/>
          <w:lang w:eastAsia="zh-CN"/>
        </w:rPr>
        <w:t>教育</w:t>
      </w:r>
      <w:r>
        <w:rPr>
          <w:rFonts w:hint="eastAsia"/>
        </w:rPr>
        <w:t>支出</w:t>
      </w:r>
      <w:r>
        <w:rPr>
          <w:rFonts w:hint="eastAsia"/>
          <w:lang w:val="en-US" w:eastAsia="zh-CN"/>
        </w:rPr>
        <w:t>427.26</w:t>
      </w:r>
      <w:r>
        <w:rPr>
          <w:rFonts w:hint="eastAsia"/>
        </w:rPr>
        <w:t>万元，</w:t>
      </w:r>
      <w:r>
        <w:rPr>
          <w:rFonts w:hint="eastAsia"/>
          <w:lang w:eastAsia="zh-CN"/>
        </w:rPr>
        <w:t>文化旅游体育与传媒</w:t>
      </w:r>
      <w:r>
        <w:rPr>
          <w:rFonts w:hint="eastAsia"/>
        </w:rPr>
        <w:t>支出</w:t>
      </w:r>
      <w:r>
        <w:rPr>
          <w:rFonts w:hint="eastAsia"/>
          <w:lang w:val="en-US" w:eastAsia="zh-CN"/>
        </w:rPr>
        <w:t>60</w:t>
      </w:r>
      <w:r>
        <w:rPr>
          <w:rFonts w:hint="eastAsia"/>
        </w:rPr>
        <w:t>万元，</w:t>
      </w:r>
      <w:r>
        <w:rPr>
          <w:rFonts w:hint="eastAsia"/>
          <w:lang w:eastAsia="zh-CN"/>
        </w:rPr>
        <w:t>社会保障和就业</w:t>
      </w:r>
      <w:r>
        <w:rPr>
          <w:rFonts w:hint="eastAsia"/>
        </w:rPr>
        <w:t>支出</w:t>
      </w:r>
      <w:r>
        <w:rPr>
          <w:rFonts w:hint="eastAsia"/>
          <w:lang w:val="en-US" w:eastAsia="zh-CN"/>
        </w:rPr>
        <w:t>30</w:t>
      </w:r>
      <w:r>
        <w:rPr>
          <w:rFonts w:hint="eastAsia"/>
        </w:rPr>
        <w:t>万元，</w:t>
      </w:r>
      <w:r>
        <w:rPr>
          <w:rFonts w:hint="eastAsia"/>
          <w:lang w:eastAsia="zh-CN"/>
        </w:rPr>
        <w:t>卫生健康支出</w:t>
      </w:r>
      <w:r>
        <w:rPr>
          <w:rFonts w:hint="eastAsia"/>
          <w:lang w:val="en-US" w:eastAsia="zh-CN"/>
        </w:rPr>
        <w:t>27</w:t>
      </w:r>
      <w:r>
        <w:rPr>
          <w:rFonts w:hint="eastAsia"/>
        </w:rPr>
        <w:t>万元；</w:t>
      </w:r>
      <w:r>
        <w:rPr>
          <w:rFonts w:hint="eastAsia"/>
          <w:lang w:eastAsia="zh-CN"/>
        </w:rPr>
        <w:t>节能环保支出</w:t>
      </w:r>
      <w:r>
        <w:rPr>
          <w:rFonts w:hint="eastAsia"/>
          <w:lang w:val="en-US" w:eastAsia="zh-CN"/>
        </w:rPr>
        <w:t>799.24万元，城乡社区支出2853.47万元，农林水支出3361.45万元，灾害防治支出850万元，</w:t>
      </w:r>
      <w:r>
        <w:rPr>
          <w:rFonts w:hint="eastAsia"/>
        </w:rPr>
        <w:t>其他支出0万元。</w:t>
      </w:r>
    </w:p>
    <w:p>
      <w:pPr>
        <w:pStyle w:val="11"/>
      </w:pPr>
      <w:r>
        <w:rPr>
          <w:rFonts w:hint="eastAsia"/>
          <w:lang w:val="en-US" w:eastAsia="zh-CN"/>
        </w:rPr>
        <w:t>4、</w:t>
      </w:r>
      <w:r>
        <w:t>部门整体绩效目标</w:t>
      </w:r>
    </w:p>
    <w:p>
      <w:pPr>
        <w:pStyle w:val="11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t>坚持以习近平新时代中国特色社会主义思想为指导，深入贯彻党的十九届六中全会和省委九届十三次、十四次全会精神，认真落实国家的方针、政策，严格依法行政，充分发挥常安廉州镇政府经济管理职能作用，全面落实积极财政政策,加强本镇全体民众的政策引导，制定本镇的发展规划，为全镇人民提供公共服务，主动维护社会稳定，积极构建和谐社会。按照藁城区区委、区政府等上级机关关于乡镇各项工作安排，保障便民服务中心、城乡环境综合治理、信访、安全维稳、安全生产、党代会、人代会、纪检监察、党建、</w:t>
      </w:r>
      <w:r>
        <w:rPr>
          <w:rFonts w:hint="eastAsia"/>
          <w:lang w:eastAsia="zh-CN"/>
        </w:rPr>
        <w:t>脱</w:t>
      </w:r>
      <w:r>
        <w:t>贫攻坚、服务群众等各项工作正常开展，及时保障政府机关人员、村级工作经费、服务群众经费的发放，按时兑付村民的地力补偿、五保、低保、民政优抚、扶贫工作领域的各项资金，牢固树立立党为公、执政为民的工作理念，确保廉州镇社会稳定、服务民生、道路畅通、环境干净优美、村</w:t>
      </w:r>
      <w:bookmarkStart w:id="0" w:name="_GoBack"/>
      <w:bookmarkEnd w:id="0"/>
      <w:r>
        <w:t>民办事方便快捷。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FF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（</w:t>
      </w:r>
      <w:r>
        <w:rPr>
          <w:rFonts w:hint="eastAsia" w:ascii="黑体" w:hAnsi="黑体" w:eastAsia="黑体" w:cs="黑体"/>
          <w:sz w:val="32"/>
          <w:szCs w:val="32"/>
        </w:rPr>
        <w:t>一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）</w:t>
      </w:r>
      <w:r>
        <w:rPr>
          <w:rFonts w:hint="eastAsia" w:ascii="黑体" w:hAnsi="黑体" w:eastAsia="黑体" w:cs="黑体"/>
          <w:sz w:val="32"/>
          <w:szCs w:val="32"/>
        </w:rPr>
        <w:t>绩效自评工作组织开展情况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Chars="0" w:right="0" w:rightChars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1.组织情况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Chars="0" w:right="0" w:rightChars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我单位高度重视绩效自评工作，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成立了以王国刚书记任组长，安志海镇长任副组长，其他班子成员为组员的绩效自评领导小组，并将指标任务分解到岗到人，定期召开专题会，研究绩效自评和重点项目实施工作，确保全年任务如期完成。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Chars="0" w:right="0" w:rightChars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2.实施过程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在开展预算自评工作时，针对廉州镇工作实际，设计能够体现项目特点绩效评价指标体系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绩效指标权重根据本项目实际情况确定，总分设定为100分。通过主要负责人和主</w:t>
      </w:r>
      <w:r>
        <w:rPr>
          <w:rFonts w:hint="eastAsia" w:ascii="楷书" w:hAnsi="楷书" w:eastAsia="楷书" w:cs="楷书"/>
          <w:color w:val="000000"/>
          <w:sz w:val="32"/>
          <w:szCs w:val="32"/>
        </w:rPr>
        <w:t>管科室对</w:t>
      </w:r>
      <w:r>
        <w:rPr>
          <w:rFonts w:hint="eastAsia" w:ascii="楷书" w:hAnsi="楷书" w:eastAsia="楷书" w:cs="楷书"/>
          <w:color w:val="000000"/>
          <w:sz w:val="32"/>
          <w:szCs w:val="32"/>
          <w:lang w:eastAsia="zh-CN"/>
        </w:rPr>
        <w:t>项目</w:t>
      </w:r>
      <w:r>
        <w:rPr>
          <w:rFonts w:hint="eastAsia" w:ascii="楷书" w:hAnsi="楷书" w:eastAsia="楷书" w:cs="楷书"/>
          <w:color w:val="000000"/>
          <w:sz w:val="32"/>
          <w:szCs w:val="32"/>
        </w:rPr>
        <w:t>资金的使用情况开展绩效评价。主要对</w:t>
      </w:r>
      <w:r>
        <w:rPr>
          <w:rFonts w:hint="eastAsia" w:ascii="楷书" w:hAnsi="楷书" w:eastAsia="楷书" w:cs="楷书"/>
          <w:color w:val="000000"/>
          <w:sz w:val="32"/>
          <w:szCs w:val="32"/>
          <w:lang w:val="en-US" w:eastAsia="zh-CN"/>
        </w:rPr>
        <w:t>2022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年度资金项目财政支出的经济性、效率性及效益性进行重点评价，并针对评价内容做出分析及合理化建议。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（二）</w:t>
      </w:r>
      <w:r>
        <w:rPr>
          <w:rFonts w:hint="eastAsia" w:ascii="楷体" w:hAnsi="楷体" w:eastAsia="楷体" w:cs="楷体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部门预算安排及资金分配拨付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 xml:space="preserve"> 经自评得出，我单位对各项目的资金预算安排较为合理，2022年度共39个项目均能达到实际使用资金与预算基本一致，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未使用的资金已于年底全部返还国库。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楷体" w:hAnsi="楷体" w:eastAsia="楷体" w:cs="楷体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楷体" w:hAnsi="楷体" w:eastAsia="楷体" w:cs="楷体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（三）部门日常财务管理、专项监督检查及审计部门审查意见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廉州镇人民政府在项目实施过程中，严格遵守财务制度及财务规范。相关资金使用账目清晰、资金票据及相关附件齐全，资金使用合规、可控。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主要体现在：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一是强化预算约束。推行全面预算理念，在科学合理编制部门预算的基础上，同步编制机关内部预算，对部门预算中各项经费进一步细化，分类施控，严格执行，实现对经济活动全程管控，确保所有工作都在预算范围内有序进行，以此强化预算源头管控和精细化管理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二是强化流程管理。推进全面流程化管理，在专项资金分配、预算编制、财务审批和报销、资产管理、经济合同管理及政府采购等方面，都实施流程化、规范化管理模式，编制了财务管理操作流程，并设置了项目立项审议、大额资金通报、经济合同审批等环节，以财务管理为“牛鼻子”，全面提高内部管理水平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三是强化集中采购。树立全面节约意识，严控一般性行政经费支出。特别是在办公设备购置和办公用品使用方面，按照厉行节约、统筹调剂、合理使用的原则加强审核，严控支出，并逐步取得了一定成效。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四是强化专项管理。第一、建立专项资金管理项目库。实行专项资金全流程电子化管理。第二、科学合理分配各类专项资金，做到以事定钱，统筹使用，不固化资金使用方向和金额，集中财力办大事。第三、严格按程序和时效分配资金，并提出每一笔资金的分配方案和流程。第四、全面实施资金分配过程全公开，以尽量减少资金分配的随意性和人为因素影响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color w:val="0000FF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五是健全财务管理体系。财务管理体系已初见雏形。每一个项目，以“项目立项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--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项目单位确定（政府采购）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--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签订项目合同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--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资金支付审批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--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资金拨付”为主线，在项目立项环节，设置了大额项目审议环节；在项目单位确定的环节，对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规定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限额以上的严格按照政府采购相关规定执行；在签订项目合同环节，由审查小组对大额经济合同实行合同会签审查制度；在资金支付审批环节，除设有大额支付审批、通报制度外，对机关运行经费，还设有会议、培训计划控制、办公设备和办公用品集中采购、专家评审预算集中审核等措施。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我镇财务管理体系，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对各类专项资金分配、预算编制、财务审批、资产管理、经济合同管理及政府采购等工作，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都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提出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了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规范操作流程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部门整体支出绩效目标实现情况及指标分析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color w:val="0000FF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2022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年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廉州镇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人民政府在区委、区政府的正确领导下，在区级各部门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的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帮助下，全镇上下紧紧围绕年初制定的目标，攻坚克难，团结一心，较好的完成了年初制定的各项工作目标。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通过加强预算收支管理，不断建立健全内部管理制度，梳理内部管理流程，部门整体支出管理水平得到提升。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评价结论和评价等级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专项资金和具体预算支出项目的预期绩效目标完成情况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color w:val="F79646" w:themeColor="accent6"/>
          <w:sz w:val="32"/>
          <w:szCs w:val="32"/>
          <w:lang w:eastAsia="zh-CN"/>
          <w14:textFill>
            <w14:solidFill>
              <w14:schemeClr w14:val="accent6"/>
            </w14:solidFill>
          </w14:textFill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2022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年，我单位积极履职，强化管理，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完成了各项专项资金和具体预算支出项目的预期绩效目标，并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根据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设定的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绩效评价指标体系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对各项目进行了绩效自评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，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具体情况详见下表</w:t>
      </w:r>
      <w:r>
        <w:rPr>
          <w:rFonts w:hint="eastAsia" w:ascii="仿宋" w:hAnsi="仿宋" w:eastAsia="仿宋" w:cs="仿宋"/>
          <w:color w:val="F79646" w:themeColor="accent6"/>
          <w:sz w:val="32"/>
          <w:szCs w:val="32"/>
          <w:lang w:eastAsia="zh-CN"/>
          <w14:textFill>
            <w14:solidFill>
              <w14:schemeClr w14:val="accent6"/>
            </w14:solidFill>
          </w14:textFill>
        </w:rPr>
        <w:t>：</w:t>
      </w:r>
    </w:p>
    <w:tbl>
      <w:tblPr>
        <w:tblStyle w:val="5"/>
        <w:tblW w:w="9614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"/>
        <w:gridCol w:w="1202"/>
        <w:gridCol w:w="419"/>
        <w:gridCol w:w="125"/>
        <w:gridCol w:w="1023"/>
        <w:gridCol w:w="179"/>
        <w:gridCol w:w="952"/>
        <w:gridCol w:w="900"/>
        <w:gridCol w:w="799"/>
        <w:gridCol w:w="339"/>
        <w:gridCol w:w="389"/>
        <w:gridCol w:w="109"/>
        <w:gridCol w:w="673"/>
        <w:gridCol w:w="773"/>
        <w:gridCol w:w="597"/>
        <w:gridCol w:w="179"/>
        <w:gridCol w:w="38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961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部门绩效自评结果汇总表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2" w:hRule="atLeast"/>
        </w:trPr>
        <w:tc>
          <w:tcPr>
            <w:tcW w:w="446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主管部门：廉州镇人民政府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2023年_</w:t>
            </w:r>
            <w:r>
              <w:rPr>
                <w:rStyle w:val="12"/>
                <w:rFonts w:ascii="宋体" w:hAnsi="宋体" w:eastAsia="宋体" w:cs="宋体"/>
                <w:sz w:val="21"/>
                <w:szCs w:val="21"/>
                <w:lang w:val="en-US" w:eastAsia="zh-CN" w:bidi="ar"/>
              </w:rPr>
              <w:t>4</w:t>
            </w:r>
            <w:r>
              <w:rPr>
                <w:rStyle w:val="13"/>
                <w:sz w:val="21"/>
                <w:szCs w:val="21"/>
                <w:lang w:val="en-US" w:eastAsia="zh-CN" w:bidi="ar"/>
              </w:rPr>
              <w:t>_月_</w:t>
            </w:r>
            <w:r>
              <w:rPr>
                <w:rStyle w:val="12"/>
                <w:rFonts w:ascii="宋体" w:hAnsi="宋体" w:eastAsia="宋体" w:cs="宋体"/>
                <w:sz w:val="21"/>
                <w:szCs w:val="21"/>
                <w:lang w:val="en-US" w:eastAsia="zh-CN" w:bidi="ar"/>
              </w:rPr>
              <w:t>15</w:t>
            </w:r>
            <w:r>
              <w:rPr>
                <w:rStyle w:val="13"/>
                <w:sz w:val="21"/>
                <w:szCs w:val="21"/>
                <w:lang w:val="en-US" w:eastAsia="zh-CN" w:bidi="ar"/>
              </w:rPr>
              <w:t>_日</w:t>
            </w:r>
          </w:p>
        </w:tc>
        <w:tc>
          <w:tcPr>
            <w:tcW w:w="116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3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项目序号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项目实施单位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预算调整数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到位数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执行数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结转下年资金数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结余交回财政数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预算执行进度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自评得分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自评结果应用意见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2021年露天焚烧奖励专项资金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2700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20.00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20.00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20.00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调整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2022度政府工会费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2701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5.00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5.00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5.00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2022老旧小区改造前期费用项目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2702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218.43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218.43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218.43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2022年学区工会费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2704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42.26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42.26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42.26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办公设备购置费（综合工作经费）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2705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1.93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1.93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1.93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3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拨付原经贸系统关闭企业下放回乡的合同工、副业工涉军人员生活补贴（2022年）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2706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2.42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2.42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2.42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补贴村级服务群众专项经费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2707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1440.00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1440.00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1440.00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城乡社区环境卫生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2709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130.00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130.00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130.00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城中村改造驻村工作组经费补助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2710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10.00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10.00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10.00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调整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村级、社区独生子女费及奖补资金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2711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17.80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17.80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17.80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改厕资金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2713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11.09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11.09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11.09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调整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3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藁人居办字[2022]3号全区农村人居环境整治和路域环境整治观摩评比活动奖励资金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2714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10.00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10.00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10.00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调整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藁人居办字25号全区农村人居环境和路域环境整治观摩奖励资金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2715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8.00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8.00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8.00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调整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藁人居办字29号全区农村人居环境和路域环境整治观摩奖励资金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2716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8.00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8.00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8.00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调整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公益事业占地补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2717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1613.65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1613.65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1613.65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教育支出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2718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350.00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350.00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350.00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廉州镇疫情防控隔离点底商补偿资金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2721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2.77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2.77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2.77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调整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廉州镇追加社区工资及社保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2722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107.32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107.32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107.32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粮价补贴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2723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555.44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555.44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555.44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农村环境保护与违法治理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2724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280.00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280.00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280.00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农村文化建设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2725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60.00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60.00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60.00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人居环境整治补助资金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2726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30.00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30.00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30.00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调整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社区办公用房租金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2727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93.11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93.11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93.11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社区工作者工资及社保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2728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480.00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480.00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480.00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社区红色物业补贴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2729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160.11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160.11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160.11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旺洋电力设施配套工程改造费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2730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344.65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344.65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344.65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危房改造(过渡费）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2731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151.96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151.96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151.96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调整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危房改造（临时过渡费）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2732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134.41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134.41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134.41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调整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慰问、救助、惠民补助等开支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2733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1.67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1.67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1.67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小城镇基础设施建设及维修改造费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2734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300.00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300.00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300.00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信访稳定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2735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137.09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137.09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137.09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学区工会费（留存部分）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2736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35.00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35.00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35.00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业务咨询委托费（综合工作经费）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2737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40.00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40.00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40.00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疫情防控隔离点底商补偿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2738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2.48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2.48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2.48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调整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灾害防治、应急管理、疫情防控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2739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125.00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125.00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125.00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灾害防治、应急管理、疫情防控经费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2740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120.00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120.00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120.00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调整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占地补偿费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2741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10.29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10.29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10.29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政府后勤保障（综合工作经费）（运转保障）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2742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35.00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35.00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35.00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综合公用经费（综合工作经费）（运转保障）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2743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85.91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85.91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85.91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7180.79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7180.79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7180.79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2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填表人：王丽</w:t>
            </w:r>
          </w:p>
        </w:tc>
        <w:tc>
          <w:tcPr>
            <w:tcW w:w="11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11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88122896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审核领导签字人：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961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华文仿宋" w:hAnsi="华文仿宋" w:eastAsia="华文仿宋" w:cs="华文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华文仿宋" w:hAnsi="华文仿宋" w:eastAsia="华文仿宋" w:cs="华文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备注：项目序号为《2022年度项目汇总表》附件9中标注的序号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Chars="0" w:right="0" w:rightChars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Chars="0" w:right="0" w:rightChars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2.存在问题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从项目的实施情况来看，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个别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项目在资金安排、使用的过程中在某些方面存在不足，对于项目支出运行实践经验还有所欠缺，相关制度建设还有待进一步加强。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0000FF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评价结论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根据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各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项目执行情况和项目绩效情况，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我单位各项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资金项目绩效评价得分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均在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95分以上，因此，我单位2022年部门年度绩效自评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等级为优秀。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、整改措</w:t>
      </w:r>
      <w:r>
        <w:rPr>
          <w:rFonts w:hint="eastAsia" w:ascii="黑体" w:hAnsi="黑体" w:eastAsia="黑体" w:cs="黑体"/>
          <w:sz w:val="32"/>
          <w:szCs w:val="32"/>
        </w:rPr>
        <w:t>施及结果应用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主要包括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存在主要问题，并</w:t>
      </w:r>
      <w:r>
        <w:rPr>
          <w:rFonts w:hint="eastAsia" w:ascii="仿宋" w:hAnsi="仿宋" w:eastAsia="仿宋" w:cs="仿宋"/>
          <w:sz w:val="32"/>
          <w:szCs w:val="32"/>
        </w:rPr>
        <w:t>针对存在的问题，研究制定的整改思路和工作措施，在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健全制度、完善政策、改进管理、优化</w:t>
      </w:r>
      <w:r>
        <w:rPr>
          <w:rFonts w:hint="eastAsia" w:ascii="仿宋" w:hAnsi="仿宋" w:eastAsia="仿宋" w:cs="仿宋"/>
          <w:sz w:val="32"/>
          <w:szCs w:val="32"/>
        </w:rPr>
        <w:t>流程等提高部门绩效方面的具体做法，在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整合资金、调整项目及改善投向等优化部门支出结构方面的安排，在提高绩效目标设置质量方面的打算等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六、评价工作组人员名单及签字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主要包括姓名、工作单位、职务等。</w:t>
      </w:r>
    </w:p>
    <w:tbl>
      <w:tblPr>
        <w:tblStyle w:val="6"/>
        <w:tblW w:w="928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95"/>
        <w:gridCol w:w="3096"/>
        <w:gridCol w:w="30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工作单位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王国刚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廉州镇人民政府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安志海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廉州镇人民政府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镇长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师磊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廉州镇人民政府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副书记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程军伟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廉州镇人民政府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副书记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杨宏朝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廉州镇人民政府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中心社区书记</w:t>
            </w:r>
          </w:p>
        </w:tc>
      </w:tr>
    </w:tbl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书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华文仿宋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79F1EC4"/>
    <w:multiLevelType w:val="singleLevel"/>
    <w:tmpl w:val="B79F1EC4"/>
    <w:lvl w:ilvl="0" w:tentative="0">
      <w:start w:val="3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djZTFlMmY2NTdjNWQzYjk1ODFlZTZlY2VmMjEyZjY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1D4810"/>
    <w:rsid w:val="055B525F"/>
    <w:rsid w:val="0E87566C"/>
    <w:rsid w:val="13B61930"/>
    <w:rsid w:val="1BAF1154"/>
    <w:rsid w:val="1C655171"/>
    <w:rsid w:val="20276775"/>
    <w:rsid w:val="311A0102"/>
    <w:rsid w:val="314309D2"/>
    <w:rsid w:val="3AEF6FE7"/>
    <w:rsid w:val="3CAE5B01"/>
    <w:rsid w:val="493B718D"/>
    <w:rsid w:val="49F97E45"/>
    <w:rsid w:val="4C5C0849"/>
    <w:rsid w:val="53A42ADD"/>
    <w:rsid w:val="5C4A315B"/>
    <w:rsid w:val="658729D1"/>
    <w:rsid w:val="65BE1B37"/>
    <w:rsid w:val="661D3074"/>
    <w:rsid w:val="6BDE7164"/>
    <w:rsid w:val="73EF631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8">
    <w:name w:val="页眉 Char"/>
    <w:basedOn w:val="7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2"/>
    <w:qFormat/>
    <w:uiPriority w:val="99"/>
    <w:rPr>
      <w:sz w:val="18"/>
      <w:szCs w:val="18"/>
    </w:rPr>
  </w:style>
  <w:style w:type="paragraph" w:customStyle="1" w:styleId="10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character" w:customStyle="1" w:styleId="12">
    <w:name w:val="font132"/>
    <w:basedOn w:val="7"/>
    <w:uiPriority w:val="0"/>
    <w:rPr>
      <w:rFonts w:hint="eastAsia" w:ascii="宋体" w:hAnsi="宋体" w:eastAsia="宋体" w:cs="宋体"/>
      <w:b/>
      <w:bCs/>
      <w:color w:val="000000"/>
      <w:sz w:val="28"/>
      <w:szCs w:val="28"/>
      <w:u w:val="single"/>
    </w:rPr>
  </w:style>
  <w:style w:type="character" w:customStyle="1" w:styleId="13">
    <w:name w:val="font21"/>
    <w:basedOn w:val="7"/>
    <w:uiPriority w:val="0"/>
    <w:rPr>
      <w:rFonts w:hint="eastAsia" w:ascii="宋体" w:hAnsi="宋体" w:eastAsia="宋体" w:cs="宋体"/>
      <w:b/>
      <w:bCs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10</Pages>
  <Words>4523</Words>
  <Characters>5496</Characters>
  <Lines>3</Lines>
  <Paragraphs>1</Paragraphs>
  <TotalTime>2</TotalTime>
  <ScaleCrop>false</ScaleCrop>
  <LinksUpToDate>false</LinksUpToDate>
  <CharactersWithSpaces>5617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2023-06-19T07:47:00Z</cp:lastPrinted>
  <dcterms:modified xsi:type="dcterms:W3CDTF">2024-02-23T02:05:15Z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0BDFEC1D56954247A2DB87A93F5F7C0F_12</vt:lpwstr>
  </property>
</Properties>
</file>