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中国共产党石家庄市藁城区委员会</w:t>
      </w:r>
      <w:r>
        <w:rPr>
          <w:rFonts w:hint="eastAsia" w:ascii="方正小标宋_GBK" w:hAnsi="Times New Roman" w:eastAsia="方正小标宋_GBK" w:cs="Times New Roman"/>
          <w:bCs/>
          <w:sz w:val="44"/>
          <w:szCs w:val="44"/>
          <w:lang w:eastAsia="zh-CN"/>
        </w:rPr>
        <w:t>统战</w:t>
      </w:r>
      <w:r>
        <w:rPr>
          <w:rFonts w:hint="eastAsia" w:ascii="方正小标宋_GBK" w:hAnsi="Times New Roman" w:eastAsia="方正小标宋_GBK" w:cs="Times New Roman"/>
          <w:bCs/>
          <w:sz w:val="44"/>
          <w:szCs w:val="44"/>
        </w:rPr>
        <w:t>部   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w:t>
      </w:r>
      <w:bookmarkStart w:id="7" w:name="_GoBack"/>
      <w:bookmarkEnd w:id="7"/>
      <w:r>
        <w:rPr>
          <w:rFonts w:hint="eastAsia" w:ascii="Times New Roman" w:hAnsi="Times New Roman" w:eastAsia="仿宋" w:cs="Times New Roman"/>
          <w:sz w:val="32"/>
          <w:szCs w:val="32"/>
        </w:rPr>
        <w:t>预算法》、《地方预决算公开操作规程》和《河北省省级预算公开办法》规定，现将</w:t>
      </w:r>
      <w:r>
        <w:rPr>
          <w:rFonts w:hint="eastAsia" w:ascii="仿宋" w:hAnsi="仿宋" w:eastAsia="仿宋"/>
          <w:sz w:val="32"/>
          <w:szCs w:val="32"/>
        </w:rPr>
        <w:t>中国共产党石家庄市藁城区委员会</w:t>
      </w:r>
      <w:r>
        <w:rPr>
          <w:rFonts w:hint="eastAsia" w:ascii="仿宋" w:hAnsi="仿宋" w:eastAsia="仿宋"/>
          <w:sz w:val="32"/>
          <w:szCs w:val="32"/>
          <w:lang w:eastAsia="zh-CN"/>
        </w:rPr>
        <w:t>统战</w:t>
      </w:r>
      <w:r>
        <w:rPr>
          <w:rFonts w:hint="eastAsia" w:ascii="仿宋" w:hAnsi="仿宋" w:eastAsia="仿宋"/>
          <w:sz w:val="32"/>
          <w:szCs w:val="32"/>
        </w:rPr>
        <w:t>部</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hint="eastAsia"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（一）</w:t>
      </w:r>
      <w:r>
        <w:rPr>
          <w:rFonts w:hint="eastAsia" w:ascii="仿宋" w:hAnsi="仿宋" w:eastAsia="仿宋" w:cs="仿宋_GB2312"/>
          <w:color w:val="000000"/>
          <w:sz w:val="32"/>
          <w:szCs w:val="32"/>
          <w:shd w:val="clear" w:color="auto" w:fill="FFFFFF"/>
        </w:rPr>
        <w:t>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和省委、市委及区委关于统一战线工作重大决策部署，巩固壮大最广泛的统一战线。</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（二）</w:t>
      </w:r>
      <w:r>
        <w:rPr>
          <w:rFonts w:hint="eastAsia" w:ascii="仿宋" w:hAnsi="仿宋" w:eastAsia="仿宋" w:cs="仿宋_GB2312"/>
          <w:color w:val="000000"/>
          <w:sz w:val="32"/>
          <w:szCs w:val="32"/>
          <w:shd w:val="clear" w:color="auto" w:fill="FFFFFF"/>
        </w:rPr>
        <w:t>开展统一战线理论研究，贯彻落实统一战线工作的政策、地方性法规，深入调查研究，及时向区委报告统一战线工作情况并提出建议，统筹协调和指导各乡镇、石家庄经济技术开发区、藁城经济开发区和区直各部门统一战线工作。</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（三）</w:t>
      </w:r>
      <w:r>
        <w:rPr>
          <w:rFonts w:hint="eastAsia" w:ascii="仿宋" w:hAnsi="仿宋" w:eastAsia="仿宋" w:cs="仿宋_GB2312"/>
          <w:color w:val="000000"/>
          <w:sz w:val="32"/>
          <w:szCs w:val="32"/>
          <w:shd w:val="clear" w:color="auto" w:fill="FFFFFF"/>
        </w:rPr>
        <w:t>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（四）</w:t>
      </w:r>
      <w:r>
        <w:rPr>
          <w:rFonts w:hint="eastAsia" w:ascii="仿宋" w:hAnsi="仿宋" w:eastAsia="仿宋" w:cs="仿宋_GB2312"/>
          <w:color w:val="000000"/>
          <w:sz w:val="32"/>
          <w:szCs w:val="32"/>
          <w:shd w:val="clear" w:color="auto" w:fill="FFFFFF"/>
        </w:rPr>
        <w:t>贯彻落实党的宣传工作方针，统筹推进全区统一战线宣传工作，拟订全区统一战线宣传工作规划并组织实施，研判涉及统一战线的舆情并协调有关部门应对处置。</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（五）</w:t>
      </w:r>
      <w:r>
        <w:rPr>
          <w:rFonts w:hint="eastAsia" w:ascii="仿宋" w:hAnsi="仿宋" w:eastAsia="仿宋" w:cs="仿宋_GB2312"/>
          <w:color w:val="000000"/>
          <w:sz w:val="32"/>
          <w:szCs w:val="32"/>
          <w:shd w:val="clear" w:color="auto" w:fill="FFFFFF"/>
        </w:rPr>
        <w:t>负责联系各民主党派，通报情况、反映意见，贯彻落实中国共产党领导的多党合作和政治协商制度以及对民主党派的方针政策，支持、帮助民主党派加强自身建设，做好支持民主党派履行职责、发挥作用的工作。</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(六）</w:t>
      </w:r>
      <w:r>
        <w:rPr>
          <w:rFonts w:hint="eastAsia" w:ascii="仿宋" w:hAnsi="仿宋" w:eastAsia="仿宋" w:cs="仿宋_GB2312"/>
          <w:color w:val="000000"/>
          <w:sz w:val="32"/>
          <w:szCs w:val="32"/>
          <w:shd w:val="clear" w:color="auto" w:fill="FFFFFF"/>
        </w:rPr>
        <w:t>统一领导民族宗教工作，贯彻落实党的民族宗教工作方针和政策，拟订民族宗教工作的政策措施并督导落实，协调处理民族宗教工作中的重大问题，归口领导区民族宗教事务局，全面促进民族宗教事业发展，维护全区民族宗教领域和谐稳定。</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（七）</w:t>
      </w:r>
      <w:r>
        <w:rPr>
          <w:rFonts w:hint="eastAsia" w:ascii="仿宋" w:hAnsi="仿宋" w:eastAsia="仿宋" w:cs="仿宋_GB2312"/>
          <w:color w:val="000000"/>
          <w:sz w:val="32"/>
          <w:szCs w:val="32"/>
          <w:shd w:val="clear" w:color="auto" w:fill="FFFFFF"/>
        </w:rPr>
        <w:t>负责联系、培养无党派代表人士，支持、帮助无党派人士加强自身建设，发挥作用。调查研究党外知识分子和新的社会阶层人士情况并提出政策建议，联系、培养党外知识分子和新的社会阶层代表人士，开展思想政治工作，指导企业等有关单位和社会组织开展党外知识分子和新的社会阶展人士统战工作。</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（八）</w:t>
      </w:r>
      <w:r>
        <w:rPr>
          <w:rFonts w:hint="eastAsia" w:ascii="仿宋" w:hAnsi="仿宋" w:eastAsia="仿宋" w:cs="仿宋_GB2312"/>
          <w:color w:val="000000"/>
          <w:sz w:val="32"/>
          <w:szCs w:val="32"/>
          <w:shd w:val="clear" w:color="auto" w:fill="FFFFFF"/>
        </w:rPr>
        <w:t>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（九）</w:t>
      </w:r>
      <w:r>
        <w:rPr>
          <w:rFonts w:hint="eastAsia" w:ascii="仿宋" w:hAnsi="仿宋" w:eastAsia="仿宋" w:cs="仿宋_GB2312"/>
          <w:color w:val="000000"/>
          <w:sz w:val="32"/>
          <w:szCs w:val="32"/>
          <w:shd w:val="clear" w:color="auto" w:fill="FFFFFF"/>
        </w:rPr>
        <w:t>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（十）</w:t>
      </w:r>
      <w:r>
        <w:rPr>
          <w:rFonts w:hint="eastAsia" w:ascii="仿宋" w:hAnsi="仿宋" w:eastAsia="仿宋" w:cs="仿宋_GB2312"/>
          <w:color w:val="000000"/>
          <w:sz w:val="32"/>
          <w:szCs w:val="32"/>
          <w:shd w:val="clear" w:color="auto" w:fill="FFFFFF"/>
        </w:rPr>
        <w:t>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（十一）</w:t>
      </w:r>
      <w:r>
        <w:rPr>
          <w:rFonts w:hint="eastAsia" w:ascii="仿宋" w:hAnsi="仿宋" w:eastAsia="仿宋" w:cs="仿宋_GB2312"/>
          <w:color w:val="000000"/>
          <w:sz w:val="32"/>
          <w:szCs w:val="32"/>
          <w:shd w:val="clear" w:color="auto" w:fill="FFFFFF"/>
        </w:rPr>
        <w:t>负责全区涉台工作，贯彻执行党中央、国务院对台工作的方针政策。开展对台工作调查研究并结合我区实际提出对策和建议。组织、指导、管理、协调区委、区政府各部门的对台工作；检查了解各部门对党中央、国务院，省委、省政府，市委、市政府对台方针政策和区委、区政府有关对台工作指示贯彻落实情况。调查研究台湾形势和藁台经贸之间交流往来动向，提出对策建议。统筹协调涉台法律事务。会同有关部门统筹协调和指导对台经贸工作。组织重要台商的投资活动，参与区政府对台大型招商活动。协调、指导全区涉台金融、文化、学术、教育、科技、体育、卫生等领域的交流与合作及藁台人员往来工作。负责我区赴台交流事项的报批和赴台交流人员的行前指导及归后总结工作；负责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（十二)</w:t>
      </w:r>
      <w:r>
        <w:rPr>
          <w:rFonts w:hint="eastAsia" w:ascii="仿宋" w:hAnsi="仿宋" w:eastAsia="仿宋" w:cs="仿宋_GB2312"/>
          <w:color w:val="000000"/>
          <w:sz w:val="32"/>
          <w:szCs w:val="32"/>
          <w:shd w:val="clear" w:color="auto" w:fill="FFFFFF"/>
        </w:rPr>
        <w:t>负责统战系统干部的培训工作；协助做好民族宗教部门领导班子成员推荐工作；受区委委托，领导区工商联党组，指导区工商联工作。做好统一战线有关单位和团体的管理工作。</w:t>
      </w:r>
    </w:p>
    <w:p>
      <w:pPr>
        <w:adjustRightInd w:val="0"/>
        <w:snapToGrid w:val="0"/>
        <w:spacing w:line="560" w:lineRule="exact"/>
        <w:ind w:firstLine="640" w:firstLineChars="200"/>
        <w:rPr>
          <w:rFonts w:ascii="仿宋_GB2312" w:hAnsi="Cambria" w:eastAsia="仿宋_GB2312" w:cs="ArialUnicodeMS"/>
          <w:kern w:val="0"/>
          <w:sz w:val="32"/>
          <w:szCs w:val="32"/>
        </w:rPr>
      </w:pPr>
      <w:r>
        <w:rPr>
          <w:rFonts w:hint="eastAsia" w:ascii="楷体" w:hAnsi="楷体" w:eastAsia="楷体" w:cs="仿宋_GB2312"/>
          <w:color w:val="000000"/>
          <w:sz w:val="32"/>
          <w:szCs w:val="32"/>
          <w:shd w:val="clear" w:color="auto" w:fill="FFFFFF"/>
        </w:rPr>
        <w:t>（十三)</w:t>
      </w:r>
      <w:r>
        <w:rPr>
          <w:rFonts w:hint="eastAsia" w:ascii="仿宋" w:hAnsi="仿宋" w:eastAsia="仿宋" w:cs="仿宋_GB2312"/>
          <w:color w:val="000000"/>
          <w:sz w:val="32"/>
          <w:szCs w:val="32"/>
          <w:shd w:val="clear" w:color="auto" w:fill="FFFFFF"/>
        </w:rPr>
        <w:t>完成区委交办的其他任务。</w:t>
      </w:r>
    </w:p>
    <w:p>
      <w:pPr>
        <w:ind w:firstLine="561"/>
        <w:rPr>
          <w:rFonts w:hint="eastAsia" w:ascii="Times New Roman" w:hAnsi="Times New Roman" w:eastAsia="仿宋" w:cs="Times New Roman"/>
          <w:sz w:val="32"/>
          <w:szCs w:val="32"/>
        </w:rPr>
      </w:pPr>
    </w:p>
    <w:p>
      <w:pPr>
        <w:ind w:firstLine="561"/>
        <w:rPr>
          <w:rFonts w:ascii="Times New Roman" w:hAnsi="Times New Roman"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90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24"/>
        <w:gridCol w:w="1358"/>
        <w:gridCol w:w="1260"/>
        <w:gridCol w:w="22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tblHeader/>
          <w:jc w:val="center"/>
        </w:trPr>
        <w:tc>
          <w:tcPr>
            <w:tcW w:w="412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358"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60"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29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tblHeader/>
          <w:jc w:val="center"/>
        </w:trPr>
        <w:tc>
          <w:tcPr>
            <w:tcW w:w="4124" w:type="dxa"/>
            <w:vMerge w:val="continue"/>
            <w:vAlign w:val="center"/>
          </w:tcPr>
          <w:p>
            <w:pPr>
              <w:spacing w:line="300" w:lineRule="exact"/>
              <w:jc w:val="left"/>
              <w:outlineLvl w:val="0"/>
              <w:rPr>
                <w:rFonts w:ascii="Times New Roman" w:hAnsi="Times New Roman" w:cs="Times New Roman"/>
                <w:szCs w:val="24"/>
              </w:rPr>
            </w:pPr>
          </w:p>
        </w:tc>
        <w:tc>
          <w:tcPr>
            <w:tcW w:w="1358" w:type="dxa"/>
            <w:vMerge w:val="continue"/>
            <w:vAlign w:val="center"/>
          </w:tcPr>
          <w:p>
            <w:pPr>
              <w:spacing w:line="300" w:lineRule="exact"/>
              <w:jc w:val="left"/>
              <w:outlineLvl w:val="0"/>
              <w:rPr>
                <w:rFonts w:ascii="Times New Roman" w:hAnsi="Times New Roman" w:cs="Times New Roman"/>
                <w:szCs w:val="24"/>
              </w:rPr>
            </w:pPr>
          </w:p>
        </w:tc>
        <w:tc>
          <w:tcPr>
            <w:tcW w:w="1260" w:type="dxa"/>
            <w:vMerge w:val="continue"/>
            <w:vAlign w:val="center"/>
          </w:tcPr>
          <w:p>
            <w:pPr>
              <w:spacing w:line="300" w:lineRule="exact"/>
              <w:jc w:val="left"/>
              <w:outlineLvl w:val="0"/>
              <w:rPr>
                <w:rFonts w:ascii="Times New Roman" w:hAnsi="Times New Roman" w:cs="Times New Roman"/>
                <w:szCs w:val="24"/>
              </w:rPr>
            </w:pPr>
          </w:p>
        </w:tc>
        <w:tc>
          <w:tcPr>
            <w:tcW w:w="2294"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4124"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中国共产党石家庄市藁城区委员会</w:t>
            </w:r>
            <w:r>
              <w:rPr>
                <w:rFonts w:hint="eastAsia" w:ascii="方正书宋_GBK" w:eastAsia="方正书宋_GBK"/>
                <w:lang w:eastAsia="zh-CN"/>
              </w:rPr>
              <w:t>统战部</w:t>
            </w:r>
          </w:p>
        </w:tc>
        <w:tc>
          <w:tcPr>
            <w:tcW w:w="1358" w:type="dxa"/>
            <w:vAlign w:val="center"/>
          </w:tcPr>
          <w:p>
            <w:pPr>
              <w:spacing w:line="300" w:lineRule="exact"/>
              <w:jc w:val="center"/>
              <w:rPr>
                <w:rFonts w:ascii="方正书宋_GBK" w:eastAsia="方正书宋_GBK"/>
              </w:rPr>
            </w:pPr>
            <w:r>
              <w:rPr>
                <w:rFonts w:hint="eastAsia" w:ascii="方正书宋_GBK" w:eastAsia="方正书宋_GBK"/>
              </w:rPr>
              <w:t>行政</w:t>
            </w:r>
          </w:p>
        </w:tc>
        <w:tc>
          <w:tcPr>
            <w:tcW w:w="1260" w:type="dxa"/>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294" w:type="dxa"/>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4124" w:type="dxa"/>
            <w:vAlign w:val="center"/>
          </w:tcPr>
          <w:p>
            <w:pPr>
              <w:spacing w:line="300" w:lineRule="exact"/>
              <w:jc w:val="center"/>
              <w:rPr>
                <w:rFonts w:hint="eastAsia" w:ascii="方正书宋_GBK" w:eastAsia="方正书宋_GBK"/>
              </w:rPr>
            </w:pPr>
          </w:p>
        </w:tc>
        <w:tc>
          <w:tcPr>
            <w:tcW w:w="1358" w:type="dxa"/>
            <w:vAlign w:val="center"/>
          </w:tcPr>
          <w:p>
            <w:pPr>
              <w:spacing w:line="300" w:lineRule="exact"/>
              <w:jc w:val="center"/>
              <w:rPr>
                <w:rFonts w:hint="eastAsia" w:ascii="方正书宋_GBK" w:eastAsia="方正书宋_GBK"/>
              </w:rPr>
            </w:pPr>
          </w:p>
        </w:tc>
        <w:tc>
          <w:tcPr>
            <w:tcW w:w="1260" w:type="dxa"/>
            <w:vAlign w:val="center"/>
          </w:tcPr>
          <w:p>
            <w:pPr>
              <w:spacing w:line="300" w:lineRule="exact"/>
              <w:jc w:val="center"/>
              <w:rPr>
                <w:rFonts w:hint="eastAsia" w:ascii="方正书宋_GBK" w:eastAsia="方正书宋_GBK"/>
              </w:rPr>
            </w:pPr>
          </w:p>
        </w:tc>
        <w:tc>
          <w:tcPr>
            <w:tcW w:w="2294" w:type="dxa"/>
            <w:vAlign w:val="center"/>
          </w:tcPr>
          <w:p>
            <w:pPr>
              <w:spacing w:line="300" w:lineRule="exact"/>
              <w:jc w:val="center"/>
              <w:rPr>
                <w:rFonts w:hint="eastAsia" w:ascii="方正书宋_GBK" w:eastAsia="方正书宋_GBK"/>
              </w:rPr>
            </w:pP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151.4</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151.4</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收支预算总表支出栏、基本支出表、项目支出表按经济分类和支出功能分类科目编制，反映中国共产党</w:t>
      </w:r>
      <w:r>
        <w:rPr>
          <w:rFonts w:hint="eastAsia" w:ascii="仿宋" w:hAnsi="仿宋" w:eastAsia="仿宋"/>
          <w:sz w:val="32"/>
          <w:szCs w:val="32"/>
        </w:rPr>
        <w:t>石家庄市藁城区委员会</w:t>
      </w:r>
      <w:r>
        <w:rPr>
          <w:rFonts w:hint="eastAsia" w:ascii="仿宋" w:hAnsi="仿宋" w:eastAsia="仿宋"/>
          <w:sz w:val="32"/>
          <w:szCs w:val="32"/>
          <w:lang w:eastAsia="zh-CN"/>
        </w:rPr>
        <w:t>统战部</w:t>
      </w:r>
      <w:r>
        <w:rPr>
          <w:rFonts w:hint="eastAsia" w:ascii="Times New Roman" w:hAnsi="Times New Roman" w:eastAsia="仿宋" w:cs="Times New Roman"/>
          <w:sz w:val="32"/>
          <w:szCs w:val="32"/>
        </w:rPr>
        <w:t>预算中支出预算的总体情况。2020年部门支出预算为</w:t>
      </w:r>
      <w:r>
        <w:rPr>
          <w:rFonts w:hint="eastAsia" w:ascii="Times New Roman" w:hAnsi="Times New Roman" w:eastAsia="仿宋" w:cs="Times New Roman"/>
          <w:sz w:val="32"/>
          <w:szCs w:val="32"/>
          <w:lang w:val="en-US" w:eastAsia="zh-CN"/>
        </w:rPr>
        <w:t>151.4</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123.96</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111.21</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12.75</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27.44</w:t>
      </w:r>
      <w:r>
        <w:rPr>
          <w:rFonts w:hint="eastAsia" w:ascii="Times New Roman" w:hAnsi="Times New Roman" w:eastAsia="仿宋" w:cs="Times New Roman"/>
          <w:sz w:val="32"/>
          <w:szCs w:val="32"/>
        </w:rPr>
        <w:t>万元，</w:t>
      </w:r>
      <w:r>
        <w:rPr>
          <w:rFonts w:hint="eastAsia" w:ascii="仿宋" w:hAnsi="仿宋" w:eastAsia="仿宋" w:cs="仿宋"/>
          <w:sz w:val="32"/>
          <w:szCs w:val="32"/>
        </w:rPr>
        <w:t>主要用于</w:t>
      </w:r>
      <w:r>
        <w:rPr>
          <w:rFonts w:hint="eastAsia" w:ascii="仿宋" w:hAnsi="仿宋" w:eastAsia="仿宋" w:cs="仿宋"/>
          <w:sz w:val="32"/>
          <w:szCs w:val="32"/>
          <w:lang w:eastAsia="zh-CN"/>
        </w:rPr>
        <w:t>统战</w:t>
      </w:r>
      <w:r>
        <w:rPr>
          <w:rFonts w:hint="eastAsia" w:ascii="仿宋" w:hAnsi="仿宋" w:eastAsia="仿宋" w:cs="仿宋"/>
          <w:sz w:val="32"/>
          <w:szCs w:val="32"/>
        </w:rPr>
        <w:t>工作各项活动</w:t>
      </w:r>
      <w:r>
        <w:rPr>
          <w:rFonts w:hint="eastAsia" w:ascii="Times New Roman" w:hAnsi="Times New Roman" w:eastAsia="仿宋" w:cs="Times New Roman"/>
          <w:sz w:val="32"/>
          <w:szCs w:val="32"/>
        </w:rPr>
        <w:t>；其他支出0万元。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color w:val="000000"/>
          <w:sz w:val="32"/>
          <w:szCs w:val="32"/>
          <w:lang w:val="en-US" w:eastAsia="zh-CN"/>
        </w:rPr>
        <w:t>151.4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38.43</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34.99</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人员增加</w:t>
      </w:r>
      <w:r>
        <w:rPr>
          <w:rFonts w:hint="eastAsia" w:ascii="Times New Roman" w:hAnsi="Times New Roman" w:eastAsia="仿宋" w:cs="Times New Roman"/>
          <w:sz w:val="32"/>
          <w:szCs w:val="32"/>
          <w:lang w:val="en-US" w:eastAsia="zh-CN"/>
        </w:rPr>
        <w:t>2人，</w:t>
      </w:r>
      <w:r>
        <w:rPr>
          <w:rFonts w:hint="eastAsia" w:ascii="Times New Roman" w:hAnsi="Times New Roman" w:eastAsia="仿宋" w:cs="Times New Roman"/>
          <w:sz w:val="32"/>
          <w:szCs w:val="32"/>
        </w:rPr>
        <w:t>人员经费和日常公用经费</w:t>
      </w:r>
      <w:r>
        <w:rPr>
          <w:rFonts w:hint="eastAsia" w:ascii="Times New Roman" w:hAnsi="Times New Roman" w:eastAsia="仿宋" w:cs="Times New Roman"/>
          <w:sz w:val="32"/>
          <w:szCs w:val="32"/>
          <w:lang w:eastAsia="zh-CN"/>
        </w:rPr>
        <w:t>相应增加</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3.44</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上级财政提前通知转移支付列入预算和增加归国华侨退休职工生活补贴经费</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项目支出；其他支出无增减变化。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ind w:firstLine="720"/>
        <w:rPr>
          <w:rFonts w:hint="eastAsia" w:ascii="仿宋" w:hAnsi="仿宋" w:eastAsia="仿宋" w:cs="仿宋"/>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12.75</w:t>
      </w:r>
      <w:r>
        <w:rPr>
          <w:rFonts w:hint="eastAsia" w:ascii="Times New Roman" w:hAnsi="Times New Roman" w:eastAsia="仿宋" w:cs="Times New Roman"/>
          <w:sz w:val="32"/>
          <w:szCs w:val="32"/>
        </w:rPr>
        <w:t>万元，</w:t>
      </w:r>
      <w:r>
        <w:rPr>
          <w:rFonts w:hint="eastAsia" w:ascii="仿宋" w:hAnsi="仿宋" w:eastAsia="仿宋" w:cs="仿宋"/>
          <w:sz w:val="32"/>
          <w:szCs w:val="32"/>
        </w:rPr>
        <w:t>主要用于</w:t>
      </w:r>
      <w:r>
        <w:rPr>
          <w:rFonts w:hint="eastAsia" w:ascii="仿宋" w:hAnsi="仿宋" w:eastAsia="仿宋"/>
          <w:sz w:val="32"/>
          <w:szCs w:val="32"/>
        </w:rPr>
        <w:t>单位</w:t>
      </w:r>
      <w:r>
        <w:rPr>
          <w:rFonts w:hint="eastAsia" w:ascii="仿宋" w:hAnsi="仿宋" w:eastAsia="仿宋" w:cs="Times New Roman"/>
          <w:sz w:val="32"/>
          <w:szCs w:val="32"/>
        </w:rPr>
        <w:t>日常办公费、印刷费、邮电费、差旅费、会议费、福利费、日常维修费、专用材料及一般设备购置费及其他费用</w:t>
      </w:r>
      <w:r>
        <w:rPr>
          <w:rFonts w:ascii="仿宋" w:hAnsi="仿宋" w:eastAsia="仿宋" w:cs="Times New Roman"/>
          <w:sz w:val="32"/>
          <w:szCs w:val="32"/>
        </w:rPr>
        <w:t>支出。</w:t>
      </w:r>
      <w:r>
        <w:rPr>
          <w:rFonts w:ascii="仿宋" w:hAnsi="仿宋" w:eastAsia="仿宋"/>
          <w:sz w:val="32"/>
          <w:szCs w:val="32"/>
        </w:rPr>
        <w:t xml:space="preserve"> </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万元，与上年持平，无增减变化</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与上年持平，无增减变化；公务用车购置及运维费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与上年持平，无增减变化；公务接待费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numPr>
          <w:ilvl w:val="0"/>
          <w:numId w:val="1"/>
        </w:numPr>
        <w:spacing w:before="156" w:beforeLines="50" w:after="156" w:afterLines="50" w:line="580" w:lineRule="exact"/>
        <w:ind w:firstLine="629"/>
        <w:rPr>
          <w:rFonts w:hint="eastAsia" w:eastAsia="方正黑体_GBK"/>
          <w:sz w:val="32"/>
          <w:szCs w:val="32"/>
        </w:rPr>
      </w:pPr>
      <w:r>
        <w:rPr>
          <w:rFonts w:hint="eastAsia" w:eastAsia="方正黑体_GBK"/>
          <w:sz w:val="32"/>
          <w:szCs w:val="32"/>
        </w:rPr>
        <w:t>总体绩效目标</w:t>
      </w:r>
    </w:p>
    <w:p>
      <w:pPr>
        <w:ind w:firstLine="640" w:firstLineChars="200"/>
        <w:rPr>
          <w:rFonts w:hint="eastAsia" w:ascii="仿宋" w:hAnsi="仿宋" w:eastAsia="仿宋" w:cs="仿宋"/>
          <w:b/>
          <w:sz w:val="32"/>
          <w:szCs w:val="32"/>
        </w:rPr>
      </w:pPr>
      <w:r>
        <w:rPr>
          <w:rFonts w:hint="eastAsia" w:ascii="仿宋" w:hAnsi="仿宋" w:eastAsia="仿宋"/>
          <w:sz w:val="32"/>
          <w:szCs w:val="32"/>
        </w:rPr>
        <w:t>区委统战部坚持以习近平新时代中国特色社会主义思想为统领，深入贯彻落实省、市委关于统一战线重大决策部署和省市有关会议精神，夯实基础保障，创新工作举措，开展主题活动，全力开创新时代统战工作新局面。</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rPr>
        <w:t>（一）</w:t>
      </w:r>
      <w:r>
        <w:rPr>
          <w:rFonts w:hint="eastAsia"/>
          <w:sz w:val="32"/>
          <w:szCs w:val="32"/>
        </w:rPr>
        <w:t>充分发挥民主党派参政议政作用</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85" w:lineRule="atLeast"/>
        <w:ind w:left="0" w:right="0" w:firstLine="645"/>
        <w:jc w:val="left"/>
        <w:rPr>
          <w:rFonts w:hint="eastAsia" w:ascii="微软雅黑" w:hAnsi="微软雅黑" w:eastAsia="微软雅黑" w:cs="微软雅黑"/>
          <w:i w:val="0"/>
          <w:caps w:val="0"/>
          <w:color w:val="333333"/>
          <w:spacing w:val="0"/>
          <w:sz w:val="24"/>
          <w:szCs w:val="24"/>
        </w:rPr>
      </w:pPr>
      <w:r>
        <w:rPr>
          <w:rFonts w:hint="eastAsia" w:ascii="仿宋" w:hAnsi="仿宋" w:eastAsia="仿宋" w:cs="仿宋"/>
          <w:b w:val="0"/>
          <w:bCs w:val="0"/>
          <w:sz w:val="32"/>
          <w:szCs w:val="32"/>
        </w:rPr>
        <w:t>绩效目标：</w:t>
      </w:r>
      <w:r>
        <w:rPr>
          <w:rFonts w:hint="eastAsia" w:ascii="仿宋_GB2312" w:hAnsi="Times New Roman" w:eastAsia="仿宋_GB2312" w:cs="仿宋_GB2312"/>
          <w:i w:val="0"/>
          <w:caps w:val="0"/>
          <w:color w:val="333333"/>
          <w:spacing w:val="0"/>
          <w:sz w:val="31"/>
          <w:szCs w:val="31"/>
          <w:shd w:val="clear" w:color="auto" w:fill="FFFFFF"/>
        </w:rPr>
        <w:t>联系各民主党派和无党派代表人士，及时通报情况，了解和反映他们的意见和建议；研究、贯彻中国共产党领导的多党合作和政治协商制度以及对民主党派的方针、政策；落实中央和省委、市委、区委关于发挥民主党派和无党派代表人士参政议政和民主监督作用的工作，为区委同民主党派进行政治协商做好联系工作；协助区委组织部做好区委管理的党外干部的推荐工作；支持、帮助各民主党派加强自身建设，履行参政议政职能。</w:t>
      </w:r>
    </w:p>
    <w:p>
      <w:pPr>
        <w:ind w:firstLine="640" w:firstLineChars="200"/>
        <w:rPr>
          <w:rFonts w:hint="eastAsia" w:ascii="仿宋_GB2312" w:hAnsi="仿宋_GB2312" w:eastAsia="仿宋_GB2312" w:cs="仿宋_GB2312"/>
          <w:b w:val="0"/>
          <w:bCs w:val="0"/>
          <w:sz w:val="32"/>
          <w:szCs w:val="32"/>
          <w:lang w:val="en-US" w:eastAsia="zh-CN"/>
        </w:rPr>
      </w:pPr>
      <w:r>
        <w:rPr>
          <w:rFonts w:hint="eastAsia" w:ascii="仿宋" w:hAnsi="仿宋" w:eastAsia="仿宋" w:cs="仿宋"/>
          <w:b w:val="0"/>
          <w:bCs w:val="0"/>
          <w:sz w:val="32"/>
          <w:szCs w:val="32"/>
        </w:rPr>
        <w:t>绩效指标：</w:t>
      </w:r>
      <w:r>
        <w:rPr>
          <w:rFonts w:hint="eastAsia" w:ascii="仿宋_GB2312" w:hAnsi="仿宋_GB2312" w:eastAsia="仿宋_GB2312" w:cs="仿宋_GB2312"/>
          <w:sz w:val="32"/>
          <w:szCs w:val="32"/>
        </w:rPr>
        <w:t>组织开展调研，向</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委、政协提交大会发言和集体提案，反映社情民意，参政议政方面提案提交数达到9件，反映完成社情民意数量</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条，完成调研报告2篇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组织扶贫、义诊等活动不少于</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次数，社会服务群众满意率,90%以上。开展政治理论和时事政策的学习教育活动，组织换届、后备干部培养和干部培训、基层建设工作，对会务活动和典型人物进行宣传。基层组织活动参与率87%以上，新会员培训率76%以上。</w:t>
      </w:r>
    </w:p>
    <w:p>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（二）</w:t>
      </w:r>
      <w:r>
        <w:rPr>
          <w:rFonts w:hint="eastAsia" w:ascii="仿宋" w:hAnsi="仿宋" w:eastAsia="仿宋" w:cs="仿宋"/>
          <w:b w:val="0"/>
          <w:bCs w:val="0"/>
          <w:sz w:val="32"/>
          <w:szCs w:val="32"/>
          <w:lang w:eastAsia="zh-CN"/>
        </w:rPr>
        <w:t>凝聚共识，发挥人才智力优势，服务经济社会发展。</w:t>
      </w:r>
    </w:p>
    <w:p>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绩效目标：</w:t>
      </w:r>
      <w:r>
        <w:rPr>
          <w:rFonts w:hint="eastAsia" w:ascii="仿宋" w:hAnsi="仿宋" w:eastAsia="仿宋" w:cs="仿宋"/>
          <w:b w:val="0"/>
          <w:bCs w:val="0"/>
          <w:sz w:val="32"/>
          <w:szCs w:val="32"/>
          <w:lang w:eastAsia="zh-CN"/>
        </w:rPr>
        <w:t>调查研究党外知识分子的情况，反映意见，协调关系；联系并培养党外知识分子和出国、归国留学人员的代表人士。凝聚共识，弘扬正能量，发挥人才智力优势，服务经济社会发展。</w:t>
      </w:r>
    </w:p>
    <w:p>
      <w:pPr>
        <w:spacing w:line="580" w:lineRule="exact"/>
        <w:ind w:firstLine="63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绩效指标：组织</w:t>
      </w:r>
      <w:r>
        <w:rPr>
          <w:rFonts w:hint="eastAsia" w:ascii="仿宋" w:hAnsi="仿宋" w:eastAsia="仿宋" w:cs="仿宋"/>
          <w:b w:val="0"/>
          <w:bCs w:val="0"/>
          <w:sz w:val="32"/>
          <w:szCs w:val="32"/>
          <w:lang w:eastAsia="zh-CN"/>
        </w:rPr>
        <w:t>党外知识分子开展服务民生活动</w:t>
      </w:r>
      <w:r>
        <w:rPr>
          <w:rFonts w:hint="eastAsia" w:ascii="仿宋" w:hAnsi="仿宋" w:eastAsia="仿宋" w:cs="仿宋"/>
          <w:b w:val="0"/>
          <w:bCs w:val="0"/>
          <w:sz w:val="32"/>
          <w:szCs w:val="32"/>
          <w:lang w:val="en-US" w:eastAsia="zh-CN"/>
        </w:rPr>
        <w:t>4次，召开座谈会6次，聘请后台管理员1名，做好知联会网站的建设和维护工作。</w:t>
      </w:r>
    </w:p>
    <w:p>
      <w:pPr>
        <w:spacing w:line="580" w:lineRule="exact"/>
        <w:ind w:firstLine="640" w:firstLineChars="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三</w:t>
      </w:r>
      <w:r>
        <w:rPr>
          <w:rFonts w:hint="eastAsia" w:ascii="仿宋" w:hAnsi="仿宋" w:eastAsia="仿宋" w:cs="仿宋"/>
          <w:b w:val="0"/>
          <w:bCs w:val="0"/>
          <w:sz w:val="32"/>
          <w:szCs w:val="32"/>
        </w:rPr>
        <w:t>）</w:t>
      </w:r>
      <w:r>
        <w:rPr>
          <w:rFonts w:hint="eastAsia" w:ascii="仿宋" w:hAnsi="仿宋" w:eastAsia="仿宋" w:cs="仿宋"/>
          <w:bCs/>
          <w:sz w:val="32"/>
          <w:szCs w:val="32"/>
        </w:rPr>
        <w:t>宗教工作领导小组充分发挥作用，维护本地和谐稳定</w:t>
      </w:r>
      <w:r>
        <w:rPr>
          <w:rFonts w:hint="eastAsia" w:ascii="仿宋" w:hAnsi="仿宋" w:eastAsia="仿宋" w:cs="仿宋"/>
          <w:b w:val="0"/>
          <w:bCs w:val="0"/>
          <w:sz w:val="32"/>
          <w:szCs w:val="32"/>
          <w:lang w:eastAsia="zh-CN"/>
        </w:rPr>
        <w:t>。</w:t>
      </w:r>
    </w:p>
    <w:p>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绩效目标：</w:t>
      </w:r>
      <w:r>
        <w:rPr>
          <w:rFonts w:hint="eastAsia" w:ascii="仿宋" w:hAnsi="仿宋" w:eastAsia="仿宋" w:cs="仿宋"/>
          <w:b w:val="0"/>
          <w:bCs w:val="0"/>
          <w:sz w:val="32"/>
          <w:szCs w:val="32"/>
          <w:lang w:eastAsia="zh-CN"/>
        </w:rPr>
        <w:t>进一步做好维护民族宗教领域的稳定工作，抵御境外反动势力的入侵。</w:t>
      </w:r>
    </w:p>
    <w:p>
      <w:pPr>
        <w:spacing w:line="580" w:lineRule="exact"/>
        <w:ind w:firstLine="63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w:t>
      </w:r>
      <w:r>
        <w:rPr>
          <w:rFonts w:hint="eastAsia" w:ascii="仿宋" w:hAnsi="仿宋" w:eastAsia="仿宋" w:cs="仿宋"/>
          <w:b w:val="0"/>
          <w:bCs w:val="0"/>
          <w:sz w:val="32"/>
          <w:szCs w:val="32"/>
          <w:lang w:eastAsia="zh-CN"/>
        </w:rPr>
        <w:t>负责研究落实有关民族和宗教工作的重大方针、政策问题；</w:t>
      </w:r>
      <w:r>
        <w:rPr>
          <w:rFonts w:hint="eastAsia" w:ascii="仿宋" w:hAnsi="仿宋" w:eastAsia="仿宋" w:cs="仿宋"/>
          <w:b w:val="0"/>
          <w:bCs w:val="0"/>
          <w:sz w:val="32"/>
          <w:szCs w:val="32"/>
        </w:rPr>
        <w:t>教育团结少数民族和宗教界代表人物</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每年举办两次三级宗教干部培训班;10次以上民族宗教界代表人士座谈会、培训会;宗教场所安全隐患大排查活动；走访慰问民族宗教界人士；组织开展3次爱国主义主题教育；开展宗教场所国旗飘活动；组织开展民族宗教聚居村帮扶活动；发展扩充民族宗教信息工作人员队伍。</w:t>
      </w:r>
    </w:p>
    <w:p>
      <w:pPr>
        <w:spacing w:line="580" w:lineRule="exact"/>
        <w:ind w:firstLine="63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（四）关爱归国华侨退休职工的生活</w:t>
      </w:r>
    </w:p>
    <w:p>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绩效目标：</w:t>
      </w:r>
      <w:r>
        <w:rPr>
          <w:rFonts w:hint="eastAsia" w:ascii="仿宋" w:hAnsi="仿宋" w:eastAsia="仿宋" w:cs="仿宋"/>
          <w:b w:val="0"/>
          <w:bCs w:val="0"/>
          <w:sz w:val="32"/>
          <w:szCs w:val="32"/>
          <w:lang w:eastAsia="zh-CN"/>
        </w:rPr>
        <w:t>根据《河北省实施中华人民共和国归侨侨眷权益保护法办法》第十五条规定，对我省国家机关、事业单位和企业符合条件的归侨职工退休后发放生活补贴。</w:t>
      </w:r>
    </w:p>
    <w:p>
      <w:pPr>
        <w:spacing w:line="580" w:lineRule="exact"/>
        <w:ind w:firstLine="63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w:t>
      </w:r>
      <w:r>
        <w:rPr>
          <w:rFonts w:hint="eastAsia" w:ascii="仿宋" w:hAnsi="仿宋" w:eastAsia="仿宋" w:cs="仿宋"/>
          <w:b w:val="0"/>
          <w:bCs w:val="0"/>
          <w:sz w:val="32"/>
          <w:szCs w:val="32"/>
          <w:lang w:eastAsia="zh-CN"/>
        </w:rPr>
        <w:t>我区符合条件的归侨有</w:t>
      </w:r>
      <w:r>
        <w:rPr>
          <w:rFonts w:hint="eastAsia" w:ascii="仿宋" w:hAnsi="仿宋" w:eastAsia="仿宋" w:cs="仿宋"/>
          <w:b w:val="0"/>
          <w:bCs w:val="0"/>
          <w:sz w:val="32"/>
          <w:szCs w:val="32"/>
          <w:lang w:val="en-US" w:eastAsia="zh-CN"/>
        </w:rPr>
        <w:t>2人，每人每月发放退休生活补贴100元。</w:t>
      </w:r>
    </w:p>
    <w:p>
      <w:pPr>
        <w:ind w:firstLine="640"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80" w:lineRule="exact"/>
        <w:ind w:firstLine="63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(一)强化使命担当，落实主体责任。持续深入贯彻习近平关于统战工作的重要指示精神，奋力推动中央、省、市关于统战工作的各项决策部署落地落实。</w:t>
      </w:r>
    </w:p>
    <w:p>
      <w:pPr>
        <w:spacing w:line="580" w:lineRule="exact"/>
        <w:ind w:firstLine="630"/>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二</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加强支出管理。</w:t>
      </w:r>
      <w:r>
        <w:rPr>
          <w:rFonts w:hint="eastAsia" w:ascii="仿宋_GB2312" w:hAnsi="仿宋_GB2312" w:eastAsia="仿宋_GB2312" w:cs="仿宋_GB2312"/>
          <w:b w:val="0"/>
          <w:bCs w:val="0"/>
          <w:sz w:val="32"/>
          <w:szCs w:val="32"/>
          <w:lang w:val="en-US" w:eastAsia="zh-CN"/>
        </w:rPr>
        <w:t>以项目预算绩效为依据，优化支出结构，预算编制做细做实，支出执行有章可循。资金支出安排科学合理，为项目组织实施保驾护航。</w:t>
      </w:r>
    </w:p>
    <w:p>
      <w:pPr>
        <w:spacing w:line="580" w:lineRule="exact"/>
        <w:ind w:firstLine="630"/>
        <w:rPr>
          <w:rFonts w:hint="eastAsia" w:ascii="仿宋_GB2312" w:hAnsi="仿宋_GB2312" w:eastAsia="仿宋_GB2312" w:cs="仿宋_GB2312"/>
          <w:b/>
          <w:bCs/>
          <w:sz w:val="32"/>
          <w:szCs w:val="32"/>
        </w:rPr>
      </w:pPr>
      <w:r>
        <w:rPr>
          <w:rFonts w:hint="eastAsia" w:ascii="仿宋_GB2312" w:hAnsi="仿宋_GB2312" w:eastAsia="仿宋_GB2312" w:cs="仿宋_GB2312"/>
          <w:b w:val="0"/>
          <w:bCs w:val="0"/>
          <w:sz w:val="32"/>
          <w:szCs w:val="32"/>
          <w:lang w:eastAsia="zh-CN"/>
        </w:rPr>
        <w:t>（三）</w:t>
      </w:r>
      <w:r>
        <w:rPr>
          <w:rFonts w:hint="eastAsia" w:ascii="仿宋_GB2312" w:hAnsi="仿宋_GB2312" w:eastAsia="仿宋_GB2312" w:cs="仿宋_GB2312"/>
          <w:b w:val="0"/>
          <w:bCs w:val="0"/>
          <w:sz w:val="32"/>
          <w:szCs w:val="32"/>
        </w:rPr>
        <w:t>规范财务资产管理。</w:t>
      </w:r>
      <w:r>
        <w:rPr>
          <w:rFonts w:hint="eastAsia" w:ascii="仿宋_GB2312" w:hAnsi="仿宋_GB2312" w:eastAsia="仿宋_GB2312" w:cs="仿宋_GB2312"/>
          <w:sz w:val="32"/>
          <w:szCs w:val="32"/>
        </w:rPr>
        <w:t>完善财务管理制度，严格审批程序，加强固定资产登记、使用和报废处置管理，做到支出合理，物尽其用。</w:t>
      </w:r>
    </w:p>
    <w:p>
      <w:pPr>
        <w:spacing w:line="580" w:lineRule="exact"/>
        <w:ind w:firstLine="630"/>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eastAsia="zh-CN"/>
        </w:rPr>
        <w:t>（四）</w:t>
      </w:r>
      <w:r>
        <w:rPr>
          <w:rFonts w:hint="eastAsia" w:ascii="仿宋_GB2312" w:hAnsi="仿宋_GB2312" w:eastAsia="仿宋_GB2312" w:cs="仿宋_GB2312"/>
          <w:b w:val="0"/>
          <w:bCs w:val="0"/>
          <w:sz w:val="32"/>
          <w:szCs w:val="32"/>
        </w:rPr>
        <w:t>加强宣传培训调研等。</w:t>
      </w:r>
      <w:r>
        <w:rPr>
          <w:rFonts w:hint="eastAsia" w:ascii="仿宋_GB2312" w:hAnsi="仿宋_GB2312" w:eastAsia="仿宋_GB2312" w:cs="仿宋_GB2312"/>
          <w:sz w:val="32"/>
          <w:szCs w:val="32"/>
        </w:rPr>
        <w:t>加强人员培训，提高本部门职工业务素质；加强调研，提出优化财政资金配置、提高资金使用效益的意见意见；加大宣传力度，强化预算绩效管理意识，促进预算绩效管理水平进一步提升。</w:t>
      </w:r>
    </w:p>
    <w:p>
      <w:pPr>
        <w:spacing w:line="580" w:lineRule="exact"/>
        <w:ind w:firstLine="630"/>
        <w:rPr>
          <w:rFonts w:hint="eastAsia" w:ascii="仿宋_GB2312" w:hAnsi="仿宋_GB2312" w:eastAsia="仿宋_GB2312" w:cs="仿宋_GB2312"/>
          <w:sz w:val="32"/>
          <w:szCs w:val="32"/>
        </w:rPr>
      </w:pPr>
    </w:p>
    <w:p>
      <w:pPr>
        <w:spacing w:line="580" w:lineRule="exact"/>
        <w:ind w:firstLine="630"/>
        <w:rPr>
          <w:rFonts w:hint="eastAsia" w:ascii="仿宋_GB2312" w:hAnsi="仿宋_GB2312" w:eastAsia="仿宋_GB2312" w:cs="仿宋_GB2312"/>
          <w:sz w:val="32"/>
          <w:szCs w:val="32"/>
        </w:rPr>
      </w:pPr>
    </w:p>
    <w:p>
      <w:pPr>
        <w:spacing w:line="580" w:lineRule="exact"/>
        <w:ind w:firstLine="630"/>
        <w:rPr>
          <w:rFonts w:hint="eastAsia" w:ascii="仿宋_GB2312" w:hAnsi="仿宋_GB2312" w:eastAsia="仿宋_GB2312" w:cs="仿宋_GB2312"/>
          <w:sz w:val="32"/>
          <w:szCs w:val="32"/>
        </w:rPr>
      </w:pPr>
    </w:p>
    <w:p>
      <w:pPr>
        <w:spacing w:line="580" w:lineRule="exact"/>
        <w:ind w:firstLine="630"/>
        <w:rPr>
          <w:rFonts w:hint="eastAsia" w:ascii="仿宋_GB2312" w:hAnsi="仿宋_GB2312" w:eastAsia="仿宋_GB2312" w:cs="仿宋_GB2312"/>
          <w:sz w:val="32"/>
          <w:szCs w:val="32"/>
        </w:rPr>
      </w:pPr>
    </w:p>
    <w:p>
      <w:pPr>
        <w:spacing w:line="580" w:lineRule="exact"/>
        <w:ind w:firstLine="630"/>
        <w:rPr>
          <w:rFonts w:hint="eastAsia" w:ascii="仿宋_GB2312" w:hAnsi="仿宋_GB2312" w:eastAsia="仿宋_GB2312" w:cs="仿宋_GB2312"/>
          <w:sz w:val="32"/>
          <w:szCs w:val="32"/>
        </w:rPr>
      </w:pPr>
    </w:p>
    <w:p>
      <w:pPr>
        <w:spacing w:line="580" w:lineRule="exact"/>
        <w:ind w:firstLine="630"/>
        <w:rPr>
          <w:rFonts w:hint="eastAsia" w:ascii="仿宋_GB2312" w:hAnsi="仿宋_GB2312" w:eastAsia="仿宋_GB2312" w:cs="仿宋_GB2312"/>
          <w:sz w:val="32"/>
          <w:szCs w:val="32"/>
        </w:rPr>
      </w:pPr>
    </w:p>
    <w:p>
      <w:pPr>
        <w:spacing w:line="580" w:lineRule="exact"/>
        <w:ind w:firstLine="630"/>
        <w:rPr>
          <w:rFonts w:hint="eastAsia" w:ascii="仿宋_GB2312" w:hAnsi="仿宋_GB2312" w:eastAsia="仿宋_GB2312" w:cs="仿宋_GB2312"/>
          <w:sz w:val="32"/>
          <w:szCs w:val="32"/>
        </w:rPr>
      </w:pPr>
    </w:p>
    <w:p>
      <w:pPr>
        <w:spacing w:line="580" w:lineRule="exact"/>
        <w:ind w:firstLine="63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0" w:firstLineChars="200"/>
        <w:jc w:val="left"/>
        <w:outlineLvl w:val="1"/>
        <w:rPr>
          <w:rFonts w:hint="eastAsia" w:ascii="方正仿宋_GBK" w:eastAsia="方正仿宋_GBK"/>
          <w:b/>
          <w:sz w:val="28"/>
        </w:rPr>
      </w:pPr>
      <w:r>
        <w:rPr>
          <w:rFonts w:hint="eastAsia" w:ascii="方正仿宋_GBK" w:eastAsia="方正仿宋_GBK"/>
          <w:b/>
          <w:sz w:val="28"/>
        </w:rPr>
        <w:t xml:space="preserve">  </w:t>
      </w:r>
      <w:bookmarkEnd w:id="0"/>
    </w:p>
    <w:tbl>
      <w:tblPr>
        <w:tblStyle w:val="8"/>
        <w:tblpPr w:leftFromText="180" w:rightFromText="180" w:vertAnchor="text" w:horzAnchor="page" w:tblpX="1081" w:tblpY="-75"/>
        <w:tblOverlap w:val="never"/>
        <w:tblW w:w="99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660"/>
        <w:gridCol w:w="1155"/>
        <w:gridCol w:w="1425"/>
        <w:gridCol w:w="1545"/>
        <w:gridCol w:w="1185"/>
        <w:gridCol w:w="975"/>
        <w:gridCol w:w="1560"/>
        <w:gridCol w:w="14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5" w:hRule="atLeast"/>
        </w:trPr>
        <w:tc>
          <w:tcPr>
            <w:tcW w:w="9945" w:type="dxa"/>
            <w:gridSpan w:val="8"/>
            <w:tcBorders>
              <w:top w:val="nil"/>
              <w:left w:val="nil"/>
              <w:bottom w:val="single" w:color="000000" w:sz="4" w:space="0"/>
              <w:right w:val="nil"/>
            </w:tcBorders>
            <w:noWrap w:val="0"/>
            <w:tcMar>
              <w:top w:w="15" w:type="dxa"/>
              <w:left w:w="15" w:type="dxa"/>
              <w:right w:w="15" w:type="dxa"/>
            </w:tcMar>
            <w:vAlign w:val="center"/>
          </w:tcPr>
          <w:p>
            <w:pPr>
              <w:keepNext w:val="0"/>
              <w:keepLines w:val="0"/>
              <w:widowControl/>
              <w:suppressLineNumbers w:val="0"/>
              <w:jc w:val="center"/>
              <w:textAlignment w:val="center"/>
              <w:rPr>
                <w:rFonts w:ascii="黑体" w:hAnsi="宋体" w:eastAsia="黑体" w:cs="黑体"/>
                <w:i w:val="0"/>
                <w:color w:val="000000"/>
                <w:sz w:val="32"/>
                <w:szCs w:val="32"/>
                <w:u w:val="none"/>
              </w:rPr>
            </w:pPr>
            <w:r>
              <w:rPr>
                <w:rFonts w:hint="eastAsia" w:ascii="黑体" w:hAnsi="黑体" w:eastAsia="黑体" w:cs="黑体"/>
                <w:sz w:val="30"/>
                <w:szCs w:val="30"/>
                <w:lang w:eastAsia="zh-CN"/>
              </w:rPr>
              <w:t>石家庄市藁城区委统战部</w:t>
            </w:r>
            <w:r>
              <w:rPr>
                <w:rFonts w:hint="eastAsia" w:ascii="黑体" w:hAnsi="黑体" w:eastAsia="黑体" w:cs="黑体"/>
                <w:i w:val="0"/>
                <w:color w:val="000000"/>
                <w:kern w:val="0"/>
                <w:sz w:val="30"/>
                <w:szCs w:val="30"/>
                <w:u w:val="none"/>
                <w:lang w:val="en-US" w:eastAsia="zh-CN" w:bidi="ar"/>
              </w:rPr>
              <w:t>预算项目绩效目标表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6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项目编码</w:t>
            </w:r>
          </w:p>
        </w:tc>
        <w:tc>
          <w:tcPr>
            <w:tcW w:w="258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213-0102-YBN-26Y6</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项目名称</w:t>
            </w:r>
          </w:p>
        </w:tc>
        <w:tc>
          <w:tcPr>
            <w:tcW w:w="5160"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民族宗教领域社会稳定专项经费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预算规模及资金用途</w:t>
            </w: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预算数    </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b/>
                <w:i w:val="0"/>
                <w:color w:val="000000"/>
                <w:sz w:val="20"/>
                <w:szCs w:val="20"/>
                <w:u w:val="none"/>
                <w:lang w:val="en-US"/>
              </w:rPr>
            </w:pPr>
            <w:r>
              <w:rPr>
                <w:rFonts w:hint="eastAsia" w:ascii="宋体" w:hAnsi="宋体" w:eastAsia="宋体" w:cs="宋体"/>
                <w:b/>
                <w:i w:val="0"/>
                <w:color w:val="000000"/>
                <w:kern w:val="0"/>
                <w:sz w:val="20"/>
                <w:szCs w:val="20"/>
                <w:u w:val="none"/>
                <w:lang w:val="en-US" w:eastAsia="zh-CN" w:bidi="ar"/>
              </w:rPr>
              <w:t>16</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其中：财政资金</w:t>
            </w:r>
          </w:p>
        </w:tc>
        <w:tc>
          <w:tcPr>
            <w:tcW w:w="118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b/>
                <w:i w:val="0"/>
                <w:color w:val="000000"/>
                <w:sz w:val="20"/>
                <w:szCs w:val="20"/>
                <w:u w:val="none"/>
                <w:lang w:val="en-US"/>
              </w:rPr>
            </w:pPr>
            <w:r>
              <w:rPr>
                <w:rFonts w:hint="eastAsia" w:ascii="宋体" w:hAnsi="宋体" w:eastAsia="宋体" w:cs="宋体"/>
                <w:b/>
                <w:i w:val="0"/>
                <w:color w:val="000000"/>
                <w:kern w:val="0"/>
                <w:sz w:val="20"/>
                <w:szCs w:val="20"/>
                <w:u w:val="none"/>
                <w:lang w:val="en-US" w:eastAsia="zh-CN" w:bidi="ar"/>
              </w:rPr>
              <w:t>16</w:t>
            </w:r>
          </w:p>
        </w:tc>
        <w:tc>
          <w:tcPr>
            <w:tcW w:w="9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其他资金</w:t>
            </w:r>
          </w:p>
        </w:tc>
        <w:tc>
          <w:tcPr>
            <w:tcW w:w="300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2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9285" w:type="dxa"/>
            <w:gridSpan w:val="7"/>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调查研究、协调检查落实有关民族宗教工作的重大方针、政策问题；团结教育少数民族和宗教界代表人物；牵头协调做好宗教领域维稳、抵御境外渗透工作。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资金支出计划（%）</w:t>
            </w:r>
          </w:p>
        </w:tc>
        <w:tc>
          <w:tcPr>
            <w:tcW w:w="258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3月底</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6月底</w:t>
            </w:r>
          </w:p>
        </w:tc>
        <w:tc>
          <w:tcPr>
            <w:tcW w:w="216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10月底</w:t>
            </w:r>
          </w:p>
        </w:tc>
        <w:tc>
          <w:tcPr>
            <w:tcW w:w="300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12月底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258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20</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216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w:t>
            </w:r>
          </w:p>
        </w:tc>
        <w:tc>
          <w:tcPr>
            <w:tcW w:w="300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绩效目标</w:t>
            </w: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目标1</w:t>
            </w:r>
          </w:p>
        </w:tc>
        <w:tc>
          <w:tcPr>
            <w:tcW w:w="813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调查研究、协调检查落实有关民族和宗教工作的重大方针、政策问题，教育团结少数民族和宗教界代表人物。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目标2</w:t>
            </w:r>
          </w:p>
        </w:tc>
        <w:tc>
          <w:tcPr>
            <w:tcW w:w="813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协调做好宗教领域维稳、抵御境外渗透工作。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一级指标</w:t>
            </w:r>
          </w:p>
        </w:tc>
        <w:tc>
          <w:tcPr>
            <w:tcW w:w="115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二级指标</w:t>
            </w:r>
          </w:p>
        </w:tc>
        <w:tc>
          <w:tcPr>
            <w:tcW w:w="142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三级指标</w:t>
            </w:r>
          </w:p>
        </w:tc>
        <w:tc>
          <w:tcPr>
            <w:tcW w:w="3705" w:type="dxa"/>
            <w:gridSpan w:val="3"/>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绩效指标描述</w:t>
            </w:r>
          </w:p>
        </w:tc>
        <w:tc>
          <w:tcPr>
            <w:tcW w:w="1560" w:type="dxa"/>
            <w:vMerge w:val="restart"/>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指标值</w:t>
            </w:r>
          </w:p>
        </w:tc>
        <w:tc>
          <w:tcPr>
            <w:tcW w:w="144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1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42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3705" w:type="dxa"/>
            <w:gridSpan w:val="3"/>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560" w:type="dxa"/>
            <w:vMerge w:val="continue"/>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44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产出指标 </w:t>
            </w:r>
          </w:p>
        </w:tc>
        <w:tc>
          <w:tcPr>
            <w:tcW w:w="115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组织培训班次</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组织培训班次</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&gt;5</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11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补助覆盖率</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已补助人数占补助人数的比率</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&gt;90</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22" w:hRule="atLeast"/>
        </w:trPr>
        <w:tc>
          <w:tcPr>
            <w:tcW w:w="6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满意度指标</w:t>
            </w:r>
          </w:p>
        </w:tc>
        <w:tc>
          <w:tcPr>
            <w:tcW w:w="1155" w:type="dxa"/>
            <w:tcBorders>
              <w:top w:val="single" w:color="auto"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服务对象满意度指标</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受益对象满意度</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通过问卷调查，满意和较满意的</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&gt;=90%</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9945" w:type="dxa"/>
            <w:gridSpan w:val="8"/>
            <w:tcBorders>
              <w:top w:val="single" w:color="000000" w:sz="4" w:space="0"/>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注：1、项目编码、项目名称与项目库保持一致。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9945" w:type="dxa"/>
            <w:gridSpan w:val="8"/>
            <w:tcBorders>
              <w:top w:val="nil"/>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2、资金支出计划为累计支出计划比例。</w:t>
            </w:r>
          </w:p>
        </w:tc>
      </w:tr>
    </w:tbl>
    <w:p>
      <w:pPr>
        <w:jc w:val="left"/>
        <w:outlineLvl w:val="1"/>
        <w:rPr>
          <w:rFonts w:hAnsi="宋体"/>
          <w:b/>
          <w:sz w:val="28"/>
        </w:rPr>
      </w:pP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729826"/>
      <w:r>
        <w:rPr>
          <w:rFonts w:hint="eastAsia" w:ascii="方正仿宋_GBK" w:eastAsia="方正仿宋_GBK"/>
          <w:b/>
          <w:sz w:val="28"/>
        </w:rPr>
        <w:instrText xml:space="preserve">1、版权工作经费绩效目标表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pPr w:leftFromText="180" w:rightFromText="180" w:vertAnchor="text" w:horzAnchor="page" w:tblpX="1081" w:tblpY="-75"/>
        <w:tblOverlap w:val="never"/>
        <w:tblW w:w="99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660"/>
        <w:gridCol w:w="1155"/>
        <w:gridCol w:w="1425"/>
        <w:gridCol w:w="1545"/>
        <w:gridCol w:w="1185"/>
        <w:gridCol w:w="975"/>
        <w:gridCol w:w="1560"/>
        <w:gridCol w:w="14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5" w:hRule="atLeast"/>
        </w:trPr>
        <w:tc>
          <w:tcPr>
            <w:tcW w:w="9945" w:type="dxa"/>
            <w:gridSpan w:val="8"/>
            <w:tcBorders>
              <w:top w:val="nil"/>
              <w:left w:val="nil"/>
              <w:bottom w:val="single" w:color="000000" w:sz="4" w:space="0"/>
              <w:right w:val="nil"/>
            </w:tcBorders>
            <w:noWrap w:val="0"/>
            <w:tcMar>
              <w:top w:w="15" w:type="dxa"/>
              <w:left w:w="15" w:type="dxa"/>
              <w:right w:w="15" w:type="dxa"/>
            </w:tcMar>
            <w:vAlign w:val="center"/>
          </w:tcPr>
          <w:p>
            <w:pPr>
              <w:keepNext w:val="0"/>
              <w:keepLines w:val="0"/>
              <w:widowControl/>
              <w:suppressLineNumbers w:val="0"/>
              <w:jc w:val="center"/>
              <w:textAlignment w:val="center"/>
              <w:rPr>
                <w:rFonts w:ascii="黑体" w:hAnsi="宋体" w:eastAsia="黑体" w:cs="黑体"/>
                <w:i w:val="0"/>
                <w:color w:val="000000"/>
                <w:sz w:val="32"/>
                <w:szCs w:val="32"/>
                <w:u w:val="none"/>
              </w:rPr>
            </w:pPr>
            <w:r>
              <w:rPr>
                <w:rFonts w:hint="eastAsia" w:ascii="黑体" w:hAnsi="黑体" w:eastAsia="黑体" w:cs="黑体"/>
                <w:sz w:val="30"/>
                <w:szCs w:val="30"/>
                <w:lang w:eastAsia="zh-CN"/>
              </w:rPr>
              <w:t>石家庄市藁城区委统战部</w:t>
            </w:r>
            <w:r>
              <w:rPr>
                <w:rFonts w:hint="eastAsia" w:ascii="黑体" w:hAnsi="黑体" w:eastAsia="黑体" w:cs="黑体"/>
                <w:i w:val="0"/>
                <w:color w:val="000000"/>
                <w:kern w:val="0"/>
                <w:sz w:val="30"/>
                <w:szCs w:val="30"/>
                <w:u w:val="none"/>
                <w:lang w:val="en-US" w:eastAsia="zh-CN" w:bidi="ar"/>
              </w:rPr>
              <w:t>预算项目绩效目标表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6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项目编码</w:t>
            </w:r>
          </w:p>
        </w:tc>
        <w:tc>
          <w:tcPr>
            <w:tcW w:w="258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213-0105-YBN-PPI7</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项目名称</w:t>
            </w:r>
          </w:p>
        </w:tc>
        <w:tc>
          <w:tcPr>
            <w:tcW w:w="5160"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知识分子联谊会活动经费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预算规模及资金用途</w:t>
            </w: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预算数    </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b/>
                <w:i w:val="0"/>
                <w:color w:val="000000"/>
                <w:sz w:val="20"/>
                <w:szCs w:val="20"/>
                <w:u w:val="none"/>
                <w:lang w:val="en-US" w:eastAsia="zh-CN"/>
              </w:rPr>
            </w:pPr>
            <w:r>
              <w:rPr>
                <w:rFonts w:hint="eastAsia" w:ascii="宋体" w:hAnsi="宋体" w:eastAsia="宋体" w:cs="宋体"/>
                <w:b/>
                <w:i w:val="0"/>
                <w:color w:val="000000"/>
                <w:sz w:val="20"/>
                <w:szCs w:val="20"/>
                <w:u w:val="none"/>
                <w:lang w:val="en-US" w:eastAsia="zh-CN"/>
              </w:rPr>
              <w:t>3.6</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其中：财政资金</w:t>
            </w:r>
          </w:p>
        </w:tc>
        <w:tc>
          <w:tcPr>
            <w:tcW w:w="118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b/>
                <w:i w:val="0"/>
                <w:color w:val="000000"/>
                <w:sz w:val="20"/>
                <w:szCs w:val="20"/>
                <w:u w:val="none"/>
                <w:lang w:val="en-US" w:eastAsia="zh-CN"/>
              </w:rPr>
            </w:pPr>
            <w:r>
              <w:rPr>
                <w:rFonts w:hint="eastAsia" w:ascii="宋体" w:hAnsi="宋体" w:eastAsia="宋体" w:cs="宋体"/>
                <w:b/>
                <w:i w:val="0"/>
                <w:color w:val="000000"/>
                <w:sz w:val="20"/>
                <w:szCs w:val="20"/>
                <w:u w:val="none"/>
                <w:lang w:val="en-US" w:eastAsia="zh-CN"/>
              </w:rPr>
              <w:t>3.6</w:t>
            </w:r>
          </w:p>
        </w:tc>
        <w:tc>
          <w:tcPr>
            <w:tcW w:w="9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其他资金</w:t>
            </w:r>
          </w:p>
        </w:tc>
        <w:tc>
          <w:tcPr>
            <w:tcW w:w="300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2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9285" w:type="dxa"/>
            <w:gridSpan w:val="7"/>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政治引领，培养人才，建言献策，服务社会，联谊交友。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资金支出计划（%）</w:t>
            </w:r>
          </w:p>
        </w:tc>
        <w:tc>
          <w:tcPr>
            <w:tcW w:w="258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3月底</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6月底</w:t>
            </w:r>
          </w:p>
        </w:tc>
        <w:tc>
          <w:tcPr>
            <w:tcW w:w="216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10月底</w:t>
            </w:r>
          </w:p>
        </w:tc>
        <w:tc>
          <w:tcPr>
            <w:tcW w:w="300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12月底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258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20</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216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w:t>
            </w:r>
          </w:p>
        </w:tc>
        <w:tc>
          <w:tcPr>
            <w:tcW w:w="300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绩效目标</w:t>
            </w: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目标1</w:t>
            </w:r>
          </w:p>
        </w:tc>
        <w:tc>
          <w:tcPr>
            <w:tcW w:w="813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政治引领，培养人才，联谊交友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目标2</w:t>
            </w:r>
          </w:p>
        </w:tc>
        <w:tc>
          <w:tcPr>
            <w:tcW w:w="813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建言献策，服务社会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一级指标</w:t>
            </w:r>
          </w:p>
        </w:tc>
        <w:tc>
          <w:tcPr>
            <w:tcW w:w="115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二级指标</w:t>
            </w:r>
          </w:p>
        </w:tc>
        <w:tc>
          <w:tcPr>
            <w:tcW w:w="142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三级指标</w:t>
            </w:r>
          </w:p>
        </w:tc>
        <w:tc>
          <w:tcPr>
            <w:tcW w:w="3705" w:type="dxa"/>
            <w:gridSpan w:val="3"/>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绩效指标描述</w:t>
            </w:r>
          </w:p>
        </w:tc>
        <w:tc>
          <w:tcPr>
            <w:tcW w:w="1560" w:type="dxa"/>
            <w:vMerge w:val="restart"/>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指标值</w:t>
            </w:r>
          </w:p>
        </w:tc>
        <w:tc>
          <w:tcPr>
            <w:tcW w:w="144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1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42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3705" w:type="dxa"/>
            <w:gridSpan w:val="3"/>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560" w:type="dxa"/>
            <w:vMerge w:val="continue"/>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44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产出指标 </w:t>
            </w:r>
          </w:p>
        </w:tc>
        <w:tc>
          <w:tcPr>
            <w:tcW w:w="115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组织开展爱国主义教育活动</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&gt;=3</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11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组织开展服务社会活动</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&gt;=4</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11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建言献策4条</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&gt;=4</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5" w:hRule="atLeast"/>
        </w:trPr>
        <w:tc>
          <w:tcPr>
            <w:tcW w:w="660"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2"/>
                <w:sz w:val="18"/>
                <w:szCs w:val="18"/>
                <w:u w:val="none"/>
                <w:lang w:val="en-US" w:eastAsia="zh-CN" w:bidi="ar-SA"/>
              </w:rPr>
            </w:pPr>
            <w:r>
              <w:rPr>
                <w:rFonts w:hint="eastAsia" w:ascii="宋体" w:hAnsi="宋体" w:eastAsia="宋体" w:cs="宋体"/>
                <w:b/>
                <w:i w:val="0"/>
                <w:color w:val="000000"/>
                <w:kern w:val="0"/>
                <w:sz w:val="18"/>
                <w:szCs w:val="18"/>
                <w:u w:val="none"/>
                <w:lang w:val="en-US" w:eastAsia="zh-CN" w:bidi="ar"/>
              </w:rPr>
              <w:t>效果指标</w:t>
            </w:r>
          </w:p>
        </w:tc>
        <w:tc>
          <w:tcPr>
            <w:tcW w:w="1155" w:type="dxa"/>
            <w:vMerge w:val="restart"/>
            <w:tcBorders>
              <w:top w:val="single" w:color="auto" w:sz="4" w:space="0"/>
              <w:left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社会效益指标</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组织开展爱国主义教育活动</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&gt;=3</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5" w:hRule="atLeast"/>
        </w:trPr>
        <w:tc>
          <w:tcPr>
            <w:tcW w:w="660" w:type="dxa"/>
            <w:vMerge w:val="continue"/>
            <w:tcBorders>
              <w:left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top"/>
            </w:pPr>
          </w:p>
        </w:tc>
        <w:tc>
          <w:tcPr>
            <w:tcW w:w="1155" w:type="dxa"/>
            <w:vMerge w:val="continue"/>
            <w:tcBorders>
              <w:left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pP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top"/>
              <w:rPr>
                <w:rFonts w:hint="eastAsia" w:ascii="宋体" w:hAnsi="宋体" w:eastAsia="宋体" w:cs="宋体"/>
                <w:i w:val="0"/>
                <w:color w:val="000000"/>
                <w:kern w:val="0"/>
                <w:sz w:val="20"/>
                <w:szCs w:val="20"/>
                <w:u w:val="none"/>
                <w:lang w:val="en-US" w:eastAsia="zh-CN" w:bidi="ar"/>
              </w:rPr>
            </w:pP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组织开展服务社会</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18"/>
                <w:szCs w:val="18"/>
                <w:u w:val="none"/>
                <w:lang w:val="en-US" w:eastAsia="zh-CN" w:bidi="ar"/>
              </w:rPr>
              <w:t>&gt;=4</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5" w:hRule="atLeast"/>
        </w:trPr>
        <w:tc>
          <w:tcPr>
            <w:tcW w:w="66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top"/>
              <w:rPr>
                <w:rFonts w:hint="eastAsia" w:ascii="宋体" w:hAnsi="宋体" w:eastAsia="宋体" w:cs="宋体"/>
                <w:i w:val="0"/>
                <w:color w:val="000000"/>
                <w:kern w:val="0"/>
                <w:sz w:val="20"/>
                <w:szCs w:val="20"/>
                <w:u w:val="none"/>
                <w:lang w:val="en-US" w:eastAsia="zh-CN" w:bidi="ar"/>
              </w:rPr>
            </w:pPr>
          </w:p>
        </w:tc>
        <w:tc>
          <w:tcPr>
            <w:tcW w:w="1155"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20"/>
                <w:szCs w:val="20"/>
                <w:u w:val="none"/>
                <w:lang w:val="en-US" w:eastAsia="zh-CN" w:bidi="ar"/>
              </w:rPr>
            </w:pP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top"/>
              <w:rPr>
                <w:rFonts w:hint="eastAsia" w:ascii="宋体" w:hAnsi="宋体" w:eastAsia="宋体" w:cs="宋体"/>
                <w:i w:val="0"/>
                <w:color w:val="000000"/>
                <w:kern w:val="0"/>
                <w:sz w:val="20"/>
                <w:szCs w:val="20"/>
                <w:u w:val="none"/>
                <w:lang w:val="en-US" w:eastAsia="zh-CN" w:bidi="ar"/>
              </w:rPr>
            </w:pP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建言献策</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18"/>
                <w:szCs w:val="18"/>
                <w:u w:val="none"/>
                <w:lang w:val="en-US" w:eastAsia="zh-CN" w:bidi="ar"/>
              </w:rPr>
              <w:t>&gt;=4</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22" w:hRule="atLeast"/>
        </w:trPr>
        <w:tc>
          <w:tcPr>
            <w:tcW w:w="6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满意度指标</w:t>
            </w:r>
          </w:p>
        </w:tc>
        <w:tc>
          <w:tcPr>
            <w:tcW w:w="1155" w:type="dxa"/>
            <w:tcBorders>
              <w:top w:val="single" w:color="auto"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服务对象满意度指标</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对服务对象进行走访调查谈心了解满意程度</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&gt;=90%</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9945" w:type="dxa"/>
            <w:gridSpan w:val="8"/>
            <w:tcBorders>
              <w:top w:val="single" w:color="000000" w:sz="4" w:space="0"/>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注：1、项目编码、项目名称与项目库保持一致。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9945" w:type="dxa"/>
            <w:gridSpan w:val="8"/>
            <w:tcBorders>
              <w:top w:val="nil"/>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2、资金支出计划为累计支出计划比例。</w:t>
            </w:r>
          </w:p>
        </w:tc>
      </w:tr>
    </w:tbl>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11"/>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bl>
    <w:tbl>
      <w:tblPr>
        <w:tblStyle w:val="8"/>
        <w:tblpPr w:leftFromText="180" w:rightFromText="180" w:vertAnchor="text" w:horzAnchor="page" w:tblpX="1081" w:tblpY="-75"/>
        <w:tblOverlap w:val="never"/>
        <w:tblW w:w="99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660"/>
        <w:gridCol w:w="1155"/>
        <w:gridCol w:w="1425"/>
        <w:gridCol w:w="1545"/>
        <w:gridCol w:w="1185"/>
        <w:gridCol w:w="975"/>
        <w:gridCol w:w="1560"/>
        <w:gridCol w:w="14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5" w:hRule="atLeast"/>
        </w:trPr>
        <w:tc>
          <w:tcPr>
            <w:tcW w:w="9945" w:type="dxa"/>
            <w:gridSpan w:val="8"/>
            <w:tcBorders>
              <w:top w:val="nil"/>
              <w:left w:val="nil"/>
              <w:bottom w:val="single" w:color="000000" w:sz="4" w:space="0"/>
              <w:right w:val="nil"/>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sz w:val="30"/>
                <w:szCs w:val="30"/>
                <w:lang w:eastAsia="zh-CN"/>
              </w:rPr>
            </w:pPr>
          </w:p>
          <w:p>
            <w:pPr>
              <w:keepNext w:val="0"/>
              <w:keepLines w:val="0"/>
              <w:widowControl/>
              <w:suppressLineNumbers w:val="0"/>
              <w:jc w:val="center"/>
              <w:textAlignment w:val="center"/>
              <w:rPr>
                <w:rFonts w:hint="eastAsia" w:ascii="黑体" w:hAnsi="黑体" w:eastAsia="黑体" w:cs="黑体"/>
                <w:sz w:val="30"/>
                <w:szCs w:val="30"/>
                <w:lang w:eastAsia="zh-CN"/>
              </w:rPr>
            </w:pPr>
          </w:p>
          <w:p>
            <w:pPr>
              <w:keepNext w:val="0"/>
              <w:keepLines w:val="0"/>
              <w:widowControl/>
              <w:suppressLineNumbers w:val="0"/>
              <w:jc w:val="center"/>
              <w:textAlignment w:val="center"/>
              <w:rPr>
                <w:rFonts w:ascii="黑体" w:hAnsi="宋体" w:eastAsia="黑体" w:cs="黑体"/>
                <w:i w:val="0"/>
                <w:color w:val="000000"/>
                <w:sz w:val="32"/>
                <w:szCs w:val="32"/>
                <w:u w:val="none"/>
              </w:rPr>
            </w:pPr>
            <w:r>
              <w:rPr>
                <w:rFonts w:hint="eastAsia" w:ascii="黑体" w:hAnsi="黑体" w:eastAsia="黑体" w:cs="黑体"/>
                <w:sz w:val="30"/>
                <w:szCs w:val="30"/>
                <w:lang w:eastAsia="zh-CN"/>
              </w:rPr>
              <w:t>石家庄市藁城区委统战部</w:t>
            </w:r>
            <w:r>
              <w:rPr>
                <w:rFonts w:hint="eastAsia" w:ascii="黑体" w:hAnsi="黑体" w:eastAsia="黑体" w:cs="黑体"/>
                <w:i w:val="0"/>
                <w:color w:val="000000"/>
                <w:kern w:val="0"/>
                <w:sz w:val="30"/>
                <w:szCs w:val="30"/>
                <w:u w:val="none"/>
                <w:lang w:val="en-US" w:eastAsia="zh-CN" w:bidi="ar"/>
              </w:rPr>
              <w:t>预算项目绩效目标表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6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项目编码</w:t>
            </w:r>
          </w:p>
        </w:tc>
        <w:tc>
          <w:tcPr>
            <w:tcW w:w="258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213-0103-YBN-VDCW</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项目名称</w:t>
            </w:r>
          </w:p>
        </w:tc>
        <w:tc>
          <w:tcPr>
            <w:tcW w:w="5160"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归国华侨退休职工生活补贴经费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预算规模及资金用途</w:t>
            </w: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预算数    </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宋体" w:hAnsi="宋体" w:eastAsia="宋体" w:cs="宋体"/>
                <w:b/>
                <w:i w:val="0"/>
                <w:color w:val="000000"/>
                <w:sz w:val="20"/>
                <w:szCs w:val="20"/>
                <w:u w:val="none"/>
                <w:lang w:val="en-US" w:eastAsia="zh-CN"/>
              </w:rPr>
            </w:pPr>
            <w:r>
              <w:rPr>
                <w:rFonts w:hint="eastAsia" w:ascii="宋体" w:hAnsi="宋体" w:eastAsia="宋体" w:cs="宋体"/>
                <w:b/>
                <w:i w:val="0"/>
                <w:color w:val="000000"/>
                <w:sz w:val="20"/>
                <w:szCs w:val="20"/>
                <w:u w:val="none"/>
                <w:lang w:val="en-US" w:eastAsia="zh-CN"/>
              </w:rPr>
              <w:t>0.24</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其中：财政资金</w:t>
            </w:r>
          </w:p>
        </w:tc>
        <w:tc>
          <w:tcPr>
            <w:tcW w:w="118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b/>
                <w:i w:val="0"/>
                <w:color w:val="000000"/>
                <w:sz w:val="20"/>
                <w:szCs w:val="20"/>
                <w:u w:val="none"/>
                <w:lang w:val="en-US" w:eastAsia="zh-CN"/>
              </w:rPr>
            </w:pPr>
            <w:r>
              <w:rPr>
                <w:rFonts w:hint="eastAsia" w:ascii="宋体" w:hAnsi="宋体" w:eastAsia="宋体" w:cs="宋体"/>
                <w:b/>
                <w:i w:val="0"/>
                <w:color w:val="000000"/>
                <w:sz w:val="20"/>
                <w:szCs w:val="20"/>
                <w:u w:val="none"/>
                <w:lang w:val="en-US" w:eastAsia="zh-CN"/>
              </w:rPr>
              <w:t>0.24</w:t>
            </w:r>
          </w:p>
        </w:tc>
        <w:tc>
          <w:tcPr>
            <w:tcW w:w="9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其他资金</w:t>
            </w:r>
          </w:p>
        </w:tc>
        <w:tc>
          <w:tcPr>
            <w:tcW w:w="300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2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9285" w:type="dxa"/>
            <w:gridSpan w:val="7"/>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归侨职工退休后生活补贴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资金支出计划（%）</w:t>
            </w:r>
          </w:p>
        </w:tc>
        <w:tc>
          <w:tcPr>
            <w:tcW w:w="258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3月底</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6月底</w:t>
            </w:r>
          </w:p>
        </w:tc>
        <w:tc>
          <w:tcPr>
            <w:tcW w:w="216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10月底</w:t>
            </w:r>
          </w:p>
        </w:tc>
        <w:tc>
          <w:tcPr>
            <w:tcW w:w="300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12月底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258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b/>
                <w:i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216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50</w:t>
            </w:r>
          </w:p>
        </w:tc>
        <w:tc>
          <w:tcPr>
            <w:tcW w:w="300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绩效目标</w:t>
            </w: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目标1</w:t>
            </w:r>
          </w:p>
        </w:tc>
        <w:tc>
          <w:tcPr>
            <w:tcW w:w="813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归侨职工退休补贴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目标2</w:t>
            </w:r>
          </w:p>
        </w:tc>
        <w:tc>
          <w:tcPr>
            <w:tcW w:w="813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每人每月100元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一级指标</w:t>
            </w:r>
          </w:p>
        </w:tc>
        <w:tc>
          <w:tcPr>
            <w:tcW w:w="115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二级指标</w:t>
            </w:r>
          </w:p>
        </w:tc>
        <w:tc>
          <w:tcPr>
            <w:tcW w:w="142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三级指标</w:t>
            </w:r>
          </w:p>
        </w:tc>
        <w:tc>
          <w:tcPr>
            <w:tcW w:w="3705" w:type="dxa"/>
            <w:gridSpan w:val="3"/>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绩效指标描述</w:t>
            </w:r>
          </w:p>
        </w:tc>
        <w:tc>
          <w:tcPr>
            <w:tcW w:w="1560" w:type="dxa"/>
            <w:vMerge w:val="restart"/>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指标值</w:t>
            </w:r>
          </w:p>
        </w:tc>
        <w:tc>
          <w:tcPr>
            <w:tcW w:w="144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1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42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3705" w:type="dxa"/>
            <w:gridSpan w:val="3"/>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560" w:type="dxa"/>
            <w:vMerge w:val="continue"/>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44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产出指标 </w:t>
            </w: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成本指标</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每人每月生活补贴</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归侨职工每人每月生活补贴</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每人每月100</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时效指标</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资金到位率</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归国华侨退休后生活补贴及时发放</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sz w:val="18"/>
                <w:szCs w:val="18"/>
                <w:u w:val="none"/>
                <w:lang w:val="en-US"/>
              </w:rPr>
            </w:pP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22" w:hRule="atLeast"/>
        </w:trPr>
        <w:tc>
          <w:tcPr>
            <w:tcW w:w="6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满意度指标</w:t>
            </w:r>
          </w:p>
        </w:tc>
        <w:tc>
          <w:tcPr>
            <w:tcW w:w="1155" w:type="dxa"/>
            <w:tcBorders>
              <w:top w:val="single" w:color="auto"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服务对象满意度指标</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归侨职工对发放退休后生活补贴的满意度</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&gt;=100%</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9945" w:type="dxa"/>
            <w:gridSpan w:val="8"/>
            <w:tcBorders>
              <w:top w:val="single" w:color="000000" w:sz="4" w:space="0"/>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注：1、项目编码、项目名称与项目库保持一致。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9945" w:type="dxa"/>
            <w:gridSpan w:val="8"/>
            <w:tcBorders>
              <w:top w:val="nil"/>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2、资金支出计划为累计支出计划比例。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5" w:hRule="atLeast"/>
        </w:trPr>
        <w:tc>
          <w:tcPr>
            <w:tcW w:w="9945" w:type="dxa"/>
            <w:gridSpan w:val="8"/>
            <w:tcBorders>
              <w:top w:val="nil"/>
              <w:left w:val="nil"/>
              <w:bottom w:val="single" w:color="000000" w:sz="4" w:space="0"/>
              <w:right w:val="nil"/>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sz w:val="30"/>
                <w:szCs w:val="30"/>
                <w:lang w:eastAsia="zh-CN"/>
              </w:rPr>
            </w:pPr>
          </w:p>
          <w:p>
            <w:pPr>
              <w:keepNext w:val="0"/>
              <w:keepLines w:val="0"/>
              <w:widowControl/>
              <w:suppressLineNumbers w:val="0"/>
              <w:jc w:val="center"/>
              <w:textAlignment w:val="center"/>
              <w:rPr>
                <w:rFonts w:hint="eastAsia" w:ascii="黑体" w:hAnsi="黑体" w:eastAsia="黑体" w:cs="黑体"/>
                <w:sz w:val="30"/>
                <w:szCs w:val="30"/>
                <w:lang w:eastAsia="zh-CN"/>
              </w:rPr>
            </w:pPr>
          </w:p>
          <w:p>
            <w:pPr>
              <w:keepNext w:val="0"/>
              <w:keepLines w:val="0"/>
              <w:widowControl/>
              <w:suppressLineNumbers w:val="0"/>
              <w:jc w:val="center"/>
              <w:textAlignment w:val="center"/>
              <w:rPr>
                <w:rFonts w:hint="eastAsia" w:ascii="黑体" w:hAnsi="黑体" w:eastAsia="黑体" w:cs="黑体"/>
                <w:sz w:val="30"/>
                <w:szCs w:val="30"/>
                <w:lang w:eastAsia="zh-CN"/>
              </w:rPr>
            </w:pPr>
          </w:p>
          <w:p>
            <w:pPr>
              <w:keepNext w:val="0"/>
              <w:keepLines w:val="0"/>
              <w:widowControl/>
              <w:suppressLineNumbers w:val="0"/>
              <w:jc w:val="center"/>
              <w:textAlignment w:val="center"/>
              <w:rPr>
                <w:rFonts w:hint="eastAsia" w:ascii="黑体" w:hAnsi="黑体" w:eastAsia="黑体" w:cs="黑体"/>
                <w:sz w:val="30"/>
                <w:szCs w:val="30"/>
                <w:lang w:eastAsia="zh-CN"/>
              </w:rPr>
            </w:pPr>
          </w:p>
          <w:p>
            <w:pPr>
              <w:keepNext w:val="0"/>
              <w:keepLines w:val="0"/>
              <w:widowControl/>
              <w:suppressLineNumbers w:val="0"/>
              <w:jc w:val="center"/>
              <w:textAlignment w:val="center"/>
              <w:rPr>
                <w:rFonts w:hint="eastAsia" w:ascii="黑体" w:hAnsi="黑体" w:eastAsia="黑体" w:cs="黑体"/>
                <w:sz w:val="30"/>
                <w:szCs w:val="30"/>
                <w:lang w:eastAsia="zh-CN"/>
              </w:rPr>
            </w:pPr>
          </w:p>
          <w:p>
            <w:pPr>
              <w:keepNext w:val="0"/>
              <w:keepLines w:val="0"/>
              <w:widowControl/>
              <w:suppressLineNumbers w:val="0"/>
              <w:jc w:val="center"/>
              <w:textAlignment w:val="center"/>
              <w:rPr>
                <w:rFonts w:hint="eastAsia" w:ascii="黑体" w:hAnsi="黑体" w:eastAsia="黑体" w:cs="黑体"/>
                <w:sz w:val="30"/>
                <w:szCs w:val="30"/>
                <w:lang w:eastAsia="zh-CN"/>
              </w:rPr>
            </w:pPr>
          </w:p>
          <w:p>
            <w:pPr>
              <w:keepNext w:val="0"/>
              <w:keepLines w:val="0"/>
              <w:widowControl/>
              <w:suppressLineNumbers w:val="0"/>
              <w:jc w:val="center"/>
              <w:textAlignment w:val="center"/>
              <w:rPr>
                <w:rFonts w:ascii="黑体" w:hAnsi="宋体" w:eastAsia="黑体" w:cs="黑体"/>
                <w:i w:val="0"/>
                <w:color w:val="000000"/>
                <w:sz w:val="32"/>
                <w:szCs w:val="32"/>
                <w:u w:val="none"/>
              </w:rPr>
            </w:pPr>
            <w:r>
              <w:rPr>
                <w:rFonts w:hint="eastAsia" w:ascii="黑体" w:hAnsi="黑体" w:eastAsia="黑体" w:cs="黑体"/>
                <w:sz w:val="30"/>
                <w:szCs w:val="30"/>
                <w:lang w:eastAsia="zh-CN"/>
              </w:rPr>
              <w:t>石家庄市藁城区委统战部</w:t>
            </w:r>
            <w:r>
              <w:rPr>
                <w:rFonts w:hint="eastAsia" w:ascii="黑体" w:hAnsi="黑体" w:eastAsia="黑体" w:cs="黑体"/>
                <w:i w:val="0"/>
                <w:color w:val="000000"/>
                <w:kern w:val="0"/>
                <w:sz w:val="30"/>
                <w:szCs w:val="30"/>
                <w:u w:val="none"/>
                <w:lang w:val="en-US" w:eastAsia="zh-CN" w:bidi="ar"/>
              </w:rPr>
              <w:t>预算项目绩效目标表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6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项目编码</w:t>
            </w:r>
          </w:p>
        </w:tc>
        <w:tc>
          <w:tcPr>
            <w:tcW w:w="258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213-0101-YBN-ZC82</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项目名称</w:t>
            </w:r>
          </w:p>
        </w:tc>
        <w:tc>
          <w:tcPr>
            <w:tcW w:w="5160"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民主党派工作经费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预算规模及资金用途</w:t>
            </w: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预算数    </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b/>
                <w:i w:val="0"/>
                <w:color w:val="000000"/>
                <w:sz w:val="20"/>
                <w:szCs w:val="20"/>
                <w:u w:val="none"/>
                <w:lang w:val="en-US" w:eastAsia="zh-CN"/>
              </w:rPr>
            </w:pPr>
            <w:r>
              <w:rPr>
                <w:rFonts w:hint="eastAsia" w:ascii="宋体" w:hAnsi="宋体" w:eastAsia="宋体" w:cs="宋体"/>
                <w:b/>
                <w:i w:val="0"/>
                <w:color w:val="000000"/>
                <w:sz w:val="20"/>
                <w:szCs w:val="20"/>
                <w:u w:val="none"/>
                <w:lang w:val="en-US" w:eastAsia="zh-CN"/>
              </w:rPr>
              <w:t>3.6</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其中：财政资金</w:t>
            </w:r>
          </w:p>
        </w:tc>
        <w:tc>
          <w:tcPr>
            <w:tcW w:w="118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b/>
                <w:i w:val="0"/>
                <w:color w:val="000000"/>
                <w:sz w:val="20"/>
                <w:szCs w:val="20"/>
                <w:u w:val="none"/>
                <w:lang w:val="en-US" w:eastAsia="zh-CN"/>
              </w:rPr>
            </w:pPr>
            <w:r>
              <w:rPr>
                <w:rFonts w:hint="eastAsia" w:ascii="宋体" w:hAnsi="宋体" w:eastAsia="宋体" w:cs="宋体"/>
                <w:b/>
                <w:i w:val="0"/>
                <w:color w:val="000000"/>
                <w:sz w:val="20"/>
                <w:szCs w:val="20"/>
                <w:u w:val="none"/>
                <w:lang w:val="en-US" w:eastAsia="zh-CN"/>
              </w:rPr>
              <w:t>3.6</w:t>
            </w:r>
          </w:p>
        </w:tc>
        <w:tc>
          <w:tcPr>
            <w:tcW w:w="9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其他资金</w:t>
            </w:r>
          </w:p>
        </w:tc>
        <w:tc>
          <w:tcPr>
            <w:tcW w:w="300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2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9285" w:type="dxa"/>
            <w:gridSpan w:val="7"/>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进一步加强中国共产党领导的多党合作和政治协商制度建设，充分发挥民主党派只能作用，构建和谐政党关系。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资金支出计划（%）</w:t>
            </w:r>
          </w:p>
        </w:tc>
        <w:tc>
          <w:tcPr>
            <w:tcW w:w="258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3月底</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6月底</w:t>
            </w:r>
          </w:p>
        </w:tc>
        <w:tc>
          <w:tcPr>
            <w:tcW w:w="216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10月底</w:t>
            </w:r>
          </w:p>
        </w:tc>
        <w:tc>
          <w:tcPr>
            <w:tcW w:w="300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12月底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258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20</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216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w:t>
            </w:r>
          </w:p>
        </w:tc>
        <w:tc>
          <w:tcPr>
            <w:tcW w:w="300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绩效目标</w:t>
            </w: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目标1</w:t>
            </w:r>
          </w:p>
        </w:tc>
        <w:tc>
          <w:tcPr>
            <w:tcW w:w="813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进一步加强中国共产党领导的多党合作和政治协商制度建设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目标2</w:t>
            </w:r>
          </w:p>
        </w:tc>
        <w:tc>
          <w:tcPr>
            <w:tcW w:w="813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充分发挥民主党派只能作用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一级指标</w:t>
            </w:r>
          </w:p>
        </w:tc>
        <w:tc>
          <w:tcPr>
            <w:tcW w:w="115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二级指标</w:t>
            </w:r>
          </w:p>
        </w:tc>
        <w:tc>
          <w:tcPr>
            <w:tcW w:w="142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三级指标</w:t>
            </w:r>
          </w:p>
        </w:tc>
        <w:tc>
          <w:tcPr>
            <w:tcW w:w="3705" w:type="dxa"/>
            <w:gridSpan w:val="3"/>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绩效指标描述</w:t>
            </w:r>
          </w:p>
        </w:tc>
        <w:tc>
          <w:tcPr>
            <w:tcW w:w="1560" w:type="dxa"/>
            <w:vMerge w:val="restart"/>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指标值</w:t>
            </w:r>
          </w:p>
        </w:tc>
        <w:tc>
          <w:tcPr>
            <w:tcW w:w="144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1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42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3705" w:type="dxa"/>
            <w:gridSpan w:val="3"/>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560" w:type="dxa"/>
            <w:vMerge w:val="continue"/>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44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产出指标 </w:t>
            </w:r>
          </w:p>
        </w:tc>
        <w:tc>
          <w:tcPr>
            <w:tcW w:w="115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学习培训</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&gt;=3</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11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组织开展服务社会活动</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&gt;=3</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11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组织调研视察活动</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&gt;=5</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5" w:hRule="atLeast"/>
        </w:trPr>
        <w:tc>
          <w:tcPr>
            <w:tcW w:w="660"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2"/>
                <w:sz w:val="18"/>
                <w:szCs w:val="18"/>
                <w:u w:val="none"/>
                <w:lang w:val="en-US" w:eastAsia="zh-CN" w:bidi="ar-SA"/>
              </w:rPr>
            </w:pPr>
            <w:r>
              <w:rPr>
                <w:rFonts w:hint="eastAsia" w:ascii="宋体" w:hAnsi="宋体" w:eastAsia="宋体" w:cs="宋体"/>
                <w:b/>
                <w:i w:val="0"/>
                <w:color w:val="000000"/>
                <w:kern w:val="0"/>
                <w:sz w:val="18"/>
                <w:szCs w:val="18"/>
                <w:u w:val="none"/>
                <w:lang w:val="en-US" w:eastAsia="zh-CN" w:bidi="ar"/>
              </w:rPr>
              <w:t>效果指标</w:t>
            </w:r>
          </w:p>
        </w:tc>
        <w:tc>
          <w:tcPr>
            <w:tcW w:w="1155" w:type="dxa"/>
            <w:vMerge w:val="restart"/>
            <w:tcBorders>
              <w:top w:val="single" w:color="auto" w:sz="4" w:space="0"/>
              <w:left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社会效益指标</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学习培训</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&gt;=3</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5" w:hRule="atLeast"/>
        </w:trPr>
        <w:tc>
          <w:tcPr>
            <w:tcW w:w="660" w:type="dxa"/>
            <w:vMerge w:val="continue"/>
            <w:tcBorders>
              <w:left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top"/>
            </w:pPr>
          </w:p>
        </w:tc>
        <w:tc>
          <w:tcPr>
            <w:tcW w:w="1155" w:type="dxa"/>
            <w:vMerge w:val="continue"/>
            <w:tcBorders>
              <w:left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pP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top"/>
              <w:rPr>
                <w:rFonts w:hint="eastAsia" w:ascii="宋体" w:hAnsi="宋体" w:eastAsia="宋体" w:cs="宋体"/>
                <w:i w:val="0"/>
                <w:color w:val="000000"/>
                <w:kern w:val="0"/>
                <w:sz w:val="20"/>
                <w:szCs w:val="20"/>
                <w:u w:val="none"/>
                <w:lang w:val="en-US" w:eastAsia="zh-CN" w:bidi="ar"/>
              </w:rPr>
            </w:pP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组织开展服务社会</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18"/>
                <w:szCs w:val="18"/>
                <w:u w:val="none"/>
                <w:lang w:val="en-US" w:eastAsia="zh-CN" w:bidi="ar"/>
              </w:rPr>
              <w:t>&gt;=3</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5" w:hRule="atLeast"/>
        </w:trPr>
        <w:tc>
          <w:tcPr>
            <w:tcW w:w="66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top"/>
              <w:rPr>
                <w:rFonts w:hint="eastAsia" w:ascii="宋体" w:hAnsi="宋体" w:eastAsia="宋体" w:cs="宋体"/>
                <w:i w:val="0"/>
                <w:color w:val="000000"/>
                <w:kern w:val="0"/>
                <w:sz w:val="20"/>
                <w:szCs w:val="20"/>
                <w:u w:val="none"/>
                <w:lang w:val="en-US" w:eastAsia="zh-CN" w:bidi="ar"/>
              </w:rPr>
            </w:pPr>
          </w:p>
        </w:tc>
        <w:tc>
          <w:tcPr>
            <w:tcW w:w="1155"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20"/>
                <w:szCs w:val="20"/>
                <w:u w:val="none"/>
                <w:lang w:val="en-US" w:eastAsia="zh-CN" w:bidi="ar"/>
              </w:rPr>
            </w:pP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top"/>
              <w:rPr>
                <w:rFonts w:hint="eastAsia" w:ascii="宋体" w:hAnsi="宋体" w:eastAsia="宋体" w:cs="宋体"/>
                <w:i w:val="0"/>
                <w:color w:val="000000"/>
                <w:kern w:val="0"/>
                <w:sz w:val="20"/>
                <w:szCs w:val="20"/>
                <w:u w:val="none"/>
                <w:lang w:val="en-US" w:eastAsia="zh-CN" w:bidi="ar"/>
              </w:rPr>
            </w:pP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组织调研视察活动</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18"/>
                <w:szCs w:val="18"/>
                <w:u w:val="none"/>
                <w:lang w:val="en-US" w:eastAsia="zh-CN" w:bidi="ar"/>
              </w:rPr>
              <w:t>&gt;=5</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22" w:hRule="atLeast"/>
        </w:trPr>
        <w:tc>
          <w:tcPr>
            <w:tcW w:w="6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满意度指标</w:t>
            </w:r>
          </w:p>
        </w:tc>
        <w:tc>
          <w:tcPr>
            <w:tcW w:w="1155" w:type="dxa"/>
            <w:tcBorders>
              <w:top w:val="single" w:color="auto"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服务对象满意度指标</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对服务对象进行走访调查谈心了解满意程度</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&gt;=90%</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9945" w:type="dxa"/>
            <w:gridSpan w:val="8"/>
            <w:tcBorders>
              <w:top w:val="single" w:color="000000" w:sz="4" w:space="0"/>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注：1、项目编码、项目名称与项目库保持一致。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9945" w:type="dxa"/>
            <w:gridSpan w:val="8"/>
            <w:tcBorders>
              <w:top w:val="nil"/>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2、资金支出计划为累计支出计划比例。</w:t>
            </w:r>
          </w:p>
        </w:tc>
      </w:tr>
    </w:tbl>
    <w:p>
      <w:pPr>
        <w:spacing w:line="14" w:lineRule="exact"/>
        <w:ind w:firstLine="420" w:firstLineChars="200"/>
        <w:jc w:val="center"/>
        <w:rPr>
          <w:rFonts w:hAnsi="宋体"/>
        </w:rPr>
      </w:pPr>
      <w:r>
        <w:rPr>
          <w:rFonts w:ascii="方正书宋_GBK" w:eastAsia="方正书宋_GBK"/>
        </w:rPr>
        <w:t xml:space="preserve"> </w:t>
      </w:r>
    </w:p>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spacing w:line="300" w:lineRule="exact"/>
        <w:ind w:firstLine="420" w:firstLineChars="200"/>
        <w:jc w:val="left"/>
      </w:pPr>
    </w:p>
    <w:p>
      <w:pPr>
        <w:jc w:val="left"/>
        <w:outlineLvl w:val="1"/>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5" w:name="_Toc471398468"/>
      <w:r>
        <w:rPr>
          <w:rFonts w:ascii="Times New Roman" w:hAnsi="Times New Roman" w:eastAsia="仿宋" w:cs="Times New Roman"/>
          <w:sz w:val="32"/>
          <w:szCs w:val="24"/>
        </w:rPr>
        <w:t>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我部门未</w:t>
      </w:r>
      <w:r>
        <w:rPr>
          <w:rFonts w:ascii="Times New Roman" w:hAnsi="Times New Roman" w:eastAsia="仿宋" w:cs="Times New Roman"/>
          <w:sz w:val="32"/>
          <w:szCs w:val="24"/>
        </w:rPr>
        <w:t>安排政府采购预算。</w:t>
      </w:r>
      <w:bookmarkEnd w:id="5"/>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6" w:name="_Toc28848395"/>
      <w:r>
        <w:rPr>
          <w:rFonts w:hint="eastAsia" w:ascii="方正小标宋_GBK" w:eastAsia="方正小标宋_GBK"/>
          <w:sz w:val="32"/>
        </w:rPr>
        <w:instrText xml:space="preserve">部门政府采购预算</w:instrText>
      </w:r>
      <w:bookmarkEnd w:id="6"/>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8"/>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211中国共产党石家庄市藁城区委员会</w:t>
            </w:r>
            <w:r>
              <w:rPr>
                <w:rFonts w:hint="eastAsia" w:ascii="方正小标宋_GBK" w:eastAsia="方正小标宋_GBK"/>
                <w:sz w:val="24"/>
                <w:lang w:eastAsia="zh-CN"/>
              </w:rPr>
              <w:t>统战</w:t>
            </w:r>
            <w:r>
              <w:rPr>
                <w:rFonts w:hint="eastAsia" w:ascii="方正小标宋_GBK" w:eastAsia="方正小标宋_GBK"/>
                <w:sz w:val="24"/>
              </w:rPr>
              <w:t>部</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rPr>
          <w:rFonts w:hint="eastAsia" w:ascii="方正小标宋_GBK" w:eastAsia="方正小标宋_GBK"/>
          <w:sz w:val="24"/>
        </w:rPr>
      </w:pPr>
      <w:r>
        <w:rPr>
          <w:rFonts w:hint="eastAsia" w:ascii="方正小标宋_GBK" w:eastAsia="方正小标宋_GBK"/>
          <w:sz w:val="24"/>
        </w:rPr>
        <w:t>注：本部门无政府采购预算情况，故空表列示。</w:t>
      </w:r>
    </w:p>
    <w:p>
      <w:pPr>
        <w:autoSpaceDE w:val="0"/>
        <w:autoSpaceDN w:val="0"/>
        <w:adjustRightInd w:val="0"/>
        <w:ind w:firstLine="640" w:firstLineChars="200"/>
        <w:jc w:val="left"/>
        <w:rPr>
          <w:rFonts w:hint="eastAsia" w:ascii="黑体" w:hAnsi="黑体" w:eastAsia="黑体" w:cs="Times New Roman"/>
          <w:color w:val="FF0000"/>
          <w:sz w:val="32"/>
          <w:szCs w:val="32"/>
        </w:rPr>
      </w:pPr>
    </w:p>
    <w:p>
      <w:pPr>
        <w:autoSpaceDE w:val="0"/>
        <w:autoSpaceDN w:val="0"/>
        <w:adjustRightInd w:val="0"/>
        <w:ind w:firstLine="640" w:firstLineChars="200"/>
        <w:jc w:val="left"/>
        <w:rPr>
          <w:rFonts w:hint="eastAsia" w:ascii="黑体" w:hAnsi="黑体" w:eastAsia="黑体" w:cs="Times New Roman"/>
          <w:color w:val="FF0000"/>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中国共产党石家庄市藁城区委员会</w:t>
      </w:r>
      <w:r>
        <w:rPr>
          <w:rFonts w:hint="eastAsia" w:ascii="Times New Roman" w:hAnsi="Times New Roman" w:eastAsia="仿宋" w:cs="Times New Roman"/>
          <w:color w:val="000000"/>
          <w:sz w:val="32"/>
          <w:szCs w:val="32"/>
          <w:lang w:eastAsia="zh-CN"/>
        </w:rPr>
        <w:t>统战部</w:t>
      </w:r>
      <w:r>
        <w:rPr>
          <w:rFonts w:hint="eastAsia" w:ascii="Times New Roman" w:hAnsi="Times New Roman" w:eastAsia="仿宋" w:cs="Times New Roman"/>
          <w:color w:val="000000"/>
          <w:sz w:val="32"/>
          <w:szCs w:val="32"/>
        </w:rPr>
        <w:t>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12.514</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（处室）未</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中国共产党石家庄市藁城区委员会</w:t>
            </w:r>
            <w:r>
              <w:rPr>
                <w:rFonts w:hint="eastAsia" w:ascii="宋体" w:hAnsi="宋体" w:cs="宋体"/>
                <w:b/>
                <w:bCs/>
                <w:kern w:val="0"/>
                <w:sz w:val="32"/>
                <w:szCs w:val="32"/>
                <w:lang w:eastAsia="zh-CN"/>
              </w:rPr>
              <w:t>统战部</w:t>
            </w: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中国共产党石家庄市藁城区委员会</w:t>
            </w:r>
            <w:r>
              <w:rPr>
                <w:rFonts w:hint="eastAsia" w:ascii="Times New Roman" w:hAnsi="Times New Roman" w:eastAsia="仿宋" w:cs="Times New Roman"/>
                <w:kern w:val="0"/>
                <w:sz w:val="22"/>
                <w:lang w:eastAsia="zh-CN"/>
              </w:rPr>
              <w:t>统战部</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val="en-US" w:eastAsia="zh-CN"/>
              </w:rPr>
            </w:pPr>
            <w:r>
              <w:rPr>
                <w:rFonts w:hint="eastAsia" w:ascii="仿宋" w:hAnsi="仿宋" w:eastAsia="仿宋"/>
                <w:szCs w:val="24"/>
                <w:lang w:val="en-US" w:eastAsia="zh-CN"/>
              </w:rPr>
              <w:t>--</w:t>
            </w:r>
          </w:p>
        </w:tc>
        <w:tc>
          <w:tcPr>
            <w:tcW w:w="5103" w:type="dxa"/>
            <w:tcBorders>
              <w:top w:val="nil"/>
              <w:left w:val="nil"/>
              <w:bottom w:val="single" w:color="auto" w:sz="4" w:space="0"/>
              <w:right w:val="single" w:color="auto" w:sz="4" w:space="0"/>
            </w:tcBorders>
            <w:vAlign w:val="center"/>
          </w:tcPr>
          <w:p>
            <w:pPr>
              <w:pStyle w:val="17"/>
              <w:jc w:val="both"/>
              <w:rPr>
                <w:rFonts w:hint="default" w:ascii="仿宋" w:hAnsi="仿宋" w:eastAsia="仿宋"/>
                <w:szCs w:val="24"/>
                <w:lang w:val="en-US" w:eastAsia="zh-CN"/>
              </w:rPr>
            </w:pPr>
            <w:r>
              <w:rPr>
                <w:rFonts w:hint="eastAsia" w:ascii="仿宋" w:hAnsi="仿宋" w:eastAsia="仿宋"/>
                <w:szCs w:val="24"/>
                <w:lang w:val="en-US" w:eastAsia="zh-CN"/>
              </w:rPr>
              <w:t>12.514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eastAsia="zh-CN"/>
              </w:rPr>
            </w:pPr>
          </w:p>
        </w:tc>
        <w:tc>
          <w:tcPr>
            <w:tcW w:w="5103"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eastAsia="zh-CN"/>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val="en-US" w:eastAsia="zh-CN"/>
              </w:rPr>
            </w:pPr>
          </w:p>
        </w:tc>
        <w:tc>
          <w:tcPr>
            <w:tcW w:w="5103"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val="en-US" w:eastAsia="zh-CN"/>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eastAsia="zh-CN"/>
              </w:rPr>
            </w:pPr>
          </w:p>
        </w:tc>
        <w:tc>
          <w:tcPr>
            <w:tcW w:w="5103"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eastAsia="zh-CN"/>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eastAsia="zh-CN"/>
              </w:rPr>
            </w:pPr>
          </w:p>
        </w:tc>
        <w:tc>
          <w:tcPr>
            <w:tcW w:w="5103"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eastAsia="zh-CN"/>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val="en-US" w:eastAsia="zh-CN"/>
              </w:rPr>
            </w:pPr>
          </w:p>
        </w:tc>
        <w:tc>
          <w:tcPr>
            <w:tcW w:w="5103" w:type="dxa"/>
            <w:tcBorders>
              <w:top w:val="nil"/>
              <w:left w:val="nil"/>
              <w:bottom w:val="single" w:color="auto" w:sz="4" w:space="0"/>
              <w:right w:val="single" w:color="auto" w:sz="4" w:space="0"/>
            </w:tcBorders>
            <w:vAlign w:val="center"/>
          </w:tcPr>
          <w:p>
            <w:pPr>
              <w:pStyle w:val="17"/>
              <w:jc w:val="both"/>
              <w:rPr>
                <w:rFonts w:hint="default" w:ascii="仿宋" w:hAnsi="仿宋" w:eastAsia="仿宋"/>
                <w:szCs w:val="24"/>
                <w:lang w:val="en-US" w:eastAsia="zh-CN"/>
              </w:rPr>
            </w:pPr>
            <w:r>
              <w:rPr>
                <w:rFonts w:hint="eastAsia" w:ascii="仿宋" w:hAnsi="仿宋" w:eastAsia="仿宋"/>
                <w:szCs w:val="24"/>
                <w:lang w:val="en-US" w:eastAsia="zh-CN"/>
              </w:rPr>
              <w:t>12.514</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区县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区县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区县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auto"/>
    <w:pitch w:val="default"/>
    <w:sig w:usb0="E00002FF" w:usb1="400004FF" w:usb2="00000000" w:usb3="00000000" w:csb0="2000019F" w:csb1="00000000"/>
  </w:font>
  <w:font w:name="ArialUnicodeMS">
    <w:altName w:val="Malgun Gothic"/>
    <w:panose1 w:val="00000000000000000000"/>
    <w:charset w:val="81"/>
    <w:family w:val="auto"/>
    <w:pitch w:val="default"/>
    <w:sig w:usb0="00000000" w:usb1="00000000" w:usb2="00000010" w:usb3="00000000" w:csb0="0008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36</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B8B964"/>
    <w:multiLevelType w:val="singleLevel"/>
    <w:tmpl w:val="A4B8B96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U4MzFjZWRlMzcxMzg0NGE0NGE1ODM2ZmU5Mzk3YjAifQ=="/>
  </w:docVars>
  <w:rsids>
    <w:rsidRoot w:val="00EE71BA"/>
    <w:rsid w:val="000A1426"/>
    <w:rsid w:val="000C7140"/>
    <w:rsid w:val="002A6A20"/>
    <w:rsid w:val="00323B29"/>
    <w:rsid w:val="00363D8F"/>
    <w:rsid w:val="0039059E"/>
    <w:rsid w:val="0049067C"/>
    <w:rsid w:val="004B2306"/>
    <w:rsid w:val="004E1AB4"/>
    <w:rsid w:val="0050383A"/>
    <w:rsid w:val="00566D63"/>
    <w:rsid w:val="005D24F0"/>
    <w:rsid w:val="005D28A6"/>
    <w:rsid w:val="005E4923"/>
    <w:rsid w:val="00605C1F"/>
    <w:rsid w:val="006105C9"/>
    <w:rsid w:val="006C3EB0"/>
    <w:rsid w:val="006D7B74"/>
    <w:rsid w:val="00746AD5"/>
    <w:rsid w:val="007C6371"/>
    <w:rsid w:val="007F0341"/>
    <w:rsid w:val="00815C4D"/>
    <w:rsid w:val="008947C9"/>
    <w:rsid w:val="00901EEF"/>
    <w:rsid w:val="0090779A"/>
    <w:rsid w:val="009124F2"/>
    <w:rsid w:val="00946DF1"/>
    <w:rsid w:val="009A521C"/>
    <w:rsid w:val="00B01151"/>
    <w:rsid w:val="00B33E89"/>
    <w:rsid w:val="00BA65ED"/>
    <w:rsid w:val="00C47462"/>
    <w:rsid w:val="00C51D62"/>
    <w:rsid w:val="00C90B8F"/>
    <w:rsid w:val="00CA1F03"/>
    <w:rsid w:val="00D120FF"/>
    <w:rsid w:val="00D2437D"/>
    <w:rsid w:val="00D267B4"/>
    <w:rsid w:val="00D47E01"/>
    <w:rsid w:val="00D55E37"/>
    <w:rsid w:val="00D607DA"/>
    <w:rsid w:val="00D87F44"/>
    <w:rsid w:val="00DA69DF"/>
    <w:rsid w:val="00DC6EE5"/>
    <w:rsid w:val="00EE71BA"/>
    <w:rsid w:val="00F867E4"/>
    <w:rsid w:val="00FD1BBF"/>
    <w:rsid w:val="02426283"/>
    <w:rsid w:val="03F50BAF"/>
    <w:rsid w:val="04AC2F27"/>
    <w:rsid w:val="056D17C0"/>
    <w:rsid w:val="0C026B6E"/>
    <w:rsid w:val="0C2211CB"/>
    <w:rsid w:val="165A47F0"/>
    <w:rsid w:val="1A0D2587"/>
    <w:rsid w:val="1FA02D1E"/>
    <w:rsid w:val="222C48FB"/>
    <w:rsid w:val="2D570839"/>
    <w:rsid w:val="34AD7D44"/>
    <w:rsid w:val="35050FD5"/>
    <w:rsid w:val="35624576"/>
    <w:rsid w:val="36E805B4"/>
    <w:rsid w:val="3CD44F41"/>
    <w:rsid w:val="40B66520"/>
    <w:rsid w:val="4AFA7B6C"/>
    <w:rsid w:val="4E3258EB"/>
    <w:rsid w:val="4FCB323F"/>
    <w:rsid w:val="5411699F"/>
    <w:rsid w:val="54873812"/>
    <w:rsid w:val="5495520C"/>
    <w:rsid w:val="565774D1"/>
    <w:rsid w:val="582E5B51"/>
    <w:rsid w:val="61E918BA"/>
    <w:rsid w:val="6D9561D8"/>
    <w:rsid w:val="6E287BBA"/>
    <w:rsid w:val="6ECF00F2"/>
    <w:rsid w:val="6EE4080F"/>
    <w:rsid w:val="6FBE2981"/>
    <w:rsid w:val="76C336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15"/>
    <w:autoRedefine/>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6"/>
    <w:autoRedefine/>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autoRedefine/>
    <w:qFormat/>
    <w:uiPriority w:val="0"/>
    <w:pPr>
      <w:snapToGrid w:val="0"/>
      <w:jc w:val="left"/>
    </w:pPr>
    <w:rPr>
      <w:sz w:val="18"/>
      <w:szCs w:val="18"/>
    </w:rPr>
  </w:style>
  <w:style w:type="paragraph" w:styleId="6">
    <w:name w:val="toc 2"/>
    <w:basedOn w:val="1"/>
    <w:next w:val="1"/>
    <w:autoRedefine/>
    <w:qFormat/>
    <w:uiPriority w:val="0"/>
    <w:pPr>
      <w:ind w:left="420" w:leftChars="200"/>
    </w:pPr>
    <w:rPr>
      <w:rFonts w:ascii="Times New Roman" w:hAnsi="Times New Roman" w:cs="Times New Roman"/>
      <w:szCs w:val="24"/>
    </w:rPr>
  </w:style>
  <w:style w:type="paragraph" w:styleId="7">
    <w:name w:val="Normal (Web)"/>
    <w:basedOn w:val="1"/>
    <w:autoRedefine/>
    <w:qFormat/>
    <w:uiPriority w:val="0"/>
    <w:pPr>
      <w:spacing w:before="100" w:beforeAutospacing="1" w:after="100" w:afterAutospacing="1"/>
      <w:ind w:left="0" w:right="0"/>
      <w:jc w:val="left"/>
    </w:pPr>
    <w:rPr>
      <w:kern w:val="0"/>
      <w:sz w:val="24"/>
      <w:lang w:val="en-US" w:eastAsia="zh-CN" w:bidi="ar"/>
    </w:rPr>
  </w:style>
  <w:style w:type="character" w:styleId="10">
    <w:name w:val="page number"/>
    <w:basedOn w:val="9"/>
    <w:autoRedefine/>
    <w:qFormat/>
    <w:uiPriority w:val="0"/>
  </w:style>
  <w:style w:type="character" w:styleId="11">
    <w:name w:val="Hyperlink"/>
    <w:basedOn w:val="9"/>
    <w:qFormat/>
    <w:uiPriority w:val="0"/>
    <w:rPr>
      <w:color w:val="0000FF"/>
      <w:u w:val="single"/>
    </w:rPr>
  </w:style>
  <w:style w:type="character" w:styleId="12">
    <w:name w:val="footnote reference"/>
    <w:qFormat/>
    <w:uiPriority w:val="0"/>
    <w:rPr>
      <w:vertAlign w:val="superscript"/>
    </w:rPr>
  </w:style>
  <w:style w:type="paragraph" w:customStyle="1" w:styleId="13">
    <w:name w:val="Char"/>
    <w:basedOn w:val="1"/>
    <w:qFormat/>
    <w:uiPriority w:val="0"/>
    <w:rPr>
      <w:rFonts w:ascii="Times New Roman" w:hAnsi="Times New Roman" w:cs="Times New Roman"/>
      <w:szCs w:val="24"/>
    </w:rPr>
  </w:style>
  <w:style w:type="character" w:customStyle="1" w:styleId="14">
    <w:name w:val="页码1"/>
    <w:autoRedefine/>
    <w:qFormat/>
    <w:uiPriority w:val="0"/>
  </w:style>
  <w:style w:type="character" w:customStyle="1" w:styleId="15">
    <w:name w:val="页脚 Char"/>
    <w:link w:val="2"/>
    <w:semiHidden/>
    <w:qFormat/>
    <w:uiPriority w:val="0"/>
    <w:rPr>
      <w:rFonts w:ascii="Times New Roman" w:hAnsi="Times New Roman" w:eastAsia="宋体" w:cs="Times New Roman"/>
      <w:sz w:val="18"/>
      <w:szCs w:val="18"/>
    </w:rPr>
  </w:style>
  <w:style w:type="character" w:customStyle="1" w:styleId="16">
    <w:name w:val="页眉 Char"/>
    <w:link w:val="3"/>
    <w:semiHidden/>
    <w:qFormat/>
    <w:uiPriority w:val="0"/>
    <w:rPr>
      <w:rFonts w:ascii="Times New Roman" w:hAnsi="Times New Roman" w:eastAsia="宋体" w:cs="Times New Roman"/>
      <w:sz w:val="18"/>
      <w:szCs w:val="18"/>
    </w:rPr>
  </w:style>
  <w:style w:type="paragraph" w:customStyle="1" w:styleId="17">
    <w:name w:val="[Normal]"/>
    <w:autoRedefine/>
    <w:qFormat/>
    <w:uiPriority w:val="0"/>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36</Pages>
  <Words>2979</Words>
  <Characters>16984</Characters>
  <Lines>141</Lines>
  <Paragraphs>39</Paragraphs>
  <TotalTime>0</TotalTime>
  <ScaleCrop>false</ScaleCrop>
  <LinksUpToDate>false</LinksUpToDate>
  <CharactersWithSpaces>19924</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2024-02-23T02:03:23Z</dcterms:modified>
  <dc:title>o</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276CD8CF3EBD4B2488F9348EC6A3685A</vt:lpwstr>
  </property>
</Properties>
</file>