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中共藁城区委统战部</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部门预算信息公开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_Toc19904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_Toc19904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_Toc11097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_Toc11097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_Toc16742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_Toc16742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_Toc5153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_Toc5153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_Toc14585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_Toc14585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_Toc8270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_Toc8270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_Toc8681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_Toc8681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_Toc2744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_Toc2744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_Toc2584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_Toc2584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_Toc4764 </w:instrText>
      </w:r>
      <w:r>
        <w:fldChar w:fldCharType="separate"/>
      </w:r>
      <w:r>
        <w:rPr>
          <w:rFonts w:ascii="黑体" w:hAnsi="黑体" w:eastAsia="黑体" w:cs="黑体"/>
        </w:rPr>
        <w:t>一、部门职责及机构设置情况</w:t>
      </w:r>
      <w:r>
        <w:tab/>
      </w:r>
      <w:r>
        <w:fldChar w:fldCharType="begin"/>
      </w:r>
      <w:r>
        <w:instrText xml:space="preserve"> PAGEREF _Toc4764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_Toc27573 </w:instrText>
      </w:r>
      <w:r>
        <w:fldChar w:fldCharType="separate"/>
      </w:r>
      <w:r>
        <w:rPr>
          <w:rFonts w:ascii="黑体" w:hAnsi="黑体" w:eastAsia="黑体" w:cs="黑体"/>
        </w:rPr>
        <w:t>二、部门预算安排的总体情况</w:t>
      </w:r>
      <w:r>
        <w:tab/>
      </w:r>
      <w:r>
        <w:fldChar w:fldCharType="begin"/>
      </w:r>
      <w:r>
        <w:instrText xml:space="preserve"> PAGEREF _Toc27573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_Toc23757 </w:instrText>
      </w:r>
      <w:r>
        <w:fldChar w:fldCharType="separate"/>
      </w:r>
      <w:r>
        <w:rPr>
          <w:rFonts w:ascii="黑体" w:hAnsi="黑体" w:eastAsia="黑体" w:cs="黑体"/>
        </w:rPr>
        <w:t>三、机关运行经费安排情况</w:t>
      </w:r>
      <w:r>
        <w:tab/>
      </w:r>
      <w:r>
        <w:fldChar w:fldCharType="begin"/>
      </w:r>
      <w:r>
        <w:instrText xml:space="preserve"> PAGEREF _Toc23757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_Toc20623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_Toc20623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_Toc11157 </w:instrText>
      </w:r>
      <w:r>
        <w:fldChar w:fldCharType="separate"/>
      </w:r>
      <w:r>
        <w:rPr>
          <w:rFonts w:ascii="黑体" w:hAnsi="黑体" w:eastAsia="黑体" w:cs="黑体"/>
        </w:rPr>
        <w:t>五、预算绩效信息</w:t>
      </w:r>
      <w:r>
        <w:tab/>
      </w:r>
      <w:r>
        <w:fldChar w:fldCharType="begin"/>
      </w:r>
      <w:r>
        <w:instrText xml:space="preserve"> PAGEREF _Toc11157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_Toc5456 </w:instrText>
      </w:r>
      <w:r>
        <w:fldChar w:fldCharType="separate"/>
      </w:r>
      <w:r>
        <w:rPr>
          <w:rFonts w:ascii="黑体" w:hAnsi="黑体" w:eastAsia="黑体" w:cs="黑体"/>
        </w:rPr>
        <w:t>六、政府采购预算情况</w:t>
      </w:r>
      <w:r>
        <w:tab/>
      </w:r>
      <w:r>
        <w:fldChar w:fldCharType="begin"/>
      </w:r>
      <w:r>
        <w:instrText xml:space="preserve"> PAGEREF _Toc5456 \h </w:instrText>
      </w:r>
      <w:r>
        <w:fldChar w:fldCharType="separate"/>
      </w:r>
      <w:r>
        <w:t>34</w:t>
      </w:r>
      <w:r>
        <w:fldChar w:fldCharType="end"/>
      </w:r>
      <w:r>
        <w:fldChar w:fldCharType="end"/>
      </w:r>
    </w:p>
    <w:p>
      <w:pPr>
        <w:pStyle w:val="2"/>
        <w:tabs>
          <w:tab w:val="right" w:leader="dot" w:pos="14800"/>
        </w:tabs>
      </w:pPr>
      <w:r>
        <w:fldChar w:fldCharType="begin"/>
      </w:r>
      <w:r>
        <w:instrText xml:space="preserve"> HYPERLINK \l _Toc20136 </w:instrText>
      </w:r>
      <w:r>
        <w:fldChar w:fldCharType="separate"/>
      </w:r>
      <w:r>
        <w:rPr>
          <w:rFonts w:ascii="黑体" w:hAnsi="黑体" w:eastAsia="黑体" w:cs="黑体"/>
        </w:rPr>
        <w:t>七、国有资产信息</w:t>
      </w:r>
      <w:r>
        <w:tab/>
      </w:r>
      <w:r>
        <w:fldChar w:fldCharType="begin"/>
      </w:r>
      <w:r>
        <w:instrText xml:space="preserve"> PAGEREF _Toc20136 \h </w:instrText>
      </w:r>
      <w:r>
        <w:fldChar w:fldCharType="separate"/>
      </w:r>
      <w:r>
        <w:t>34</w:t>
      </w:r>
      <w:r>
        <w:fldChar w:fldCharType="end"/>
      </w:r>
      <w:r>
        <w:fldChar w:fldCharType="end"/>
      </w:r>
    </w:p>
    <w:p>
      <w:pPr>
        <w:pStyle w:val="2"/>
        <w:tabs>
          <w:tab w:val="right" w:leader="dot" w:pos="14800"/>
        </w:tabs>
      </w:pPr>
      <w:r>
        <w:fldChar w:fldCharType="begin"/>
      </w:r>
      <w:r>
        <w:instrText xml:space="preserve"> HYPERLINK \l _Toc18998 </w:instrText>
      </w:r>
      <w:r>
        <w:fldChar w:fldCharType="separate"/>
      </w:r>
      <w:r>
        <w:rPr>
          <w:rFonts w:ascii="黑体" w:hAnsi="黑体" w:eastAsia="黑体" w:cs="黑体"/>
        </w:rPr>
        <w:t>八、名词解释</w:t>
      </w:r>
      <w:r>
        <w:tab/>
      </w:r>
      <w:r>
        <w:fldChar w:fldCharType="begin"/>
      </w:r>
      <w:r>
        <w:instrText xml:space="preserve"> PAGEREF _Toc18998 \h </w:instrText>
      </w:r>
      <w:r>
        <w:fldChar w:fldCharType="separate"/>
      </w:r>
      <w:r>
        <w:t>35</w:t>
      </w:r>
      <w:r>
        <w:fldChar w:fldCharType="end"/>
      </w:r>
      <w:r>
        <w:fldChar w:fldCharType="end"/>
      </w:r>
    </w:p>
    <w:p>
      <w:pPr>
        <w:pStyle w:val="2"/>
        <w:tabs>
          <w:tab w:val="right" w:leader="dot" w:pos="14800"/>
        </w:tabs>
      </w:pPr>
      <w:r>
        <w:fldChar w:fldCharType="begin"/>
      </w:r>
      <w:r>
        <w:instrText xml:space="preserve"> HYPERLINK \l _Toc32574 </w:instrText>
      </w:r>
      <w:r>
        <w:fldChar w:fldCharType="separate"/>
      </w:r>
      <w:r>
        <w:rPr>
          <w:rFonts w:ascii="黑体" w:hAnsi="黑体" w:eastAsia="黑体" w:cs="黑体"/>
        </w:rPr>
        <w:t>九、其他需要说明的事项</w:t>
      </w:r>
      <w:r>
        <w:tab/>
      </w:r>
      <w:r>
        <w:fldChar w:fldCharType="begin"/>
      </w:r>
      <w:r>
        <w:instrText xml:space="preserve"> PAGEREF _Toc32574 \h </w:instrText>
      </w:r>
      <w:r>
        <w:fldChar w:fldCharType="separate"/>
      </w:r>
      <w:r>
        <w:t>36</w:t>
      </w:r>
      <w:r>
        <w:fldChar w:fldCharType="end"/>
      </w:r>
      <w:r>
        <w:fldChar w:fldCharType="end"/>
      </w:r>
    </w:p>
    <w:p>
      <w:r>
        <w:fldChar w:fldCharType="end"/>
      </w:r>
    </w:p>
    <w:p/>
    <w:p>
      <w:pPr>
        <w:spacing w:before="0" w:after="0" w:line="240" w:lineRule="auto"/>
        <w:ind w:firstLine="0"/>
        <w:jc w:val="center"/>
        <w:outlineLvl w:val="1"/>
      </w:pPr>
      <w:bookmarkStart w:id="0" w:name="_Toc19904"/>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183.01</w:t>
            </w:r>
          </w:p>
        </w:tc>
        <w:tc>
          <w:tcPr>
            <w:tcW w:w="4535" w:type="dxa"/>
            <w:vAlign w:val="center"/>
          </w:tcPr>
          <w:p>
            <w:pPr>
              <w:pStyle w:val="12"/>
            </w:pPr>
            <w:r>
              <w:t>一、一般公共服务支出</w:t>
            </w:r>
          </w:p>
        </w:tc>
        <w:tc>
          <w:tcPr>
            <w:tcW w:w="2126" w:type="dxa"/>
            <w:vAlign w:val="center"/>
          </w:tcPr>
          <w:p>
            <w:pPr>
              <w:pStyle w:val="13"/>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183.01</w:t>
            </w:r>
          </w:p>
        </w:tc>
        <w:tc>
          <w:tcPr>
            <w:tcW w:w="4535" w:type="dxa"/>
            <w:vAlign w:val="center"/>
          </w:tcPr>
          <w:p>
            <w:pPr>
              <w:pStyle w:val="14"/>
            </w:pPr>
            <w:r>
              <w:t>本年支出合计</w:t>
            </w:r>
          </w:p>
        </w:tc>
        <w:tc>
          <w:tcPr>
            <w:tcW w:w="2126" w:type="dxa"/>
            <w:vAlign w:val="center"/>
          </w:tcPr>
          <w:p>
            <w:pPr>
              <w:pStyle w:val="15"/>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183.01</w:t>
            </w:r>
          </w:p>
        </w:tc>
        <w:tc>
          <w:tcPr>
            <w:tcW w:w="4535" w:type="dxa"/>
            <w:vAlign w:val="center"/>
          </w:tcPr>
          <w:p>
            <w:pPr>
              <w:pStyle w:val="14"/>
            </w:pPr>
            <w:r>
              <w:t>支出总计</w:t>
            </w:r>
          </w:p>
        </w:tc>
        <w:tc>
          <w:tcPr>
            <w:tcW w:w="2126" w:type="dxa"/>
            <w:vAlign w:val="center"/>
          </w:tcPr>
          <w:p>
            <w:pPr>
              <w:pStyle w:val="15"/>
            </w:pPr>
            <w:r>
              <w:t>183.01</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1097"/>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183.01</w:t>
            </w:r>
          </w:p>
        </w:tc>
        <w:tc>
          <w:tcPr>
            <w:tcW w:w="1134" w:type="dxa"/>
            <w:vAlign w:val="center"/>
          </w:tcPr>
          <w:p>
            <w:pPr>
              <w:pStyle w:val="15"/>
            </w:pPr>
            <w:r>
              <w:t>183.01</w:t>
            </w:r>
          </w:p>
        </w:tc>
        <w:tc>
          <w:tcPr>
            <w:tcW w:w="1134" w:type="dxa"/>
            <w:vAlign w:val="center"/>
          </w:tcPr>
          <w:p>
            <w:pPr>
              <w:pStyle w:val="15"/>
            </w:pPr>
            <w:r>
              <w:t>183.01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3"/>
            </w:pPr>
            <w:r>
              <w:t>155.77</w:t>
            </w:r>
          </w:p>
        </w:tc>
        <w:tc>
          <w:tcPr>
            <w:tcW w:w="1134" w:type="dxa"/>
            <w:vAlign w:val="center"/>
          </w:tcPr>
          <w:p>
            <w:pPr>
              <w:pStyle w:val="13"/>
            </w:pPr>
            <w:r>
              <w:t>155.77</w:t>
            </w:r>
          </w:p>
        </w:tc>
        <w:tc>
          <w:tcPr>
            <w:tcW w:w="1134" w:type="dxa"/>
            <w:vAlign w:val="center"/>
          </w:tcPr>
          <w:p>
            <w:pPr>
              <w:pStyle w:val="13"/>
            </w:pPr>
            <w:r>
              <w:t>155.77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6742"/>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183.01</w:t>
            </w:r>
          </w:p>
        </w:tc>
        <w:tc>
          <w:tcPr>
            <w:tcW w:w="1361" w:type="dxa"/>
            <w:vAlign w:val="center"/>
          </w:tcPr>
          <w:p>
            <w:pPr>
              <w:pStyle w:val="15"/>
            </w:pPr>
            <w:r>
              <w:t>155.77</w:t>
            </w:r>
          </w:p>
        </w:tc>
        <w:tc>
          <w:tcPr>
            <w:tcW w:w="1361" w:type="dxa"/>
            <w:vAlign w:val="center"/>
          </w:tcPr>
          <w:p>
            <w:pPr>
              <w:pStyle w:val="15"/>
            </w:pPr>
            <w:r>
              <w:t>27.24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183.01</w:t>
            </w:r>
          </w:p>
        </w:tc>
        <w:tc>
          <w:tcPr>
            <w:tcW w:w="1361" w:type="dxa"/>
            <w:vAlign w:val="center"/>
          </w:tcPr>
          <w:p>
            <w:pPr>
              <w:pStyle w:val="13"/>
            </w:pPr>
            <w:r>
              <w:t>155.77</w:t>
            </w:r>
          </w:p>
        </w:tc>
        <w:tc>
          <w:tcPr>
            <w:tcW w:w="1361" w:type="dxa"/>
            <w:vAlign w:val="center"/>
          </w:tcPr>
          <w:p>
            <w:pPr>
              <w:pStyle w:val="13"/>
            </w:pPr>
            <w:r>
              <w:t>27.24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3"/>
            </w:pPr>
            <w:r>
              <w:t>183.01</w:t>
            </w:r>
          </w:p>
        </w:tc>
        <w:tc>
          <w:tcPr>
            <w:tcW w:w="1361" w:type="dxa"/>
            <w:vAlign w:val="center"/>
          </w:tcPr>
          <w:p>
            <w:pPr>
              <w:pStyle w:val="13"/>
            </w:pPr>
            <w:r>
              <w:t>155.77</w:t>
            </w:r>
          </w:p>
        </w:tc>
        <w:tc>
          <w:tcPr>
            <w:tcW w:w="1361" w:type="dxa"/>
            <w:vAlign w:val="center"/>
          </w:tcPr>
          <w:p>
            <w:pPr>
              <w:pStyle w:val="13"/>
            </w:pPr>
            <w:r>
              <w:t>27.24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3"/>
            </w:pPr>
            <w:r>
              <w:t>155.77</w:t>
            </w:r>
          </w:p>
        </w:tc>
        <w:tc>
          <w:tcPr>
            <w:tcW w:w="1361" w:type="dxa"/>
            <w:vAlign w:val="center"/>
          </w:tcPr>
          <w:p>
            <w:pPr>
              <w:pStyle w:val="13"/>
            </w:pPr>
            <w:r>
              <w:t>155.77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5153"/>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183.01</w:t>
            </w:r>
          </w:p>
        </w:tc>
        <w:tc>
          <w:tcPr>
            <w:tcW w:w="3402" w:type="dxa"/>
            <w:vAlign w:val="center"/>
          </w:tcPr>
          <w:p>
            <w:pPr>
              <w:pStyle w:val="12"/>
            </w:pPr>
            <w:r>
              <w:t>一、一般公共服务支出</w:t>
            </w:r>
          </w:p>
        </w:tc>
        <w:tc>
          <w:tcPr>
            <w:tcW w:w="1474" w:type="dxa"/>
            <w:vAlign w:val="center"/>
          </w:tcPr>
          <w:p>
            <w:pPr>
              <w:pStyle w:val="13"/>
            </w:pPr>
            <w:r>
              <w:t>183.01</w:t>
            </w:r>
          </w:p>
        </w:tc>
        <w:tc>
          <w:tcPr>
            <w:tcW w:w="1474" w:type="dxa"/>
            <w:vAlign w:val="center"/>
          </w:tcPr>
          <w:p>
            <w:pPr>
              <w:pStyle w:val="13"/>
            </w:pPr>
            <w:r>
              <w:t>183.01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183.01</w:t>
            </w:r>
          </w:p>
        </w:tc>
        <w:tc>
          <w:tcPr>
            <w:tcW w:w="3402" w:type="dxa"/>
            <w:vAlign w:val="center"/>
          </w:tcPr>
          <w:p>
            <w:pPr>
              <w:pStyle w:val="14"/>
            </w:pPr>
            <w:r>
              <w:t>本年支出合计</w:t>
            </w:r>
          </w:p>
        </w:tc>
        <w:tc>
          <w:tcPr>
            <w:tcW w:w="1474" w:type="dxa"/>
            <w:vAlign w:val="center"/>
          </w:tcPr>
          <w:p>
            <w:pPr>
              <w:pStyle w:val="15"/>
            </w:pPr>
            <w:r>
              <w:t>183.01</w:t>
            </w:r>
          </w:p>
        </w:tc>
        <w:tc>
          <w:tcPr>
            <w:tcW w:w="1474" w:type="dxa"/>
            <w:vAlign w:val="center"/>
          </w:tcPr>
          <w:p>
            <w:pPr>
              <w:pStyle w:val="15"/>
            </w:pPr>
            <w:r>
              <w:t>183.01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183.01</w:t>
            </w:r>
          </w:p>
        </w:tc>
        <w:tc>
          <w:tcPr>
            <w:tcW w:w="3402" w:type="dxa"/>
            <w:vAlign w:val="center"/>
          </w:tcPr>
          <w:p>
            <w:pPr>
              <w:pStyle w:val="14"/>
            </w:pPr>
            <w:r>
              <w:t>支出总计</w:t>
            </w:r>
          </w:p>
        </w:tc>
        <w:tc>
          <w:tcPr>
            <w:tcW w:w="1474" w:type="dxa"/>
            <w:vAlign w:val="center"/>
          </w:tcPr>
          <w:p>
            <w:pPr>
              <w:pStyle w:val="15"/>
            </w:pPr>
            <w:r>
              <w:t>183.01</w:t>
            </w:r>
          </w:p>
        </w:tc>
        <w:tc>
          <w:tcPr>
            <w:tcW w:w="1474" w:type="dxa"/>
            <w:vAlign w:val="center"/>
          </w:tcPr>
          <w:p>
            <w:pPr>
              <w:pStyle w:val="15"/>
            </w:pPr>
            <w:r>
              <w:t>183.01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458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183.01</w:t>
            </w:r>
          </w:p>
        </w:tc>
        <w:tc>
          <w:tcPr>
            <w:tcW w:w="2551" w:type="dxa"/>
            <w:vAlign w:val="center"/>
          </w:tcPr>
          <w:p>
            <w:pPr>
              <w:pStyle w:val="15"/>
            </w:pPr>
            <w:r>
              <w:t>155.77</w:t>
            </w:r>
          </w:p>
        </w:tc>
        <w:tc>
          <w:tcPr>
            <w:tcW w:w="2551" w:type="dxa"/>
            <w:vAlign w:val="center"/>
          </w:tcPr>
          <w:p>
            <w:pPr>
              <w:pStyle w:val="15"/>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183.01</w:t>
            </w:r>
          </w:p>
        </w:tc>
        <w:tc>
          <w:tcPr>
            <w:tcW w:w="2551" w:type="dxa"/>
            <w:vAlign w:val="center"/>
          </w:tcPr>
          <w:p>
            <w:pPr>
              <w:pStyle w:val="13"/>
            </w:pPr>
            <w:r>
              <w:t>155.77</w:t>
            </w:r>
          </w:p>
        </w:tc>
        <w:tc>
          <w:tcPr>
            <w:tcW w:w="2551" w:type="dxa"/>
            <w:vAlign w:val="center"/>
          </w:tcPr>
          <w:p>
            <w:pPr>
              <w:pStyle w:val="13"/>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3"/>
            </w:pPr>
            <w:r>
              <w:t>183.01</w:t>
            </w:r>
          </w:p>
        </w:tc>
        <w:tc>
          <w:tcPr>
            <w:tcW w:w="2551" w:type="dxa"/>
            <w:vAlign w:val="center"/>
          </w:tcPr>
          <w:p>
            <w:pPr>
              <w:pStyle w:val="13"/>
            </w:pPr>
            <w:r>
              <w:t>155.77</w:t>
            </w:r>
          </w:p>
        </w:tc>
        <w:tc>
          <w:tcPr>
            <w:tcW w:w="2551" w:type="dxa"/>
            <w:vAlign w:val="center"/>
          </w:tcPr>
          <w:p>
            <w:pPr>
              <w:pStyle w:val="13"/>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3"/>
            </w:pPr>
            <w:r>
              <w:t>155.77</w:t>
            </w:r>
          </w:p>
        </w:tc>
        <w:tc>
          <w:tcPr>
            <w:tcW w:w="2551" w:type="dxa"/>
            <w:vAlign w:val="center"/>
          </w:tcPr>
          <w:p>
            <w:pPr>
              <w:pStyle w:val="13"/>
            </w:pPr>
            <w:r>
              <w:t>155.77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8270"/>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155.77</w:t>
            </w:r>
          </w:p>
        </w:tc>
        <w:tc>
          <w:tcPr>
            <w:tcW w:w="2551" w:type="dxa"/>
            <w:vAlign w:val="center"/>
          </w:tcPr>
          <w:p>
            <w:pPr>
              <w:pStyle w:val="15"/>
            </w:pPr>
            <w:r>
              <w:t>140.35</w:t>
            </w:r>
          </w:p>
        </w:tc>
        <w:tc>
          <w:tcPr>
            <w:tcW w:w="2551" w:type="dxa"/>
            <w:vAlign w:val="center"/>
          </w:tcPr>
          <w:p>
            <w:pPr>
              <w:pStyle w:val="15"/>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140.35</w:t>
            </w:r>
          </w:p>
        </w:tc>
        <w:tc>
          <w:tcPr>
            <w:tcW w:w="2551" w:type="dxa"/>
            <w:vAlign w:val="center"/>
          </w:tcPr>
          <w:p>
            <w:pPr>
              <w:pStyle w:val="13"/>
            </w:pPr>
            <w:r>
              <w:t>140.35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34.94</w:t>
            </w:r>
          </w:p>
        </w:tc>
        <w:tc>
          <w:tcPr>
            <w:tcW w:w="2551" w:type="dxa"/>
            <w:vAlign w:val="center"/>
          </w:tcPr>
          <w:p>
            <w:pPr>
              <w:pStyle w:val="13"/>
            </w:pPr>
            <w:r>
              <w:t>34.94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57.23</w:t>
            </w:r>
          </w:p>
        </w:tc>
        <w:tc>
          <w:tcPr>
            <w:tcW w:w="2551" w:type="dxa"/>
            <w:vAlign w:val="center"/>
          </w:tcPr>
          <w:p>
            <w:pPr>
              <w:pStyle w:val="13"/>
            </w:pPr>
            <w:r>
              <w:t>57.23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2.91</w:t>
            </w:r>
          </w:p>
        </w:tc>
        <w:tc>
          <w:tcPr>
            <w:tcW w:w="2551" w:type="dxa"/>
            <w:vAlign w:val="center"/>
          </w:tcPr>
          <w:p>
            <w:pPr>
              <w:pStyle w:val="13"/>
            </w:pPr>
            <w:r>
              <w:t>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12.59</w:t>
            </w:r>
          </w:p>
        </w:tc>
        <w:tc>
          <w:tcPr>
            <w:tcW w:w="2551" w:type="dxa"/>
            <w:vAlign w:val="center"/>
          </w:tcPr>
          <w:p>
            <w:pPr>
              <w:pStyle w:val="13"/>
            </w:pPr>
            <w:r>
              <w:t>12.59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6.61</w:t>
            </w:r>
          </w:p>
        </w:tc>
        <w:tc>
          <w:tcPr>
            <w:tcW w:w="2551" w:type="dxa"/>
            <w:vAlign w:val="center"/>
          </w:tcPr>
          <w:p>
            <w:pPr>
              <w:pStyle w:val="13"/>
            </w:pPr>
            <w:r>
              <w:t>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5.11</w:t>
            </w:r>
          </w:p>
        </w:tc>
        <w:tc>
          <w:tcPr>
            <w:tcW w:w="2551" w:type="dxa"/>
            <w:vAlign w:val="center"/>
          </w:tcPr>
          <w:p>
            <w:pPr>
              <w:pStyle w:val="13"/>
            </w:pPr>
            <w:r>
              <w:t>5.11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10.54</w:t>
            </w:r>
          </w:p>
        </w:tc>
        <w:tc>
          <w:tcPr>
            <w:tcW w:w="2551" w:type="dxa"/>
            <w:vAlign w:val="center"/>
          </w:tcPr>
          <w:p>
            <w:pPr>
              <w:pStyle w:val="13"/>
            </w:pPr>
            <w:r>
              <w:t>10.54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10.43</w:t>
            </w:r>
          </w:p>
        </w:tc>
        <w:tc>
          <w:tcPr>
            <w:tcW w:w="2551" w:type="dxa"/>
            <w:vAlign w:val="center"/>
          </w:tcPr>
          <w:p>
            <w:pPr>
              <w:pStyle w:val="13"/>
            </w:pPr>
            <w:r>
              <w:t>10.43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15.41</w:t>
            </w:r>
          </w:p>
        </w:tc>
        <w:tc>
          <w:tcPr>
            <w:tcW w:w="2551" w:type="dxa"/>
            <w:vAlign w:val="center"/>
          </w:tcPr>
          <w:p>
            <w:pPr>
              <w:pStyle w:val="13"/>
            </w:pPr>
          </w:p>
        </w:tc>
        <w:tc>
          <w:tcPr>
            <w:tcW w:w="2551" w:type="dxa"/>
            <w:vAlign w:val="center"/>
          </w:tcPr>
          <w:p>
            <w:pPr>
              <w:pStyle w:val="13"/>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4.51</w:t>
            </w:r>
          </w:p>
        </w:tc>
        <w:tc>
          <w:tcPr>
            <w:tcW w:w="2551" w:type="dxa"/>
            <w:vAlign w:val="center"/>
          </w:tcPr>
          <w:p>
            <w:pPr>
              <w:pStyle w:val="13"/>
            </w:pPr>
          </w:p>
        </w:tc>
        <w:tc>
          <w:tcPr>
            <w:tcW w:w="2551" w:type="dxa"/>
            <w:vAlign w:val="center"/>
          </w:tcPr>
          <w:p>
            <w:pPr>
              <w:pStyle w:val="13"/>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0.74</w:t>
            </w:r>
          </w:p>
        </w:tc>
        <w:tc>
          <w:tcPr>
            <w:tcW w:w="2551" w:type="dxa"/>
            <w:vAlign w:val="center"/>
          </w:tcPr>
          <w:p>
            <w:pPr>
              <w:pStyle w:val="13"/>
            </w:pPr>
          </w:p>
        </w:tc>
        <w:tc>
          <w:tcPr>
            <w:tcW w:w="2551"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0.87</w:t>
            </w:r>
          </w:p>
        </w:tc>
        <w:tc>
          <w:tcPr>
            <w:tcW w:w="2551" w:type="dxa"/>
            <w:vAlign w:val="center"/>
          </w:tcPr>
          <w:p>
            <w:pPr>
              <w:pStyle w:val="13"/>
            </w:pPr>
          </w:p>
        </w:tc>
        <w:tc>
          <w:tcPr>
            <w:tcW w:w="2551"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6.12</w:t>
            </w:r>
          </w:p>
        </w:tc>
        <w:tc>
          <w:tcPr>
            <w:tcW w:w="2551" w:type="dxa"/>
            <w:vAlign w:val="center"/>
          </w:tcPr>
          <w:p>
            <w:pPr>
              <w:pStyle w:val="13"/>
            </w:pPr>
          </w:p>
        </w:tc>
        <w:tc>
          <w:tcPr>
            <w:tcW w:w="2551"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8681"/>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744"/>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584"/>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中国共产党石家庄市藁城区委员会统战部2022年部门预算信息公开情况说明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中国共产党石家庄市藁城区委员会统战部2022年部门预算信息公开情况说明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按照《预算法》、《地方预决算公开操作规程》和《关于进一步推进预算公开工作的实施意见》规定，现将中国共产党石家庄市藁城区委员会统战部2022年部门预算公开如下：</w:t>
      </w:r>
    </w:p>
    <w:p>
      <w:pPr>
        <w:spacing w:before="10" w:after="10" w:line="360" w:lineRule="auto"/>
        <w:ind w:firstLine="640"/>
        <w:jc w:val="left"/>
        <w:outlineLvl w:val="2"/>
      </w:pPr>
      <w:bookmarkStart w:id="9" w:name="_Toc4764"/>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pStyle w:val="17"/>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pStyle w:val="1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w:t>
      </w:r>
      <w:r>
        <w:rPr>
          <w:rFonts w:hint="eastAsia"/>
          <w:lang w:eastAsia="zh-CN"/>
        </w:rPr>
        <w:t>六</w:t>
      </w:r>
      <w:r>
        <w:t>）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pStyle w:val="17"/>
      </w:pPr>
      <w:r>
        <w:t>（十二)负责统战系统干部的培训工作；协助做好民族宗教部门领导班子成员推荐工作；受区委委托，领导区工商联党组，指导区工商联工作。做好统一战线有关单位和团体的管理工作。</w:t>
      </w:r>
    </w:p>
    <w:p>
      <w:pPr>
        <w:pStyle w:val="17"/>
      </w:pPr>
      <w:r>
        <w:t>（十三)完成区委交办的其他任务。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中国共产党石家庄市藁城区委员会统战部本级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27573"/>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按照预算管理有关规定，目前我省部门预算的编制实行综合预算管理，即全部收入和支出都反映在预算中。中国共产党石家庄市藁城区委员会统战部机关及所属事业单位的收支包含在部门预算中。</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w:t>
      </w:r>
      <w:r>
        <w:rPr>
          <w:rFonts w:ascii="Times New Roman" w:hAnsi="Times New Roman" w:eastAsia="方正仿宋_GBK" w:cs="Times New Roman"/>
          <w:sz w:val="28"/>
          <w:szCs w:val="24"/>
          <w:lang w:val="en-US" w:eastAsia="uk-UA" w:bidi="ar-SA"/>
        </w:rPr>
        <w:t>收入说明</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反映本部门当年全部收入。2022年预算收入</w:t>
      </w:r>
      <w:r>
        <w:rPr>
          <w:rFonts w:hint="eastAsia" w:ascii="Times New Roman" w:hAnsi="Times New Roman" w:eastAsia="方正仿宋_GBK" w:cs="Times New Roman"/>
          <w:sz w:val="28"/>
          <w:szCs w:val="24"/>
          <w:lang w:val="en-US" w:eastAsia="zh-CN" w:bidi="ar-SA"/>
        </w:rPr>
        <w:t>183.01</w:t>
      </w:r>
      <w:r>
        <w:rPr>
          <w:rFonts w:hint="eastAsia"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183.01</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w:t>
      </w:r>
      <w:r>
        <w:rPr>
          <w:rFonts w:ascii="Times New Roman" w:hAnsi="Times New Roman" w:eastAsia="方正仿宋_GBK" w:cs="Times New Roman"/>
          <w:sz w:val="28"/>
          <w:szCs w:val="24"/>
          <w:lang w:val="en-US" w:eastAsia="uk-UA" w:bidi="ar-SA"/>
        </w:rPr>
        <w:t>支出说明</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sz w:val="28"/>
          <w:szCs w:val="24"/>
          <w:lang w:val="en-US" w:eastAsia="zh-CN" w:bidi="ar-SA"/>
        </w:rPr>
        <w:t>183.01</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155.77</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140.35</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15.41</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27.24</w:t>
      </w:r>
      <w:r>
        <w:rPr>
          <w:rFonts w:hint="eastAsia" w:ascii="Times New Roman" w:hAnsi="Times New Roman" w:eastAsia="方正仿宋_GBK" w:cs="Times New Roman"/>
          <w:sz w:val="28"/>
          <w:szCs w:val="24"/>
          <w:lang w:val="en-US" w:eastAsia="uk-UA" w:bidi="ar-SA"/>
        </w:rPr>
        <w:t>万元，主要为归国华侨退休职工生活补贴经费</w:t>
      </w:r>
      <w:r>
        <w:rPr>
          <w:rFonts w:hint="eastAsia" w:ascii="Times New Roman" w:hAnsi="Times New Roman" w:eastAsia="方正仿宋_GBK" w:cs="Times New Roman"/>
          <w:sz w:val="28"/>
          <w:szCs w:val="24"/>
          <w:lang w:val="en-US" w:eastAsia="zh-CN" w:bidi="ar-SA"/>
        </w:rPr>
        <w:t>支出0.24万元；民营经济统战工作经费支出5万元；民主党派工作经费支出3.5万元；新的社会阶层人士统战工作经费支出5万元；知识分子联谊会活动经费支出3.5万元；民族宗教领域社会稳定专项经费支出10万元</w:t>
      </w:r>
      <w:r>
        <w:rPr>
          <w:rFonts w:hint="eastAsia" w:ascii="Times New Roman" w:hAnsi="Times New Roman" w:eastAsia="方正仿宋_GBK" w:cs="Times New Roman"/>
          <w:sz w:val="28"/>
          <w:szCs w:val="24"/>
          <w:lang w:val="en-US" w:eastAsia="uk-UA" w:bidi="ar-SA"/>
        </w:rPr>
        <w:t>。</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w:t>
      </w:r>
      <w:r>
        <w:rPr>
          <w:rFonts w:ascii="Times New Roman" w:hAnsi="Times New Roman" w:eastAsia="方正仿宋_GBK" w:cs="Times New Roman"/>
          <w:sz w:val="28"/>
          <w:szCs w:val="24"/>
          <w:lang w:val="en-US" w:eastAsia="uk-UA" w:bidi="ar-SA"/>
        </w:rPr>
        <w:t>比上年增减情况</w:t>
      </w:r>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2022年部门预算收支安排</w:t>
      </w:r>
      <w:r>
        <w:rPr>
          <w:rFonts w:hint="eastAsia" w:ascii="Times New Roman" w:hAnsi="Times New Roman" w:eastAsia="方正仿宋_GBK" w:cs="Times New Roman"/>
          <w:sz w:val="28"/>
          <w:szCs w:val="24"/>
          <w:lang w:val="en-US" w:eastAsia="zh-CN" w:bidi="ar-SA"/>
        </w:rPr>
        <w:t>183.01</w:t>
      </w:r>
      <w:r>
        <w:rPr>
          <w:rFonts w:hint="eastAsia" w:ascii="Times New Roman" w:hAnsi="Times New Roman" w:eastAsia="方正仿宋_GBK" w:cs="Times New Roman"/>
          <w:sz w:val="28"/>
          <w:szCs w:val="24"/>
          <w:lang w:val="en-US" w:eastAsia="uk-UA" w:bidi="ar-SA"/>
        </w:rPr>
        <w:t>万元，较2021年增加</w:t>
      </w:r>
      <w:r>
        <w:rPr>
          <w:rFonts w:hint="eastAsia" w:ascii="Times New Roman" w:hAnsi="Times New Roman" w:eastAsia="方正仿宋_GBK" w:cs="Times New Roman"/>
          <w:sz w:val="28"/>
          <w:szCs w:val="24"/>
          <w:lang w:val="en-US" w:eastAsia="zh-CN" w:bidi="ar-SA"/>
        </w:rPr>
        <w:t>56.2</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增加45.2</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11</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民营经济统战工作经费、民主党派工作经费、新的社会阶层人士统战工作经费、知识分子联谊会活动经费。</w:t>
      </w:r>
      <w:r>
        <w:rPr>
          <w:rFonts w:hint="eastAsia" w:ascii="Times New Roman" w:hAnsi="Times New Roman" w:eastAsia="方正仿宋_GBK" w:cs="Times New Roman"/>
          <w:sz w:val="28"/>
          <w:szCs w:val="24"/>
          <w:lang w:val="en-US" w:eastAsia="uk-UA" w:bidi="ar-SA"/>
        </w:rPr>
        <w:t>其他支出无增减变化。</w:t>
      </w:r>
    </w:p>
    <w:p>
      <w:pPr>
        <w:spacing w:before="10" w:after="10" w:line="360" w:lineRule="auto"/>
        <w:ind w:firstLine="640"/>
        <w:jc w:val="left"/>
        <w:outlineLvl w:val="2"/>
      </w:pPr>
      <w:bookmarkStart w:id="11" w:name="_Toc23757"/>
      <w:r>
        <w:rPr>
          <w:rFonts w:ascii="黑体" w:hAnsi="黑体" w:eastAsia="黑体" w:cs="黑体"/>
          <w:color w:val="000000"/>
          <w:sz w:val="32"/>
        </w:rPr>
        <w:t>三、机关运行经费安排情况</w:t>
      </w:r>
      <w:bookmarkEnd w:id="11"/>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15.41</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20623"/>
      <w:r>
        <w:rPr>
          <w:rFonts w:ascii="黑体" w:hAnsi="黑体" w:eastAsia="黑体" w:cs="黑体"/>
          <w:color w:val="000000"/>
          <w:sz w:val="32"/>
        </w:rPr>
        <w:t>四、财政拨款“三公”经费预算情况及增减变化原因</w:t>
      </w:r>
      <w:bookmarkEnd w:id="12"/>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2022年，我部门财政拨款“三公”经费预算安排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万元。“三公”经费与上年持平，无增减变化。</w:t>
      </w:r>
    </w:p>
    <w:p>
      <w:pPr>
        <w:spacing w:before="10" w:after="10" w:line="360" w:lineRule="auto"/>
        <w:ind w:firstLine="640"/>
        <w:jc w:val="left"/>
        <w:outlineLvl w:val="2"/>
      </w:pPr>
      <w:bookmarkStart w:id="13" w:name="_Toc11157"/>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8"/>
      </w:pPr>
      <w: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pPr>
        <w:pStyle w:val="18"/>
      </w:pPr>
      <w: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pPr>
        <w:pStyle w:val="18"/>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9"/>
      </w:pPr>
      <w:r>
        <w:t>（一）充分发挥民主党派参政议政作用</w:t>
      </w:r>
    </w:p>
    <w:p>
      <w:pPr>
        <w:pStyle w:val="19"/>
      </w:pPr>
      <w:r>
        <w:t>绩效目标：联系各民主党派和无党派代表人士，及时通报情况，了解和反映他们的意见和建议；研究、贯彻中国共产党领导的多党合作和政治协商制度以及对民主党派的方针、政策；落实中央和省委、市委、区委关于发挥民主党派和无党派代表人士参政议政和民主监督作用的工作，为区委同民主党派进行政治协商做好联系工作；协助区委组织部做好区委管理的党外干部的推荐工作；支持、帮助各民主党派加强自身建设，履行参政议政职能。</w:t>
      </w:r>
    </w:p>
    <w:p>
      <w:pPr>
        <w:pStyle w:val="19"/>
      </w:pPr>
      <w:r>
        <w:t>绩效指标：组织开展调研，向区委、政协提交大会发言和集体提案，反映社情民意，参政议政方面提案，反映完成社情民意。组织学习培训等活动不少于4次，社会服务群众满意率90%以上。开展政治理论和时事政策的学习教育活动，组织后备干部培养和干部培训、基层建设工作。</w:t>
      </w:r>
    </w:p>
    <w:p>
      <w:pPr>
        <w:pStyle w:val="19"/>
      </w:pPr>
      <w:r>
        <w:t>（二）加强党外代表人士队伍建设。</w:t>
      </w:r>
    </w:p>
    <w:p>
      <w:pPr>
        <w:pStyle w:val="19"/>
      </w:pPr>
      <w:r>
        <w:t>绩效目标：调查研究党外知识分子的情况，反映意见，协调关系；联系并培养党外知识分子和出国、归国留学人员的代表人士。凝聚共识，弘扬正能量，发挥人才智力优势，服务经济社会发展。</w:t>
      </w:r>
    </w:p>
    <w:p>
      <w:pPr>
        <w:pStyle w:val="19"/>
      </w:pPr>
      <w:r>
        <w:t>绩效指标：组织开展爱国主义教育活动、知识分子联谊活动4次以上。</w:t>
      </w:r>
    </w:p>
    <w:p>
      <w:pPr>
        <w:pStyle w:val="19"/>
      </w:pPr>
      <w:r>
        <w:t>（三）宗教工作领导小组充分发挥作用，维护本地和谐稳定。</w:t>
      </w:r>
    </w:p>
    <w:p>
      <w:pPr>
        <w:pStyle w:val="19"/>
      </w:pPr>
      <w:r>
        <w:t>绩效目标：进一步做好维护民族宗教领域的稳定工作，抵御境外反动势力的入侵。</w:t>
      </w:r>
    </w:p>
    <w:p>
      <w:pPr>
        <w:pStyle w:val="19"/>
      </w:pPr>
      <w:r>
        <w:t>绩效指标：负责研究落实有关民族和宗教工作的重大方针、政策问题；教育团结少数民族和宗教界代表人物；4次以上民族宗教界代表人士座谈会、培训会;宗教场所安全隐患大排查活动；走访慰问民族宗教界人士；组织开展3次爱国主义主题教育</w:t>
      </w:r>
      <w:bookmarkStart w:id="18" w:name="_GoBack"/>
      <w:bookmarkEnd w:id="18"/>
      <w:r>
        <w:t>；开展宗教场所国旗飘活动；组织开展民族宗教聚居村帮扶活动；发展扩充民族宗教信息工作人员队伍。</w:t>
      </w:r>
    </w:p>
    <w:p>
      <w:pPr>
        <w:pStyle w:val="19"/>
      </w:pPr>
      <w:r>
        <w:t>（四）关爱归国华侨退休职工的生活</w:t>
      </w:r>
    </w:p>
    <w:p>
      <w:pPr>
        <w:pStyle w:val="19"/>
      </w:pPr>
      <w:r>
        <w:t>绩效目标：根据《河北省实施中华人民共和国归侨侨眷权益保护法办法》第十五条规定，对我省国家机关、事业单位和企业符合条件的归侨职工退休后发放生活补贴。</w:t>
      </w:r>
    </w:p>
    <w:p>
      <w:pPr>
        <w:pStyle w:val="19"/>
      </w:pPr>
      <w:r>
        <w:t>绩效指标：我区符合条件的归侨有2人，每人每月发放退休生活补贴100元。</w:t>
      </w:r>
    </w:p>
    <w:p>
      <w:pPr>
        <w:pStyle w:val="19"/>
      </w:pPr>
      <w:r>
        <w:t>（五）引导新的社会阶层人士服务社会</w:t>
      </w:r>
    </w:p>
    <w:p>
      <w:pPr>
        <w:pStyle w:val="19"/>
      </w:pPr>
      <w:r>
        <w:t>绩效目标：加强政治引领，提升思想政治水平。引导新的社会阶层人士关注民主、服务社会，建言献策，服务社会。</w:t>
      </w:r>
    </w:p>
    <w:p>
      <w:pPr>
        <w:pStyle w:val="19"/>
      </w:pPr>
      <w:r>
        <w:t>绩效指标：组织开展培训学习、服务社会活动4次以上，引导新的社会阶层人士关注民主、服务社会。走访慰问新的社会阶层人士不少于三次，开展座谈会，进行调研。利用各种渠道扩大协商参与面，组织新的社会阶层人士参与到人大协商、政府协商、人民团体协商、基层协商以及社会组织协商中。</w:t>
      </w:r>
    </w:p>
    <w:p>
      <w:pPr>
        <w:pStyle w:val="19"/>
      </w:pPr>
      <w:r>
        <w:t>（六）提升民营经济人士思想政治水平</w:t>
      </w:r>
    </w:p>
    <w:p>
      <w:pPr>
        <w:pStyle w:val="19"/>
      </w:pPr>
      <w:r>
        <w:t>绩效目标：通过调查研究，帮助解决民营经济人士实际困难，进一步优化营商环境，提升企业生产经营和管理水平，为全区经济社会高质量发展</w:t>
      </w:r>
      <w:r>
        <w:rPr>
          <w:rFonts w:hint="eastAsia"/>
          <w:lang w:eastAsia="zh-CN"/>
        </w:rPr>
        <w:t>作</w:t>
      </w:r>
      <w:r>
        <w:t>出贡献。通过教育培训和思想引领，提升民营经济人士思想政治水平。</w:t>
      </w:r>
    </w:p>
    <w:p>
      <w:pPr>
        <w:pStyle w:val="19"/>
      </w:pPr>
      <w:r>
        <w:t>绩效指标：组织开展爱国主义教育活动，引导民营经济人士增强爱党爱国情怀。走访慰问民营企业，开展座谈会，进行调研三次以上。组织民营企业开展公益慈善活动。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0"/>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0"/>
      </w:pPr>
      <w:r>
        <w:t>（二）加强支出管理。以项目预算绩效为依据，优化支出结构，预算编制做细做实，支出执行有章可循。资金支出安排科学合理，为项目组织实施保驾护航。</w:t>
      </w:r>
    </w:p>
    <w:p>
      <w:pPr>
        <w:pStyle w:val="20"/>
      </w:pPr>
      <w:r>
        <w:t>（三）加强绩效运行监控。。按财政要求开展效运行监控，全程跟踪预算执行进度，对执行过程中发现的闹题及时反馈，制定切实可行举措，保障绩效目标按期高质量完成。</w:t>
      </w:r>
    </w:p>
    <w:p>
      <w:pPr>
        <w:pStyle w:val="20"/>
      </w:pPr>
      <w:r>
        <w:t>（四）做好绩效自评。按要求开展上年度部门预算绩效自评和重点评价工作，对评价中发现的问题及时整改，调整优化项目支出结构，提高财政资金使用效益。</w:t>
      </w:r>
    </w:p>
    <w:p>
      <w:pPr>
        <w:pStyle w:val="20"/>
      </w:pPr>
      <w:r>
        <w:t>（五）规范财务资产管理。完善财务管理制度，严格审批程序，加强固定资产登记、使用和报废处置管理，做到支出合理，物尽其用。</w:t>
      </w:r>
    </w:p>
    <w:p>
      <w:pPr>
        <w:pStyle w:val="20"/>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0"/>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0"/>
      </w:pPr>
    </w:p>
    <w:p>
      <w:pPr>
        <w:pStyle w:val="20"/>
      </w:pPr>
    </w:p>
    <w:p>
      <w:pPr>
        <w:pStyle w:val="21"/>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1"/>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1.归侨职工退休补贴</w:t>
            </w:r>
          </w:p>
          <w:p>
            <w:pPr>
              <w:pStyle w:val="23"/>
            </w:pPr>
            <w:r>
              <w:t>2.使广大归侨退休职工的生活得到了基本保障，得到广大归侨侨眷和海外侨胞的衷心拥护和赞扬，较好的凝聚侨心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归侨职工退休补贴人数</w:t>
            </w:r>
          </w:p>
        </w:tc>
        <w:tc>
          <w:tcPr>
            <w:tcW w:w="2835" w:type="dxa"/>
            <w:vAlign w:val="center"/>
          </w:tcPr>
          <w:p>
            <w:pPr>
              <w:pStyle w:val="23"/>
            </w:pPr>
            <w:r>
              <w:t>归侨职工退休补贴人数</w:t>
            </w:r>
          </w:p>
        </w:tc>
        <w:tc>
          <w:tcPr>
            <w:tcW w:w="2551" w:type="dxa"/>
            <w:vAlign w:val="center"/>
          </w:tcPr>
          <w:p>
            <w:pPr>
              <w:pStyle w:val="23"/>
            </w:pPr>
            <w:r>
              <w:t>2人</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是否全部按标准发放率</w:t>
            </w:r>
          </w:p>
        </w:tc>
        <w:tc>
          <w:tcPr>
            <w:tcW w:w="2835" w:type="dxa"/>
            <w:vAlign w:val="center"/>
          </w:tcPr>
          <w:p>
            <w:pPr>
              <w:pStyle w:val="23"/>
            </w:pPr>
            <w:r>
              <w:t>是否全部按标准发放率</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按照进度完成支出计划及时率</w:t>
            </w:r>
          </w:p>
        </w:tc>
        <w:tc>
          <w:tcPr>
            <w:tcW w:w="2835" w:type="dxa"/>
            <w:vAlign w:val="center"/>
          </w:tcPr>
          <w:p>
            <w:pPr>
              <w:pStyle w:val="23"/>
            </w:pPr>
            <w:r>
              <w:t>按照进度完成支出计划及时率</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预算成本</w:t>
            </w:r>
          </w:p>
        </w:tc>
        <w:tc>
          <w:tcPr>
            <w:tcW w:w="2835" w:type="dxa"/>
            <w:vAlign w:val="center"/>
          </w:tcPr>
          <w:p>
            <w:pPr>
              <w:pStyle w:val="23"/>
            </w:pPr>
            <w:r>
              <w:t>严格控制预算成本</w:t>
            </w:r>
          </w:p>
        </w:tc>
        <w:tc>
          <w:tcPr>
            <w:tcW w:w="2551" w:type="dxa"/>
            <w:vAlign w:val="center"/>
          </w:tcPr>
          <w:p>
            <w:pPr>
              <w:pStyle w:val="23"/>
            </w:pPr>
            <w:r>
              <w:t>不超过年度预算</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使归生活得到了基本保障</w:t>
            </w:r>
          </w:p>
        </w:tc>
        <w:tc>
          <w:tcPr>
            <w:tcW w:w="2835" w:type="dxa"/>
            <w:vAlign w:val="center"/>
          </w:tcPr>
          <w:p>
            <w:pPr>
              <w:pStyle w:val="23"/>
            </w:pPr>
            <w:r>
              <w:t>使广大归侨退休职工的生活得到了基本保障，得到广大归侨侨眷和海外侨胞的衷心拥护和赞扬，较好的凝聚侨心。</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归侨职工满意度</w:t>
            </w:r>
          </w:p>
        </w:tc>
        <w:tc>
          <w:tcPr>
            <w:tcW w:w="2835" w:type="dxa"/>
            <w:vAlign w:val="center"/>
          </w:tcPr>
          <w:p>
            <w:pPr>
              <w:pStyle w:val="23"/>
            </w:pPr>
            <w:r>
              <w:t>归侨职工对发放退休后生活补贴的满意度</w:t>
            </w:r>
          </w:p>
        </w:tc>
        <w:tc>
          <w:tcPr>
            <w:tcW w:w="2551" w:type="dxa"/>
            <w:vAlign w:val="center"/>
          </w:tcPr>
          <w:p>
            <w:pPr>
              <w:pStyle w:val="23"/>
            </w:pPr>
            <w:r>
              <w:t>≥90%</w:t>
            </w:r>
          </w:p>
        </w:tc>
        <w:tc>
          <w:tcPr>
            <w:tcW w:w="2268"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2、民营经济统战工作经费绩效目标表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1.通过教育培训和思想引领，提升民营经济人士思想政治水平</w:t>
            </w:r>
          </w:p>
          <w:p>
            <w:pPr>
              <w:pStyle w:val="23"/>
            </w:pPr>
            <w:r>
              <w:t>2.通过调查研究，帮助解决实际困难，进一步优化营商环境，提升企业生产经营和管理水平，为全区经济社会高质量发展</w:t>
            </w:r>
            <w:r>
              <w:rPr>
                <w:rFonts w:hint="eastAsia"/>
                <w:lang w:eastAsia="zh-CN"/>
              </w:rPr>
              <w:t>作</w:t>
            </w:r>
            <w:r>
              <w:t>出贡献</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组织开展爱国主义教育活动</w:t>
            </w:r>
          </w:p>
        </w:tc>
        <w:tc>
          <w:tcPr>
            <w:tcW w:w="2835" w:type="dxa"/>
            <w:vAlign w:val="center"/>
          </w:tcPr>
          <w:p>
            <w:pPr>
              <w:pStyle w:val="23"/>
            </w:pPr>
            <w:r>
              <w:t>引导民营经济人士增强爱党爱国情怀</w:t>
            </w:r>
          </w:p>
        </w:tc>
        <w:tc>
          <w:tcPr>
            <w:tcW w:w="2551" w:type="dxa"/>
            <w:vAlign w:val="center"/>
          </w:tcPr>
          <w:p>
            <w:pPr>
              <w:pStyle w:val="23"/>
            </w:pPr>
            <w:r>
              <w:t>≥3次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走访慰问民营企业</w:t>
            </w:r>
          </w:p>
        </w:tc>
        <w:tc>
          <w:tcPr>
            <w:tcW w:w="2835" w:type="dxa"/>
            <w:vAlign w:val="center"/>
          </w:tcPr>
          <w:p>
            <w:pPr>
              <w:pStyle w:val="23"/>
            </w:pPr>
            <w:r>
              <w:t>走访慰问民营企业，开展座谈会，进行调研</w:t>
            </w:r>
          </w:p>
        </w:tc>
        <w:tc>
          <w:tcPr>
            <w:tcW w:w="2551" w:type="dxa"/>
            <w:vAlign w:val="center"/>
          </w:tcPr>
          <w:p>
            <w:pPr>
              <w:pStyle w:val="23"/>
            </w:pPr>
            <w:r>
              <w:t>≥3次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民营经济统战工作完成率</w:t>
            </w:r>
          </w:p>
        </w:tc>
        <w:tc>
          <w:tcPr>
            <w:tcW w:w="2835" w:type="dxa"/>
            <w:vAlign w:val="center"/>
          </w:tcPr>
          <w:p>
            <w:pPr>
              <w:pStyle w:val="23"/>
            </w:pPr>
            <w:r>
              <w:t>民营经济统战工作完成率</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w:t>
            </w:r>
          </w:p>
        </w:tc>
        <w:tc>
          <w:tcPr>
            <w:tcW w:w="2835" w:type="dxa"/>
            <w:vAlign w:val="center"/>
          </w:tcPr>
          <w:p>
            <w:pPr>
              <w:pStyle w:val="23"/>
            </w:pPr>
            <w:r>
              <w:t>按照进度完成支出计划</w:t>
            </w:r>
          </w:p>
        </w:tc>
        <w:tc>
          <w:tcPr>
            <w:tcW w:w="2551" w:type="dxa"/>
            <w:vAlign w:val="center"/>
          </w:tcPr>
          <w:p>
            <w:pPr>
              <w:pStyle w:val="23"/>
            </w:pPr>
            <w:r>
              <w:t>≤12月</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预算成本</w:t>
            </w:r>
          </w:p>
        </w:tc>
        <w:tc>
          <w:tcPr>
            <w:tcW w:w="2835" w:type="dxa"/>
            <w:vAlign w:val="center"/>
          </w:tcPr>
          <w:p>
            <w:pPr>
              <w:pStyle w:val="23"/>
            </w:pPr>
            <w:r>
              <w:t>严格控制预算成本</w:t>
            </w:r>
          </w:p>
        </w:tc>
        <w:tc>
          <w:tcPr>
            <w:tcW w:w="2551" w:type="dxa"/>
            <w:vAlign w:val="center"/>
          </w:tcPr>
          <w:p>
            <w:pPr>
              <w:pStyle w:val="23"/>
            </w:pPr>
            <w:r>
              <w:t>≤5万元</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发展民营企业公益组织</w:t>
            </w:r>
          </w:p>
        </w:tc>
        <w:tc>
          <w:tcPr>
            <w:tcW w:w="2835" w:type="dxa"/>
            <w:vAlign w:val="center"/>
          </w:tcPr>
          <w:p>
            <w:pPr>
              <w:pStyle w:val="23"/>
            </w:pPr>
            <w:r>
              <w:t>组织民营企业开展公益慈善活动</w:t>
            </w:r>
          </w:p>
        </w:tc>
        <w:tc>
          <w:tcPr>
            <w:tcW w:w="2551" w:type="dxa"/>
            <w:vAlign w:val="center"/>
          </w:tcPr>
          <w:p>
            <w:pPr>
              <w:pStyle w:val="23"/>
            </w:pPr>
            <w:r>
              <w:t>≥3次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通过民营经济人士调查问卷形式</w:t>
            </w:r>
          </w:p>
        </w:tc>
        <w:tc>
          <w:tcPr>
            <w:tcW w:w="2835" w:type="dxa"/>
            <w:vAlign w:val="center"/>
          </w:tcPr>
          <w:p>
            <w:pPr>
              <w:pStyle w:val="23"/>
            </w:pPr>
            <w:r>
              <w:t>满意度调查</w:t>
            </w:r>
          </w:p>
        </w:tc>
        <w:tc>
          <w:tcPr>
            <w:tcW w:w="2551" w:type="dxa"/>
            <w:vAlign w:val="center"/>
          </w:tcPr>
          <w:p>
            <w:pPr>
              <w:pStyle w:val="23"/>
            </w:pPr>
            <w:r>
              <w:t>≥90%</w:t>
            </w:r>
          </w:p>
        </w:tc>
        <w:tc>
          <w:tcPr>
            <w:tcW w:w="2268"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3、民主党派工作经费绩效目标表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1.进一步加强中国共产党领导的多党合作和政治协商制度建设</w:t>
            </w:r>
          </w:p>
          <w:p>
            <w:pPr>
              <w:pStyle w:val="23"/>
            </w:pPr>
            <w:r>
              <w:t>2.充分发挥民主党派职能作用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学习培训</w:t>
            </w:r>
          </w:p>
        </w:tc>
        <w:tc>
          <w:tcPr>
            <w:tcW w:w="2835" w:type="dxa"/>
            <w:vAlign w:val="center"/>
          </w:tcPr>
          <w:p>
            <w:pPr>
              <w:pStyle w:val="23"/>
            </w:pPr>
            <w:r>
              <w:t>每季度组织学习培训</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组织调研视察活动</w:t>
            </w:r>
          </w:p>
        </w:tc>
        <w:tc>
          <w:tcPr>
            <w:tcW w:w="2835" w:type="dxa"/>
            <w:vAlign w:val="center"/>
          </w:tcPr>
          <w:p>
            <w:pPr>
              <w:pStyle w:val="23"/>
            </w:pPr>
            <w:r>
              <w:t>组织规划开展调研视察活动</w:t>
            </w:r>
          </w:p>
        </w:tc>
        <w:tc>
          <w:tcPr>
            <w:tcW w:w="2551" w:type="dxa"/>
            <w:vAlign w:val="center"/>
          </w:tcPr>
          <w:p>
            <w:pPr>
              <w:pStyle w:val="23"/>
            </w:pPr>
            <w:r>
              <w:t>≥5次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w:t>
            </w:r>
          </w:p>
        </w:tc>
        <w:tc>
          <w:tcPr>
            <w:tcW w:w="2835" w:type="dxa"/>
            <w:vAlign w:val="center"/>
          </w:tcPr>
          <w:p>
            <w:pPr>
              <w:pStyle w:val="23"/>
            </w:pPr>
            <w:r>
              <w:t>按照进度完成支出计划</w:t>
            </w:r>
          </w:p>
        </w:tc>
        <w:tc>
          <w:tcPr>
            <w:tcW w:w="2551" w:type="dxa"/>
            <w:vAlign w:val="center"/>
          </w:tcPr>
          <w:p>
            <w:pPr>
              <w:pStyle w:val="23"/>
            </w:pPr>
            <w:r>
              <w:t>≤12月</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预算控制数</w:t>
            </w:r>
          </w:p>
        </w:tc>
        <w:tc>
          <w:tcPr>
            <w:tcW w:w="2835" w:type="dxa"/>
            <w:vAlign w:val="center"/>
          </w:tcPr>
          <w:p>
            <w:pPr>
              <w:pStyle w:val="23"/>
            </w:pPr>
            <w:r>
              <w:t>厉行节约，基层调研、矛盾排查、政策宣传尽量减少开支</w:t>
            </w:r>
          </w:p>
        </w:tc>
        <w:tc>
          <w:tcPr>
            <w:tcW w:w="2551" w:type="dxa"/>
            <w:vAlign w:val="center"/>
          </w:tcPr>
          <w:p>
            <w:pPr>
              <w:pStyle w:val="23"/>
            </w:pPr>
            <w:r>
              <w:t>≤3.5万元</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组织开展社会服务活动</w:t>
            </w:r>
          </w:p>
        </w:tc>
        <w:tc>
          <w:tcPr>
            <w:tcW w:w="2835" w:type="dxa"/>
            <w:vAlign w:val="center"/>
          </w:tcPr>
          <w:p>
            <w:pPr>
              <w:pStyle w:val="23"/>
            </w:pPr>
            <w:r>
              <w:t>组织规划开展服务社会活动</w:t>
            </w:r>
          </w:p>
        </w:tc>
        <w:tc>
          <w:tcPr>
            <w:tcW w:w="2551" w:type="dxa"/>
            <w:vAlign w:val="center"/>
          </w:tcPr>
          <w:p>
            <w:pPr>
              <w:pStyle w:val="23"/>
            </w:pPr>
            <w:r>
              <w:t>≥3次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通过民主党派调查问卷形式</w:t>
            </w:r>
          </w:p>
        </w:tc>
        <w:tc>
          <w:tcPr>
            <w:tcW w:w="2835" w:type="dxa"/>
            <w:vAlign w:val="center"/>
          </w:tcPr>
          <w:p>
            <w:pPr>
              <w:pStyle w:val="23"/>
            </w:pPr>
            <w:r>
              <w:t>提升思想政治水平和参政议政能力，加强自身建设</w:t>
            </w:r>
          </w:p>
        </w:tc>
        <w:tc>
          <w:tcPr>
            <w:tcW w:w="2551" w:type="dxa"/>
            <w:vAlign w:val="center"/>
          </w:tcPr>
          <w:p>
            <w:pPr>
              <w:pStyle w:val="23"/>
            </w:pPr>
            <w:r>
              <w:t>≥0.9%</w:t>
            </w:r>
          </w:p>
        </w:tc>
        <w:tc>
          <w:tcPr>
            <w:tcW w:w="2268"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4、新的社会阶层人士统战工作经费绩效目标表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1.加强政治引领，提升思想政治水平</w:t>
            </w:r>
          </w:p>
          <w:p>
            <w:pPr>
              <w:pStyle w:val="23"/>
            </w:pPr>
            <w:r>
              <w:t>2.引导新的社会阶层人士关注民主、服务社会</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组织开展培训学习、服务社会活动</w:t>
            </w:r>
          </w:p>
        </w:tc>
        <w:tc>
          <w:tcPr>
            <w:tcW w:w="2835" w:type="dxa"/>
            <w:vAlign w:val="center"/>
          </w:tcPr>
          <w:p>
            <w:pPr>
              <w:pStyle w:val="23"/>
            </w:pPr>
            <w:r>
              <w:t>引导新的社会阶层人士关注民主、服务社会</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走访慰问新的社会阶层人士</w:t>
            </w:r>
          </w:p>
        </w:tc>
        <w:tc>
          <w:tcPr>
            <w:tcW w:w="2835" w:type="dxa"/>
            <w:vAlign w:val="center"/>
          </w:tcPr>
          <w:p>
            <w:pPr>
              <w:pStyle w:val="23"/>
            </w:pPr>
            <w:r>
              <w:t>走访慰问新的社会阶层人士，开展座谈会，进行调研</w:t>
            </w:r>
          </w:p>
        </w:tc>
        <w:tc>
          <w:tcPr>
            <w:tcW w:w="2551" w:type="dxa"/>
            <w:vAlign w:val="center"/>
          </w:tcPr>
          <w:p>
            <w:pPr>
              <w:pStyle w:val="23"/>
            </w:pPr>
            <w:r>
              <w:t>≥3次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工作专干能力提高</w:t>
            </w:r>
          </w:p>
        </w:tc>
        <w:tc>
          <w:tcPr>
            <w:tcW w:w="2835" w:type="dxa"/>
            <w:vAlign w:val="center"/>
          </w:tcPr>
          <w:p>
            <w:pPr>
              <w:pStyle w:val="23"/>
            </w:pPr>
            <w:r>
              <w:t>工作专干能力提高</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w:t>
            </w:r>
          </w:p>
        </w:tc>
        <w:tc>
          <w:tcPr>
            <w:tcW w:w="2835" w:type="dxa"/>
            <w:vAlign w:val="center"/>
          </w:tcPr>
          <w:p>
            <w:pPr>
              <w:pStyle w:val="23"/>
            </w:pPr>
            <w:r>
              <w:t>按照进度完成支出计划</w:t>
            </w:r>
          </w:p>
        </w:tc>
        <w:tc>
          <w:tcPr>
            <w:tcW w:w="2551" w:type="dxa"/>
            <w:vAlign w:val="center"/>
          </w:tcPr>
          <w:p>
            <w:pPr>
              <w:pStyle w:val="23"/>
            </w:pPr>
            <w:r>
              <w:t>≤12月</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预算成本</w:t>
            </w:r>
          </w:p>
        </w:tc>
        <w:tc>
          <w:tcPr>
            <w:tcW w:w="2835" w:type="dxa"/>
            <w:vAlign w:val="center"/>
          </w:tcPr>
          <w:p>
            <w:pPr>
              <w:pStyle w:val="23"/>
            </w:pPr>
            <w:r>
              <w:t>控制预算成本</w:t>
            </w:r>
          </w:p>
        </w:tc>
        <w:tc>
          <w:tcPr>
            <w:tcW w:w="2551" w:type="dxa"/>
            <w:vAlign w:val="center"/>
          </w:tcPr>
          <w:p>
            <w:pPr>
              <w:pStyle w:val="23"/>
            </w:pPr>
            <w:r>
              <w:t>≤5万元</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利用各种渠道扩大协商参与面</w:t>
            </w:r>
          </w:p>
        </w:tc>
        <w:tc>
          <w:tcPr>
            <w:tcW w:w="2835" w:type="dxa"/>
            <w:vAlign w:val="center"/>
          </w:tcPr>
          <w:p>
            <w:pPr>
              <w:pStyle w:val="23"/>
            </w:pPr>
            <w:r>
              <w:t>组织新的社会阶层人士参与到人大协商、政府协商、人民团体协商、基层协商以及社会组织协商中</w:t>
            </w:r>
          </w:p>
        </w:tc>
        <w:tc>
          <w:tcPr>
            <w:tcW w:w="2551" w:type="dxa"/>
            <w:vAlign w:val="center"/>
          </w:tcPr>
          <w:p>
            <w:pPr>
              <w:pStyle w:val="23"/>
            </w:pPr>
            <w:r>
              <w:t>举办社会调研、社会公益等活动不少于3次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通过新的社会阶层人士调查问卷形式</w:t>
            </w:r>
          </w:p>
        </w:tc>
        <w:tc>
          <w:tcPr>
            <w:tcW w:w="2835" w:type="dxa"/>
            <w:vAlign w:val="center"/>
          </w:tcPr>
          <w:p>
            <w:pPr>
              <w:pStyle w:val="23"/>
            </w:pPr>
            <w:r>
              <w:t>满意度调查</w:t>
            </w:r>
          </w:p>
        </w:tc>
        <w:tc>
          <w:tcPr>
            <w:tcW w:w="2551" w:type="dxa"/>
            <w:vAlign w:val="center"/>
          </w:tcPr>
          <w:p>
            <w:pPr>
              <w:pStyle w:val="23"/>
            </w:pPr>
            <w:r>
              <w:t>≥90%</w:t>
            </w:r>
          </w:p>
        </w:tc>
        <w:tc>
          <w:tcPr>
            <w:tcW w:w="2268"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5、知识分子联谊会活动经费绩效目标表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1.政治引领，培养人才，联谊交友</w:t>
            </w:r>
          </w:p>
          <w:p>
            <w:pPr>
              <w:pStyle w:val="23"/>
            </w:pPr>
            <w:r>
              <w:t>2.建言献策，服务社会</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组织开展爱国主义教育活动、知识分子联谊活动</w:t>
            </w:r>
          </w:p>
        </w:tc>
        <w:tc>
          <w:tcPr>
            <w:tcW w:w="2835" w:type="dxa"/>
            <w:vAlign w:val="center"/>
          </w:tcPr>
          <w:p>
            <w:pPr>
              <w:pStyle w:val="23"/>
            </w:pPr>
            <w:r>
              <w:t>每季度至少安排一次活动</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联谊交友工作完成率</w:t>
            </w:r>
          </w:p>
        </w:tc>
        <w:tc>
          <w:tcPr>
            <w:tcW w:w="2835" w:type="dxa"/>
            <w:vAlign w:val="center"/>
          </w:tcPr>
          <w:p>
            <w:pPr>
              <w:pStyle w:val="23"/>
            </w:pPr>
            <w:r>
              <w:t>联谊交友工作完成率</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w:t>
            </w:r>
          </w:p>
        </w:tc>
        <w:tc>
          <w:tcPr>
            <w:tcW w:w="2835" w:type="dxa"/>
            <w:vAlign w:val="center"/>
          </w:tcPr>
          <w:p>
            <w:pPr>
              <w:pStyle w:val="23"/>
            </w:pPr>
            <w:r>
              <w:t>按照进度完成支出计划</w:t>
            </w:r>
          </w:p>
        </w:tc>
        <w:tc>
          <w:tcPr>
            <w:tcW w:w="2551" w:type="dxa"/>
            <w:vAlign w:val="center"/>
          </w:tcPr>
          <w:p>
            <w:pPr>
              <w:pStyle w:val="23"/>
            </w:pPr>
            <w:r>
              <w:t>≤12月</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预算成本</w:t>
            </w:r>
          </w:p>
        </w:tc>
        <w:tc>
          <w:tcPr>
            <w:tcW w:w="2835" w:type="dxa"/>
            <w:vAlign w:val="center"/>
          </w:tcPr>
          <w:p>
            <w:pPr>
              <w:pStyle w:val="23"/>
            </w:pPr>
            <w:r>
              <w:t>严格控制预算成本</w:t>
            </w:r>
          </w:p>
        </w:tc>
        <w:tc>
          <w:tcPr>
            <w:tcW w:w="2551" w:type="dxa"/>
            <w:vAlign w:val="center"/>
          </w:tcPr>
          <w:p>
            <w:pPr>
              <w:pStyle w:val="23"/>
            </w:pPr>
            <w:r>
              <w:t>≤3.5万元</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组织开展服务社会活动</w:t>
            </w:r>
          </w:p>
        </w:tc>
        <w:tc>
          <w:tcPr>
            <w:tcW w:w="2835" w:type="dxa"/>
            <w:vAlign w:val="center"/>
          </w:tcPr>
          <w:p>
            <w:pPr>
              <w:pStyle w:val="23"/>
            </w:pPr>
            <w:r>
              <w:t>每季度至少安排一次活动</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通过知识分子调查问卷形式</w:t>
            </w:r>
          </w:p>
        </w:tc>
        <w:tc>
          <w:tcPr>
            <w:tcW w:w="2835" w:type="dxa"/>
            <w:vAlign w:val="center"/>
          </w:tcPr>
          <w:p>
            <w:pPr>
              <w:pStyle w:val="23"/>
            </w:pPr>
            <w:r>
              <w:t>满意度调查</w:t>
            </w:r>
          </w:p>
        </w:tc>
        <w:tc>
          <w:tcPr>
            <w:tcW w:w="2551" w:type="dxa"/>
            <w:vAlign w:val="center"/>
          </w:tcPr>
          <w:p>
            <w:pPr>
              <w:pStyle w:val="23"/>
            </w:pPr>
            <w:r>
              <w:t>≥90%</w:t>
            </w:r>
          </w:p>
        </w:tc>
        <w:tc>
          <w:tcPr>
            <w:tcW w:w="2268" w:type="dxa"/>
            <w:vAlign w:val="center"/>
          </w:tcPr>
          <w:p>
            <w:pPr>
              <w:pStyle w:val="23"/>
            </w:pPr>
            <w:r>
              <w:t>年度工作计划</w:t>
            </w:r>
          </w:p>
        </w:tc>
      </w:tr>
    </w:tbl>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6、民族宗教领域社会稳定专项经费绩效目标表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1.调查研究、协调检查落实有关民族和宗教工作的重大方针、政策问题，教育团结少数民族和宗教界代表人物</w:t>
            </w:r>
          </w:p>
          <w:p>
            <w:pPr>
              <w:pStyle w:val="23"/>
            </w:pPr>
            <w:r>
              <w:t>2.积极引导宗教与社会主义社会相适应，维护宗教领域社会稳定</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政策宣传</w:t>
            </w:r>
          </w:p>
        </w:tc>
        <w:tc>
          <w:tcPr>
            <w:tcW w:w="2835" w:type="dxa"/>
            <w:vAlign w:val="center"/>
          </w:tcPr>
          <w:p>
            <w:pPr>
              <w:pStyle w:val="23"/>
            </w:pPr>
            <w:r>
              <w:t>进行政策宣传</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教育培训、走访慰问</w:t>
            </w:r>
          </w:p>
        </w:tc>
        <w:tc>
          <w:tcPr>
            <w:tcW w:w="2835" w:type="dxa"/>
            <w:vAlign w:val="center"/>
          </w:tcPr>
          <w:p>
            <w:pPr>
              <w:pStyle w:val="23"/>
            </w:pPr>
            <w:r>
              <w:t>下基层进行教育培训、走访慰问</w:t>
            </w:r>
          </w:p>
        </w:tc>
        <w:tc>
          <w:tcPr>
            <w:tcW w:w="2551" w:type="dxa"/>
            <w:vAlign w:val="center"/>
          </w:tcPr>
          <w:p>
            <w:pPr>
              <w:pStyle w:val="23"/>
            </w:pPr>
            <w:r>
              <w:t>≥4次</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民主党派履行职能有关支持工作完成率</w:t>
            </w:r>
          </w:p>
        </w:tc>
        <w:tc>
          <w:tcPr>
            <w:tcW w:w="2835" w:type="dxa"/>
            <w:vAlign w:val="center"/>
          </w:tcPr>
          <w:p>
            <w:pPr>
              <w:pStyle w:val="23"/>
            </w:pPr>
            <w:r>
              <w:t>民主党派履行职能有关支持工作完成率</w:t>
            </w:r>
          </w:p>
        </w:tc>
        <w:tc>
          <w:tcPr>
            <w:tcW w:w="2551" w:type="dxa"/>
            <w:vAlign w:val="center"/>
          </w:tcPr>
          <w:p>
            <w:pPr>
              <w:pStyle w:val="23"/>
            </w:pPr>
            <w:r>
              <w:t>≥100%</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按照进度完成支出计划</w:t>
            </w:r>
          </w:p>
        </w:tc>
        <w:tc>
          <w:tcPr>
            <w:tcW w:w="2835" w:type="dxa"/>
            <w:vAlign w:val="center"/>
          </w:tcPr>
          <w:p>
            <w:pPr>
              <w:pStyle w:val="23"/>
            </w:pPr>
            <w:r>
              <w:t>按照进度完成支出计划</w:t>
            </w:r>
          </w:p>
        </w:tc>
        <w:tc>
          <w:tcPr>
            <w:tcW w:w="2551" w:type="dxa"/>
            <w:vAlign w:val="center"/>
          </w:tcPr>
          <w:p>
            <w:pPr>
              <w:pStyle w:val="23"/>
            </w:pPr>
            <w:r>
              <w:t>≤12月</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预算成本</w:t>
            </w:r>
          </w:p>
        </w:tc>
        <w:tc>
          <w:tcPr>
            <w:tcW w:w="2835" w:type="dxa"/>
            <w:vAlign w:val="center"/>
          </w:tcPr>
          <w:p>
            <w:pPr>
              <w:pStyle w:val="23"/>
            </w:pPr>
            <w:r>
              <w:t>严格控制预算成本</w:t>
            </w:r>
          </w:p>
        </w:tc>
        <w:tc>
          <w:tcPr>
            <w:tcW w:w="2551" w:type="dxa"/>
            <w:vAlign w:val="center"/>
          </w:tcPr>
          <w:p>
            <w:pPr>
              <w:pStyle w:val="23"/>
            </w:pPr>
            <w:r>
              <w:t>≤10万元</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宗教领域社会稳定水平</w:t>
            </w:r>
          </w:p>
        </w:tc>
        <w:tc>
          <w:tcPr>
            <w:tcW w:w="2835" w:type="dxa"/>
            <w:vAlign w:val="center"/>
          </w:tcPr>
          <w:p>
            <w:pPr>
              <w:pStyle w:val="23"/>
            </w:pPr>
            <w:r>
              <w:t>通过教育培训提高民族宗教界人士的素质和能力；深入基层调研，矛盾排查，促进宗教领域稳定水平逐步提高</w:t>
            </w:r>
          </w:p>
        </w:tc>
        <w:tc>
          <w:tcPr>
            <w:tcW w:w="2551" w:type="dxa"/>
            <w:vAlign w:val="center"/>
          </w:tcPr>
          <w:p>
            <w:pPr>
              <w:pStyle w:val="23"/>
            </w:pPr>
            <w:r>
              <w:t>确保民族宗教领域社会稳定</w:t>
            </w:r>
          </w:p>
        </w:tc>
        <w:tc>
          <w:tcPr>
            <w:tcW w:w="2268"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民族宗教界人士满意度</w:t>
            </w:r>
          </w:p>
        </w:tc>
        <w:tc>
          <w:tcPr>
            <w:tcW w:w="2835" w:type="dxa"/>
            <w:vAlign w:val="center"/>
          </w:tcPr>
          <w:p>
            <w:pPr>
              <w:pStyle w:val="23"/>
            </w:pPr>
            <w:r>
              <w:t>通过教育培训、基层调研、走访慰问等，提高民族宗教界人士思想政治水平，通过办好事、办实事，感受到党和政府的关心关怀。</w:t>
            </w:r>
          </w:p>
        </w:tc>
        <w:tc>
          <w:tcPr>
            <w:tcW w:w="2551" w:type="dxa"/>
            <w:vAlign w:val="center"/>
          </w:tcPr>
          <w:p>
            <w:pPr>
              <w:pStyle w:val="23"/>
            </w:pPr>
            <w:r>
              <w:t>≥90%</w:t>
            </w:r>
          </w:p>
        </w:tc>
        <w:tc>
          <w:tcPr>
            <w:tcW w:w="2268" w:type="dxa"/>
            <w:vAlign w:val="center"/>
          </w:tcPr>
          <w:p>
            <w:pPr>
              <w:pStyle w:val="23"/>
            </w:pPr>
            <w:r>
              <w:t>年度工作计划</w:t>
            </w:r>
          </w:p>
        </w:tc>
      </w:tr>
    </w:tbl>
    <w:p>
      <w:pPr>
        <w:pStyle w:val="21"/>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5456"/>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2022年，中国共产党石家庄市藁城区委员会统战部安排政府采购预算0.00万元。具体内容见下表。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0136"/>
      <w:r>
        <w:rPr>
          <w:rFonts w:ascii="黑体" w:hAnsi="黑体" w:eastAsia="黑体" w:cs="黑体"/>
          <w:color w:val="000000"/>
          <w:sz w:val="32"/>
        </w:rPr>
        <w:t>七、国有资产信息</w:t>
      </w:r>
      <w:bookmarkEnd w:id="15"/>
    </w:p>
    <w:p>
      <w:pPr>
        <w:ind w:firstLine="560" w:firstLineChars="200"/>
        <w:rPr>
          <w:rFonts w:ascii="仿宋" w:hAnsi="仿宋" w:eastAsia="仿宋"/>
          <w:color w:val="000000"/>
          <w:sz w:val="32"/>
          <w:szCs w:val="32"/>
          <w:lang w:val="uk-UA"/>
        </w:rPr>
      </w:pPr>
      <w:r>
        <w:rPr>
          <w:rFonts w:ascii="Times New Roman" w:hAnsi="Times New Roman" w:eastAsia="方正仿宋_GBK" w:cs="Times New Roman"/>
          <w:b w:val="0"/>
          <w:color w:val="000000"/>
          <w:sz w:val="28"/>
        </w:rPr>
        <w:t>中国共产党石家庄市藁城区委员会统战部（含所属单位）上年末固定资产金额为1</w:t>
      </w:r>
      <w:r>
        <w:rPr>
          <w:rFonts w:hint="eastAsia" w:eastAsia="方正仿宋_GBK" w:cs="Times New Roman"/>
          <w:b w:val="0"/>
          <w:color w:val="000000"/>
          <w:sz w:val="28"/>
          <w:lang w:val="en-US" w:eastAsia="zh-CN"/>
        </w:rPr>
        <w:t>6.66</w:t>
      </w:r>
      <w:r>
        <w:rPr>
          <w:rFonts w:ascii="Times New Roman" w:hAnsi="Times New Roman" w:eastAsia="方正仿宋_GBK" w:cs="Times New Roman"/>
          <w:b w:val="0"/>
          <w:color w:val="000000"/>
          <w:sz w:val="28"/>
        </w:rPr>
        <w:t>万元（详见下表）。本年度拟购置固定资产总额为2.59万元，</w:t>
      </w:r>
      <w:r>
        <w:rPr>
          <w:rFonts w:hint="eastAsia" w:ascii="Times New Roman" w:hAnsi="Times New Roman" w:eastAsia="方正仿宋_GBK" w:cs="Times New Roman"/>
          <w:b w:val="0"/>
          <w:color w:val="000000"/>
          <w:sz w:val="28"/>
          <w:lang w:val="uk-UA"/>
        </w:rPr>
        <w:t>主要为内网设备、复印机、传真机，因未达到政府采购限额，故未列入政府采购预算。</w:t>
      </w: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213中国共产党石家庄市藁城区委员会统战部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rPr>
                <w:rFonts w:hint="default" w:eastAsia="方正书宋_GBK"/>
                <w:lang w:val="en-US" w:eastAsia="zh-CN"/>
              </w:rPr>
            </w:pPr>
            <w:r>
              <w:rPr>
                <w:rFonts w:hint="eastAsia"/>
                <w:lang w:val="en-US" w:eastAsia="zh-CN"/>
              </w:rPr>
              <w:t>16.66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方正书宋_GBK"/>
                <w:lang w:eastAsia="zh-CN"/>
              </w:rPr>
            </w:pPr>
            <w:r>
              <w:t>4</w:t>
            </w:r>
            <w:r>
              <w:rPr>
                <w:rFonts w:hint="eastAsia"/>
                <w:lang w:val="en-US" w:eastAsia="zh-CN"/>
              </w:rPr>
              <w:t>6</w:t>
            </w:r>
          </w:p>
        </w:tc>
        <w:tc>
          <w:tcPr>
            <w:tcW w:w="2835" w:type="dxa"/>
            <w:vAlign w:val="center"/>
          </w:tcPr>
          <w:p>
            <w:pPr>
              <w:pStyle w:val="13"/>
              <w:rPr>
                <w:rFonts w:hint="default" w:eastAsia="方正书宋_GBK"/>
                <w:lang w:val="en-US" w:eastAsia="zh-CN"/>
              </w:rPr>
            </w:pPr>
            <w:r>
              <w:t>16</w:t>
            </w:r>
            <w:r>
              <w:rPr>
                <w:rFonts w:hint="eastAsia"/>
                <w:lang w:val="en-US" w:eastAsia="zh-CN"/>
              </w:rPr>
              <w:t>.66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8998"/>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32574"/>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000000"/>
    <w:rsid w:val="03F56E0A"/>
    <w:rsid w:val="05927D86"/>
    <w:rsid w:val="1D4E4497"/>
    <w:rsid w:val="456973D1"/>
    <w:rsid w:val="5DBF5A40"/>
    <w:rsid w:val="6E9937BA"/>
    <w:rsid w:val="79AF44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Normal_6fda97ad-7cff-4e3e-a05c-68b4ae267815"/>
    <w:autoRedefine/>
    <w:qFormat/>
    <w:uiPriority w:val="0"/>
    <w:rPr>
      <w:rFonts w:ascii="Times New Roman" w:hAnsi="Times New Roman" w:eastAsia="Times New Roman" w:cstheme="minorBidi"/>
      <w:sz w:val="24"/>
      <w:szCs w:val="24"/>
      <w:lang w:val="en-US" w:eastAsia="uk-UA" w:bidi="ar-SA"/>
    </w:rPr>
  </w:style>
  <w:style w:type="paragraph" w:customStyle="1" w:styleId="22">
    <w:name w:val="单元格样式1_58f122ef-1513-45ff-8ab8-6917f6be317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3">
    <w:name w:val="单元格样式2_3f28bd2f-378e-4664-9781-f090c27cc78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4">
    <w:name w:val="单元格样式3_c8a61b1d-7fb8-441b-b85c-f3e5742734f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2023-09-05T06:42:00Z</dcterms:created>
  <dc:creator>Administrator</dc:creator>
  <cp:lastModifiedBy>Administrator</cp:lastModifiedBy>
  <dcterms:modified xsi:type="dcterms:W3CDTF">2024-02-23T01:57:47Z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37E5B3B416C1451CB7CE010763F06697_12</vt:lpwstr>
  </property>
</Properties>
</file>