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6F5357">
      <w:pPr>
        <w:pStyle w:val="22"/>
        <w:ind w:left="360" w:firstLine="0" w:firstLineChars="0"/>
        <w:rPr>
          <w:b/>
          <w:sz w:val="72"/>
          <w:szCs w:val="72"/>
        </w:rPr>
      </w:pPr>
      <w:bookmarkStart w:id="0" w:name="_GoBack"/>
      <w:bookmarkEnd w:id="0"/>
      <w:r>
        <w:rPr>
          <w:rFonts w:hint="eastAsia"/>
          <w:b/>
          <w:sz w:val="72"/>
          <w:szCs w:val="72"/>
        </w:rPr>
        <w:t>2017年度部门决算公开</w:t>
      </w:r>
    </w:p>
    <w:p w14:paraId="386207D6">
      <w:pPr>
        <w:pStyle w:val="22"/>
        <w:ind w:left="360" w:firstLine="0" w:firstLineChars="0"/>
        <w:rPr>
          <w:b/>
          <w:sz w:val="72"/>
          <w:szCs w:val="72"/>
        </w:rPr>
      </w:pPr>
    </w:p>
    <w:p w14:paraId="5592F653">
      <w:pPr>
        <w:pStyle w:val="22"/>
        <w:ind w:left="360" w:firstLine="0" w:firstLineChars="0"/>
        <w:rPr>
          <w:sz w:val="72"/>
          <w:szCs w:val="72"/>
        </w:rPr>
      </w:pPr>
    </w:p>
    <w:p w14:paraId="1BB73EB5">
      <w:pPr>
        <w:pStyle w:val="22"/>
        <w:ind w:left="360" w:firstLine="0" w:firstLineChars="0"/>
        <w:rPr>
          <w:sz w:val="72"/>
          <w:szCs w:val="72"/>
        </w:rPr>
      </w:pPr>
    </w:p>
    <w:p w14:paraId="0CA716B0">
      <w:pPr>
        <w:pStyle w:val="22"/>
        <w:ind w:left="360" w:firstLine="0" w:firstLineChars="0"/>
        <w:rPr>
          <w:sz w:val="72"/>
          <w:szCs w:val="72"/>
        </w:rPr>
      </w:pPr>
    </w:p>
    <w:p w14:paraId="5923220F">
      <w:pPr>
        <w:rPr>
          <w:sz w:val="72"/>
          <w:szCs w:val="72"/>
        </w:rPr>
      </w:pPr>
    </w:p>
    <w:p w14:paraId="01924AF0">
      <w:pPr>
        <w:rPr>
          <w:sz w:val="72"/>
          <w:szCs w:val="72"/>
        </w:rPr>
      </w:pPr>
    </w:p>
    <w:p w14:paraId="5EAD2B1B">
      <w:pPr>
        <w:rPr>
          <w:sz w:val="72"/>
          <w:szCs w:val="72"/>
        </w:rPr>
      </w:pPr>
    </w:p>
    <w:p w14:paraId="55ABB857">
      <w:pPr>
        <w:pStyle w:val="22"/>
        <w:ind w:left="360" w:firstLine="0" w:firstLineChars="0"/>
        <w:jc w:val="center"/>
        <w:rPr>
          <w:b/>
          <w:sz w:val="44"/>
          <w:szCs w:val="44"/>
        </w:rPr>
      </w:pPr>
      <w:r>
        <w:rPr>
          <w:rFonts w:hint="eastAsia"/>
          <w:b/>
          <w:sz w:val="44"/>
          <w:szCs w:val="44"/>
        </w:rPr>
        <w:t>藁城区张家庄镇人民政府</w:t>
      </w:r>
    </w:p>
    <w:p w14:paraId="78B12369">
      <w:pPr>
        <w:pStyle w:val="22"/>
        <w:ind w:left="360" w:firstLine="0" w:firstLineChars="0"/>
        <w:jc w:val="center"/>
        <w:rPr>
          <w:b/>
          <w:sz w:val="44"/>
          <w:szCs w:val="44"/>
        </w:rPr>
      </w:pPr>
      <w:r>
        <w:rPr>
          <w:rFonts w:hint="eastAsia"/>
          <w:b/>
          <w:sz w:val="44"/>
          <w:szCs w:val="44"/>
        </w:rPr>
        <w:t>2018年10月12日</w:t>
      </w:r>
    </w:p>
    <w:p w14:paraId="023F28F5">
      <w:pPr>
        <w:pStyle w:val="2"/>
        <w:jc w:val="center"/>
      </w:pPr>
    </w:p>
    <w:p w14:paraId="7FD8290D">
      <w:pPr>
        <w:pStyle w:val="2"/>
        <w:jc w:val="center"/>
      </w:pPr>
    </w:p>
    <w:p w14:paraId="77B0A995">
      <w:pPr>
        <w:pStyle w:val="2"/>
        <w:jc w:val="center"/>
      </w:pPr>
      <w:r>
        <w:rPr>
          <w:rFonts w:hint="eastAsia"/>
        </w:rPr>
        <w:t>石家庄市藁城区张家庄镇人民政府2017年决算公开信息</w:t>
      </w:r>
    </w:p>
    <w:p w14:paraId="3F9C1B0E">
      <w:pPr>
        <w:pStyle w:val="2"/>
        <w:jc w:val="center"/>
      </w:pPr>
      <w:r>
        <w:rPr>
          <w:rFonts w:hint="eastAsia"/>
        </w:rPr>
        <w:t>部门决算公开目录</w:t>
      </w:r>
    </w:p>
    <w:p w14:paraId="27686D6B">
      <w:pPr>
        <w:rPr>
          <w:rFonts w:asciiTheme="minorEastAsia" w:hAnsiTheme="minorEastAsia"/>
          <w:b/>
          <w:sz w:val="36"/>
          <w:szCs w:val="36"/>
        </w:rPr>
      </w:pPr>
      <w:r>
        <w:rPr>
          <w:rFonts w:hint="eastAsia" w:asciiTheme="minorEastAsia" w:hAnsiTheme="minorEastAsia"/>
          <w:b/>
          <w:sz w:val="36"/>
          <w:szCs w:val="36"/>
        </w:rPr>
        <w:t>第一部分 部门概况</w:t>
      </w:r>
    </w:p>
    <w:p w14:paraId="3F1F3CE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514CA18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319FAF7D">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40EF3C5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65DA130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3E5CF82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195B8E5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38C5AA1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695F0F6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2C71F46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27B7BAC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38F5520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2887310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3676C6A0">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4668D40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5EC13B3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4D06677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08417CC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163E33D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023DB7C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0970461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558F8CED">
      <w:pPr>
        <w:spacing w:line="360" w:lineRule="auto"/>
        <w:ind w:firstLine="1500" w:firstLineChars="500"/>
        <w:rPr>
          <w:sz w:val="30"/>
          <w:szCs w:val="30"/>
        </w:rPr>
      </w:pPr>
      <w:r>
        <w:rPr>
          <w:rFonts w:hint="eastAsia"/>
          <w:sz w:val="30"/>
          <w:szCs w:val="30"/>
        </w:rPr>
        <w:t>1、 机关运行经费情况</w:t>
      </w:r>
    </w:p>
    <w:p w14:paraId="756EC710">
      <w:pPr>
        <w:spacing w:line="360" w:lineRule="auto"/>
        <w:ind w:firstLine="1500" w:firstLineChars="500"/>
        <w:rPr>
          <w:sz w:val="30"/>
          <w:szCs w:val="30"/>
        </w:rPr>
      </w:pPr>
      <w:r>
        <w:rPr>
          <w:rFonts w:hint="eastAsia"/>
          <w:sz w:val="30"/>
          <w:szCs w:val="30"/>
        </w:rPr>
        <w:t>2、 政府采购情况</w:t>
      </w:r>
    </w:p>
    <w:p w14:paraId="13295976">
      <w:pPr>
        <w:spacing w:line="360" w:lineRule="auto"/>
        <w:ind w:firstLine="1500" w:firstLineChars="500"/>
        <w:rPr>
          <w:sz w:val="30"/>
          <w:szCs w:val="30"/>
        </w:rPr>
      </w:pPr>
      <w:r>
        <w:rPr>
          <w:rFonts w:hint="eastAsia"/>
          <w:sz w:val="30"/>
          <w:szCs w:val="30"/>
        </w:rPr>
        <w:t>3、国有资产占用情况</w:t>
      </w:r>
    </w:p>
    <w:p w14:paraId="562DEE9E">
      <w:pPr>
        <w:rPr>
          <w:rFonts w:asciiTheme="minorEastAsia" w:hAnsiTheme="minorEastAsia"/>
          <w:b/>
          <w:sz w:val="36"/>
          <w:szCs w:val="36"/>
        </w:rPr>
      </w:pPr>
      <w:r>
        <w:rPr>
          <w:rFonts w:hint="eastAsia" w:asciiTheme="minorEastAsia" w:hAnsiTheme="minorEastAsia"/>
          <w:b/>
          <w:sz w:val="36"/>
          <w:szCs w:val="36"/>
        </w:rPr>
        <w:t>第四部分 名词解释</w:t>
      </w:r>
    </w:p>
    <w:p w14:paraId="2074034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21DD97D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3613CDF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4E4FBD8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2F10AE5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77BC37D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0A11FA6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37F9AC6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7E0391E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46E00AC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07508D2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3BF4F30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4955973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7D97BBD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0A1CA2C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6104D04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5DE95D38">
      <w:pPr>
        <w:spacing w:before="312" w:beforeLines="100" w:after="312"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14:paraId="30FC4F42">
      <w:pPr>
        <w:rPr>
          <w:b/>
          <w:sz w:val="36"/>
          <w:szCs w:val="36"/>
        </w:rPr>
      </w:pPr>
      <w:r>
        <w:rPr>
          <w:rFonts w:hint="eastAsia"/>
          <w:b/>
          <w:sz w:val="36"/>
          <w:szCs w:val="36"/>
        </w:rPr>
        <w:t>一、 部门职责</w:t>
      </w:r>
    </w:p>
    <w:p w14:paraId="3833AA14">
      <w:pPr>
        <w:ind w:firstLine="640" w:firstLineChars="200"/>
        <w:rPr>
          <w:rFonts w:asciiTheme="minorEastAsia" w:hAnsiTheme="minorEastAsia"/>
          <w:sz w:val="32"/>
          <w:szCs w:val="32"/>
        </w:rPr>
      </w:pPr>
      <w:r>
        <w:rPr>
          <w:rFonts w:hint="eastAsia" w:asciiTheme="minorEastAsia" w:hAnsiTheme="minorEastAsia"/>
          <w:sz w:val="32"/>
          <w:szCs w:val="32"/>
        </w:rPr>
        <w:t>一、政务管理：依法依</w:t>
      </w:r>
      <w:r>
        <w:rPr>
          <w:rFonts w:hint="eastAsia" w:asciiTheme="minorEastAsia" w:hAnsiTheme="minorEastAsia"/>
          <w:sz w:val="32"/>
          <w:szCs w:val="32"/>
          <w:lang w:eastAsia="zh-CN"/>
        </w:rPr>
        <w:t>规</w:t>
      </w:r>
      <w:r>
        <w:rPr>
          <w:rFonts w:hint="eastAsia" w:asciiTheme="minorEastAsia" w:hAnsiTheme="minorEastAsia"/>
          <w:sz w:val="32"/>
          <w:szCs w:val="32"/>
        </w:rPr>
        <w:t>完成工作任务，推进科学决策。做好各类突发事件得到及时处理，确保机关工作正常运行。</w:t>
      </w:r>
    </w:p>
    <w:p w14:paraId="787E8616">
      <w:pPr>
        <w:ind w:firstLine="640" w:firstLineChars="200"/>
        <w:rPr>
          <w:rFonts w:asciiTheme="minorEastAsia" w:hAnsiTheme="minorEastAsia"/>
          <w:sz w:val="32"/>
          <w:szCs w:val="32"/>
        </w:rPr>
      </w:pPr>
      <w:r>
        <w:rPr>
          <w:rFonts w:hint="eastAsia" w:asciiTheme="minorEastAsia" w:hAnsiTheme="minorEastAsia"/>
          <w:sz w:val="32"/>
          <w:szCs w:val="32"/>
        </w:rPr>
        <w:t>二、经济发展：制定经济发展规划，促进民营企业发展，招商引资发展支柱产业。</w:t>
      </w:r>
    </w:p>
    <w:p w14:paraId="415DBC14">
      <w:pPr>
        <w:ind w:firstLine="640" w:firstLineChars="200"/>
        <w:rPr>
          <w:rFonts w:asciiTheme="minorEastAsia" w:hAnsiTheme="minorEastAsia"/>
          <w:sz w:val="32"/>
          <w:szCs w:val="32"/>
        </w:rPr>
      </w:pPr>
      <w:r>
        <w:rPr>
          <w:rFonts w:hint="eastAsia" w:asciiTheme="minorEastAsia" w:hAnsiTheme="minorEastAsia"/>
          <w:sz w:val="32"/>
          <w:szCs w:val="32"/>
        </w:rPr>
        <w:t>三、社会救助政策及管理：保证农民生活最低保障，缓解困难家庭的生活困难。</w:t>
      </w:r>
    </w:p>
    <w:p w14:paraId="084B2530">
      <w:pPr>
        <w:ind w:firstLine="640" w:firstLineChars="200"/>
        <w:rPr>
          <w:rFonts w:asciiTheme="minorEastAsia" w:hAnsiTheme="minorEastAsia"/>
          <w:sz w:val="32"/>
          <w:szCs w:val="32"/>
        </w:rPr>
      </w:pPr>
      <w:r>
        <w:rPr>
          <w:rFonts w:hint="eastAsia" w:asciiTheme="minorEastAsia" w:hAnsiTheme="minorEastAsia"/>
          <w:sz w:val="32"/>
          <w:szCs w:val="32"/>
        </w:rPr>
        <w:t>四、计划生育：增强群众自觉实行计划生育，稳定生育水平，计生户家庭得到奖励扶助，保障计划生育法的落实。</w:t>
      </w:r>
    </w:p>
    <w:p w14:paraId="69064834">
      <w:pPr>
        <w:ind w:firstLine="640" w:firstLineChars="200"/>
        <w:rPr>
          <w:rFonts w:asciiTheme="minorEastAsia" w:hAnsiTheme="minorEastAsia"/>
          <w:sz w:val="32"/>
          <w:szCs w:val="32"/>
        </w:rPr>
      </w:pPr>
      <w:r>
        <w:rPr>
          <w:rFonts w:hint="eastAsia" w:asciiTheme="minorEastAsia" w:hAnsiTheme="minorEastAsia"/>
          <w:sz w:val="32"/>
          <w:szCs w:val="32"/>
        </w:rPr>
        <w:t>五、农业生产：发挥农业科技支撑作用，通过新技术成果的展示，辐射带动全镇适宜区域的农业行业技术推广应用。</w:t>
      </w:r>
    </w:p>
    <w:p w14:paraId="12305200">
      <w:pPr>
        <w:ind w:firstLine="640" w:firstLineChars="200"/>
        <w:rPr>
          <w:rFonts w:asciiTheme="minorEastAsia" w:hAnsiTheme="minorEastAsia"/>
          <w:sz w:val="32"/>
          <w:szCs w:val="32"/>
        </w:rPr>
      </w:pPr>
      <w:r>
        <w:rPr>
          <w:rFonts w:hint="eastAsia" w:asciiTheme="minorEastAsia" w:hAnsiTheme="minorEastAsia"/>
          <w:sz w:val="32"/>
          <w:szCs w:val="32"/>
        </w:rPr>
        <w:t>六、城镇建设：对镇村道路进行建设，达到全覆盖。完成农村面貌改造提升的全面提升。</w:t>
      </w:r>
    </w:p>
    <w:p w14:paraId="27C572B2">
      <w:pPr>
        <w:ind w:firstLine="640" w:firstLineChars="200"/>
        <w:rPr>
          <w:rFonts w:asciiTheme="minorEastAsia" w:hAnsiTheme="minorEastAsia"/>
          <w:sz w:val="32"/>
          <w:szCs w:val="32"/>
        </w:rPr>
      </w:pPr>
      <w:r>
        <w:rPr>
          <w:rFonts w:hint="eastAsia" w:asciiTheme="minorEastAsia" w:hAnsiTheme="minorEastAsia"/>
          <w:sz w:val="32"/>
          <w:szCs w:val="32"/>
        </w:rPr>
        <w:t>七、文教卫生：配合教育、科技、文体、卫生等部门搞好义务教育，保障中小学正常运转，普及推广科学技术，丰富农村文化生活，推行合作医疗。</w:t>
      </w:r>
    </w:p>
    <w:p w14:paraId="7A18703D">
      <w:pPr>
        <w:ind w:firstLine="640" w:firstLineChars="200"/>
        <w:rPr>
          <w:rFonts w:asciiTheme="minorEastAsia" w:hAnsiTheme="minorEastAsia"/>
          <w:sz w:val="32"/>
          <w:szCs w:val="32"/>
        </w:rPr>
      </w:pPr>
      <w:r>
        <w:rPr>
          <w:rFonts w:hint="eastAsia" w:asciiTheme="minorEastAsia" w:hAnsiTheme="minorEastAsia"/>
          <w:sz w:val="32"/>
          <w:szCs w:val="32"/>
        </w:rPr>
        <w:t>八、社会综合治理：预防减少不稳定因素的发生，有效缓解不稳定隐患、群体性事件和突发事件，维护国家安全工作。</w:t>
      </w:r>
    </w:p>
    <w:p w14:paraId="540A0D38">
      <w:pPr>
        <w:ind w:firstLine="640" w:firstLineChars="200"/>
        <w:rPr>
          <w:rFonts w:asciiTheme="minorEastAsia" w:hAnsiTheme="minorEastAsia"/>
          <w:sz w:val="32"/>
          <w:szCs w:val="32"/>
        </w:rPr>
      </w:pPr>
    </w:p>
    <w:p w14:paraId="3FAC24F3">
      <w:pPr>
        <w:rPr>
          <w:b/>
          <w:sz w:val="36"/>
          <w:szCs w:val="36"/>
        </w:rPr>
      </w:pPr>
      <w:r>
        <w:rPr>
          <w:rFonts w:hint="eastAsia"/>
          <w:b/>
          <w:sz w:val="36"/>
          <w:szCs w:val="36"/>
        </w:rPr>
        <w:t>二、部门决算单位构成</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14:paraId="64407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AA5503E">
            <w:pPr>
              <w:jc w:val="center"/>
              <w:rPr>
                <w:sz w:val="24"/>
                <w:szCs w:val="24"/>
              </w:rPr>
            </w:pPr>
            <w:r>
              <w:rPr>
                <w:rFonts w:hint="eastAsia"/>
                <w:sz w:val="24"/>
                <w:szCs w:val="24"/>
              </w:rPr>
              <w:t>单位名称</w:t>
            </w:r>
          </w:p>
        </w:tc>
        <w:tc>
          <w:tcPr>
            <w:tcW w:w="2130" w:type="dxa"/>
            <w:vAlign w:val="center"/>
          </w:tcPr>
          <w:p w14:paraId="4552DC56">
            <w:pPr>
              <w:jc w:val="center"/>
              <w:rPr>
                <w:sz w:val="24"/>
                <w:szCs w:val="24"/>
              </w:rPr>
            </w:pPr>
            <w:r>
              <w:rPr>
                <w:rFonts w:hint="eastAsia"/>
                <w:sz w:val="24"/>
                <w:szCs w:val="24"/>
              </w:rPr>
              <w:t>单位性质</w:t>
            </w:r>
          </w:p>
        </w:tc>
        <w:tc>
          <w:tcPr>
            <w:tcW w:w="2131" w:type="dxa"/>
            <w:vAlign w:val="center"/>
          </w:tcPr>
          <w:p w14:paraId="22A80A54">
            <w:pPr>
              <w:jc w:val="center"/>
              <w:rPr>
                <w:sz w:val="24"/>
                <w:szCs w:val="24"/>
              </w:rPr>
            </w:pPr>
            <w:r>
              <w:rPr>
                <w:rFonts w:hint="eastAsia"/>
                <w:sz w:val="24"/>
                <w:szCs w:val="24"/>
              </w:rPr>
              <w:t>单位规格</w:t>
            </w:r>
          </w:p>
        </w:tc>
        <w:tc>
          <w:tcPr>
            <w:tcW w:w="2131" w:type="dxa"/>
            <w:vAlign w:val="center"/>
          </w:tcPr>
          <w:p w14:paraId="7EF08199">
            <w:pPr>
              <w:jc w:val="center"/>
              <w:rPr>
                <w:sz w:val="24"/>
                <w:szCs w:val="24"/>
              </w:rPr>
            </w:pPr>
            <w:r>
              <w:rPr>
                <w:rFonts w:hint="eastAsia"/>
                <w:sz w:val="24"/>
                <w:szCs w:val="24"/>
              </w:rPr>
              <w:t>经费保障形式</w:t>
            </w:r>
          </w:p>
        </w:tc>
      </w:tr>
      <w:tr w14:paraId="515A2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5A7BE81">
            <w:pPr>
              <w:jc w:val="center"/>
              <w:rPr>
                <w:sz w:val="24"/>
                <w:szCs w:val="24"/>
              </w:rPr>
            </w:pPr>
            <w:r>
              <w:rPr>
                <w:rFonts w:hint="eastAsia"/>
                <w:sz w:val="24"/>
                <w:szCs w:val="24"/>
              </w:rPr>
              <w:t>张家庄镇人民政府</w:t>
            </w:r>
          </w:p>
        </w:tc>
        <w:tc>
          <w:tcPr>
            <w:tcW w:w="2130" w:type="dxa"/>
            <w:vAlign w:val="center"/>
          </w:tcPr>
          <w:p w14:paraId="6C3B133A">
            <w:pPr>
              <w:jc w:val="center"/>
              <w:rPr>
                <w:sz w:val="24"/>
                <w:szCs w:val="24"/>
              </w:rPr>
            </w:pPr>
            <w:r>
              <w:rPr>
                <w:rFonts w:hint="eastAsia"/>
                <w:sz w:val="24"/>
                <w:szCs w:val="24"/>
              </w:rPr>
              <w:t>行政</w:t>
            </w:r>
          </w:p>
        </w:tc>
        <w:tc>
          <w:tcPr>
            <w:tcW w:w="2131" w:type="dxa"/>
            <w:vAlign w:val="center"/>
          </w:tcPr>
          <w:p w14:paraId="4C899B2E">
            <w:pPr>
              <w:jc w:val="center"/>
              <w:rPr>
                <w:sz w:val="24"/>
                <w:szCs w:val="24"/>
              </w:rPr>
            </w:pPr>
            <w:r>
              <w:rPr>
                <w:rFonts w:hint="eastAsia"/>
                <w:sz w:val="24"/>
                <w:szCs w:val="24"/>
              </w:rPr>
              <w:t>正科</w:t>
            </w:r>
          </w:p>
        </w:tc>
        <w:tc>
          <w:tcPr>
            <w:tcW w:w="2131" w:type="dxa"/>
            <w:vAlign w:val="center"/>
          </w:tcPr>
          <w:p w14:paraId="16426F0D">
            <w:pPr>
              <w:jc w:val="center"/>
              <w:rPr>
                <w:sz w:val="24"/>
                <w:szCs w:val="24"/>
              </w:rPr>
            </w:pPr>
            <w:r>
              <w:rPr>
                <w:rFonts w:hint="eastAsia"/>
                <w:sz w:val="24"/>
                <w:szCs w:val="24"/>
              </w:rPr>
              <w:t>财政拨款</w:t>
            </w:r>
          </w:p>
        </w:tc>
      </w:tr>
      <w:tr w14:paraId="762F6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AFEC280">
            <w:pPr>
              <w:jc w:val="center"/>
              <w:rPr>
                <w:sz w:val="24"/>
                <w:szCs w:val="24"/>
              </w:rPr>
            </w:pPr>
            <w:r>
              <w:rPr>
                <w:rFonts w:hint="eastAsia"/>
                <w:sz w:val="24"/>
                <w:szCs w:val="24"/>
              </w:rPr>
              <w:t>张家庄镇学区</w:t>
            </w:r>
          </w:p>
        </w:tc>
        <w:tc>
          <w:tcPr>
            <w:tcW w:w="2130" w:type="dxa"/>
            <w:vAlign w:val="center"/>
          </w:tcPr>
          <w:p w14:paraId="54D7FA71">
            <w:pPr>
              <w:jc w:val="center"/>
              <w:rPr>
                <w:sz w:val="24"/>
                <w:szCs w:val="24"/>
              </w:rPr>
            </w:pPr>
            <w:r>
              <w:rPr>
                <w:rFonts w:hint="eastAsia"/>
                <w:sz w:val="24"/>
                <w:szCs w:val="24"/>
              </w:rPr>
              <w:t>事业</w:t>
            </w:r>
          </w:p>
        </w:tc>
        <w:tc>
          <w:tcPr>
            <w:tcW w:w="2131" w:type="dxa"/>
            <w:vAlign w:val="center"/>
          </w:tcPr>
          <w:p w14:paraId="6CB5EB2E">
            <w:pPr>
              <w:jc w:val="center"/>
              <w:rPr>
                <w:sz w:val="24"/>
                <w:szCs w:val="24"/>
              </w:rPr>
            </w:pPr>
          </w:p>
        </w:tc>
        <w:tc>
          <w:tcPr>
            <w:tcW w:w="2131" w:type="dxa"/>
            <w:vAlign w:val="center"/>
          </w:tcPr>
          <w:p w14:paraId="6E5AA503">
            <w:pPr>
              <w:jc w:val="center"/>
              <w:rPr>
                <w:sz w:val="24"/>
                <w:szCs w:val="24"/>
              </w:rPr>
            </w:pPr>
            <w:r>
              <w:rPr>
                <w:rFonts w:hint="eastAsia"/>
                <w:sz w:val="24"/>
                <w:szCs w:val="24"/>
              </w:rPr>
              <w:t>财政性资金基本保证</w:t>
            </w:r>
          </w:p>
        </w:tc>
      </w:tr>
    </w:tbl>
    <w:p w14:paraId="15575524">
      <w:pPr>
        <w:spacing w:before="312" w:beforeLines="100" w:after="312"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3FA8518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131673E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01D5D84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166672F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5B307DF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32B2430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3078332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172F66B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77DEDAB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211CA62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67910AE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（详见附表）</w:t>
      </w:r>
    </w:p>
    <w:p w14:paraId="494D8B9B">
      <w:pPr>
        <w:rPr>
          <w:color w:val="FF0000"/>
          <w:sz w:val="32"/>
          <w:szCs w:val="32"/>
        </w:rPr>
      </w:pPr>
    </w:p>
    <w:p w14:paraId="783A254D">
      <w:pPr>
        <w:spacing w:before="312" w:beforeLines="100" w:after="312"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49EBA821">
      <w:pPr>
        <w:rPr>
          <w:b/>
          <w:sz w:val="36"/>
          <w:szCs w:val="36"/>
        </w:rPr>
      </w:pPr>
      <w:r>
        <w:rPr>
          <w:rFonts w:hint="eastAsia"/>
          <w:b/>
          <w:sz w:val="36"/>
          <w:szCs w:val="36"/>
        </w:rPr>
        <w:t>一、收入支出决算总体情况说明</w:t>
      </w:r>
    </w:p>
    <w:p w14:paraId="273BEC16">
      <w:pPr>
        <w:ind w:firstLine="640" w:firstLineChars="200"/>
        <w:rPr>
          <w:rFonts w:asciiTheme="minorEastAsia" w:hAnsiTheme="minorEastAsia"/>
          <w:sz w:val="32"/>
          <w:szCs w:val="32"/>
        </w:rPr>
      </w:pPr>
      <w:r>
        <w:rPr>
          <w:rFonts w:hint="eastAsia" w:asciiTheme="minorEastAsia" w:hAnsiTheme="minorEastAsia"/>
          <w:sz w:val="32"/>
          <w:szCs w:val="32"/>
        </w:rPr>
        <w:t>2017年度年初结转和结余0万元，本年收入4577.8 万元，本年支出 4577.8 万元，用事业基金弥补收支差额0 万元，结余分配0 万元，年末结转和结余 0万元。与 2016 年度决算相比，本年收入减少 218.79 万元， 减少 4.56%；本年支出少 218.79 万元，减少 4.56%。收支减少的主要原因是，2017 年度受税务改制的影响，税收减少，收入减少。</w:t>
      </w:r>
    </w:p>
    <w:p w14:paraId="3A8B5404">
      <w:pPr>
        <w:rPr>
          <w:b/>
          <w:sz w:val="36"/>
          <w:szCs w:val="36"/>
        </w:rPr>
      </w:pPr>
      <w:r>
        <w:rPr>
          <w:rFonts w:hint="eastAsia"/>
          <w:b/>
          <w:sz w:val="36"/>
          <w:szCs w:val="36"/>
        </w:rPr>
        <w:t>二、收入决算情况说明</w:t>
      </w:r>
    </w:p>
    <w:p w14:paraId="6B52B0C9">
      <w:pPr>
        <w:ind w:firstLine="640" w:firstLineChars="200"/>
        <w:rPr>
          <w:rFonts w:asciiTheme="minorEastAsia" w:hAnsiTheme="minorEastAsia"/>
          <w:sz w:val="32"/>
          <w:szCs w:val="32"/>
        </w:rPr>
      </w:pPr>
      <w:r>
        <w:rPr>
          <w:rFonts w:hint="eastAsia" w:asciiTheme="minorEastAsia" w:hAnsiTheme="minorEastAsia"/>
          <w:sz w:val="32"/>
          <w:szCs w:val="32"/>
        </w:rPr>
        <w:t>2017 年度收入合计 4577.8 万元， 其中： 财政拨款收入4577.8 万元，占 100%；事业收入 0 万元，占 0%；其他收入 0万元，占 0%。与 2016 年度相比，收入减少 218.79 万元，其中财政拨款收入减少 218.79万元，事业收入减少0 万元， 其他收入增加 0 万元。</w:t>
      </w:r>
    </w:p>
    <w:p w14:paraId="7EBAAF48">
      <w:pPr>
        <w:ind w:firstLine="640" w:firstLineChars="200"/>
        <w:rPr>
          <w:rFonts w:asciiTheme="minorEastAsia" w:hAnsiTheme="minorEastAsia"/>
          <w:sz w:val="32"/>
          <w:szCs w:val="32"/>
        </w:rPr>
      </w:pPr>
      <w:r>
        <w:rPr>
          <w:rFonts w:hint="eastAsia" w:asciiTheme="minorEastAsia" w:hAnsiTheme="minorEastAsia"/>
          <w:sz w:val="32"/>
          <w:szCs w:val="32"/>
        </w:rPr>
        <w:drawing>
          <wp:inline distT="0" distB="0" distL="114300" distR="114300">
            <wp:extent cx="4572000" cy="3248025"/>
            <wp:effectExtent l="0" t="0" r="0"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1C899B62">
      <w:pPr>
        <w:rPr>
          <w:b/>
          <w:sz w:val="36"/>
          <w:szCs w:val="36"/>
        </w:rPr>
      </w:pPr>
      <w:r>
        <w:rPr>
          <w:rFonts w:hint="eastAsia"/>
          <w:b/>
          <w:sz w:val="36"/>
          <w:szCs w:val="36"/>
        </w:rPr>
        <w:t>三、支出决算情况说明</w:t>
      </w:r>
    </w:p>
    <w:p w14:paraId="7AC93290">
      <w:pPr>
        <w:ind w:firstLine="640" w:firstLineChars="200"/>
        <w:rPr>
          <w:rFonts w:asciiTheme="minorEastAsia" w:hAnsiTheme="minorEastAsia"/>
          <w:sz w:val="32"/>
          <w:szCs w:val="32"/>
        </w:rPr>
      </w:pPr>
      <w:r>
        <w:rPr>
          <w:rFonts w:hint="eastAsia" w:asciiTheme="minorEastAsia" w:hAnsiTheme="minorEastAsia"/>
          <w:sz w:val="32"/>
          <w:szCs w:val="32"/>
        </w:rPr>
        <w:t>2017 年度支出合计 4577.8 万元，其中：基本支出4577.8万元，占100%；项目支出0万元，占0%；上缴上级支出 0 万元，占 0%。与 2016 年度相比，支出减少 218.79 万元，其中基本支出增加 126.41 万元，项目支出减少345.2万元。</w:t>
      </w:r>
      <w:r>
        <w:rPr>
          <w:rFonts w:hint="eastAsia" w:asciiTheme="minorEastAsia" w:hAnsiTheme="minorEastAsia"/>
          <w:sz w:val="32"/>
          <w:szCs w:val="32"/>
        </w:rPr>
        <w:drawing>
          <wp:inline distT="0" distB="0" distL="114300" distR="114300">
            <wp:extent cx="5080000" cy="3810000"/>
            <wp:effectExtent l="4445" t="4445" r="20955" b="1460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03A74913">
      <w:pPr>
        <w:rPr>
          <w:b/>
          <w:sz w:val="36"/>
          <w:szCs w:val="36"/>
        </w:rPr>
      </w:pPr>
      <w:r>
        <w:rPr>
          <w:rFonts w:hint="eastAsia"/>
          <w:b/>
          <w:sz w:val="36"/>
          <w:szCs w:val="36"/>
        </w:rPr>
        <w:t>四、 财政拨款收入支出决算总体情况说明</w:t>
      </w:r>
    </w:p>
    <w:p w14:paraId="115AD8F1">
      <w:pPr>
        <w:rPr>
          <w:b/>
          <w:sz w:val="32"/>
          <w:szCs w:val="32"/>
        </w:rPr>
      </w:pPr>
      <w:r>
        <w:rPr>
          <w:rFonts w:hint="eastAsia"/>
          <w:b/>
          <w:sz w:val="32"/>
          <w:szCs w:val="32"/>
        </w:rPr>
        <w:t>（一）财政拨款收支与2016年度决算对比情况</w:t>
      </w:r>
    </w:p>
    <w:p w14:paraId="2CFCCC1E">
      <w:pPr>
        <w:ind w:firstLine="640" w:firstLineChars="200"/>
        <w:rPr>
          <w:rFonts w:asciiTheme="minorEastAsia" w:hAnsiTheme="minorEastAsia"/>
          <w:sz w:val="32"/>
          <w:szCs w:val="32"/>
        </w:rPr>
      </w:pPr>
      <w:r>
        <w:rPr>
          <w:rFonts w:hint="eastAsia" w:asciiTheme="minorEastAsia" w:hAnsiTheme="minorEastAsia"/>
          <w:sz w:val="32"/>
          <w:szCs w:val="32"/>
        </w:rPr>
        <w:t>2017 年度财政拨款收入 4577.8 万元，其中：一般公共预算拨款 4577.8 万元，政府性基金预算财政拨款 0万元。与 2016 年度决算相比，财政拨款收入减少 218.79万元，其中：一般公共预算拨款收入减少 218.79 万元，政府性基金预算财政拨款增加 0万元。</w:t>
      </w:r>
    </w:p>
    <w:p w14:paraId="7964DE9B">
      <w:pPr>
        <w:ind w:firstLine="640" w:firstLineChars="200"/>
        <w:rPr>
          <w:rFonts w:asciiTheme="minorEastAsia" w:hAnsiTheme="minorEastAsia"/>
          <w:sz w:val="32"/>
          <w:szCs w:val="32"/>
        </w:rPr>
      </w:pPr>
      <w:r>
        <w:rPr>
          <w:rFonts w:hint="eastAsia" w:asciiTheme="minorEastAsia" w:hAnsiTheme="minorEastAsia"/>
          <w:sz w:val="32"/>
          <w:szCs w:val="32"/>
        </w:rPr>
        <w:t>2017 年度财政拨款支出 4577.8 万元， 其中： 一般公共预算拨款支出 4577.8 万元，政府性基金预算财政拨款支出0万元。与 2016年度决算相比，财政拨款支出减少218.79万元， 其中：一般公共预算拨款支出减少 218.79万元，政府性基金预算财政拨款支出增加 0 万元。</w:t>
      </w:r>
    </w:p>
    <w:p w14:paraId="10D0C3EA">
      <w:pPr>
        <w:ind w:firstLine="640" w:firstLineChars="200"/>
        <w:rPr>
          <w:rFonts w:asciiTheme="minorEastAsia" w:hAnsiTheme="minorEastAsia"/>
          <w:sz w:val="32"/>
          <w:szCs w:val="32"/>
        </w:rPr>
      </w:pPr>
      <w:r>
        <w:rPr>
          <w:rFonts w:hint="eastAsia" w:asciiTheme="minorEastAsia" w:hAnsiTheme="minorEastAsia"/>
          <w:sz w:val="32"/>
          <w:szCs w:val="32"/>
        </w:rPr>
        <w:t>2017 年度财政拨款收支比 2016 年大幅减少的主要原因是2017 年度受税务改制的影响，税收减少，收入减少。</w:t>
      </w:r>
    </w:p>
    <w:p w14:paraId="3A3AD186">
      <w:pPr>
        <w:rPr>
          <w:b/>
          <w:sz w:val="32"/>
          <w:szCs w:val="32"/>
        </w:rPr>
      </w:pPr>
      <w:r>
        <w:rPr>
          <w:rFonts w:hint="eastAsia"/>
          <w:b/>
          <w:sz w:val="32"/>
          <w:szCs w:val="32"/>
        </w:rPr>
        <w:t>（二）财政拨款收支与年初预算数对比情况</w:t>
      </w:r>
    </w:p>
    <w:p w14:paraId="4F6593C4">
      <w:pPr>
        <w:ind w:firstLine="640" w:firstLineChars="200"/>
        <w:rPr>
          <w:rFonts w:asciiTheme="minorEastAsia" w:hAnsiTheme="minorEastAsia"/>
          <w:sz w:val="32"/>
          <w:szCs w:val="32"/>
        </w:rPr>
      </w:pPr>
      <w:r>
        <w:rPr>
          <w:rFonts w:hint="eastAsia" w:asciiTheme="minorEastAsia" w:hAnsiTheme="minorEastAsia"/>
          <w:sz w:val="32"/>
          <w:szCs w:val="32"/>
        </w:rPr>
        <w:t>2017 年度，年初预算批复财政拨款收支 4858.00 万元，其中：一般公共预算拨款 4858.00 万元， 政府性基金预算财政拨款收支 0万元。与年初预算相比，财政拨款收入减少 280.2 万元，减少 5.77%，其中：一般公共预算拨款减少 280.2 万元，政府性基金预算财政拨款减少 0 万元。财政拨款支出减少280.2 万元，减少 5.77%，其中：一般公共预算拨款减少280.2 万元， 政府性基金预算财政拨款减少 0 万元。2017 年度财政拨款收支比年初预算减少的主要原因是，税收减少，财政收入减少，节省开支。</w:t>
      </w:r>
    </w:p>
    <w:p w14:paraId="4995FA2A">
      <w:pPr>
        <w:rPr>
          <w:b/>
          <w:sz w:val="36"/>
          <w:szCs w:val="36"/>
        </w:rPr>
      </w:pPr>
      <w:r>
        <w:rPr>
          <w:rFonts w:hint="eastAsia"/>
          <w:b/>
          <w:sz w:val="36"/>
          <w:szCs w:val="36"/>
        </w:rPr>
        <w:t>五、 “ 三公” 经费支出决算情况说明</w:t>
      </w:r>
    </w:p>
    <w:p w14:paraId="3A0DDFA9">
      <w:pPr>
        <w:ind w:firstLine="640" w:firstLineChars="200"/>
        <w:rPr>
          <w:rFonts w:asciiTheme="minorEastAsia" w:hAnsiTheme="minorEastAsia"/>
          <w:sz w:val="32"/>
          <w:szCs w:val="32"/>
        </w:rPr>
      </w:pPr>
      <w:r>
        <w:rPr>
          <w:rFonts w:hint="eastAsia" w:asciiTheme="minorEastAsia" w:hAnsiTheme="minorEastAsia"/>
          <w:sz w:val="32"/>
          <w:szCs w:val="32"/>
        </w:rPr>
        <w:t>2017年度，我厅认真落实</w:t>
      </w:r>
      <w:r>
        <w:rPr>
          <w:rFonts w:hint="eastAsia" w:asciiTheme="minorEastAsia" w:hAnsiTheme="minorEastAsia"/>
          <w:sz w:val="32"/>
          <w:szCs w:val="32"/>
          <w:lang w:eastAsia="zh-CN"/>
        </w:rPr>
        <w:t>中央 八项规定</w:t>
      </w:r>
      <w:r>
        <w:rPr>
          <w:rFonts w:hint="eastAsia" w:asciiTheme="minorEastAsia" w:hAnsiTheme="minorEastAsia"/>
          <w:sz w:val="32"/>
          <w:szCs w:val="32"/>
        </w:rPr>
        <w:t xml:space="preserve"> 精神和厉行节约要求，管理制度不断完善，“ 三公” 经费支出得到有效控制。全年“ 三公” 经费支出共计8.1万元，与2016年度比，总支出减少10.17万元， 减少125.56%； 与年初预算相比，总支出减少221.98万元，减少57.77%。</w:t>
      </w:r>
    </w:p>
    <w:p w14:paraId="1933EFCF">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0974E432">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经费支出共计8.1万元，与2016年度对比，总支出减少10.17万元。</w:t>
      </w:r>
    </w:p>
    <w:p w14:paraId="40CB80E5">
      <w:pPr>
        <w:rPr>
          <w:b/>
          <w:sz w:val="32"/>
          <w:szCs w:val="32"/>
        </w:rPr>
      </w:pPr>
      <w:r>
        <w:rPr>
          <w:rFonts w:hint="eastAsia"/>
          <w:b/>
          <w:sz w:val="32"/>
          <w:szCs w:val="32"/>
        </w:rPr>
        <w:t>“ 三公” 经费支出2016年度、 2017年度对比明细表</w:t>
      </w:r>
    </w:p>
    <w:p w14:paraId="06C16C56">
      <w:pPr>
        <w:jc w:val="right"/>
        <w:rPr>
          <w:rFonts w:asciiTheme="minorEastAsia" w:hAnsiTheme="minorEastAsia"/>
          <w:sz w:val="28"/>
          <w:szCs w:val="28"/>
        </w:rPr>
      </w:pPr>
      <w:r>
        <w:rPr>
          <w:rFonts w:hint="eastAsia" w:asciiTheme="minorEastAsia" w:hAnsiTheme="minor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036C5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31CC92B">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49A75FE7">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2BCD4DD5">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63553F82">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6FC11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CAE1BA8">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2D6593EC">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3B4938FA">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5E743D20">
            <w:pPr>
              <w:jc w:val="center"/>
              <w:rPr>
                <w:rFonts w:asciiTheme="minorEastAsia" w:hAnsiTheme="minorEastAsia"/>
                <w:sz w:val="24"/>
                <w:szCs w:val="24"/>
              </w:rPr>
            </w:pPr>
            <w:r>
              <w:rPr>
                <w:rFonts w:hint="eastAsia" w:asciiTheme="minorEastAsia" w:hAnsiTheme="minorEastAsia"/>
                <w:sz w:val="24"/>
                <w:szCs w:val="24"/>
              </w:rPr>
              <w:t>0</w:t>
            </w:r>
          </w:p>
        </w:tc>
      </w:tr>
      <w:tr w14:paraId="1DDE1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A456F5A">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51A9AF2B">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rPr>
              <w:t>14.5</w:t>
            </w:r>
            <w:r>
              <w:rPr>
                <w:rFonts w:hint="eastAsia" w:asciiTheme="minorEastAsia" w:hAnsiTheme="minorEastAsia"/>
                <w:sz w:val="24"/>
                <w:szCs w:val="24"/>
                <w:lang w:val="en-US" w:eastAsia="zh-CN"/>
              </w:rPr>
              <w:t>4</w:t>
            </w:r>
          </w:p>
        </w:tc>
        <w:tc>
          <w:tcPr>
            <w:tcW w:w="2130" w:type="dxa"/>
            <w:vAlign w:val="center"/>
          </w:tcPr>
          <w:p w14:paraId="54E5378B">
            <w:pPr>
              <w:jc w:val="center"/>
              <w:rPr>
                <w:rFonts w:asciiTheme="minorEastAsia" w:hAnsiTheme="minorEastAsia"/>
                <w:sz w:val="24"/>
                <w:szCs w:val="24"/>
              </w:rPr>
            </w:pPr>
            <w:r>
              <w:rPr>
                <w:rFonts w:hint="eastAsia" w:asciiTheme="minorEastAsia" w:hAnsiTheme="minorEastAsia"/>
                <w:sz w:val="24"/>
                <w:szCs w:val="24"/>
              </w:rPr>
              <w:t>7.00</w:t>
            </w:r>
          </w:p>
        </w:tc>
        <w:tc>
          <w:tcPr>
            <w:tcW w:w="2131" w:type="dxa"/>
            <w:vAlign w:val="center"/>
          </w:tcPr>
          <w:p w14:paraId="457252F5">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rPr>
              <w:t>-7.5</w:t>
            </w:r>
            <w:r>
              <w:rPr>
                <w:rFonts w:hint="eastAsia" w:asciiTheme="minorEastAsia" w:hAnsiTheme="minorEastAsia"/>
                <w:sz w:val="24"/>
                <w:szCs w:val="24"/>
                <w:lang w:val="en-US" w:eastAsia="zh-CN"/>
              </w:rPr>
              <w:t>4</w:t>
            </w:r>
          </w:p>
        </w:tc>
      </w:tr>
      <w:tr w14:paraId="279E0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5A1B861">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716B34D3">
            <w:pPr>
              <w:jc w:val="center"/>
              <w:rPr>
                <w:rFonts w:asciiTheme="minorEastAsia" w:hAnsiTheme="minorEastAsia"/>
                <w:sz w:val="24"/>
                <w:szCs w:val="24"/>
              </w:rPr>
            </w:pPr>
            <w:r>
              <w:rPr>
                <w:rFonts w:hint="eastAsia" w:asciiTheme="minorEastAsia" w:hAnsiTheme="minorEastAsia"/>
                <w:sz w:val="24"/>
                <w:szCs w:val="24"/>
              </w:rPr>
              <w:t>3.7</w:t>
            </w:r>
          </w:p>
        </w:tc>
        <w:tc>
          <w:tcPr>
            <w:tcW w:w="2130" w:type="dxa"/>
            <w:vAlign w:val="center"/>
          </w:tcPr>
          <w:p w14:paraId="2BB1A07A">
            <w:pPr>
              <w:jc w:val="center"/>
              <w:rPr>
                <w:rFonts w:asciiTheme="minorEastAsia" w:hAnsiTheme="minorEastAsia"/>
                <w:sz w:val="24"/>
                <w:szCs w:val="24"/>
              </w:rPr>
            </w:pPr>
            <w:r>
              <w:rPr>
                <w:rFonts w:hint="eastAsia" w:asciiTheme="minorEastAsia" w:hAnsiTheme="minorEastAsia"/>
                <w:sz w:val="24"/>
                <w:szCs w:val="24"/>
              </w:rPr>
              <w:t>1.10</w:t>
            </w:r>
          </w:p>
        </w:tc>
        <w:tc>
          <w:tcPr>
            <w:tcW w:w="2131" w:type="dxa"/>
            <w:vAlign w:val="center"/>
          </w:tcPr>
          <w:p w14:paraId="2F712396">
            <w:pPr>
              <w:jc w:val="center"/>
              <w:rPr>
                <w:rFonts w:asciiTheme="minorEastAsia" w:hAnsiTheme="minorEastAsia"/>
                <w:sz w:val="24"/>
                <w:szCs w:val="24"/>
              </w:rPr>
            </w:pPr>
            <w:r>
              <w:rPr>
                <w:rFonts w:hint="eastAsia" w:asciiTheme="minorEastAsia" w:hAnsiTheme="minorEastAsia"/>
                <w:sz w:val="24"/>
                <w:szCs w:val="24"/>
              </w:rPr>
              <w:t>-2.6</w:t>
            </w:r>
          </w:p>
        </w:tc>
      </w:tr>
      <w:tr w14:paraId="4586C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FFA873C">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45D7E6C5">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rPr>
              <w:t>18.2</w:t>
            </w:r>
            <w:r>
              <w:rPr>
                <w:rFonts w:hint="eastAsia" w:asciiTheme="minorEastAsia" w:hAnsiTheme="minorEastAsia"/>
                <w:sz w:val="24"/>
                <w:szCs w:val="24"/>
                <w:lang w:val="en-US" w:eastAsia="zh-CN"/>
              </w:rPr>
              <w:t>4</w:t>
            </w:r>
          </w:p>
        </w:tc>
        <w:tc>
          <w:tcPr>
            <w:tcW w:w="2130" w:type="dxa"/>
            <w:vAlign w:val="center"/>
          </w:tcPr>
          <w:p w14:paraId="1FFB4065">
            <w:pPr>
              <w:jc w:val="center"/>
              <w:rPr>
                <w:rFonts w:asciiTheme="minorEastAsia" w:hAnsiTheme="minorEastAsia"/>
                <w:sz w:val="24"/>
                <w:szCs w:val="24"/>
              </w:rPr>
            </w:pPr>
            <w:r>
              <w:rPr>
                <w:rFonts w:hint="eastAsia" w:asciiTheme="minorEastAsia" w:hAnsiTheme="minorEastAsia"/>
                <w:sz w:val="24"/>
                <w:szCs w:val="24"/>
              </w:rPr>
              <w:t>8.1</w:t>
            </w:r>
          </w:p>
        </w:tc>
        <w:tc>
          <w:tcPr>
            <w:tcW w:w="2131" w:type="dxa"/>
            <w:vAlign w:val="center"/>
          </w:tcPr>
          <w:p w14:paraId="2BFCDF33">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rPr>
              <w:t>-10.1</w:t>
            </w:r>
            <w:r>
              <w:rPr>
                <w:rFonts w:hint="eastAsia" w:asciiTheme="minorEastAsia" w:hAnsiTheme="minorEastAsia"/>
                <w:sz w:val="24"/>
                <w:szCs w:val="24"/>
                <w:lang w:val="en-US" w:eastAsia="zh-CN"/>
              </w:rPr>
              <w:t>4</w:t>
            </w:r>
          </w:p>
        </w:tc>
      </w:tr>
    </w:tbl>
    <w:p w14:paraId="1C6486FB">
      <w:pPr>
        <w:ind w:firstLine="640" w:firstLineChars="200"/>
        <w:rPr>
          <w:rFonts w:asciiTheme="minorEastAsia" w:hAnsiTheme="minorEastAsia"/>
          <w:color w:val="000000" w:themeColor="text1"/>
          <w:sz w:val="32"/>
          <w:szCs w:val="32"/>
        </w:rPr>
      </w:pPr>
      <w:r>
        <w:rPr>
          <w:rFonts w:hint="eastAsia" w:asciiTheme="minorEastAsia" w:hAnsiTheme="minorEastAsia"/>
          <w:color w:val="000000" w:themeColor="text1"/>
          <w:sz w:val="32"/>
          <w:szCs w:val="32"/>
        </w:rPr>
        <w:t>2017年度， 一般公共预算财政拨款“ 三公” 经费实际支出，与预算对比，减少2.22万元。其中因公出国（境）费减少0万元，公务用车运行维护费减少1.8万元，接待费减少0.42万元。</w:t>
      </w:r>
    </w:p>
    <w:p w14:paraId="1482DE21">
      <w:pPr>
        <w:rPr>
          <w:b/>
          <w:sz w:val="32"/>
          <w:szCs w:val="32"/>
        </w:rPr>
      </w:pPr>
      <w:r>
        <w:rPr>
          <w:rFonts w:hint="eastAsia"/>
          <w:b/>
          <w:sz w:val="32"/>
          <w:szCs w:val="32"/>
        </w:rPr>
        <w:t>2017年度“ 三公” 经费支出预决算对比明细表</w:t>
      </w:r>
    </w:p>
    <w:p w14:paraId="3CDCB799">
      <w:pPr>
        <w:jc w:val="right"/>
        <w:rPr>
          <w:sz w:val="28"/>
          <w:szCs w:val="28"/>
        </w:rPr>
      </w:pPr>
      <w:r>
        <w:rPr>
          <w:rFonts w:hint="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5D9B5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782386B">
            <w:pPr>
              <w:jc w:val="center"/>
              <w:rPr>
                <w:sz w:val="24"/>
                <w:szCs w:val="24"/>
              </w:rPr>
            </w:pPr>
            <w:r>
              <w:rPr>
                <w:rFonts w:hint="eastAsia"/>
                <w:sz w:val="24"/>
                <w:szCs w:val="24"/>
              </w:rPr>
              <w:t>“ 三公” 经费</w:t>
            </w:r>
          </w:p>
        </w:tc>
        <w:tc>
          <w:tcPr>
            <w:tcW w:w="2131" w:type="dxa"/>
            <w:vAlign w:val="center"/>
          </w:tcPr>
          <w:p w14:paraId="703A30EB">
            <w:pPr>
              <w:jc w:val="center"/>
              <w:rPr>
                <w:b/>
                <w:sz w:val="24"/>
                <w:szCs w:val="24"/>
              </w:rPr>
            </w:pPr>
            <w:r>
              <w:rPr>
                <w:rFonts w:hint="eastAsia"/>
                <w:sz w:val="24"/>
                <w:szCs w:val="24"/>
              </w:rPr>
              <w:t>2017年实际支出</w:t>
            </w:r>
          </w:p>
        </w:tc>
        <w:tc>
          <w:tcPr>
            <w:tcW w:w="2130" w:type="dxa"/>
            <w:vAlign w:val="center"/>
          </w:tcPr>
          <w:p w14:paraId="40E10C36">
            <w:pPr>
              <w:jc w:val="center"/>
              <w:rPr>
                <w:sz w:val="24"/>
                <w:szCs w:val="24"/>
              </w:rPr>
            </w:pPr>
            <w:r>
              <w:rPr>
                <w:rFonts w:hint="eastAsia"/>
                <w:sz w:val="24"/>
                <w:szCs w:val="24"/>
              </w:rPr>
              <w:t>2017年预算</w:t>
            </w:r>
          </w:p>
        </w:tc>
        <w:tc>
          <w:tcPr>
            <w:tcW w:w="2131" w:type="dxa"/>
            <w:vAlign w:val="center"/>
          </w:tcPr>
          <w:p w14:paraId="3C1E11D5">
            <w:pPr>
              <w:jc w:val="center"/>
              <w:rPr>
                <w:b/>
                <w:sz w:val="24"/>
                <w:szCs w:val="24"/>
              </w:rPr>
            </w:pPr>
            <w:r>
              <w:rPr>
                <w:rFonts w:hint="eastAsia"/>
                <w:sz w:val="24"/>
                <w:szCs w:val="24"/>
              </w:rPr>
              <w:t>预决算对比</w:t>
            </w:r>
          </w:p>
        </w:tc>
      </w:tr>
      <w:tr w14:paraId="24E02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661CFF0E">
            <w:pPr>
              <w:jc w:val="center"/>
              <w:rPr>
                <w:sz w:val="24"/>
                <w:szCs w:val="24"/>
              </w:rPr>
            </w:pPr>
            <w:r>
              <w:rPr>
                <w:rFonts w:hint="eastAsia"/>
                <w:sz w:val="24"/>
                <w:szCs w:val="24"/>
              </w:rPr>
              <w:t>因公出国（境）支出</w:t>
            </w:r>
          </w:p>
        </w:tc>
        <w:tc>
          <w:tcPr>
            <w:tcW w:w="2131" w:type="dxa"/>
            <w:vAlign w:val="center"/>
          </w:tcPr>
          <w:p w14:paraId="42E60A55">
            <w:pPr>
              <w:jc w:val="center"/>
              <w:rPr>
                <w:sz w:val="24"/>
                <w:szCs w:val="24"/>
              </w:rPr>
            </w:pPr>
            <w:r>
              <w:rPr>
                <w:rFonts w:hint="eastAsia"/>
                <w:sz w:val="24"/>
                <w:szCs w:val="24"/>
              </w:rPr>
              <w:t>0</w:t>
            </w:r>
          </w:p>
        </w:tc>
        <w:tc>
          <w:tcPr>
            <w:tcW w:w="2130" w:type="dxa"/>
            <w:vAlign w:val="center"/>
          </w:tcPr>
          <w:p w14:paraId="30835C33">
            <w:pPr>
              <w:jc w:val="center"/>
              <w:rPr>
                <w:sz w:val="24"/>
                <w:szCs w:val="24"/>
              </w:rPr>
            </w:pPr>
            <w:r>
              <w:rPr>
                <w:rFonts w:hint="eastAsia"/>
                <w:sz w:val="24"/>
                <w:szCs w:val="24"/>
              </w:rPr>
              <w:t>0</w:t>
            </w:r>
          </w:p>
        </w:tc>
        <w:tc>
          <w:tcPr>
            <w:tcW w:w="2131" w:type="dxa"/>
            <w:vAlign w:val="center"/>
          </w:tcPr>
          <w:p w14:paraId="267AEFD2">
            <w:pPr>
              <w:jc w:val="center"/>
              <w:rPr>
                <w:sz w:val="24"/>
                <w:szCs w:val="24"/>
              </w:rPr>
            </w:pPr>
            <w:r>
              <w:rPr>
                <w:rFonts w:hint="eastAsia"/>
                <w:sz w:val="24"/>
                <w:szCs w:val="24"/>
              </w:rPr>
              <w:t>0</w:t>
            </w:r>
          </w:p>
        </w:tc>
      </w:tr>
      <w:tr w14:paraId="03B9D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2FFA8A8">
            <w:pPr>
              <w:jc w:val="center"/>
              <w:rPr>
                <w:sz w:val="24"/>
                <w:szCs w:val="24"/>
              </w:rPr>
            </w:pPr>
            <w:r>
              <w:rPr>
                <w:rFonts w:hint="eastAsia"/>
                <w:sz w:val="24"/>
                <w:szCs w:val="24"/>
              </w:rPr>
              <w:t>公务用车运行维护费</w:t>
            </w:r>
          </w:p>
        </w:tc>
        <w:tc>
          <w:tcPr>
            <w:tcW w:w="2131" w:type="dxa"/>
            <w:vAlign w:val="center"/>
          </w:tcPr>
          <w:p w14:paraId="0D570C19">
            <w:pPr>
              <w:jc w:val="center"/>
              <w:rPr>
                <w:sz w:val="24"/>
                <w:szCs w:val="24"/>
              </w:rPr>
            </w:pPr>
            <w:r>
              <w:rPr>
                <w:rFonts w:hint="eastAsia"/>
                <w:sz w:val="24"/>
                <w:szCs w:val="24"/>
              </w:rPr>
              <w:t>7</w:t>
            </w:r>
          </w:p>
        </w:tc>
        <w:tc>
          <w:tcPr>
            <w:tcW w:w="2130" w:type="dxa"/>
            <w:vAlign w:val="center"/>
          </w:tcPr>
          <w:p w14:paraId="23241139">
            <w:pPr>
              <w:jc w:val="center"/>
              <w:rPr>
                <w:sz w:val="24"/>
                <w:szCs w:val="24"/>
              </w:rPr>
            </w:pPr>
            <w:r>
              <w:rPr>
                <w:rFonts w:hint="eastAsia"/>
                <w:sz w:val="24"/>
                <w:szCs w:val="24"/>
              </w:rPr>
              <w:t>8.8</w:t>
            </w:r>
          </w:p>
        </w:tc>
        <w:tc>
          <w:tcPr>
            <w:tcW w:w="2131" w:type="dxa"/>
            <w:vAlign w:val="center"/>
          </w:tcPr>
          <w:p w14:paraId="3A847090">
            <w:pPr>
              <w:jc w:val="center"/>
              <w:rPr>
                <w:sz w:val="24"/>
                <w:szCs w:val="24"/>
              </w:rPr>
            </w:pPr>
            <w:r>
              <w:rPr>
                <w:sz w:val="24"/>
                <w:szCs w:val="24"/>
              </w:rPr>
              <w:t>-</w:t>
            </w:r>
            <w:r>
              <w:rPr>
                <w:rFonts w:hint="eastAsia"/>
                <w:sz w:val="24"/>
                <w:szCs w:val="24"/>
              </w:rPr>
              <w:t>1.8</w:t>
            </w:r>
          </w:p>
        </w:tc>
      </w:tr>
      <w:tr w14:paraId="17E72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3D680635">
            <w:pPr>
              <w:jc w:val="center"/>
              <w:rPr>
                <w:sz w:val="24"/>
                <w:szCs w:val="24"/>
              </w:rPr>
            </w:pPr>
            <w:r>
              <w:rPr>
                <w:rFonts w:hint="eastAsia"/>
                <w:sz w:val="24"/>
                <w:szCs w:val="24"/>
              </w:rPr>
              <w:t>公务接待费</w:t>
            </w:r>
          </w:p>
        </w:tc>
        <w:tc>
          <w:tcPr>
            <w:tcW w:w="2131" w:type="dxa"/>
            <w:vAlign w:val="center"/>
          </w:tcPr>
          <w:p w14:paraId="69518C04">
            <w:pPr>
              <w:jc w:val="center"/>
              <w:rPr>
                <w:sz w:val="24"/>
                <w:szCs w:val="24"/>
              </w:rPr>
            </w:pPr>
            <w:r>
              <w:rPr>
                <w:rFonts w:hint="eastAsia"/>
                <w:sz w:val="24"/>
                <w:szCs w:val="24"/>
              </w:rPr>
              <w:t>1.1</w:t>
            </w:r>
          </w:p>
        </w:tc>
        <w:tc>
          <w:tcPr>
            <w:tcW w:w="2130" w:type="dxa"/>
            <w:vAlign w:val="center"/>
          </w:tcPr>
          <w:p w14:paraId="43A73D2D">
            <w:pPr>
              <w:jc w:val="center"/>
              <w:rPr>
                <w:sz w:val="24"/>
                <w:szCs w:val="24"/>
              </w:rPr>
            </w:pPr>
            <w:r>
              <w:rPr>
                <w:rFonts w:hint="eastAsia"/>
                <w:sz w:val="24"/>
                <w:szCs w:val="24"/>
              </w:rPr>
              <w:t>1.52</w:t>
            </w:r>
          </w:p>
        </w:tc>
        <w:tc>
          <w:tcPr>
            <w:tcW w:w="2131" w:type="dxa"/>
            <w:vAlign w:val="center"/>
          </w:tcPr>
          <w:p w14:paraId="16971EBB">
            <w:pPr>
              <w:jc w:val="center"/>
              <w:rPr>
                <w:sz w:val="24"/>
                <w:szCs w:val="24"/>
              </w:rPr>
            </w:pPr>
            <w:r>
              <w:rPr>
                <w:rFonts w:hint="eastAsia"/>
                <w:sz w:val="24"/>
                <w:szCs w:val="24"/>
              </w:rPr>
              <w:t>-0.42</w:t>
            </w:r>
          </w:p>
        </w:tc>
      </w:tr>
      <w:tr w14:paraId="1097F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4A90300">
            <w:pPr>
              <w:jc w:val="center"/>
              <w:rPr>
                <w:sz w:val="24"/>
                <w:szCs w:val="24"/>
              </w:rPr>
            </w:pPr>
            <w:r>
              <w:rPr>
                <w:rFonts w:hint="eastAsia"/>
                <w:sz w:val="24"/>
                <w:szCs w:val="24"/>
              </w:rPr>
              <w:t>合计</w:t>
            </w:r>
          </w:p>
        </w:tc>
        <w:tc>
          <w:tcPr>
            <w:tcW w:w="2131" w:type="dxa"/>
            <w:vAlign w:val="center"/>
          </w:tcPr>
          <w:p w14:paraId="3416DFBB">
            <w:pPr>
              <w:jc w:val="center"/>
              <w:rPr>
                <w:sz w:val="24"/>
                <w:szCs w:val="24"/>
              </w:rPr>
            </w:pPr>
            <w:r>
              <w:rPr>
                <w:rFonts w:hint="eastAsia"/>
                <w:sz w:val="24"/>
                <w:szCs w:val="24"/>
              </w:rPr>
              <w:t>8.1</w:t>
            </w:r>
          </w:p>
        </w:tc>
        <w:tc>
          <w:tcPr>
            <w:tcW w:w="2130" w:type="dxa"/>
            <w:vAlign w:val="center"/>
          </w:tcPr>
          <w:p w14:paraId="027ACCC0">
            <w:pPr>
              <w:jc w:val="center"/>
              <w:rPr>
                <w:sz w:val="24"/>
                <w:szCs w:val="24"/>
              </w:rPr>
            </w:pPr>
            <w:r>
              <w:rPr>
                <w:rFonts w:hint="eastAsia"/>
                <w:sz w:val="24"/>
                <w:szCs w:val="24"/>
              </w:rPr>
              <w:t>10.32</w:t>
            </w:r>
          </w:p>
        </w:tc>
        <w:tc>
          <w:tcPr>
            <w:tcW w:w="2131" w:type="dxa"/>
            <w:vAlign w:val="center"/>
          </w:tcPr>
          <w:p w14:paraId="7A353D14">
            <w:pPr>
              <w:jc w:val="center"/>
              <w:rPr>
                <w:sz w:val="24"/>
                <w:szCs w:val="24"/>
              </w:rPr>
            </w:pPr>
            <w:r>
              <w:rPr>
                <w:rFonts w:hint="eastAsia"/>
                <w:sz w:val="24"/>
                <w:szCs w:val="24"/>
              </w:rPr>
              <w:t>2.22</w:t>
            </w:r>
          </w:p>
        </w:tc>
      </w:tr>
    </w:tbl>
    <w:p w14:paraId="0F9D9D74">
      <w:pPr>
        <w:numPr>
          <w:ilvl w:val="0"/>
          <w:numId w:val="1"/>
        </w:numPr>
        <w:ind w:firstLine="643" w:firstLineChars="200"/>
        <w:rPr>
          <w:rFonts w:asciiTheme="minorEastAsia" w:hAnsiTheme="minorEastAsia"/>
          <w:sz w:val="32"/>
          <w:szCs w:val="32"/>
        </w:rPr>
      </w:pPr>
      <w:r>
        <w:rPr>
          <w:rFonts w:hint="eastAsia" w:asciiTheme="minorEastAsia" w:hAnsiTheme="minorEastAsia"/>
          <w:b/>
          <w:sz w:val="32"/>
          <w:szCs w:val="32"/>
        </w:rPr>
        <w:t>因公出国（ 境）支出0万元。</w:t>
      </w:r>
      <w:r>
        <w:rPr>
          <w:rFonts w:hint="eastAsia" w:asciiTheme="minorEastAsia" w:hAnsiTheme="minorEastAsia"/>
          <w:sz w:val="28"/>
          <w:szCs w:val="28"/>
        </w:rPr>
        <w:t xml:space="preserve"> </w:t>
      </w:r>
      <w:r>
        <w:rPr>
          <w:rFonts w:hint="eastAsia" w:asciiTheme="minorEastAsia" w:hAnsiTheme="minorEastAsia"/>
          <w:sz w:val="32"/>
          <w:szCs w:val="32"/>
        </w:rPr>
        <w:t>本年度我镇因公出国（境）团组数0个，参加其他单位组织的因公出国（境）团组0个，因公出国（境）人数0人。</w:t>
      </w:r>
    </w:p>
    <w:p w14:paraId="6B6C25FE">
      <w:pPr>
        <w:ind w:firstLine="643" w:firstLineChars="200"/>
        <w:rPr>
          <w:rFonts w:asciiTheme="minorEastAsia" w:hAnsiTheme="minorEastAsia"/>
          <w:sz w:val="32"/>
          <w:szCs w:val="32"/>
        </w:rPr>
      </w:pPr>
      <w:r>
        <w:rPr>
          <w:rFonts w:hint="eastAsia" w:asciiTheme="minorEastAsia" w:hAnsiTheme="minorEastAsia"/>
          <w:b/>
          <w:sz w:val="32"/>
          <w:szCs w:val="32"/>
        </w:rPr>
        <w:t>（二）公务用车运行维护费支出7万元。</w:t>
      </w:r>
      <w:r>
        <w:rPr>
          <w:rFonts w:hint="eastAsia"/>
        </w:rPr>
        <w:t xml:space="preserve"> </w:t>
      </w:r>
      <w:r>
        <w:rPr>
          <w:rFonts w:hint="eastAsia" w:asciiTheme="minorEastAsia" w:hAnsiTheme="minorEastAsia"/>
          <w:sz w:val="32"/>
          <w:szCs w:val="32"/>
        </w:rPr>
        <w:t>本年度我镇公务用车保有量2辆。与2016年度相比，公务用车运行维护费减少7.5</w:t>
      </w:r>
      <w:r>
        <w:rPr>
          <w:rFonts w:hint="eastAsia" w:asciiTheme="minorEastAsia" w:hAnsiTheme="minorEastAsia"/>
          <w:sz w:val="32"/>
          <w:szCs w:val="32"/>
          <w:lang w:val="en-US" w:eastAsia="zh-CN"/>
        </w:rPr>
        <w:t>4</w:t>
      </w:r>
      <w:r>
        <w:rPr>
          <w:rFonts w:hint="eastAsia" w:asciiTheme="minorEastAsia" w:hAnsiTheme="minorEastAsia"/>
          <w:sz w:val="32"/>
          <w:szCs w:val="32"/>
        </w:rPr>
        <w:t>万元，减少51.8</w:t>
      </w:r>
      <w:r>
        <w:rPr>
          <w:rFonts w:hint="eastAsia" w:asciiTheme="minorEastAsia" w:hAnsiTheme="minorEastAsia"/>
          <w:sz w:val="32"/>
          <w:szCs w:val="32"/>
          <w:lang w:val="en-US" w:eastAsia="zh-CN"/>
        </w:rPr>
        <w:t>6</w:t>
      </w:r>
      <w:r>
        <w:rPr>
          <w:rFonts w:hint="eastAsia" w:asciiTheme="minorEastAsia" w:hAnsiTheme="minorEastAsia"/>
          <w:sz w:val="32"/>
          <w:szCs w:val="32"/>
        </w:rPr>
        <w:t>%；与年初预算相比， 减少1.8万元，减少20.45%。主要原因：加强公务用车管理，切实压缩公务用车费用支出； 我镇2017年度没有购置公务用车，未发生公务用车购置费，较年初预算和2016年决算无增减变化。</w:t>
      </w:r>
    </w:p>
    <w:p w14:paraId="01EDA17E">
      <w:pPr>
        <w:ind w:firstLine="643" w:firstLineChars="200"/>
        <w:rPr>
          <w:rFonts w:asciiTheme="minorEastAsia" w:hAnsiTheme="minorEastAsia"/>
          <w:sz w:val="32"/>
          <w:szCs w:val="32"/>
        </w:rPr>
      </w:pPr>
      <w:r>
        <w:rPr>
          <w:rFonts w:hint="eastAsia" w:asciiTheme="minorEastAsia" w:hAnsiTheme="minorEastAsia"/>
          <w:b/>
          <w:sz w:val="32"/>
          <w:szCs w:val="32"/>
        </w:rPr>
        <w:t>（三）公务接待费支出1.1万元。</w:t>
      </w:r>
      <w:r>
        <w:rPr>
          <w:rFonts w:hint="eastAsia" w:asciiTheme="minorEastAsia" w:hAnsiTheme="minorEastAsia"/>
          <w:sz w:val="32"/>
          <w:szCs w:val="32"/>
        </w:rPr>
        <w:t>较2016年决算减少2.6万元，减少70.</w:t>
      </w:r>
      <w:r>
        <w:rPr>
          <w:rFonts w:hint="eastAsia" w:asciiTheme="minorEastAsia" w:hAnsiTheme="minorEastAsia"/>
          <w:sz w:val="32"/>
          <w:szCs w:val="32"/>
          <w:lang w:val="en-US" w:eastAsia="zh-CN"/>
        </w:rPr>
        <w:t>27</w:t>
      </w:r>
      <w:r>
        <w:rPr>
          <w:rFonts w:hint="eastAsia" w:asciiTheme="minorEastAsia" w:hAnsiTheme="minorEastAsia"/>
          <w:sz w:val="32"/>
          <w:szCs w:val="32"/>
        </w:rPr>
        <w:t>%；较年初预算减少0.42万元，减少27.63%。公务接待费下降的原因主要是， 从严落实公务接待有关规定，进一步压缩公务接待费用支出。</w:t>
      </w:r>
    </w:p>
    <w:p w14:paraId="66EB1189">
      <w:pPr>
        <w:rPr>
          <w:b/>
          <w:sz w:val="36"/>
          <w:szCs w:val="36"/>
        </w:rPr>
      </w:pPr>
      <w:r>
        <w:rPr>
          <w:rFonts w:hint="eastAsia"/>
          <w:b/>
          <w:sz w:val="36"/>
          <w:szCs w:val="36"/>
        </w:rPr>
        <w:t>六、 绩效预算管理工作开展情况说明</w:t>
      </w:r>
    </w:p>
    <w:p w14:paraId="2E74D1FF">
      <w:pPr>
        <w:ind w:firstLine="640" w:firstLineChars="200"/>
        <w:rPr>
          <w:rFonts w:hint="eastAsia" w:asciiTheme="minorEastAsia" w:hAnsiTheme="minorEastAsia"/>
          <w:sz w:val="32"/>
          <w:szCs w:val="32"/>
        </w:rPr>
      </w:pPr>
      <w:r>
        <w:rPr>
          <w:rFonts w:hint="eastAsia" w:asciiTheme="minorEastAsia" w:hAnsiTheme="minor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优秀。</w:t>
      </w:r>
    </w:p>
    <w:p w14:paraId="2AA7ACD4">
      <w:pPr>
        <w:ind w:firstLine="640" w:firstLineChars="200"/>
        <w:rPr>
          <w:rFonts w:hint="eastAsia" w:asciiTheme="minorEastAsia" w:hAnsiTheme="minorEastAsia"/>
          <w:sz w:val="32"/>
          <w:szCs w:val="32"/>
          <w:lang w:val="en-US" w:eastAsia="zh-CN"/>
        </w:rPr>
      </w:pPr>
      <w:r>
        <w:rPr>
          <w:rFonts w:hint="eastAsia" w:asciiTheme="minorEastAsia" w:hAnsiTheme="minorEastAsia"/>
          <w:sz w:val="32"/>
          <w:szCs w:val="32"/>
        </w:rPr>
        <w:t>（二）预算项目绩效评价开展情况根据预算绩效管理要求，本单位组织对2017年度一般公共预算项目支出全面开展绩效自评，</w:t>
      </w:r>
      <w:r>
        <w:rPr>
          <w:rFonts w:hint="eastAsia" w:asciiTheme="minorEastAsia" w:hAnsiTheme="minorEastAsia"/>
          <w:sz w:val="32"/>
          <w:szCs w:val="32"/>
          <w:lang w:val="en-US" w:eastAsia="zh-CN"/>
        </w:rPr>
        <w:t>本单位无预算项目支出。</w:t>
      </w:r>
    </w:p>
    <w:p w14:paraId="7634D699">
      <w:pPr>
        <w:ind w:firstLine="640" w:firstLineChars="200"/>
        <w:rPr>
          <w:rFonts w:hint="eastAsia" w:asciiTheme="minorEastAsia" w:hAnsiTheme="minorEastAsia"/>
          <w:sz w:val="32"/>
          <w:szCs w:val="32"/>
        </w:rPr>
      </w:pPr>
      <w:r>
        <w:rPr>
          <w:rFonts w:hint="eastAsia" w:asciiTheme="minorEastAsia" w:hAnsiTheme="minorEastAsia"/>
          <w:sz w:val="32"/>
          <w:szCs w:val="32"/>
        </w:rPr>
        <w:t>（三）本单位无民生项目和重点支出项目。</w:t>
      </w:r>
    </w:p>
    <w:p w14:paraId="4D723A1E">
      <w:pPr>
        <w:ind w:firstLine="640" w:firstLineChars="200"/>
        <w:rPr>
          <w:rFonts w:asciiTheme="minorEastAsia" w:hAnsiTheme="minorEastAsia"/>
          <w:sz w:val="32"/>
          <w:szCs w:val="32"/>
        </w:rPr>
      </w:pPr>
    </w:p>
    <w:p w14:paraId="77E3FCBD">
      <w:pPr>
        <w:rPr>
          <w:b/>
          <w:sz w:val="36"/>
          <w:szCs w:val="36"/>
        </w:rPr>
      </w:pPr>
      <w:r>
        <w:rPr>
          <w:rFonts w:hint="eastAsia"/>
          <w:b/>
          <w:sz w:val="36"/>
          <w:szCs w:val="36"/>
        </w:rPr>
        <w:t>七、 其他重要事项的说明</w:t>
      </w:r>
    </w:p>
    <w:p w14:paraId="7163D3F8">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4EEF59D6">
      <w:pPr>
        <w:ind w:firstLine="640" w:firstLineChars="200"/>
        <w:rPr>
          <w:rFonts w:asciiTheme="minorEastAsia" w:hAnsiTheme="minorEastAsia"/>
          <w:sz w:val="32"/>
          <w:szCs w:val="32"/>
        </w:rPr>
      </w:pPr>
      <w:r>
        <w:rPr>
          <w:rFonts w:hint="eastAsia" w:asciiTheme="minorEastAsia" w:hAnsiTheme="minorEastAsia"/>
          <w:sz w:val="32"/>
          <w:szCs w:val="32"/>
        </w:rPr>
        <w:t>2017年本部门机关运行经费711.68万元，比2016年度增加100.45万元，增加14.11%。主要原因是，2017年度煤改气工作及拆除违法占地等重点工作任务重，工作量大及教师工资上调。</w:t>
      </w:r>
    </w:p>
    <w:p w14:paraId="283C335C">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5942B87F">
      <w:pPr>
        <w:ind w:firstLine="640" w:firstLineChars="200"/>
        <w:rPr>
          <w:rFonts w:asciiTheme="minorEastAsia" w:hAnsiTheme="minorEastAsia"/>
          <w:sz w:val="32"/>
          <w:szCs w:val="32"/>
        </w:rPr>
      </w:pPr>
      <w:r>
        <w:rPr>
          <w:rFonts w:hint="eastAsia" w:asciiTheme="minorEastAsia" w:hAnsiTheme="minorEastAsia"/>
          <w:sz w:val="32"/>
          <w:szCs w:val="32"/>
        </w:rPr>
        <w:t>2017年本部门无政府采购。</w:t>
      </w:r>
    </w:p>
    <w:p w14:paraId="6656204C">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59ED79B3">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 2 辆，其中，应急通信车2辆；无大型设备。</w:t>
      </w:r>
    </w:p>
    <w:p w14:paraId="228B897A">
      <w:pPr>
        <w:spacing w:before="312" w:beforeLines="100" w:after="312"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0B6A6464">
      <w:pPr>
        <w:rPr>
          <w:b/>
          <w:sz w:val="36"/>
          <w:szCs w:val="36"/>
        </w:rPr>
      </w:pPr>
      <w:r>
        <w:rPr>
          <w:rFonts w:hint="eastAsia"/>
          <w:b/>
          <w:sz w:val="36"/>
          <w:szCs w:val="36"/>
        </w:rPr>
        <w:t>一、 财政拨款收入</w:t>
      </w:r>
    </w:p>
    <w:p w14:paraId="5CDD68CB">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1095F51E">
      <w:pPr>
        <w:rPr>
          <w:b/>
          <w:sz w:val="36"/>
          <w:szCs w:val="36"/>
        </w:rPr>
      </w:pPr>
      <w:r>
        <w:rPr>
          <w:rFonts w:hint="eastAsia"/>
          <w:b/>
          <w:sz w:val="36"/>
          <w:szCs w:val="36"/>
        </w:rPr>
        <w:t>二、 事业收入</w:t>
      </w:r>
    </w:p>
    <w:p w14:paraId="087BCA21">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65127AE1">
      <w:pPr>
        <w:rPr>
          <w:b/>
          <w:sz w:val="36"/>
          <w:szCs w:val="36"/>
        </w:rPr>
      </w:pPr>
      <w:r>
        <w:rPr>
          <w:rFonts w:hint="eastAsia"/>
          <w:b/>
          <w:sz w:val="36"/>
          <w:szCs w:val="36"/>
        </w:rPr>
        <w:t>三、 其他收入</w:t>
      </w:r>
    </w:p>
    <w:p w14:paraId="72400247">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513A5673">
      <w:pPr>
        <w:rPr>
          <w:b/>
          <w:sz w:val="36"/>
          <w:szCs w:val="36"/>
        </w:rPr>
      </w:pPr>
      <w:r>
        <w:rPr>
          <w:rFonts w:hint="eastAsia"/>
          <w:b/>
          <w:sz w:val="36"/>
          <w:szCs w:val="36"/>
        </w:rPr>
        <w:t>四、 用事业基金弥补收支差额</w:t>
      </w:r>
    </w:p>
    <w:p w14:paraId="53B13AA5">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0DF0AE94">
      <w:pPr>
        <w:rPr>
          <w:b/>
          <w:sz w:val="36"/>
          <w:szCs w:val="36"/>
        </w:rPr>
      </w:pPr>
      <w:r>
        <w:rPr>
          <w:rFonts w:hint="eastAsia"/>
          <w:b/>
          <w:sz w:val="36"/>
          <w:szCs w:val="36"/>
        </w:rPr>
        <w:t>五、 年初结转和结余</w:t>
      </w:r>
    </w:p>
    <w:p w14:paraId="7489D373">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4E1DE718">
      <w:pPr>
        <w:rPr>
          <w:b/>
          <w:sz w:val="36"/>
          <w:szCs w:val="36"/>
        </w:rPr>
      </w:pPr>
      <w:r>
        <w:rPr>
          <w:rFonts w:hint="eastAsia"/>
          <w:b/>
          <w:sz w:val="36"/>
          <w:szCs w:val="36"/>
        </w:rPr>
        <w:t>六、 结余分配</w:t>
      </w:r>
    </w:p>
    <w:p w14:paraId="3442346C">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40370DAB">
      <w:pPr>
        <w:rPr>
          <w:b/>
          <w:sz w:val="36"/>
          <w:szCs w:val="36"/>
        </w:rPr>
      </w:pPr>
      <w:r>
        <w:rPr>
          <w:rFonts w:hint="eastAsia"/>
          <w:b/>
          <w:sz w:val="36"/>
          <w:szCs w:val="36"/>
        </w:rPr>
        <w:t>七、 年末结转和结余</w:t>
      </w:r>
    </w:p>
    <w:p w14:paraId="3103EE4D">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26EF134F">
      <w:pPr>
        <w:rPr>
          <w:b/>
          <w:sz w:val="36"/>
          <w:szCs w:val="36"/>
        </w:rPr>
      </w:pPr>
      <w:r>
        <w:rPr>
          <w:rFonts w:hint="eastAsia"/>
          <w:b/>
          <w:sz w:val="36"/>
          <w:szCs w:val="36"/>
        </w:rPr>
        <w:t>八、 基本支出</w:t>
      </w:r>
    </w:p>
    <w:p w14:paraId="4D049538">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4E70D57B">
      <w:pPr>
        <w:rPr>
          <w:b/>
          <w:sz w:val="36"/>
          <w:szCs w:val="36"/>
        </w:rPr>
      </w:pPr>
      <w:r>
        <w:rPr>
          <w:rFonts w:hint="eastAsia"/>
          <w:b/>
          <w:sz w:val="36"/>
          <w:szCs w:val="36"/>
        </w:rPr>
        <w:t>九、 项目支出</w:t>
      </w:r>
    </w:p>
    <w:p w14:paraId="4A027477">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324643CD">
      <w:pPr>
        <w:rPr>
          <w:b/>
          <w:sz w:val="36"/>
          <w:szCs w:val="36"/>
        </w:rPr>
      </w:pPr>
      <w:r>
        <w:rPr>
          <w:rFonts w:hint="eastAsia"/>
          <w:b/>
          <w:sz w:val="36"/>
          <w:szCs w:val="36"/>
        </w:rPr>
        <w:t>十、 基本建设支出</w:t>
      </w:r>
    </w:p>
    <w:p w14:paraId="78363E0F">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5FE6EEE">
      <w:pPr>
        <w:rPr>
          <w:b/>
          <w:sz w:val="36"/>
          <w:szCs w:val="36"/>
        </w:rPr>
      </w:pPr>
      <w:r>
        <w:rPr>
          <w:rFonts w:hint="eastAsia"/>
          <w:b/>
          <w:sz w:val="36"/>
          <w:szCs w:val="36"/>
        </w:rPr>
        <w:t>十一、 其他资本性支出</w:t>
      </w:r>
    </w:p>
    <w:p w14:paraId="79914F20">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7ABAC221">
      <w:pPr>
        <w:rPr>
          <w:b/>
          <w:sz w:val="36"/>
          <w:szCs w:val="36"/>
        </w:rPr>
      </w:pPr>
      <w:r>
        <w:rPr>
          <w:rFonts w:hint="eastAsia"/>
          <w:b/>
          <w:sz w:val="36"/>
          <w:szCs w:val="36"/>
        </w:rPr>
        <w:t>十二、 “ 三公” 经费</w:t>
      </w:r>
    </w:p>
    <w:p w14:paraId="0C5F996C">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0ECF3FDD">
      <w:pPr>
        <w:rPr>
          <w:b/>
          <w:sz w:val="36"/>
          <w:szCs w:val="36"/>
        </w:rPr>
      </w:pPr>
      <w:r>
        <w:rPr>
          <w:rFonts w:hint="eastAsia"/>
          <w:b/>
          <w:sz w:val="36"/>
          <w:szCs w:val="36"/>
        </w:rPr>
        <w:t>十三、 其他交通费用</w:t>
      </w:r>
    </w:p>
    <w:p w14:paraId="06B1737A">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522508BA">
      <w:pPr>
        <w:rPr>
          <w:b/>
          <w:sz w:val="36"/>
          <w:szCs w:val="36"/>
        </w:rPr>
      </w:pPr>
      <w:r>
        <w:rPr>
          <w:rFonts w:hint="eastAsia"/>
          <w:b/>
          <w:sz w:val="36"/>
          <w:szCs w:val="36"/>
        </w:rPr>
        <w:t>十四、 公务用车购置</w:t>
      </w:r>
    </w:p>
    <w:p w14:paraId="6D63C7D9">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7C1A12F9">
      <w:pPr>
        <w:rPr>
          <w:b/>
          <w:sz w:val="36"/>
          <w:szCs w:val="36"/>
        </w:rPr>
      </w:pPr>
      <w:r>
        <w:rPr>
          <w:rFonts w:hint="eastAsia"/>
          <w:b/>
          <w:sz w:val="36"/>
          <w:szCs w:val="36"/>
        </w:rPr>
        <w:t>十五、 其他交通工具购置</w:t>
      </w:r>
    </w:p>
    <w:p w14:paraId="2CD71E2F">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7A3B6701">
      <w:pPr>
        <w:rPr>
          <w:b/>
          <w:sz w:val="36"/>
          <w:szCs w:val="36"/>
        </w:rPr>
      </w:pPr>
      <w:r>
        <w:rPr>
          <w:rFonts w:hint="eastAsia"/>
          <w:b/>
          <w:sz w:val="36"/>
          <w:szCs w:val="36"/>
        </w:rPr>
        <w:t>十六、 机关运行经费</w:t>
      </w:r>
    </w:p>
    <w:p w14:paraId="34F7A474">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4AD2C63">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B2EDAB"/>
    <w:multiLevelType w:val="singleLevel"/>
    <w:tmpl w:val="3CB2EDA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9221F"/>
    <w:rsid w:val="003015AB"/>
    <w:rsid w:val="00304F9E"/>
    <w:rsid w:val="00364DD5"/>
    <w:rsid w:val="00396F4E"/>
    <w:rsid w:val="005651CC"/>
    <w:rsid w:val="005B640A"/>
    <w:rsid w:val="0068548C"/>
    <w:rsid w:val="006C478B"/>
    <w:rsid w:val="00703F70"/>
    <w:rsid w:val="0073228C"/>
    <w:rsid w:val="007366E2"/>
    <w:rsid w:val="00740959"/>
    <w:rsid w:val="007D25CA"/>
    <w:rsid w:val="00966E2C"/>
    <w:rsid w:val="00A711B9"/>
    <w:rsid w:val="00A72965"/>
    <w:rsid w:val="00AA30B9"/>
    <w:rsid w:val="00B75291"/>
    <w:rsid w:val="00C15A1F"/>
    <w:rsid w:val="00C625F1"/>
    <w:rsid w:val="00EA73A9"/>
    <w:rsid w:val="00ED6BE4"/>
    <w:rsid w:val="00F435DB"/>
    <w:rsid w:val="00FD214C"/>
    <w:rsid w:val="00FE5519"/>
    <w:rsid w:val="04BA00C3"/>
    <w:rsid w:val="0E1F2BD2"/>
    <w:rsid w:val="1A242891"/>
    <w:rsid w:val="1FAB13BA"/>
    <w:rsid w:val="23BC36E6"/>
    <w:rsid w:val="2577768B"/>
    <w:rsid w:val="2F2F496C"/>
    <w:rsid w:val="3CBF6F3C"/>
    <w:rsid w:val="4D1F7159"/>
    <w:rsid w:val="4F3B20C5"/>
    <w:rsid w:val="587348BA"/>
    <w:rsid w:val="5E7D216C"/>
    <w:rsid w:val="66D36F5D"/>
    <w:rsid w:val="6E4E4B08"/>
    <w:rsid w:val="7A342F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3"/>
    <w:semiHidden/>
    <w:unhideWhenUsed/>
    <w:qFormat/>
    <w:uiPriority w:val="99"/>
    <w:rPr>
      <w:sz w:val="18"/>
      <w:szCs w:val="18"/>
    </w:rPr>
  </w:style>
  <w:style w:type="paragraph" w:styleId="7">
    <w:name w:val="footer"/>
    <w:basedOn w:val="1"/>
    <w:link w:val="15"/>
    <w:semiHidden/>
    <w:unhideWhenUsed/>
    <w:qFormat/>
    <w:uiPriority w:val="99"/>
    <w:pPr>
      <w:tabs>
        <w:tab w:val="center" w:pos="4153"/>
        <w:tab w:val="right" w:pos="8306"/>
      </w:tabs>
      <w:snapToGrid w:val="0"/>
      <w:jc w:val="left"/>
    </w:pPr>
    <w:rPr>
      <w:sz w:val="18"/>
      <w:szCs w:val="18"/>
    </w:rPr>
  </w:style>
  <w:style w:type="paragraph" w:styleId="8">
    <w:name w:val="header"/>
    <w:basedOn w:val="1"/>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0"/>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10">
    <w:name w:val="Title"/>
    <w:basedOn w:val="1"/>
    <w:next w:val="1"/>
    <w:link w:val="18"/>
    <w:qFormat/>
    <w:uiPriority w:val="10"/>
    <w:pPr>
      <w:spacing w:before="240" w:after="60"/>
      <w:jc w:val="center"/>
      <w:outlineLvl w:val="0"/>
    </w:pPr>
    <w:rPr>
      <w:rFonts w:eastAsia="宋体" w:asciiTheme="majorHAnsi" w:hAnsiTheme="majorHAnsi" w:cstheme="majorBidi"/>
      <w:b/>
      <w:bCs/>
      <w:sz w:val="32"/>
      <w:szCs w:val="32"/>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4">
    <w:name w:val="页眉 Char"/>
    <w:basedOn w:val="13"/>
    <w:link w:val="8"/>
    <w:semiHidden/>
    <w:qFormat/>
    <w:uiPriority w:val="99"/>
    <w:rPr>
      <w:sz w:val="18"/>
      <w:szCs w:val="18"/>
    </w:rPr>
  </w:style>
  <w:style w:type="character" w:customStyle="1" w:styleId="15">
    <w:name w:val="页脚 Char"/>
    <w:basedOn w:val="13"/>
    <w:link w:val="7"/>
    <w:semiHidden/>
    <w:qFormat/>
    <w:uiPriority w:val="99"/>
    <w:rPr>
      <w:sz w:val="18"/>
      <w:szCs w:val="18"/>
    </w:rPr>
  </w:style>
  <w:style w:type="character" w:customStyle="1" w:styleId="16">
    <w:name w:val="标题 1 Char"/>
    <w:basedOn w:val="13"/>
    <w:link w:val="2"/>
    <w:qFormat/>
    <w:uiPriority w:val="9"/>
    <w:rPr>
      <w:b/>
      <w:bCs/>
      <w:kern w:val="44"/>
      <w:sz w:val="44"/>
      <w:szCs w:val="44"/>
    </w:rPr>
  </w:style>
  <w:style w:type="character" w:customStyle="1" w:styleId="17">
    <w:name w:val="标题 2 Char"/>
    <w:basedOn w:val="13"/>
    <w:link w:val="3"/>
    <w:qFormat/>
    <w:uiPriority w:val="9"/>
    <w:rPr>
      <w:rFonts w:asciiTheme="majorHAnsi" w:hAnsiTheme="majorHAnsi" w:eastAsiaTheme="majorEastAsia" w:cstheme="majorBidi"/>
      <w:b/>
      <w:bCs/>
      <w:sz w:val="32"/>
      <w:szCs w:val="32"/>
    </w:rPr>
  </w:style>
  <w:style w:type="character" w:customStyle="1" w:styleId="18">
    <w:name w:val="标题 Char"/>
    <w:basedOn w:val="13"/>
    <w:link w:val="10"/>
    <w:qFormat/>
    <w:uiPriority w:val="10"/>
    <w:rPr>
      <w:rFonts w:eastAsia="宋体" w:asciiTheme="majorHAnsi" w:hAnsiTheme="majorHAnsi" w:cstheme="majorBidi"/>
      <w:b/>
      <w:bCs/>
      <w:sz w:val="32"/>
      <w:szCs w:val="32"/>
    </w:rPr>
  </w:style>
  <w:style w:type="character" w:customStyle="1" w:styleId="19">
    <w:name w:val="标题 3 Char"/>
    <w:basedOn w:val="13"/>
    <w:link w:val="4"/>
    <w:qFormat/>
    <w:uiPriority w:val="9"/>
    <w:rPr>
      <w:b/>
      <w:bCs/>
      <w:sz w:val="32"/>
      <w:szCs w:val="32"/>
    </w:rPr>
  </w:style>
  <w:style w:type="character" w:customStyle="1" w:styleId="20">
    <w:name w:val="副标题 Char"/>
    <w:basedOn w:val="13"/>
    <w:link w:val="9"/>
    <w:qFormat/>
    <w:uiPriority w:val="11"/>
    <w:rPr>
      <w:rFonts w:eastAsia="宋体" w:asciiTheme="majorHAnsi" w:hAnsiTheme="majorHAnsi" w:cstheme="majorBidi"/>
      <w:b/>
      <w:bCs/>
      <w:kern w:val="28"/>
      <w:sz w:val="32"/>
      <w:szCs w:val="32"/>
    </w:rPr>
  </w:style>
  <w:style w:type="character" w:customStyle="1" w:styleId="21">
    <w:name w:val="标题 4 Char"/>
    <w:basedOn w:val="13"/>
    <w:link w:val="5"/>
    <w:qFormat/>
    <w:uiPriority w:val="9"/>
    <w:rPr>
      <w:rFonts w:asciiTheme="majorHAnsi" w:hAnsiTheme="majorHAnsi" w:eastAsiaTheme="majorEastAsia" w:cstheme="majorBidi"/>
      <w:b/>
      <w:bCs/>
      <w:sz w:val="28"/>
      <w:szCs w:val="28"/>
    </w:rPr>
  </w:style>
  <w:style w:type="paragraph" w:styleId="22">
    <w:name w:val="List Paragraph"/>
    <w:basedOn w:val="1"/>
    <w:qFormat/>
    <w:uiPriority w:val="34"/>
    <w:pPr>
      <w:ind w:firstLine="420" w:firstLineChars="200"/>
    </w:pPr>
  </w:style>
  <w:style w:type="character" w:customStyle="1" w:styleId="23">
    <w:name w:val="批注框文本 Char"/>
    <w:basedOn w:val="13"/>
    <w:link w:val="6"/>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决算收入</c:v>
                </c:pt>
              </c:strCache>
            </c:strRef>
          </c:tx>
          <c:explosion val="0"/>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财政拨款收入</c:v>
                </c:pt>
              </c:strCache>
            </c:strRef>
          </c:cat>
          <c:val>
            <c:numRef>
              <c:f>Sheet1!$B$2</c:f>
              <c:numCache>
                <c:formatCode>General</c:formatCode>
                <c:ptCount val="1"/>
                <c:pt idx="0">
                  <c:v>4577.8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决算支出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4577.8</c:v>
                </c:pt>
                <c:pt idx="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597B1EF-1120-434E-B805-653DF8737DAE}">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15</Pages>
  <Words>4351</Words>
  <Characters>4800</Characters>
  <Lines>36</Lines>
  <Paragraphs>10</Paragraphs>
  <TotalTime>12</TotalTime>
  <ScaleCrop>false</ScaleCrop>
  <LinksUpToDate>false</LinksUpToDate>
  <CharactersWithSpaces>5025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2024-09-21T07:07:54Z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D1948F02A9E84743AC8436838DF6A0B8_12</vt:lpwstr>
  </property>
</Properties>
</file>