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石家庄市藁城区总工会</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both"/>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9"/>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val="0"/>
        <w:autoSpaceDN w:val="0"/>
        <w:bidi w:val="0"/>
        <w:adjustRightInd/>
        <w:snapToGrid/>
        <w:spacing w:line="560" w:lineRule="atLeast"/>
        <w:ind w:firstLine="56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1、完善工会参与社会管理机制。</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val="0"/>
        <w:autoSpaceDN w:val="0"/>
        <w:bidi w:val="0"/>
        <w:adjustRightInd/>
        <w:snapToGrid/>
        <w:spacing w:line="560" w:lineRule="atLeast"/>
        <w:ind w:firstLine="56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确保职工合法权益的到有效保障，改善困难劳模生活困境，全力维护职工队伍和谐稳定，提升广大职工技术技能素质。</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val="0"/>
        <w:autoSpaceDN w:val="0"/>
        <w:bidi w:val="0"/>
        <w:adjustRightInd/>
        <w:snapToGrid/>
        <w:spacing w:line="560" w:lineRule="atLeas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2、维护职工合法权益。</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val="0"/>
        <w:autoSpaceDN w:val="0"/>
        <w:bidi w:val="0"/>
        <w:adjustRightInd/>
        <w:snapToGrid/>
        <w:spacing w:line="560" w:lineRule="atLeas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val="0"/>
        <w:autoSpaceDN w:val="0"/>
        <w:bidi w:val="0"/>
        <w:adjustRightInd/>
        <w:snapToGrid/>
        <w:spacing w:line="560" w:lineRule="atLeas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3、劳动模范管理。</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val="0"/>
        <w:autoSpaceDN w:val="0"/>
        <w:bidi w:val="0"/>
        <w:adjustRightInd/>
        <w:snapToGrid/>
        <w:spacing w:line="560" w:lineRule="atLeas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协助区政府做好省、市及全国劳模的推荐和管理工作。</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val="0"/>
        <w:autoSpaceDN w:val="0"/>
        <w:bidi w:val="0"/>
        <w:adjustRightInd/>
        <w:snapToGrid/>
        <w:spacing w:line="560" w:lineRule="atLeas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4、提高广大职工技术技能素质和文化生活。</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val="0"/>
        <w:autoSpaceDN w:val="0"/>
        <w:bidi w:val="0"/>
        <w:adjustRightInd/>
        <w:snapToGrid/>
        <w:spacing w:line="560" w:lineRule="atLeas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指导基层工会开展群众性经济技术创新活动以及劳动竞赛、岗位练兵、技能比赛和各类文体活动。</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val="0"/>
        <w:autoSpaceDN w:val="0"/>
        <w:bidi w:val="0"/>
        <w:adjustRightInd/>
        <w:snapToGrid/>
        <w:spacing w:line="560" w:lineRule="atLeas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5、综合工会事务管理。</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val="0"/>
        <w:autoSpaceDN w:val="0"/>
        <w:bidi w:val="0"/>
        <w:adjustRightInd/>
        <w:snapToGrid/>
        <w:spacing w:line="560" w:lineRule="atLeast"/>
        <w:ind w:firstLine="56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究指导全区工会自身改革和建设；负责工会干部管理制度和培训规划制定以及培训工作；承担区委、区政府及省、市总工会交办的其它事项，监督检查工会党员干部廉政建设情况；负责工会经费和工会资产的管理、审查、审计工作。</w:t>
      </w:r>
    </w:p>
    <w:p>
      <w:pPr>
        <w:numPr>
          <w:ilvl w:val="0"/>
          <w:numId w:val="0"/>
        </w:numPr>
        <w:rPr>
          <w:rFonts w:hint="eastAsia"/>
          <w:lang w:val="en-US" w:eastAsia="zh-CN"/>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270"/>
        <w:gridCol w:w="2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27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84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石家庄市藁城区总工会</w:t>
            </w:r>
          </w:p>
        </w:tc>
        <w:tc>
          <w:tcPr>
            <w:tcW w:w="2270"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参公管理事业</w:t>
            </w:r>
          </w:p>
        </w:tc>
        <w:tc>
          <w:tcPr>
            <w:tcW w:w="2840"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270" w:type="dxa"/>
          </w:tcPr>
          <w:p>
            <w:pPr>
              <w:spacing w:line="560" w:lineRule="exact"/>
              <w:jc w:val="center"/>
              <w:rPr>
                <w:rFonts w:ascii="仿宋_GB2312" w:hAnsi="Calibri" w:eastAsia="仿宋_GB2312" w:cs="ArialUnicodeMS"/>
                <w:kern w:val="0"/>
                <w:sz w:val="28"/>
                <w:szCs w:val="28"/>
              </w:rPr>
            </w:pPr>
          </w:p>
        </w:tc>
        <w:tc>
          <w:tcPr>
            <w:tcW w:w="2840"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270" w:type="dxa"/>
          </w:tcPr>
          <w:p>
            <w:pPr>
              <w:spacing w:line="560" w:lineRule="exact"/>
              <w:jc w:val="center"/>
              <w:rPr>
                <w:rFonts w:ascii="仿宋_GB2312" w:hAnsi="Calibri" w:eastAsia="仿宋_GB2312" w:cs="ArialUnicodeMS"/>
                <w:kern w:val="0"/>
                <w:sz w:val="28"/>
                <w:szCs w:val="28"/>
              </w:rPr>
            </w:pPr>
          </w:p>
        </w:tc>
        <w:tc>
          <w:tcPr>
            <w:tcW w:w="2840"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270"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840"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535.97</w:t>
      </w:r>
      <w:r>
        <w:rPr>
          <w:rFonts w:hint="eastAsia" w:ascii="仿宋_GB2312" w:hAnsi="Times New Roman" w:eastAsia="仿宋_GB2312" w:cs="DengXian-Regular"/>
          <w:sz w:val="32"/>
          <w:szCs w:val="32"/>
        </w:rPr>
        <w:t>万元。与2018年度决算相比，</w:t>
      </w:r>
      <w:r>
        <w:rPr>
          <w:rFonts w:hint="eastAsia" w:ascii="仿宋_GB2312" w:hAnsi="Times New Roman" w:eastAsia="仿宋_GB2312" w:cs="DengXian-Regular"/>
          <w:sz w:val="32"/>
          <w:szCs w:val="32"/>
          <w:lang w:val="en-US" w:eastAsia="zh-CN"/>
        </w:rPr>
        <w:t>收支增加101.73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18.98</w:t>
      </w:r>
      <w:r>
        <w:rPr>
          <w:rFonts w:hint="eastAsia" w:ascii="仿宋_GB2312" w:hAnsi="Times New Roman" w:eastAsia="仿宋_GB2312" w:cs="DengXian-Regular"/>
          <w:sz w:val="32"/>
          <w:szCs w:val="32"/>
        </w:rPr>
        <w:t>%，主要原因是</w:t>
      </w:r>
      <w:r>
        <w:rPr>
          <w:rFonts w:hint="eastAsia" w:ascii="仿宋_GB2312" w:hAnsi="仿宋" w:eastAsia="仿宋_GB2312"/>
          <w:sz w:val="32"/>
          <w:szCs w:val="32"/>
          <w:lang w:eastAsia="zh-CN"/>
        </w:rPr>
        <w:t>增加</w:t>
      </w:r>
      <w:r>
        <w:rPr>
          <w:rFonts w:hint="eastAsia" w:ascii="仿宋_GB2312" w:hAnsi="仿宋" w:eastAsia="仿宋_GB2312"/>
          <w:sz w:val="32"/>
          <w:szCs w:val="32"/>
        </w:rPr>
        <w:t>了行政支出</w:t>
      </w:r>
      <w:r>
        <w:rPr>
          <w:rFonts w:hint="eastAsia" w:ascii="仿宋_GB2312" w:hAnsi="仿宋" w:eastAsia="仿宋_GB2312"/>
          <w:sz w:val="32"/>
          <w:szCs w:val="32"/>
          <w:lang w:eastAsia="zh-CN"/>
        </w:rPr>
        <w:t>和行政管理事务支出</w:t>
      </w:r>
      <w:r>
        <w:rPr>
          <w:rFonts w:hint="eastAsia" w:ascii="仿宋_GB2312" w:hAnsi="仿宋" w:eastAsia="仿宋_GB2312"/>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lang w:eastAsia="zh-CN"/>
        </w:rPr>
        <w:drawing>
          <wp:anchor distT="0" distB="0" distL="114300" distR="114300" simplePos="0" relativeHeight="251693056" behindDoc="1" locked="0" layoutInCell="1" allowOverlap="1">
            <wp:simplePos x="0" y="0"/>
            <wp:positionH relativeFrom="column">
              <wp:posOffset>1087120</wp:posOffset>
            </wp:positionH>
            <wp:positionV relativeFrom="paragraph">
              <wp:posOffset>731520</wp:posOffset>
            </wp:positionV>
            <wp:extent cx="3946525" cy="2913380"/>
            <wp:effectExtent l="4445" t="4445" r="11430" b="15875"/>
            <wp:wrapTight wrapText="bothSides">
              <wp:wrapPolygon>
                <wp:start x="-24" y="-33"/>
                <wp:lineTo x="-24" y="21435"/>
                <wp:lineTo x="21558" y="21435"/>
                <wp:lineTo x="21558" y="-33"/>
                <wp:lineTo x="-24" y="-33"/>
              </wp:wrapPolygon>
            </wp:wrapTight>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535.97</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535.97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526.88</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59.83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11</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467.05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89</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如图所示：</w: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黑体" w:eastAsia="黑体"/>
          <w:b w:val="0"/>
          <w:bCs w:val="0"/>
        </w:rPr>
      </w:pPr>
      <w:r>
        <w:rPr>
          <w:rFonts w:hint="eastAsia" w:ascii="仿宋_GB2312" w:hAnsi="Times New Roman" w:eastAsia="仿宋_GB2312" w:cs="DengXian-Regular"/>
          <w:sz w:val="32"/>
          <w:szCs w:val="32"/>
          <w:lang w:eastAsia="zh-CN"/>
        </w:rPr>
        <w:drawing>
          <wp:anchor distT="0" distB="0" distL="114300" distR="114300" simplePos="0" relativeHeight="251694080" behindDoc="0" locked="0" layoutInCell="1" allowOverlap="1">
            <wp:simplePos x="0" y="0"/>
            <wp:positionH relativeFrom="column">
              <wp:posOffset>410845</wp:posOffset>
            </wp:positionH>
            <wp:positionV relativeFrom="paragraph">
              <wp:posOffset>-2806065</wp:posOffset>
            </wp:positionV>
            <wp:extent cx="5127625" cy="3086735"/>
            <wp:effectExtent l="4445" t="4445" r="11430" b="13970"/>
            <wp:wrapSquare wrapText="bothSides"/>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hint="eastAsia" w:ascii="仿宋_GB2312" w:hAnsi="Times New Roman" w:eastAsia="仿宋_GB2312" w:cs="DengXian-Regular"/>
          <w:sz w:val="32"/>
          <w:szCs w:val="32"/>
          <w:lang w:val="en-US" w:eastAsia="zh-CN"/>
        </w:rPr>
        <w:t xml:space="preserve">             </w:t>
      </w:r>
      <w:r>
        <w:rPr>
          <w:rFonts w:hint="eastAsia" w:ascii="仿宋_GB2312" w:eastAsia="仿宋_GB2312" w:cs="DengXian-Regular"/>
          <w:sz w:val="28"/>
          <w:szCs w:val="28"/>
        </w:rPr>
        <w:t>图2：支出构成情况（按支出性质）</w:t>
      </w:r>
    </w:p>
    <w:p>
      <w:pPr>
        <w:keepNext/>
        <w:keepLines/>
        <w:snapToGrid w:val="0"/>
        <w:spacing w:line="580" w:lineRule="exact"/>
        <w:outlineLvl w:val="1"/>
        <w:rPr>
          <w:rFonts w:hint="eastAsia" w:ascii="黑体" w:hAnsi="Calibri" w:eastAsia="黑体" w:cs="Times New Roman"/>
          <w:sz w:val="32"/>
          <w:szCs w:val="32"/>
        </w:rPr>
      </w:pP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535.97</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101.73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18.98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增加了文体活动和送温暖经费</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526.88</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92.64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增加了文体活动和送温暖经费</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lang w:eastAsia="zh-CN"/>
        </w:rPr>
        <w:drawing>
          <wp:anchor distT="0" distB="0" distL="114300" distR="114300" simplePos="0" relativeHeight="251696128" behindDoc="0" locked="0" layoutInCell="1" allowOverlap="1">
            <wp:simplePos x="0" y="0"/>
            <wp:positionH relativeFrom="column">
              <wp:posOffset>420370</wp:posOffset>
            </wp:positionH>
            <wp:positionV relativeFrom="paragraph">
              <wp:posOffset>13335</wp:posOffset>
            </wp:positionV>
            <wp:extent cx="5080000" cy="3171825"/>
            <wp:effectExtent l="4445" t="4445" r="20955" b="5080"/>
            <wp:wrapSquare wrapText="bothSides"/>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lang w:eastAsia="zh-CN"/>
        </w:rPr>
      </w:pPr>
    </w:p>
    <w:p>
      <w:pPr>
        <w:adjustRightInd w:val="0"/>
        <w:snapToGrid w:val="0"/>
        <w:spacing w:line="560" w:lineRule="exact"/>
        <w:jc w:val="center"/>
        <w:rPr>
          <w:rFonts w:hint="eastAsia" w:ascii="仿宋_GB2312" w:eastAsia="仿宋_GB2312" w:cs="DengXian-Regular"/>
          <w:sz w:val="28"/>
          <w:szCs w:val="28"/>
          <w:lang w:val="en-US" w:eastAsia="zh-CN"/>
        </w:rPr>
      </w:pPr>
      <w:r>
        <w:rPr>
          <w:rFonts w:hint="eastAsia" w:ascii="仿宋_GB2312" w:eastAsia="仿宋_GB2312" w:cs="DengXian-Regular"/>
          <w:sz w:val="28"/>
          <w:szCs w:val="28"/>
          <w:lang w:val="en-US" w:eastAsia="zh-CN"/>
        </w:rPr>
        <w:t xml:space="preserve">     </w:t>
      </w:r>
    </w:p>
    <w:p>
      <w:pPr>
        <w:adjustRightInd w:val="0"/>
        <w:snapToGrid w:val="0"/>
        <w:spacing w:line="560" w:lineRule="exact"/>
        <w:jc w:val="center"/>
        <w:rPr>
          <w:rFonts w:hint="eastAsia" w:ascii="仿宋_GB2312" w:eastAsia="仿宋_GB2312" w:cs="DengXian-Regular"/>
          <w:sz w:val="28"/>
          <w:szCs w:val="28"/>
          <w:lang w:val="en-US" w:eastAsia="zh-CN"/>
        </w:rPr>
      </w:pP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w:t>
      </w:r>
      <w:r>
        <w:rPr>
          <w:rFonts w:hint="eastAsia" w:ascii="仿宋_GB2312" w:eastAsia="仿宋_GB2312" w:cs="DengXian-Regular"/>
          <w:sz w:val="28"/>
          <w:szCs w:val="28"/>
          <w:lang w:val="en-US" w:eastAsia="zh-CN"/>
        </w:rPr>
        <w:t>8</w:t>
      </w:r>
      <w:r>
        <w:rPr>
          <w:rFonts w:hint="eastAsia" w:ascii="仿宋_GB2312" w:eastAsia="仿宋_GB2312" w:cs="DengXian-Regular"/>
          <w:sz w:val="28"/>
          <w:szCs w:val="28"/>
        </w:rPr>
        <w:t>-201</w:t>
      </w:r>
      <w:r>
        <w:rPr>
          <w:rFonts w:hint="eastAsia" w:ascii="仿宋_GB2312" w:eastAsia="仿宋_GB2312" w:cs="DengXian-Regular"/>
          <w:sz w:val="28"/>
          <w:szCs w:val="28"/>
          <w:lang w:val="en-US" w:eastAsia="zh-CN"/>
        </w:rPr>
        <w:t>9</w:t>
      </w:r>
      <w:r>
        <w:rPr>
          <w:rFonts w:hint="eastAsia" w:ascii="仿宋_GB2312" w:eastAsia="仿宋_GB2312" w:cs="DengXian-Regular"/>
          <w:sz w:val="28"/>
          <w:szCs w:val="28"/>
        </w:rPr>
        <w:t>年财政拨款收支情况</w:t>
      </w:r>
    </w:p>
    <w:p>
      <w:pPr>
        <w:snapToGrid w:val="0"/>
        <w:spacing w:line="580" w:lineRule="exact"/>
        <w:rPr>
          <w:rFonts w:hint="eastAsia" w:ascii="楷体_GB2312" w:hAnsi="Times New Roman" w:eastAsia="楷体_GB2312" w:cs="DengXian-Bold"/>
          <w:b/>
          <w:bCs/>
          <w:sz w:val="32"/>
          <w:szCs w:val="32"/>
        </w:rPr>
      </w:pPr>
    </w:p>
    <w:p>
      <w:pPr>
        <w:snapToGrid w:val="0"/>
        <w:spacing w:line="580" w:lineRule="exact"/>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535.97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113.71</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64.64</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项目增加了文体活动和送温暖经费</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526.88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111.79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55.55</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增加了文体活动和送温暖经费</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highlight w:val="yellow"/>
          <w:lang w:eastAsia="zh-CN"/>
        </w:rPr>
        <w:drawing>
          <wp:anchor distT="0" distB="0" distL="114300" distR="114300" simplePos="0" relativeHeight="251697152" behindDoc="0" locked="0" layoutInCell="1" allowOverlap="1">
            <wp:simplePos x="0" y="0"/>
            <wp:positionH relativeFrom="column">
              <wp:posOffset>373380</wp:posOffset>
            </wp:positionH>
            <wp:positionV relativeFrom="paragraph">
              <wp:posOffset>180975</wp:posOffset>
            </wp:positionV>
            <wp:extent cx="5080000" cy="2590800"/>
            <wp:effectExtent l="4445" t="4445" r="20955" b="14605"/>
            <wp:wrapSquare wrapText="bothSides"/>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60" w:lineRule="exact"/>
        <w:jc w:val="center"/>
        <w:rPr>
          <w:rFonts w:hint="eastAsia" w:ascii="仿宋_GB2312" w:eastAsia="仿宋_GB2312" w:cs="DengXian-Regular"/>
          <w:sz w:val="28"/>
          <w:szCs w:val="28"/>
        </w:rPr>
      </w:pPr>
    </w:p>
    <w:p>
      <w:pPr>
        <w:adjustRightInd w:val="0"/>
        <w:snapToGrid w:val="0"/>
        <w:spacing w:line="560" w:lineRule="exact"/>
        <w:jc w:val="center"/>
        <w:rPr>
          <w:rFonts w:hint="eastAsia" w:ascii="仿宋_GB2312" w:eastAsia="仿宋_GB2312" w:cs="DengXian-Regular"/>
          <w:sz w:val="28"/>
          <w:szCs w:val="28"/>
        </w:rPr>
      </w:pPr>
    </w:p>
    <w:p>
      <w:pPr>
        <w:adjustRightInd w:val="0"/>
        <w:snapToGrid w:val="0"/>
        <w:spacing w:line="560" w:lineRule="exact"/>
        <w:jc w:val="center"/>
        <w:rPr>
          <w:rFonts w:hint="eastAsia" w:ascii="仿宋_GB2312" w:eastAsia="仿宋_GB2312" w:cs="DengXian-Regular"/>
          <w:sz w:val="28"/>
          <w:szCs w:val="28"/>
        </w:rPr>
      </w:pPr>
    </w:p>
    <w:p>
      <w:pPr>
        <w:adjustRightInd w:val="0"/>
        <w:snapToGrid w:val="0"/>
        <w:spacing w:line="560" w:lineRule="exact"/>
        <w:jc w:val="center"/>
        <w:rPr>
          <w:rFonts w:hint="eastAsia" w:ascii="仿宋_GB2312" w:eastAsia="仿宋_GB2312" w:cs="DengXian-Regular"/>
          <w:sz w:val="28"/>
          <w:szCs w:val="28"/>
        </w:rPr>
      </w:pPr>
    </w:p>
    <w:p>
      <w:pPr>
        <w:adjustRightInd w:val="0"/>
        <w:snapToGrid w:val="0"/>
        <w:spacing w:line="560" w:lineRule="exact"/>
        <w:ind w:firstLine="2240" w:firstLineChars="800"/>
        <w:jc w:val="both"/>
        <w:rPr>
          <w:rFonts w:hint="eastAsia" w:ascii="仿宋_GB2312" w:eastAsia="仿宋_GB2312" w:cs="DengXian-Regular"/>
          <w:sz w:val="28"/>
          <w:szCs w:val="28"/>
        </w:rPr>
      </w:pPr>
      <w:r>
        <w:rPr>
          <w:rFonts w:hint="eastAsia" w:ascii="仿宋_GB2312" w:eastAsia="仿宋_GB2312" w:cs="DengXian-Regular"/>
          <w:sz w:val="28"/>
          <w:szCs w:val="28"/>
        </w:rPr>
        <w:t>图4：财政拨款收支预决算对比情况</w:t>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526.88</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526.88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drawing>
          <wp:anchor distT="0" distB="0" distL="114300" distR="114300" simplePos="0" relativeHeight="251695104" behindDoc="0" locked="0" layoutInCell="1" allowOverlap="1">
            <wp:simplePos x="0" y="0"/>
            <wp:positionH relativeFrom="column">
              <wp:posOffset>852170</wp:posOffset>
            </wp:positionH>
            <wp:positionV relativeFrom="paragraph">
              <wp:posOffset>311785</wp:posOffset>
            </wp:positionV>
            <wp:extent cx="4565650" cy="2915285"/>
            <wp:effectExtent l="4445" t="4445" r="20955" b="13970"/>
            <wp:wrapSquare wrapText="bothSides"/>
            <wp:docPr id="31" name="图表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hint="eastAsia" w:ascii="楷体_GB2312" w:hAnsi="Times New Roman" w:eastAsia="楷体_GB2312" w:cs="DengXian-Bold"/>
          <w:b/>
          <w:bCs/>
          <w:sz w:val="32"/>
          <w:szCs w:val="32"/>
          <w:lang w:eastAsia="zh-CN"/>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60" w:lineRule="exact"/>
        <w:ind w:firstLine="2240" w:firstLineChars="800"/>
        <w:jc w:val="both"/>
        <w:rPr>
          <w:rFonts w:hint="eastAsia"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59.83</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53.30</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6.53</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本部门本年度无“三公”经费支出预算情况</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本部门本年度无因公出国支出预算情况</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本部门本年度无因公务用车购置及运行维护费支出预算情况</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b/>
          <w:sz w:val="32"/>
          <w:szCs w:val="32"/>
          <w:lang w:eastAsia="zh-CN"/>
        </w:rPr>
        <w:t>本部门本年度无公务用车购置及运行维护费预决算情况。</w:t>
      </w: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%,主要是未发生“公务用车购置”经费支出”、“与年初预算持平”、“与2018年度决算支出持平”。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本部门2019年度单位公务用车保有量x辆。公车运行维护费支出较预算增加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%，主要是未发生“公务用车购置”经费支出”、“与年初预算持平”、“与2018年度决算支出持平”。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本部门本年度无公务接待费支出预算</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keepNext w:val="0"/>
        <w:keepLines w:val="0"/>
        <w:pageBreakBefore w:val="0"/>
        <w:widowControl w:val="0"/>
        <w:kinsoku/>
        <w:wordWrap/>
        <w:overflowPunct/>
        <w:topLinePunct w:val="0"/>
        <w:autoSpaceDE/>
        <w:autoSpaceDN/>
        <w:bidi w:val="0"/>
        <w:adjustRightInd w:val="0"/>
        <w:snapToGrid w:val="0"/>
        <w:spacing w:after="0" w:afterLines="0" w:line="360" w:lineRule="auto"/>
        <w:ind w:firstLine="640" w:firstLineChars="200"/>
        <w:textAlignment w:val="auto"/>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Times New Roman" w:eastAsia="仿宋_GB2312" w:cs="DengXian-Regular"/>
          <w:sz w:val="32"/>
          <w:szCs w:val="32"/>
        </w:rPr>
        <w:t>根据预算绩效管理要求，本部门组织对2019年度一般公共预算项目支出全面开展绩效自评，本单位组织对</w:t>
      </w:r>
      <w:r>
        <w:rPr>
          <w:rFonts w:hint="eastAsia" w:ascii="仿宋_GB2312" w:hAnsi="Times New Roman" w:eastAsia="仿宋_GB2312" w:cs="DengXian-Regular"/>
          <w:sz w:val="32"/>
          <w:szCs w:val="32"/>
          <w:lang w:val="en-US" w:eastAsia="zh-CN"/>
        </w:rPr>
        <w:t>2019</w:t>
      </w:r>
      <w:r>
        <w:rPr>
          <w:rFonts w:hint="eastAsia" w:ascii="仿宋_GB2312" w:hAnsi="Times New Roman" w:eastAsia="仿宋_GB2312" w:cs="DengXian-Regular"/>
          <w:sz w:val="32"/>
          <w:szCs w:val="32"/>
        </w:rPr>
        <w:t>年度一般公共预算项目支出全面开展绩效自</w:t>
      </w:r>
      <w:r>
        <w:rPr>
          <w:rFonts w:hint="eastAsia" w:ascii="仿宋_GB2312" w:hAnsi="仿宋_GB2312" w:eastAsia="仿宋_GB2312" w:cs="仿宋_GB2312"/>
          <w:color w:val="auto"/>
          <w:sz w:val="32"/>
          <w:szCs w:val="32"/>
          <w:shd w:val="clear" w:color="auto" w:fill="auto"/>
        </w:rPr>
        <w:t>评，涉及</w:t>
      </w:r>
      <w:r>
        <w:rPr>
          <w:rFonts w:hint="eastAsia" w:ascii="仿宋_GB2312" w:hAnsi="仿宋_GB2312" w:eastAsia="仿宋_GB2312" w:cs="仿宋_GB2312"/>
          <w:color w:val="auto"/>
          <w:sz w:val="32"/>
          <w:szCs w:val="32"/>
          <w:highlight w:val="none"/>
          <w:shd w:val="clear" w:color="auto" w:fill="auto"/>
          <w:lang w:eastAsia="zh-CN"/>
        </w:rPr>
        <w:t>代扣经费</w:t>
      </w:r>
      <w:r>
        <w:rPr>
          <w:rFonts w:hint="eastAsia" w:ascii="仿宋_GB2312" w:hAnsi="仿宋_GB2312" w:eastAsia="仿宋_GB2312" w:cs="仿宋_GB2312"/>
          <w:color w:val="auto"/>
          <w:sz w:val="32"/>
          <w:szCs w:val="32"/>
          <w:highlight w:val="none"/>
          <w:shd w:val="clear" w:color="auto" w:fill="auto"/>
          <w:lang w:val="en-US" w:eastAsia="zh-CN"/>
        </w:rPr>
        <w:t>0.8%工会经费、困难职工帮扶救助专项资金和易地建设费三个</w:t>
      </w:r>
      <w:r>
        <w:rPr>
          <w:rFonts w:hint="eastAsia" w:ascii="仿宋_GB2312" w:hAnsi="仿宋_GB2312" w:eastAsia="仿宋_GB2312" w:cs="仿宋_GB2312"/>
          <w:color w:val="auto"/>
          <w:sz w:val="32"/>
          <w:szCs w:val="32"/>
          <w:highlight w:val="none"/>
          <w:shd w:val="clear" w:color="auto" w:fill="auto"/>
        </w:rPr>
        <w:t>项目，涉及资金</w:t>
      </w:r>
      <w:r>
        <w:rPr>
          <w:rFonts w:hint="eastAsia" w:ascii="仿宋_GB2312" w:hAnsi="仿宋_GB2312" w:eastAsia="仿宋_GB2312" w:cs="仿宋_GB2312"/>
          <w:color w:val="auto"/>
          <w:sz w:val="32"/>
          <w:szCs w:val="32"/>
          <w:highlight w:val="none"/>
          <w:shd w:val="clear" w:color="auto" w:fill="auto"/>
          <w:lang w:val="en-US" w:eastAsia="zh-CN"/>
        </w:rPr>
        <w:t>466.75</w:t>
      </w:r>
      <w:r>
        <w:rPr>
          <w:rFonts w:hint="eastAsia" w:ascii="仿宋_GB2312" w:hAnsi="仿宋_GB2312" w:eastAsia="仿宋_GB2312" w:cs="仿宋_GB2312"/>
          <w:color w:val="auto"/>
          <w:sz w:val="32"/>
          <w:szCs w:val="32"/>
          <w:highlight w:val="none"/>
          <w:shd w:val="clear" w:color="auto" w:fill="auto"/>
        </w:rPr>
        <w:t>万元。从评价情况看，</w:t>
      </w:r>
      <w:r>
        <w:rPr>
          <w:rFonts w:hint="eastAsia" w:ascii="仿宋_GB2312" w:hAnsi="仿宋_GB2312" w:eastAsia="仿宋_GB2312" w:cs="仿宋_GB2312"/>
          <w:color w:val="auto"/>
          <w:sz w:val="32"/>
          <w:szCs w:val="32"/>
          <w:shd w:val="clear" w:color="auto" w:fill="auto"/>
        </w:rPr>
        <w:t>评价结果为优秀的项目有</w:t>
      </w:r>
      <w:r>
        <w:rPr>
          <w:rFonts w:hint="eastAsia" w:ascii="仿宋_GB2312" w:hAnsi="仿宋_GB2312" w:eastAsia="仿宋_GB2312" w:cs="仿宋_GB2312"/>
          <w:color w:val="auto"/>
          <w:sz w:val="32"/>
          <w:szCs w:val="32"/>
          <w:shd w:val="clear" w:color="auto" w:fill="auto"/>
          <w:lang w:val="en-US" w:eastAsia="zh-CN"/>
        </w:rPr>
        <w:t>3</w:t>
      </w:r>
      <w:r>
        <w:rPr>
          <w:rFonts w:hint="eastAsia" w:ascii="仿宋_GB2312" w:hAnsi="仿宋_GB2312" w:eastAsia="仿宋_GB2312" w:cs="仿宋_GB2312"/>
          <w:color w:val="auto"/>
          <w:sz w:val="32"/>
          <w:szCs w:val="32"/>
          <w:shd w:val="clear" w:color="auto" w:fill="auto"/>
        </w:rPr>
        <w:t>个</w:t>
      </w:r>
      <w:r>
        <w:rPr>
          <w:rFonts w:hint="eastAsia" w:ascii="仿宋_GB2312" w:hAnsi="仿宋_GB2312" w:eastAsia="仿宋_GB2312" w:cs="仿宋_GB2312"/>
          <w:color w:val="auto"/>
          <w:sz w:val="32"/>
          <w:szCs w:val="32"/>
          <w:shd w:val="clear" w:color="auto" w:fill="auto"/>
          <w:lang w:eastAsia="zh-CN"/>
        </w:rPr>
        <w:t>，</w:t>
      </w:r>
      <w:r>
        <w:rPr>
          <w:rFonts w:hint="eastAsia" w:ascii="仿宋_GB2312" w:hAnsi="仿宋_GB2312" w:eastAsia="仿宋_GB2312" w:cs="仿宋_GB2312"/>
          <w:color w:val="auto"/>
          <w:sz w:val="32"/>
          <w:szCs w:val="32"/>
          <w:highlight w:val="none"/>
          <w:shd w:val="clear" w:color="auto" w:fill="auto"/>
          <w:lang w:eastAsia="zh-CN"/>
        </w:rPr>
        <w:t>代扣经费</w:t>
      </w:r>
      <w:r>
        <w:rPr>
          <w:rFonts w:hint="eastAsia" w:ascii="仿宋_GB2312" w:hAnsi="仿宋_GB2312" w:eastAsia="仿宋_GB2312" w:cs="仿宋_GB2312"/>
          <w:color w:val="auto"/>
          <w:sz w:val="32"/>
          <w:szCs w:val="32"/>
          <w:highlight w:val="none"/>
          <w:shd w:val="clear" w:color="auto" w:fill="auto"/>
          <w:lang w:val="en-US" w:eastAsia="zh-CN"/>
        </w:rPr>
        <w:t>0.8%工会经费、困难职工帮扶救助专项资金和易地建设费评价等级为优。</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color w:val="auto"/>
          <w:sz w:val="32"/>
          <w:szCs w:val="32"/>
          <w:highlight w:val="none"/>
          <w:shd w:val="clear" w:color="auto" w:fill="auto"/>
          <w:lang w:eastAsia="zh-CN"/>
        </w:rPr>
        <w:t>代扣经费</w:t>
      </w:r>
      <w:r>
        <w:rPr>
          <w:rFonts w:hint="eastAsia" w:ascii="仿宋_GB2312" w:hAnsi="仿宋_GB2312" w:eastAsia="仿宋_GB2312" w:cs="仿宋_GB2312"/>
          <w:color w:val="auto"/>
          <w:sz w:val="32"/>
          <w:szCs w:val="32"/>
          <w:highlight w:val="none"/>
          <w:shd w:val="clear" w:color="auto" w:fill="auto"/>
          <w:lang w:val="en-US" w:eastAsia="zh-CN"/>
        </w:rPr>
        <w:t>0.8%工会经费项目、困难职工帮扶救助专项资金项目及易地建设费项目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adjustRightInd w:val="0"/>
        <w:snapToGrid w:val="0"/>
        <w:spacing w:line="620" w:lineRule="exact"/>
        <w:ind w:firstLine="640" w:firstLineChars="200"/>
        <w:rPr>
          <w:rFonts w:hint="eastAsia" w:ascii="仿宋_GB2312" w:hAnsi="仿宋_GB2312" w:eastAsia="仿宋_GB2312" w:cs="仿宋_GB2312"/>
          <w:sz w:val="32"/>
          <w:szCs w:val="32"/>
        </w:rPr>
      </w:pPr>
      <w:r>
        <w:rPr>
          <w:rFonts w:hint="eastAsia" w:ascii="仿宋_GB2312" w:hAnsi="仿宋" w:eastAsia="仿宋_GB2312"/>
          <w:sz w:val="32"/>
          <w:szCs w:val="32"/>
        </w:rPr>
        <w:t>代扣经费0.8%工会经费项目</w:t>
      </w:r>
      <w:r>
        <w:rPr>
          <w:rFonts w:hint="eastAsia" w:ascii="仿宋_GB2312" w:hAnsi="仿宋_GB2312" w:eastAsia="仿宋_GB2312" w:cs="仿宋_GB2312"/>
          <w:sz w:val="32"/>
          <w:szCs w:val="32"/>
        </w:rPr>
        <w:t>自评综述：根据年初设定的绩效目标，</w:t>
      </w:r>
      <w:r>
        <w:rPr>
          <w:rFonts w:hint="eastAsia" w:ascii="仿宋_GB2312" w:hAnsi="仿宋" w:eastAsia="仿宋_GB2312"/>
          <w:sz w:val="32"/>
          <w:szCs w:val="32"/>
        </w:rPr>
        <w:t>代扣经费0.8%工会经费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404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p>
    <w:p>
      <w:pPr>
        <w:adjustRightInd w:val="0"/>
        <w:snapToGrid w:val="0"/>
        <w:spacing w:line="62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一、项目实施过程</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、业务管理情况分析。我单位组织相关人员对项目实施过程全程管理，有效保证了管理制度健全性、制度执行有效性和项目质量可控性，分值20分。</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2、财务管理。我单位在项目实施过程中，严格遵守财务制度及财务规范，相关资金使用账目清晰、资金票据及相关附件齐全，资金使用合规、可控。分值20分。</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项目产出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1、产出数量:综合事务保障率，做到“全覆盖、不遗漏”5分；</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2、产出质量:发放人员工资及时率，得到有效保证，得5分;</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3、产出时效:计划工作任务完成100%，得5分;</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4、产出成本:发放工资人数，做到控制率100%，得5分；</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5、预算执行率指标：发放人员工资及时率100%，得10分。</w:t>
      </w:r>
    </w:p>
    <w:p>
      <w:pPr>
        <w:adjustRightInd w:val="0"/>
        <w:snapToGrid w:val="0"/>
        <w:spacing w:line="620" w:lineRule="exact"/>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三、项目效果</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社会效益指标:保障单位正常运转，工资按时发放， 做到“全覆盖、不遗漏”的目标，得10分;</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通过问卷调查和电话回访职工满意度达到95%，得10分。</w:t>
      </w:r>
    </w:p>
    <w:p>
      <w:pPr>
        <w:adjustRightInd w:val="0"/>
        <w:snapToGrid w:val="0"/>
        <w:spacing w:line="620" w:lineRule="exact"/>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四、项目综合评价结论和评价等级</w:t>
      </w:r>
    </w:p>
    <w:p>
      <w:pPr>
        <w:pStyle w:val="6"/>
        <w:widowControl/>
        <w:shd w:val="clear" w:color="auto" w:fill="FFFFFF"/>
        <w:spacing w:beforeAutospacing="0" w:afterAutospacing="0"/>
        <w:ind w:firstLine="672" w:firstLineChars="200"/>
        <w:rPr>
          <w:rFonts w:ascii="仿宋_GB2312" w:hAnsi="仿宋_GB2312" w:eastAsia="仿宋_GB2312" w:cs="仿宋_GB2312"/>
          <w:spacing w:val="8"/>
          <w:sz w:val="32"/>
          <w:szCs w:val="32"/>
          <w:shd w:val="clear" w:color="auto" w:fill="FFFFFF"/>
        </w:rPr>
      </w:pPr>
      <w:r>
        <w:rPr>
          <w:rFonts w:hint="eastAsia" w:ascii="仿宋_GB2312" w:hAnsi="仿宋_GB2312" w:eastAsia="仿宋_GB2312" w:cs="仿宋_GB2312"/>
          <w:spacing w:val="8"/>
          <w:sz w:val="32"/>
          <w:szCs w:val="32"/>
          <w:shd w:val="clear" w:color="auto" w:fill="FFFFFF"/>
        </w:rPr>
        <w:t>根据项目执行情况和项目绩效情况，总工会代扣经费0.8%工会经费项目绩效评价得分为90分，评价等级为优秀。</w:t>
      </w:r>
      <w:r>
        <w:rPr>
          <w:rFonts w:ascii="仿宋_GB2312" w:hAnsi="仿宋_GB2312" w:eastAsia="仿宋_GB2312" w:cs="仿宋_GB2312"/>
          <w:spacing w:val="8"/>
          <w:sz w:val="32"/>
          <w:szCs w:val="32"/>
          <w:shd w:val="clear" w:color="auto" w:fill="FFFFFF"/>
        </w:rPr>
        <w:t xml:space="preserve"> </w:t>
      </w:r>
    </w:p>
    <w:p>
      <w:pPr>
        <w:adjustRightInd w:val="0"/>
        <w:snapToGrid w:val="0"/>
        <w:spacing w:line="620" w:lineRule="exact"/>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五、存在的问题及改进措施</w:t>
      </w:r>
    </w:p>
    <w:p>
      <w:pPr>
        <w:pStyle w:val="6"/>
        <w:widowControl/>
        <w:shd w:val="clear" w:color="auto" w:fill="FFFFFF"/>
        <w:spacing w:beforeAutospacing="0" w:afterAutospacing="0"/>
        <w:ind w:firstLine="672" w:firstLineChars="200"/>
        <w:rPr>
          <w:rFonts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shd w:val="clear" w:color="auto" w:fill="FFFFFF"/>
        </w:rPr>
        <w:t>(一)项目存在的问题</w:t>
      </w:r>
    </w:p>
    <w:p>
      <w:pPr>
        <w:pStyle w:val="6"/>
        <w:widowControl/>
        <w:shd w:val="clear" w:color="auto" w:fill="FFFFFF"/>
        <w:spacing w:beforeAutospacing="0" w:afterAutospacing="0"/>
        <w:ind w:firstLine="672" w:firstLineChars="200"/>
        <w:rPr>
          <w:rFonts w:ascii="仿宋_GB2312" w:hAnsi="仿宋_GB2312" w:eastAsia="仿宋_GB2312" w:cs="仿宋_GB2312"/>
          <w:spacing w:val="8"/>
          <w:sz w:val="32"/>
          <w:szCs w:val="32"/>
          <w:shd w:val="clear" w:color="auto" w:fill="FFFFFF"/>
        </w:rPr>
      </w:pPr>
      <w:r>
        <w:rPr>
          <w:rFonts w:hint="eastAsia" w:ascii="仿宋_GB2312" w:hAnsi="仿宋_GB2312" w:eastAsia="仿宋_GB2312" w:cs="仿宋_GB2312"/>
          <w:spacing w:val="8"/>
          <w:sz w:val="32"/>
          <w:szCs w:val="32"/>
          <w:shd w:val="clear" w:color="auto" w:fill="FFFFFF"/>
        </w:rPr>
        <w:t>年初没有</w:t>
      </w:r>
      <w:r>
        <w:rPr>
          <w:rFonts w:hint="eastAsia" w:ascii="仿宋_GB2312" w:hAnsi="仿宋_GB2312" w:eastAsia="仿宋_GB2312" w:cs="仿宋_GB2312"/>
          <w:spacing w:val="8"/>
          <w:sz w:val="32"/>
          <w:szCs w:val="32"/>
          <w:shd w:val="clear" w:color="auto" w:fill="FFFFFF"/>
          <w:lang w:val="en-US" w:eastAsia="zh-CN"/>
        </w:rPr>
        <w:t>制订</w:t>
      </w:r>
      <w:r>
        <w:rPr>
          <w:rFonts w:hint="eastAsia" w:ascii="仿宋_GB2312" w:hAnsi="仿宋_GB2312" w:eastAsia="仿宋_GB2312" w:cs="仿宋_GB2312"/>
          <w:spacing w:val="8"/>
          <w:sz w:val="32"/>
          <w:szCs w:val="32"/>
          <w:shd w:val="clear" w:color="auto" w:fill="FFFFFF"/>
        </w:rPr>
        <w:t>具体的工作计划和明细的费用支出预算。</w:t>
      </w:r>
    </w:p>
    <w:p>
      <w:pPr>
        <w:pStyle w:val="6"/>
        <w:widowControl/>
        <w:shd w:val="clear" w:color="auto" w:fill="FFFFFF"/>
        <w:spacing w:beforeAutospacing="0" w:afterAutospacing="0"/>
        <w:ind w:firstLine="504" w:firstLineChars="150"/>
        <w:rPr>
          <w:rFonts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shd w:val="clear" w:color="auto" w:fill="FFFFFF"/>
        </w:rPr>
        <w:t>（二）针对问题提出具体的改进措施和建议</w:t>
      </w:r>
    </w:p>
    <w:p>
      <w:pPr>
        <w:pStyle w:val="6"/>
        <w:widowControl/>
        <w:shd w:val="clear" w:color="auto" w:fill="FFFFFF"/>
        <w:spacing w:beforeAutospacing="0" w:afterAutospacing="0"/>
        <w:rPr>
          <w:rFonts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shd w:val="clear" w:color="auto" w:fill="FFFFFF"/>
        </w:rPr>
        <w:t>1、加强代扣经费0.8%工会经费项目的计划管理，做好项目的事前绩效申报工作;</w:t>
      </w:r>
    </w:p>
    <w:p>
      <w:pPr>
        <w:pStyle w:val="6"/>
        <w:widowControl/>
        <w:shd w:val="clear" w:color="auto" w:fill="FFFFFF"/>
        <w:spacing w:beforeAutospacing="0" w:afterAutospacing="0"/>
        <w:rPr>
          <w:rFonts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shd w:val="clear" w:color="auto" w:fill="FFFFFF"/>
        </w:rPr>
        <w:t>2、加快项目资金的使用进度，提高财政资金的使用效率;</w:t>
      </w: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r>
        <w:rPr>
          <w:rFonts w:hint="eastAsia" w:ascii="仿宋_GB2312" w:hAnsi="仿宋_GB2312" w:eastAsia="仿宋_GB2312" w:cs="仿宋_GB2312"/>
          <w:spacing w:val="8"/>
          <w:sz w:val="32"/>
          <w:szCs w:val="32"/>
          <w:shd w:val="clear" w:color="auto" w:fill="FFFFFF"/>
        </w:rPr>
        <w:t>3、加强财务监控，对项目资金进行事前、事中、事后的检查分析，并形成监控报告，确保项目资金安全有效运行。</w:t>
      </w: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tbl>
      <w:tblPr>
        <w:tblStyle w:val="7"/>
        <w:tblpPr w:leftFromText="180" w:rightFromText="180" w:vertAnchor="text" w:horzAnchor="page" w:tblpXSpec="center" w:tblpY="571"/>
        <w:tblOverlap w:val="never"/>
        <w:tblW w:w="1110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605"/>
        <w:gridCol w:w="1830"/>
        <w:gridCol w:w="990"/>
        <w:gridCol w:w="1403"/>
        <w:gridCol w:w="1080"/>
        <w:gridCol w:w="1320"/>
        <w:gridCol w:w="930"/>
        <w:gridCol w:w="19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11106"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1106"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jc w:val="center"/>
        </w:trPr>
        <w:tc>
          <w:tcPr>
            <w:tcW w:w="11106"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160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18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石家庄市藁城区总工会</w:t>
            </w: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40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878"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25" w:hRule="atLeast"/>
          <w:jc w:val="center"/>
        </w:trPr>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3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18"/>
                <w:szCs w:val="18"/>
                <w:u w:val="none"/>
              </w:rPr>
            </w:pPr>
            <w:r>
              <w:rPr>
                <w:rFonts w:hint="eastAsia" w:ascii="宋体" w:hAnsi="宋体" w:eastAsia="宋体" w:cs="宋体"/>
                <w:i w:val="0"/>
                <w:color w:val="000000"/>
                <w:kern w:val="0"/>
                <w:sz w:val="18"/>
                <w:szCs w:val="18"/>
                <w:u w:val="none"/>
                <w:lang w:val="en-US" w:eastAsia="zh-CN" w:bidi="ar"/>
              </w:rPr>
              <w:t>代扣经费</w:t>
            </w:r>
            <w:r>
              <w:rPr>
                <w:rFonts w:hint="default" w:ascii="Calibri" w:hAnsi="Calibri" w:eastAsia="宋体" w:cs="Calibri"/>
                <w:i w:val="0"/>
                <w:color w:val="000000"/>
                <w:kern w:val="0"/>
                <w:sz w:val="18"/>
                <w:szCs w:val="18"/>
                <w:u w:val="none"/>
                <w:lang w:val="en-US" w:eastAsia="zh-CN" w:bidi="ar"/>
              </w:rPr>
              <w:t>0.8%</w:t>
            </w:r>
            <w:r>
              <w:rPr>
                <w:rFonts w:hint="eastAsia" w:ascii="宋体" w:hAnsi="宋体" w:eastAsia="宋体" w:cs="宋体"/>
                <w:i w:val="0"/>
                <w:color w:val="000000"/>
                <w:kern w:val="0"/>
                <w:sz w:val="18"/>
                <w:szCs w:val="18"/>
                <w:u w:val="none"/>
                <w:lang w:val="en-US" w:eastAsia="zh-CN" w:bidi="ar"/>
              </w:rPr>
              <w:t>工会经费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419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石家庄市藁城区总工会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jc w:val="center"/>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28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4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2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w:t>
            </w:r>
          </w:p>
        </w:tc>
        <w:tc>
          <w:tcPr>
            <w:tcW w:w="14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w:t>
            </w:r>
          </w:p>
        </w:tc>
        <w:tc>
          <w:tcPr>
            <w:tcW w:w="1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w:t>
            </w:r>
          </w:p>
        </w:tc>
        <w:tc>
          <w:tcPr>
            <w:tcW w:w="14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w:t>
            </w:r>
          </w:p>
        </w:tc>
        <w:tc>
          <w:tcPr>
            <w:tcW w:w="1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4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jc w:val="center"/>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422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33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5"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22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支付人员工资及单位正常运转等404万</w:t>
            </w:r>
          </w:p>
        </w:tc>
        <w:tc>
          <w:tcPr>
            <w:tcW w:w="33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本次指标支付404万元已到位</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4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0"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  （40分）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4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综合事务保障率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90"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24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发放人员工资及时率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24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按计划工作任务完成</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0"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24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发放工资人数</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≥11人</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5"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执行率</w:t>
            </w:r>
          </w:p>
        </w:tc>
        <w:tc>
          <w:tcPr>
            <w:tcW w:w="24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发放人员工资及时率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10"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  （40分）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24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保障单位正常运转，工资按时发放</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0"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24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职工满意度</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55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9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96" w:hRule="atLeast"/>
          <w:jc w:val="center"/>
        </w:trPr>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950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60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填报人:葛玉坤</w:t>
            </w:r>
          </w:p>
        </w:tc>
        <w:tc>
          <w:tcPr>
            <w:tcW w:w="183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40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88045619</w:t>
            </w:r>
          </w:p>
        </w:tc>
        <w:tc>
          <w:tcPr>
            <w:tcW w:w="93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94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bl>
    <w:p>
      <w:pPr>
        <w:numPr>
          <w:ilvl w:val="0"/>
          <w:numId w:val="0"/>
        </w:numPr>
        <w:adjustRightInd w:val="0"/>
        <w:snapToGrid w:val="0"/>
        <w:spacing w:line="580" w:lineRule="exact"/>
        <w:rPr>
          <w:rFonts w:ascii="仿宋_GB2312" w:hAnsi="仿宋_GB2312" w:eastAsia="仿宋_GB2312" w:cs="仿宋_GB2312"/>
          <w:sz w:val="32"/>
          <w:szCs w:val="32"/>
        </w:rPr>
      </w:pPr>
    </w:p>
    <w:p>
      <w:pPr>
        <w:adjustRightInd w:val="0"/>
        <w:snapToGrid w:val="0"/>
        <w:spacing w:line="620" w:lineRule="exact"/>
        <w:ind w:firstLine="640" w:firstLineChars="200"/>
        <w:rPr>
          <w:rFonts w:hint="eastAsia" w:ascii="仿宋_GB2312" w:hAnsi="仿宋_GB2312" w:eastAsia="仿宋_GB2312" w:cs="仿宋_GB2312"/>
          <w:sz w:val="32"/>
          <w:szCs w:val="32"/>
        </w:rPr>
      </w:pPr>
      <w:r>
        <w:rPr>
          <w:rFonts w:hint="eastAsia" w:ascii="仿宋_GB2312" w:hAnsi="仿宋" w:eastAsia="仿宋_GB2312"/>
          <w:sz w:val="32"/>
          <w:szCs w:val="32"/>
        </w:rPr>
        <w:t>维护职工合法权益-维权服务项目</w:t>
      </w:r>
      <w:r>
        <w:rPr>
          <w:rFonts w:hint="eastAsia" w:ascii="仿宋_GB2312" w:hAnsi="仿宋_GB2312" w:eastAsia="仿宋_GB2312" w:cs="仿宋_GB2312"/>
          <w:sz w:val="32"/>
          <w:szCs w:val="32"/>
        </w:rPr>
        <w:t>自评综述：根据年初设定的绩效目标，</w:t>
      </w:r>
      <w:r>
        <w:rPr>
          <w:rFonts w:hint="eastAsia" w:ascii="仿宋_GB2312" w:hAnsi="仿宋" w:eastAsia="仿宋_GB2312"/>
          <w:sz w:val="32"/>
          <w:szCs w:val="32"/>
        </w:rPr>
        <w:t>维护职工合法权益-维权服务</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p>
    <w:p>
      <w:pPr>
        <w:adjustRightInd w:val="0"/>
        <w:snapToGrid w:val="0"/>
        <w:spacing w:line="6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项目实施过程</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1、业务管理情况分析。对管理制度健全性、制度执行有效性和项目质量可控性等情况进行分析后，根据指标体系评分标准计算分值。</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2、财务管理。对管理制度健全性、资金使用合规性和财务监控有效性等情况进行分析后，根据指标体系评分标准计算分值。</w:t>
      </w:r>
    </w:p>
    <w:p>
      <w:pPr>
        <w:adjustRightInd w:val="0"/>
        <w:snapToGrid w:val="0"/>
        <w:spacing w:line="6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项目产出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1、产出数量:在全国工会帮扶系统建立档案的 6名困难职工实施生活救助并开展走访慰问活动，做到“全覆盖、不遗漏”10分；</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2、产出质量:确保每个享受困难帮扶的对象符合文件规定的条件，未发现假冒现象，得10分;</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3、产出时效:计划工作任务完成100%，得10分;</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4、产出成本:严格按照规定标准执行对困难职工的帮扶，帮扶标准控制率100%，得10分；</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5、预算执行率指标：困难职工救助率100%，得10分。</w:t>
      </w:r>
    </w:p>
    <w:p>
      <w:pPr>
        <w:adjustRightInd w:val="0"/>
        <w:snapToGrid w:val="0"/>
        <w:spacing w:line="620" w:lineRule="exact"/>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三、项目效果</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社会效益指标:逐步形成以区职工服务中心(帮扶中心)为骨干，责任明确、运转顺畅的帮扶服务工作体系，基本实现对困难职工的帮扶服务“全覆盖、不遗漏”的目标，得20分;</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可持续影响指标：以帮扶服务工作体系，实现对困难职工的帮扶全覆盖，得10分。</w:t>
      </w:r>
    </w:p>
    <w:p>
      <w:pPr>
        <w:pStyle w:val="6"/>
        <w:widowControl/>
        <w:shd w:val="clear" w:color="auto" w:fill="FFFFFF"/>
        <w:spacing w:beforeAutospacing="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通过问卷调查和电话回访满意度达到95%，得10分。</w:t>
      </w:r>
    </w:p>
    <w:p>
      <w:pPr>
        <w:adjustRightInd w:val="0"/>
        <w:snapToGrid w:val="0"/>
        <w:spacing w:line="620" w:lineRule="exact"/>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四、存在的问题及改进措施</w:t>
      </w:r>
    </w:p>
    <w:p>
      <w:pPr>
        <w:pStyle w:val="6"/>
        <w:widowControl/>
        <w:shd w:val="clear" w:color="auto" w:fill="FFFFFF"/>
        <w:spacing w:beforeAutospacing="0" w:afterAutospacing="0"/>
        <w:ind w:firstLine="672" w:firstLineChars="200"/>
        <w:rPr>
          <w:rFonts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shd w:val="clear" w:color="auto" w:fill="FFFFFF"/>
        </w:rPr>
        <w:t>(一)项目存在的问题</w:t>
      </w:r>
    </w:p>
    <w:p>
      <w:pPr>
        <w:pStyle w:val="6"/>
        <w:widowControl/>
        <w:shd w:val="clear" w:color="auto" w:fill="FFFFFF"/>
        <w:spacing w:beforeAutospacing="0" w:afterAutospacing="0"/>
        <w:ind w:firstLine="672" w:firstLineChars="200"/>
        <w:rPr>
          <w:rFonts w:hint="eastAsia" w:ascii="仿宋_GB2312" w:hAnsi="仿宋_GB2312" w:eastAsia="仿宋_GB2312" w:cs="仿宋_GB2312"/>
          <w:spacing w:val="8"/>
          <w:sz w:val="32"/>
          <w:szCs w:val="32"/>
          <w:shd w:val="clear" w:color="auto" w:fill="FFFFFF"/>
          <w:lang w:eastAsia="zh-CN"/>
        </w:rPr>
      </w:pPr>
      <w:r>
        <w:rPr>
          <w:rFonts w:hint="eastAsia" w:ascii="仿宋_GB2312" w:hAnsi="仿宋_GB2312" w:eastAsia="仿宋_GB2312" w:cs="仿宋_GB2312"/>
          <w:spacing w:val="8"/>
          <w:sz w:val="32"/>
          <w:szCs w:val="32"/>
          <w:shd w:val="clear" w:color="auto" w:fill="FFFFFF"/>
        </w:rPr>
        <w:t>年初没有制</w:t>
      </w:r>
      <w:r>
        <w:rPr>
          <w:rFonts w:hint="eastAsia" w:ascii="仿宋_GB2312" w:hAnsi="仿宋_GB2312" w:eastAsia="仿宋_GB2312" w:cs="仿宋_GB2312"/>
          <w:spacing w:val="8"/>
          <w:sz w:val="32"/>
          <w:szCs w:val="32"/>
          <w:shd w:val="clear" w:color="auto" w:fill="FFFFFF"/>
          <w:lang w:val="en-US" w:eastAsia="zh-CN"/>
        </w:rPr>
        <w:t>订</w:t>
      </w:r>
      <w:r>
        <w:rPr>
          <w:rFonts w:hint="eastAsia" w:ascii="仿宋_GB2312" w:hAnsi="仿宋_GB2312" w:eastAsia="仿宋_GB2312" w:cs="仿宋_GB2312"/>
          <w:spacing w:val="8"/>
          <w:sz w:val="32"/>
          <w:szCs w:val="32"/>
          <w:shd w:val="clear" w:color="auto" w:fill="FFFFFF"/>
        </w:rPr>
        <w:t>具体的帮扶计划和明细的费用支出预算</w:t>
      </w:r>
      <w:r>
        <w:rPr>
          <w:rFonts w:hint="eastAsia" w:ascii="仿宋_GB2312" w:hAnsi="仿宋_GB2312" w:eastAsia="仿宋_GB2312" w:cs="仿宋_GB2312"/>
          <w:spacing w:val="8"/>
          <w:sz w:val="32"/>
          <w:szCs w:val="32"/>
          <w:shd w:val="clear" w:color="auto" w:fill="FFFFFF"/>
          <w:lang w:eastAsia="zh-CN"/>
        </w:rPr>
        <w:t>。</w:t>
      </w:r>
    </w:p>
    <w:p>
      <w:pPr>
        <w:pStyle w:val="6"/>
        <w:widowControl/>
        <w:shd w:val="clear" w:color="auto" w:fill="FFFFFF"/>
        <w:spacing w:beforeAutospacing="0" w:afterAutospacing="0"/>
        <w:ind w:firstLine="504" w:firstLineChars="150"/>
        <w:rPr>
          <w:rFonts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shd w:val="clear" w:color="auto" w:fill="FFFFFF"/>
        </w:rPr>
        <w:t>（二）针对问题提出具体的改进措施和建议</w:t>
      </w:r>
    </w:p>
    <w:p>
      <w:pPr>
        <w:pStyle w:val="6"/>
        <w:widowControl/>
        <w:shd w:val="clear" w:color="auto" w:fill="FFFFFF"/>
        <w:spacing w:beforeAutospacing="0" w:afterAutospacing="0"/>
        <w:rPr>
          <w:rFonts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shd w:val="clear" w:color="auto" w:fill="FFFFFF"/>
        </w:rPr>
        <w:t>1、加强帮扶项目的计划管理，做好项目的事前绩效申报工作;</w:t>
      </w:r>
    </w:p>
    <w:p>
      <w:pPr>
        <w:pStyle w:val="6"/>
        <w:widowControl/>
        <w:shd w:val="clear" w:color="auto" w:fill="FFFFFF"/>
        <w:spacing w:beforeAutospacing="0" w:afterAutospacing="0"/>
        <w:rPr>
          <w:rFonts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shd w:val="clear" w:color="auto" w:fill="FFFFFF"/>
        </w:rPr>
        <w:t>2、加快项目资金的使用进度，提高财政资金的使用效率;</w:t>
      </w: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r>
        <w:rPr>
          <w:rFonts w:hint="eastAsia" w:ascii="仿宋_GB2312" w:hAnsi="仿宋_GB2312" w:eastAsia="仿宋_GB2312" w:cs="仿宋_GB2312"/>
          <w:spacing w:val="8"/>
          <w:sz w:val="32"/>
          <w:szCs w:val="32"/>
          <w:shd w:val="clear" w:color="auto" w:fill="FFFFFF"/>
        </w:rPr>
        <w:t>3、加强财务监控，对项目资金进行事前、事中、事后的检查分析，并形成监控报告，确保项目资金安全有效运行。</w:t>
      </w: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pStyle w:val="6"/>
        <w:widowControl/>
        <w:shd w:val="clear" w:color="auto" w:fill="FFFFFF"/>
        <w:spacing w:beforeAutospacing="0" w:afterAutospacing="0"/>
        <w:rPr>
          <w:rFonts w:hint="eastAsia" w:ascii="仿宋_GB2312" w:hAnsi="仿宋_GB2312" w:eastAsia="仿宋_GB2312" w:cs="仿宋_GB2312"/>
          <w:spacing w:val="8"/>
          <w:sz w:val="32"/>
          <w:szCs w:val="32"/>
          <w:shd w:val="clear" w:color="auto" w:fill="FFFFFF"/>
        </w:rPr>
      </w:pPr>
    </w:p>
    <w:p>
      <w:pPr>
        <w:numPr>
          <w:ilvl w:val="0"/>
          <w:numId w:val="0"/>
        </w:numPr>
        <w:adjustRightInd w:val="0"/>
        <w:snapToGrid w:val="0"/>
        <w:spacing w:line="580" w:lineRule="exact"/>
        <w:rPr>
          <w:rFonts w:ascii="仿宋_GB2312" w:hAnsi="仿宋_GB2312" w:eastAsia="仿宋_GB2312" w:cs="仿宋_GB2312"/>
          <w:sz w:val="32"/>
          <w:szCs w:val="32"/>
        </w:rPr>
      </w:pPr>
    </w:p>
    <w:tbl>
      <w:tblPr>
        <w:tblStyle w:val="7"/>
        <w:tblpPr w:leftFromText="180" w:rightFromText="180" w:vertAnchor="text" w:horzAnchor="page" w:tblpXSpec="center" w:tblpY="22"/>
        <w:tblW w:w="9142" w:type="dxa"/>
        <w:jc w:val="center"/>
        <w:tblLayout w:type="fixed"/>
        <w:tblCellMar>
          <w:top w:w="0" w:type="dxa"/>
          <w:left w:w="30" w:type="dxa"/>
          <w:bottom w:w="0" w:type="dxa"/>
          <w:right w:w="30" w:type="dxa"/>
        </w:tblCellMar>
      </w:tblPr>
      <w:tblGrid>
        <w:gridCol w:w="1478"/>
        <w:gridCol w:w="668"/>
        <w:gridCol w:w="802"/>
        <w:gridCol w:w="630"/>
        <w:gridCol w:w="4995"/>
        <w:gridCol w:w="569"/>
      </w:tblGrid>
      <w:tr>
        <w:tblPrEx>
          <w:tblCellMar>
            <w:top w:w="0" w:type="dxa"/>
            <w:left w:w="30" w:type="dxa"/>
            <w:bottom w:w="0" w:type="dxa"/>
            <w:right w:w="30" w:type="dxa"/>
          </w:tblCellMar>
        </w:tblPrEx>
        <w:trPr>
          <w:trHeight w:val="1143" w:hRule="atLeast"/>
          <w:jc w:val="center"/>
        </w:trPr>
        <w:tc>
          <w:tcPr>
            <w:tcW w:w="2146" w:type="dxa"/>
            <w:gridSpan w:val="2"/>
            <w:noWrap w:val="0"/>
            <w:vAlign w:val="top"/>
          </w:tcPr>
          <w:p>
            <w:pPr>
              <w:autoSpaceDE w:val="0"/>
              <w:autoSpaceDN w:val="0"/>
              <w:adjustRightInd w:val="0"/>
              <w:jc w:val="center"/>
              <w:rPr>
                <w:rFonts w:ascii="黑体" w:eastAsia="黑体" w:cs="黑体"/>
                <w:color w:val="000000"/>
                <w:kern w:val="0"/>
                <w:sz w:val="24"/>
              </w:rPr>
            </w:pPr>
          </w:p>
        </w:tc>
        <w:tc>
          <w:tcPr>
            <w:tcW w:w="6427" w:type="dxa"/>
            <w:gridSpan w:val="3"/>
            <w:noWrap w:val="0"/>
            <w:vAlign w:val="top"/>
          </w:tcPr>
          <w:p>
            <w:pPr>
              <w:spacing w:line="360" w:lineRule="auto"/>
              <w:jc w:val="center"/>
              <w:rPr>
                <w:rFonts w:ascii="宋体" w:cs="宋体"/>
                <w:b/>
                <w:bCs/>
                <w:color w:val="000000"/>
                <w:kern w:val="0"/>
                <w:sz w:val="44"/>
                <w:szCs w:val="32"/>
              </w:rPr>
            </w:pPr>
            <w:r>
              <w:rPr>
                <w:rFonts w:hint="eastAsia" w:ascii="宋体" w:cs="宋体"/>
                <w:b/>
                <w:bCs/>
                <w:color w:val="000000"/>
                <w:kern w:val="0"/>
                <w:sz w:val="44"/>
                <w:szCs w:val="32"/>
              </w:rPr>
              <w:t>石家庄市藁城区总工会部门自评工作考核表</w:t>
            </w:r>
          </w:p>
        </w:tc>
        <w:tc>
          <w:tcPr>
            <w:tcW w:w="569" w:type="dxa"/>
            <w:noWrap w:val="0"/>
            <w:vAlign w:val="top"/>
          </w:tcPr>
          <w:p>
            <w:pPr>
              <w:autoSpaceDE w:val="0"/>
              <w:autoSpaceDN w:val="0"/>
              <w:adjustRightInd w:val="0"/>
              <w:jc w:val="right"/>
              <w:rPr>
                <w:rFonts w:ascii="宋体" w:cs="宋体"/>
                <w:color w:val="000000"/>
                <w:kern w:val="0"/>
                <w:sz w:val="24"/>
              </w:rPr>
            </w:pPr>
          </w:p>
        </w:tc>
      </w:tr>
      <w:tr>
        <w:tblPrEx>
          <w:tblCellMar>
            <w:top w:w="0" w:type="dxa"/>
            <w:left w:w="30" w:type="dxa"/>
            <w:bottom w:w="0" w:type="dxa"/>
            <w:right w:w="30" w:type="dxa"/>
          </w:tblCellMar>
        </w:tblPrEx>
        <w:trPr>
          <w:trHeight w:val="705" w:hRule="atLeast"/>
          <w:jc w:val="center"/>
        </w:trPr>
        <w:tc>
          <w:tcPr>
            <w:tcW w:w="1478"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宋体" w:cs="宋体"/>
                <w:b/>
                <w:bCs/>
                <w:color w:val="000000"/>
                <w:kern w:val="0"/>
                <w:sz w:val="24"/>
              </w:rPr>
            </w:pPr>
            <w:r>
              <w:rPr>
                <w:rFonts w:hint="eastAsia" w:ascii="宋体" w:cs="宋体"/>
                <w:b/>
                <w:bCs/>
                <w:color w:val="000000"/>
                <w:kern w:val="0"/>
                <w:sz w:val="24"/>
              </w:rPr>
              <w:t>一、重点项目考核（50分）</w:t>
            </w:r>
          </w:p>
        </w:tc>
        <w:tc>
          <w:tcPr>
            <w:tcW w:w="7664" w:type="dxa"/>
            <w:gridSpan w:val="5"/>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eastAsia" w:ascii="宋体" w:cs="宋体"/>
                <w:b/>
                <w:bCs/>
                <w:color w:val="000000"/>
                <w:kern w:val="0"/>
                <w:sz w:val="24"/>
              </w:rPr>
            </w:pPr>
            <w:r>
              <w:rPr>
                <w:rFonts w:hint="eastAsia" w:ascii="宋体" w:cs="宋体"/>
                <w:b/>
                <w:bCs/>
                <w:color w:val="000000"/>
                <w:kern w:val="0"/>
                <w:sz w:val="24"/>
              </w:rPr>
              <w:t xml:space="preserve">  项目名称：</w:t>
            </w:r>
            <w:r>
              <w:rPr>
                <w:rFonts w:hint="eastAsia" w:ascii="宋体" w:cs="宋体"/>
                <w:bCs/>
                <w:color w:val="000000"/>
                <w:kern w:val="0"/>
                <w:sz w:val="24"/>
              </w:rPr>
              <w:t>维护职工合法权益-维权服务项目</w:t>
            </w:r>
          </w:p>
        </w:tc>
      </w:tr>
      <w:tr>
        <w:tblPrEx>
          <w:tblCellMar>
            <w:top w:w="0" w:type="dxa"/>
            <w:left w:w="30" w:type="dxa"/>
            <w:bottom w:w="0" w:type="dxa"/>
            <w:right w:w="30" w:type="dxa"/>
          </w:tblCellMar>
        </w:tblPrEx>
        <w:trPr>
          <w:trHeight w:val="570" w:hRule="atLeast"/>
          <w:jc w:val="center"/>
        </w:trPr>
        <w:tc>
          <w:tcPr>
            <w:tcW w:w="1478"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一级指标</w:t>
            </w: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二级指标</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分值</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计分标准</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宋体" w:cs="宋体"/>
                <w:b/>
                <w:bCs/>
                <w:color w:val="000000"/>
                <w:kern w:val="0"/>
                <w:sz w:val="24"/>
              </w:rPr>
            </w:pPr>
            <w:r>
              <w:rPr>
                <w:rFonts w:hint="eastAsia" w:ascii="宋体" w:cs="宋体"/>
                <w:b/>
                <w:bCs/>
                <w:color w:val="000000"/>
                <w:kern w:val="0"/>
                <w:sz w:val="24"/>
              </w:rPr>
              <w:t>得分</w:t>
            </w:r>
          </w:p>
        </w:tc>
      </w:tr>
      <w:tr>
        <w:tblPrEx>
          <w:tblCellMar>
            <w:top w:w="0" w:type="dxa"/>
            <w:left w:w="30" w:type="dxa"/>
            <w:bottom w:w="0" w:type="dxa"/>
            <w:right w:w="30" w:type="dxa"/>
          </w:tblCellMar>
        </w:tblPrEx>
        <w:trPr>
          <w:trHeight w:val="1071" w:hRule="atLeast"/>
          <w:jc w:val="center"/>
        </w:trPr>
        <w:tc>
          <w:tcPr>
            <w:tcW w:w="1478" w:type="dxa"/>
            <w:vMerge w:val="restart"/>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自评工作准备</w:t>
            </w:r>
            <w:r>
              <w:rPr>
                <w:rFonts w:ascii="华文细黑" w:eastAsia="华文细黑" w:cs="华文细黑"/>
                <w:color w:val="000000"/>
                <w:kern w:val="0"/>
                <w:sz w:val="20"/>
              </w:rPr>
              <w:t xml:space="preserve">      </w:t>
            </w:r>
          </w:p>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w:t>
            </w:r>
            <w:r>
              <w:rPr>
                <w:rFonts w:ascii="华文细黑" w:eastAsia="华文细黑" w:cs="华文细黑"/>
                <w:color w:val="000000"/>
                <w:kern w:val="0"/>
                <w:sz w:val="20"/>
              </w:rPr>
              <w:t>1</w:t>
            </w:r>
            <w:r>
              <w:rPr>
                <w:rFonts w:hint="eastAsia" w:ascii="华文细黑" w:eastAsia="华文细黑" w:cs="华文细黑"/>
                <w:color w:val="000000"/>
                <w:kern w:val="0"/>
                <w:sz w:val="20"/>
              </w:rPr>
              <w:t>0分）</w:t>
            </w: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rPr>
            </w:pPr>
            <w:r>
              <w:rPr>
                <w:rFonts w:ascii="华文细黑" w:eastAsia="华文细黑" w:cs="华文细黑"/>
                <w:color w:val="000000"/>
                <w:kern w:val="0"/>
                <w:sz w:val="20"/>
              </w:rPr>
              <w:t>1</w:t>
            </w:r>
            <w:r>
              <w:rPr>
                <w:rFonts w:hint="eastAsia" w:ascii="华文细黑" w:eastAsia="华文细黑" w:cs="华文细黑"/>
                <w:color w:val="000000"/>
                <w:kern w:val="0"/>
                <w:sz w:val="20"/>
              </w:rPr>
              <w:t>、成立自评工作组</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ascii="华文细黑" w:eastAsia="华文细黑" w:cs="华文细黑"/>
                <w:color w:val="000000"/>
                <w:kern w:val="0"/>
                <w:sz w:val="20"/>
              </w:rPr>
              <w:t>5</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成立自评工作组，工作组组长由自评工作承担单位主管领导担任，成员包括项目主管部门、财务主管部门和实施单位相关人员。</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5</w:t>
            </w:r>
          </w:p>
        </w:tc>
      </w:tr>
      <w:tr>
        <w:tblPrEx>
          <w:tblCellMar>
            <w:top w:w="0" w:type="dxa"/>
            <w:left w:w="30" w:type="dxa"/>
            <w:bottom w:w="0" w:type="dxa"/>
            <w:right w:w="30" w:type="dxa"/>
          </w:tblCellMar>
        </w:tblPrEx>
        <w:trPr>
          <w:trHeight w:val="1106" w:hRule="atLeast"/>
          <w:jc w:val="center"/>
        </w:trPr>
        <w:tc>
          <w:tcPr>
            <w:tcW w:w="1478" w:type="dxa"/>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rPr>
            </w:pPr>
            <w:r>
              <w:rPr>
                <w:rFonts w:ascii="华文细黑" w:eastAsia="华文细黑" w:cs="华文细黑"/>
                <w:color w:val="000000"/>
                <w:kern w:val="0"/>
                <w:sz w:val="20"/>
              </w:rPr>
              <w:t>2</w:t>
            </w:r>
            <w:r>
              <w:rPr>
                <w:rFonts w:hint="eastAsia" w:ascii="华文细黑" w:eastAsia="华文细黑" w:cs="华文细黑"/>
                <w:color w:val="000000"/>
                <w:kern w:val="0"/>
                <w:sz w:val="20"/>
              </w:rPr>
              <w:t>、自评工作方案科学完整</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5</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自评工作方案应包括以下内容：项目概况、项目绩效目标、评价政策依据及数据资料、绩效评价指标体系及评价标准方法、自评工作流程和时间步骤等内容。</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5</w:t>
            </w:r>
          </w:p>
        </w:tc>
      </w:tr>
      <w:tr>
        <w:tblPrEx>
          <w:tblCellMar>
            <w:top w:w="0" w:type="dxa"/>
            <w:left w:w="30" w:type="dxa"/>
            <w:bottom w:w="0" w:type="dxa"/>
            <w:right w:w="30" w:type="dxa"/>
          </w:tblCellMar>
        </w:tblPrEx>
        <w:trPr>
          <w:trHeight w:val="1163" w:hRule="atLeast"/>
          <w:jc w:val="center"/>
        </w:trPr>
        <w:tc>
          <w:tcPr>
            <w:tcW w:w="1478" w:type="dxa"/>
            <w:vMerge w:val="restart"/>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自评工作的组织实施</w:t>
            </w:r>
          </w:p>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（15分）</w:t>
            </w: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rPr>
            </w:pPr>
            <w:r>
              <w:rPr>
                <w:rFonts w:ascii="华文细黑" w:eastAsia="华文细黑" w:cs="华文细黑"/>
                <w:color w:val="000000"/>
                <w:kern w:val="0"/>
                <w:sz w:val="20"/>
              </w:rPr>
              <w:t>3</w:t>
            </w:r>
            <w:r>
              <w:rPr>
                <w:rFonts w:hint="eastAsia" w:ascii="华文细黑" w:eastAsia="华文细黑" w:cs="华文细黑"/>
                <w:color w:val="000000"/>
                <w:kern w:val="0"/>
                <w:sz w:val="20"/>
              </w:rPr>
              <w:t>、评价资料收集和初审</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pPr>
            <w:r>
              <w:rPr>
                <w:rFonts w:ascii="华文细黑" w:eastAsia="华文细黑" w:cs="华文细黑"/>
                <w:color w:val="000000"/>
                <w:kern w:val="0"/>
                <w:sz w:val="20"/>
              </w:rPr>
              <w:t>5</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根据评价工作要求，全面收集评价所需基础信息资料（包括被评价单位的基本概况、财政资金的使用情况和绩效自评资料等），对资料进行分类整理、审查和分析（以工作底稿或工作记录为准）。</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5</w:t>
            </w:r>
          </w:p>
        </w:tc>
      </w:tr>
      <w:tr>
        <w:tblPrEx>
          <w:tblCellMar>
            <w:top w:w="0" w:type="dxa"/>
            <w:left w:w="30" w:type="dxa"/>
            <w:bottom w:w="0" w:type="dxa"/>
            <w:right w:w="30" w:type="dxa"/>
          </w:tblCellMar>
        </w:tblPrEx>
        <w:trPr>
          <w:trHeight w:val="779" w:hRule="atLeast"/>
          <w:jc w:val="center"/>
        </w:trPr>
        <w:tc>
          <w:tcPr>
            <w:tcW w:w="1478" w:type="dxa"/>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ascii="华文细黑" w:eastAsia="华文细黑" w:cs="华文细黑"/>
                <w:color w:val="000000"/>
                <w:kern w:val="0"/>
                <w:sz w:val="20"/>
              </w:rPr>
            </w:pP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rPr>
            </w:pPr>
            <w:r>
              <w:rPr>
                <w:rFonts w:hint="eastAsia" w:ascii="华文细黑" w:eastAsia="华文细黑" w:cs="华文细黑"/>
                <w:color w:val="000000"/>
                <w:kern w:val="0"/>
                <w:sz w:val="20"/>
              </w:rPr>
              <w:t>4、现场核查</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5</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到项目实施现场勘察、核实所掌握的有关信息资料（以工作底稿或工作记录为准），满足评价工作需要。</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5</w:t>
            </w:r>
          </w:p>
        </w:tc>
      </w:tr>
      <w:tr>
        <w:tblPrEx>
          <w:tblCellMar>
            <w:top w:w="0" w:type="dxa"/>
            <w:left w:w="30" w:type="dxa"/>
            <w:bottom w:w="0" w:type="dxa"/>
            <w:right w:w="30" w:type="dxa"/>
          </w:tblCellMar>
        </w:tblPrEx>
        <w:trPr>
          <w:trHeight w:val="1056" w:hRule="atLeast"/>
          <w:jc w:val="center"/>
        </w:trPr>
        <w:tc>
          <w:tcPr>
            <w:tcW w:w="1478" w:type="dxa"/>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ascii="华文细黑" w:eastAsia="华文细黑" w:cs="华文细黑"/>
                <w:color w:val="000000"/>
                <w:kern w:val="0"/>
                <w:sz w:val="20"/>
              </w:rPr>
            </w:pP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5、综合分析评价</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5</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按照工作方案确定的评价指标体系、评价标准和评价方法，依据所收集的资料，对评价对象的绩效情况进行量、定性分析和综合评价，形成评价结论。</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5</w:t>
            </w:r>
          </w:p>
        </w:tc>
      </w:tr>
      <w:tr>
        <w:tblPrEx>
          <w:tblCellMar>
            <w:top w:w="0" w:type="dxa"/>
            <w:left w:w="30" w:type="dxa"/>
            <w:bottom w:w="0" w:type="dxa"/>
            <w:right w:w="30" w:type="dxa"/>
          </w:tblCellMar>
        </w:tblPrEx>
        <w:trPr>
          <w:trHeight w:val="979" w:hRule="atLeast"/>
          <w:jc w:val="center"/>
        </w:trPr>
        <w:tc>
          <w:tcPr>
            <w:tcW w:w="1478" w:type="dxa"/>
            <w:vMerge w:val="restart"/>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自评报告</w:t>
            </w:r>
            <w:r>
              <w:rPr>
                <w:rFonts w:ascii="华文细黑" w:eastAsia="华文细黑" w:cs="华文细黑"/>
                <w:color w:val="000000"/>
                <w:kern w:val="0"/>
                <w:sz w:val="20"/>
              </w:rPr>
              <w:t xml:space="preserve">        </w:t>
            </w:r>
          </w:p>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（25分）</w:t>
            </w: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6、评价项目基本情况</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5</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评价项目基本情况应包括以下三方面内容：自评内容和范围、财政资金预算安排及资金分配</w:t>
            </w:r>
            <w:r>
              <w:rPr>
                <w:rFonts w:hint="eastAsia" w:ascii="华文细黑" w:eastAsia="华文细黑" w:cs="华文细黑"/>
                <w:color w:val="000000"/>
                <w:kern w:val="0"/>
                <w:sz w:val="20"/>
                <w:lang w:eastAsia="zh-CN"/>
              </w:rPr>
              <w:t>拨付</w:t>
            </w:r>
            <w:r>
              <w:rPr>
                <w:rFonts w:hint="eastAsia" w:ascii="华文细黑" w:eastAsia="华文细黑" w:cs="华文细黑"/>
                <w:color w:val="000000"/>
                <w:kern w:val="0"/>
                <w:sz w:val="20"/>
              </w:rPr>
              <w:t>情况、资金政策组织实施或落实情况。</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5</w:t>
            </w:r>
          </w:p>
        </w:tc>
      </w:tr>
      <w:tr>
        <w:tblPrEx>
          <w:tblCellMar>
            <w:top w:w="0" w:type="dxa"/>
            <w:left w:w="30" w:type="dxa"/>
            <w:bottom w:w="0" w:type="dxa"/>
            <w:right w:w="30" w:type="dxa"/>
          </w:tblCellMar>
        </w:tblPrEx>
        <w:trPr>
          <w:trHeight w:val="874" w:hRule="atLeast"/>
          <w:jc w:val="center"/>
        </w:trPr>
        <w:tc>
          <w:tcPr>
            <w:tcW w:w="1478" w:type="dxa"/>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rPr>
            </w:pP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7、自评工作过程</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5</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评价报告中要对自评工作过程进行说明，即对前期准备、组织实施、分析评价过程进行说明。</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5</w:t>
            </w:r>
          </w:p>
        </w:tc>
      </w:tr>
      <w:tr>
        <w:tblPrEx>
          <w:tblCellMar>
            <w:top w:w="0" w:type="dxa"/>
            <w:left w:w="30" w:type="dxa"/>
            <w:bottom w:w="0" w:type="dxa"/>
            <w:right w:w="30" w:type="dxa"/>
          </w:tblCellMar>
        </w:tblPrEx>
        <w:trPr>
          <w:trHeight w:val="964" w:hRule="atLeast"/>
          <w:jc w:val="center"/>
        </w:trPr>
        <w:tc>
          <w:tcPr>
            <w:tcW w:w="1478" w:type="dxa"/>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rPr>
            </w:pP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8、综合评价等级和评价结论</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5</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对各项绩效指标进行分析，重点分析说明评价对象在经济、社会、环境效益等方面情况，在此基础上得出客观真实评价结论的得5分</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5</w:t>
            </w:r>
          </w:p>
        </w:tc>
      </w:tr>
      <w:tr>
        <w:tblPrEx>
          <w:tblCellMar>
            <w:top w:w="0" w:type="dxa"/>
            <w:left w:w="30" w:type="dxa"/>
            <w:bottom w:w="0" w:type="dxa"/>
            <w:right w:w="30" w:type="dxa"/>
          </w:tblCellMar>
        </w:tblPrEx>
        <w:trPr>
          <w:trHeight w:val="844" w:hRule="atLeast"/>
          <w:jc w:val="center"/>
        </w:trPr>
        <w:tc>
          <w:tcPr>
            <w:tcW w:w="1478" w:type="dxa"/>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rPr>
            </w:pP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9、自评中发现的问题</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5</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对自评中发现的问题进行分类分析、逐项列示。披露的问题要数据准确、定性明确、依据充分。</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5</w:t>
            </w:r>
          </w:p>
        </w:tc>
      </w:tr>
      <w:tr>
        <w:tblPrEx>
          <w:tblCellMar>
            <w:top w:w="0" w:type="dxa"/>
            <w:left w:w="30" w:type="dxa"/>
            <w:bottom w:w="0" w:type="dxa"/>
            <w:right w:w="30" w:type="dxa"/>
          </w:tblCellMar>
        </w:tblPrEx>
        <w:trPr>
          <w:trHeight w:val="1236" w:hRule="atLeast"/>
          <w:jc w:val="center"/>
        </w:trPr>
        <w:tc>
          <w:tcPr>
            <w:tcW w:w="1478" w:type="dxa"/>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rPr>
            </w:pP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ascii="华文细黑" w:eastAsia="华文细黑" w:cs="华文细黑"/>
                <w:color w:val="000000"/>
                <w:kern w:val="0"/>
                <w:sz w:val="20"/>
              </w:rPr>
              <w:t>1</w:t>
            </w:r>
            <w:r>
              <w:rPr>
                <w:rFonts w:hint="eastAsia" w:ascii="华文细黑" w:eastAsia="华文细黑" w:cs="华文细黑"/>
                <w:color w:val="000000"/>
                <w:kern w:val="0"/>
                <w:sz w:val="20"/>
              </w:rPr>
              <w:t>0、自评结果应用</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5</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根据自评结果及存在的问题，提出整改和问责意见；对涉及财政违法问题，依据有关规定提出处罚意见或移送处理意见；提出下年度预算安排建议。</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5</w:t>
            </w:r>
          </w:p>
        </w:tc>
      </w:tr>
      <w:tr>
        <w:tblPrEx>
          <w:tblCellMar>
            <w:top w:w="0" w:type="dxa"/>
            <w:left w:w="30" w:type="dxa"/>
            <w:bottom w:w="0" w:type="dxa"/>
            <w:right w:w="30" w:type="dxa"/>
          </w:tblCellMar>
        </w:tblPrEx>
        <w:trPr>
          <w:trHeight w:val="392" w:hRule="atLeast"/>
          <w:jc w:val="center"/>
        </w:trPr>
        <w:tc>
          <w:tcPr>
            <w:tcW w:w="8573" w:type="dxa"/>
            <w:gridSpan w:val="5"/>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b/>
                <w:bCs/>
                <w:color w:val="000000"/>
                <w:kern w:val="0"/>
                <w:sz w:val="20"/>
              </w:rPr>
              <w:t>小计</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ascii="华文细黑" w:eastAsia="华文细黑" w:cs="华文细黑"/>
                <w:color w:val="000000"/>
                <w:kern w:val="0"/>
                <w:sz w:val="20"/>
              </w:rPr>
            </w:pPr>
          </w:p>
        </w:tc>
      </w:tr>
      <w:tr>
        <w:tblPrEx>
          <w:tblCellMar>
            <w:top w:w="0" w:type="dxa"/>
            <w:left w:w="30" w:type="dxa"/>
            <w:bottom w:w="0" w:type="dxa"/>
            <w:right w:w="30" w:type="dxa"/>
          </w:tblCellMar>
        </w:tblPrEx>
        <w:trPr>
          <w:trHeight w:val="724" w:hRule="atLeast"/>
          <w:jc w:val="center"/>
        </w:trPr>
        <w:tc>
          <w:tcPr>
            <w:tcW w:w="1478" w:type="dxa"/>
            <w:vMerge w:val="restart"/>
            <w:tcBorders>
              <w:top w:val="single" w:color="auto" w:sz="4" w:space="0"/>
              <w:left w:val="single" w:color="auto" w:sz="4" w:space="0"/>
              <w:bottom w:val="single" w:color="auto" w:sz="4" w:space="0"/>
              <w:right w:val="single" w:color="auto" w:sz="4" w:space="0"/>
            </w:tcBorders>
            <w:noWrap w:val="0"/>
            <w:vAlign w:val="center"/>
          </w:tcPr>
          <w:p>
            <w:pPr>
              <w:numPr>
                <w:ilvl w:val="0"/>
                <w:numId w:val="3"/>
              </w:numPr>
              <w:autoSpaceDE w:val="0"/>
              <w:autoSpaceDN w:val="0"/>
              <w:adjustRightInd w:val="0"/>
              <w:jc w:val="center"/>
              <w:rPr>
                <w:rFonts w:hint="eastAsia" w:ascii="宋体" w:cs="宋体"/>
                <w:b/>
                <w:bCs/>
                <w:color w:val="000000"/>
                <w:kern w:val="0"/>
                <w:sz w:val="24"/>
              </w:rPr>
            </w:pPr>
            <w:r>
              <w:rPr>
                <w:rFonts w:hint="eastAsia" w:ascii="宋体" w:cs="宋体"/>
                <w:b/>
                <w:bCs/>
                <w:color w:val="000000"/>
                <w:kern w:val="0"/>
                <w:sz w:val="24"/>
              </w:rPr>
              <w:t>自评工作整体考核</w:t>
            </w:r>
          </w:p>
          <w:p>
            <w:pPr>
              <w:autoSpaceDE w:val="0"/>
              <w:autoSpaceDN w:val="0"/>
              <w:adjustRightInd w:val="0"/>
              <w:jc w:val="center"/>
              <w:rPr>
                <w:rFonts w:hint="eastAsia" w:ascii="华文细黑" w:eastAsia="华文细黑" w:cs="华文细黑"/>
                <w:color w:val="000000"/>
                <w:kern w:val="0"/>
                <w:sz w:val="20"/>
              </w:rPr>
            </w:pPr>
            <w:r>
              <w:rPr>
                <w:rFonts w:hint="eastAsia" w:ascii="宋体" w:cs="宋体"/>
                <w:b/>
                <w:bCs/>
                <w:color w:val="000000"/>
                <w:kern w:val="0"/>
                <w:sz w:val="24"/>
              </w:rPr>
              <w:t>得分（50分）</w:t>
            </w: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11、报送及时性</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20</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此项得分=及时报送自评材料项目数/应自评项目数×20%。</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10</w:t>
            </w:r>
          </w:p>
        </w:tc>
      </w:tr>
      <w:tr>
        <w:tblPrEx>
          <w:tblCellMar>
            <w:top w:w="0" w:type="dxa"/>
            <w:left w:w="30" w:type="dxa"/>
            <w:bottom w:w="0" w:type="dxa"/>
            <w:right w:w="30" w:type="dxa"/>
          </w:tblCellMar>
        </w:tblPrEx>
        <w:trPr>
          <w:trHeight w:val="1206" w:hRule="atLeast"/>
          <w:jc w:val="center"/>
        </w:trPr>
        <w:tc>
          <w:tcPr>
            <w:tcW w:w="1478" w:type="dxa"/>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宋体" w:cs="宋体"/>
                <w:b/>
                <w:bCs/>
                <w:color w:val="000000"/>
                <w:kern w:val="0"/>
                <w:sz w:val="24"/>
              </w:rPr>
            </w:pPr>
            <w:r>
              <w:rPr>
                <w:rFonts w:hint="eastAsia" w:ascii="宋体" w:cs="宋体"/>
                <w:b/>
                <w:bCs/>
                <w:color w:val="000000"/>
                <w:kern w:val="0"/>
                <w:sz w:val="24"/>
              </w:rPr>
              <w:t>一个下午</w:t>
            </w: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12、完整性</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10</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各预算单位应按第十三条要求上报各项目自评报表、年度自评工作报告、重点项目自评报告（含佐证材料），每缺少一个项目自评报表扣1分，缺少年度自评工作报告或重点项目自评报告扣2分，扣完即止。</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10</w:t>
            </w:r>
          </w:p>
        </w:tc>
      </w:tr>
      <w:tr>
        <w:tblPrEx>
          <w:tblCellMar>
            <w:top w:w="0" w:type="dxa"/>
            <w:left w:w="30" w:type="dxa"/>
            <w:bottom w:w="0" w:type="dxa"/>
            <w:right w:w="30" w:type="dxa"/>
          </w:tblCellMar>
        </w:tblPrEx>
        <w:trPr>
          <w:trHeight w:val="854" w:hRule="atLeast"/>
          <w:jc w:val="center"/>
        </w:trPr>
        <w:tc>
          <w:tcPr>
            <w:tcW w:w="1478" w:type="dxa"/>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13、真实性</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10</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各预算单位对自评结果的真实性负责，考核每发现一个项目自评结果不真实扣1分，扣完即止。</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10</w:t>
            </w:r>
          </w:p>
        </w:tc>
      </w:tr>
      <w:tr>
        <w:tblPrEx>
          <w:tblCellMar>
            <w:top w:w="0" w:type="dxa"/>
            <w:left w:w="30" w:type="dxa"/>
            <w:bottom w:w="0" w:type="dxa"/>
            <w:right w:w="30" w:type="dxa"/>
          </w:tblCellMar>
        </w:tblPrEx>
        <w:trPr>
          <w:trHeight w:val="901" w:hRule="atLeast"/>
          <w:jc w:val="center"/>
        </w:trPr>
        <w:tc>
          <w:tcPr>
            <w:tcW w:w="1478" w:type="dxa"/>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p>
        </w:tc>
        <w:tc>
          <w:tcPr>
            <w:tcW w:w="147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14、自评结果公开情况</w:t>
            </w:r>
          </w:p>
        </w:tc>
        <w:tc>
          <w:tcPr>
            <w:tcW w:w="63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ascii="华文细黑" w:eastAsia="华文细黑" w:cs="华文细黑"/>
                <w:color w:val="000000"/>
                <w:kern w:val="0"/>
                <w:sz w:val="20"/>
              </w:rPr>
              <w:t>10</w:t>
            </w:r>
          </w:p>
        </w:tc>
        <w:tc>
          <w:tcPr>
            <w:tcW w:w="499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rPr>
            </w:pPr>
            <w:r>
              <w:rPr>
                <w:rFonts w:hint="eastAsia" w:ascii="华文细黑" w:eastAsia="华文细黑" w:cs="华文细黑"/>
                <w:color w:val="000000"/>
                <w:kern w:val="0"/>
                <w:sz w:val="20"/>
              </w:rPr>
              <w:t>各预算单位应主动公开所有专项项目自评结果，此项得分=实际公开项目数/应自评项目数×10%。</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10</w:t>
            </w:r>
          </w:p>
        </w:tc>
      </w:tr>
      <w:tr>
        <w:tblPrEx>
          <w:tblCellMar>
            <w:top w:w="0" w:type="dxa"/>
            <w:left w:w="30" w:type="dxa"/>
            <w:bottom w:w="0" w:type="dxa"/>
            <w:right w:w="30" w:type="dxa"/>
          </w:tblCellMar>
        </w:tblPrEx>
        <w:trPr>
          <w:trHeight w:val="492" w:hRule="atLeast"/>
          <w:jc w:val="center"/>
        </w:trPr>
        <w:tc>
          <w:tcPr>
            <w:tcW w:w="8573" w:type="dxa"/>
            <w:gridSpan w:val="5"/>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b/>
                <w:bCs/>
                <w:sz w:val="24"/>
                <w:szCs w:val="22"/>
              </w:rPr>
            </w:pPr>
            <w:r>
              <w:rPr>
                <w:rFonts w:hint="eastAsia" w:ascii="华文细黑" w:eastAsia="华文细黑" w:cs="华文细黑"/>
                <w:b/>
                <w:bCs/>
                <w:color w:val="000000"/>
                <w:kern w:val="0"/>
                <w:sz w:val="20"/>
              </w:rPr>
              <w:t>小计</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rPr>
            </w:pPr>
            <w:r>
              <w:rPr>
                <w:rFonts w:hint="eastAsia" w:ascii="华文细黑" w:eastAsia="华文细黑" w:cs="华文细黑"/>
                <w:color w:val="000000"/>
                <w:kern w:val="0"/>
                <w:sz w:val="20"/>
              </w:rPr>
              <w:t>90</w:t>
            </w:r>
          </w:p>
        </w:tc>
      </w:tr>
      <w:tr>
        <w:tblPrEx>
          <w:tblCellMar>
            <w:top w:w="0" w:type="dxa"/>
            <w:left w:w="30" w:type="dxa"/>
            <w:bottom w:w="0" w:type="dxa"/>
            <w:right w:w="30" w:type="dxa"/>
          </w:tblCellMar>
        </w:tblPrEx>
        <w:trPr>
          <w:trHeight w:val="592" w:hRule="atLeast"/>
          <w:jc w:val="center"/>
        </w:trPr>
        <w:tc>
          <w:tcPr>
            <w:tcW w:w="8573" w:type="dxa"/>
            <w:gridSpan w:val="5"/>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rPr>
            </w:pPr>
            <w:r>
              <w:rPr>
                <w:rFonts w:hint="eastAsia"/>
                <w:b/>
                <w:bCs/>
                <w:sz w:val="24"/>
                <w:szCs w:val="22"/>
              </w:rPr>
              <w:t>总分（共100分，总分=重点项目考核得分+</w:t>
            </w:r>
            <w:r>
              <w:rPr>
                <w:rFonts w:hint="eastAsia" w:ascii="宋体" w:cs="宋体"/>
                <w:b/>
                <w:bCs/>
                <w:color w:val="000000"/>
                <w:kern w:val="0"/>
                <w:sz w:val="24"/>
              </w:rPr>
              <w:t>自评工作整体考核得分</w:t>
            </w:r>
            <w:r>
              <w:rPr>
                <w:rFonts w:hint="eastAsia"/>
                <w:b/>
                <w:bCs/>
                <w:sz w:val="24"/>
                <w:szCs w:val="22"/>
              </w:rPr>
              <w:t>）</w:t>
            </w:r>
          </w:p>
        </w:tc>
        <w:tc>
          <w:tcPr>
            <w:tcW w:w="569" w:type="dxa"/>
            <w:tcBorders>
              <w:top w:val="single" w:color="auto" w:sz="4" w:space="0"/>
              <w:left w:val="single" w:color="auto" w:sz="4" w:space="0"/>
              <w:bottom w:val="single" w:color="auto" w:sz="4" w:space="0"/>
              <w:right w:val="single" w:color="auto" w:sz="4" w:space="0"/>
            </w:tcBorders>
            <w:noWrap w:val="0"/>
            <w:vAlign w:val="center"/>
          </w:tcPr>
          <w:p>
            <w:pPr>
              <w:tabs>
                <w:tab w:val="left" w:pos="7032"/>
              </w:tabs>
              <w:jc w:val="center"/>
              <w:rPr>
                <w:rFonts w:ascii="华文细黑" w:eastAsia="华文细黑" w:cs="华文细黑"/>
                <w:color w:val="000000"/>
                <w:kern w:val="0"/>
                <w:sz w:val="20"/>
              </w:rPr>
            </w:pPr>
            <w:r>
              <w:rPr>
                <w:rFonts w:hint="eastAsia" w:ascii="华文细黑" w:eastAsia="华文细黑" w:cs="华文细黑"/>
                <w:color w:val="000000"/>
                <w:kern w:val="0"/>
                <w:sz w:val="20"/>
              </w:rPr>
              <w:t>90</w:t>
            </w:r>
          </w:p>
        </w:tc>
      </w:tr>
    </w:tbl>
    <w:p>
      <w:pPr>
        <w:numPr>
          <w:ilvl w:val="0"/>
          <w:numId w:val="0"/>
        </w:numPr>
        <w:adjustRightInd w:val="0"/>
        <w:snapToGrid w:val="0"/>
        <w:spacing w:line="580" w:lineRule="exact"/>
        <w:rPr>
          <w:rFonts w:ascii="仿宋_GB2312" w:hAnsi="仿宋_GB2312" w:eastAsia="仿宋_GB2312" w:cs="仿宋_GB2312"/>
          <w:sz w:val="32"/>
          <w:szCs w:val="32"/>
        </w:rPr>
      </w:pPr>
    </w:p>
    <w:p>
      <w:pPr>
        <w:sectPr>
          <w:footerReference r:id="rId17" w:type="default"/>
          <w:type w:val="continuous"/>
          <w:pgSz w:w="11906" w:h="16838"/>
          <w:pgMar w:top="2155" w:right="1474" w:bottom="1985" w:left="1588" w:header="851" w:footer="992" w:gutter="0"/>
          <w:cols w:space="720" w:num="1"/>
          <w:docGrid w:type="lines" w:linePitch="312" w:charSpace="0"/>
        </w:sectPr>
      </w:pPr>
    </w:p>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0"/>
        </w:numPr>
        <w:adjustRightInd w:val="0"/>
        <w:snapToGrid w:val="0"/>
        <w:spacing w:line="580" w:lineRule="exact"/>
        <w:rPr>
          <w:rFonts w:ascii="仿宋_GB2312" w:hAnsi="仿宋_GB2312" w:eastAsia="仿宋_GB2312" w:cs="仿宋_GB2312"/>
          <w:sz w:val="32"/>
          <w:szCs w:val="32"/>
        </w:rPr>
      </w:pPr>
      <w:bookmarkStart w:id="0" w:name="_GoBack"/>
      <w:bookmarkEnd w:id="0"/>
    </w:p>
    <w:p>
      <w:pPr>
        <w:numPr>
          <w:ilvl w:val="0"/>
          <w:numId w:val="0"/>
        </w:numPr>
        <w:adjustRightInd w:val="0"/>
        <w:snapToGrid w:val="0"/>
        <w:spacing w:line="580" w:lineRule="exact"/>
        <w:rPr>
          <w:rFonts w:ascii="仿宋_GB2312" w:hAnsi="仿宋_GB2312" w:eastAsia="仿宋_GB2312" w:cs="仿宋_GB2312"/>
          <w:sz w:val="32"/>
          <w:szCs w:val="32"/>
        </w:rPr>
      </w:pPr>
    </w:p>
    <w:p>
      <w:pPr>
        <w:adjustRightInd w:val="0"/>
        <w:snapToGrid w:val="0"/>
        <w:spacing w:line="620" w:lineRule="exact"/>
        <w:ind w:firstLine="640" w:firstLineChars="200"/>
        <w:rPr>
          <w:rFonts w:hint="eastAsia" w:ascii="仿宋_GB2312" w:hAnsi="仿宋_GB2312" w:eastAsia="仿宋_GB2312" w:cs="仿宋_GB2312"/>
          <w:sz w:val="32"/>
          <w:szCs w:val="32"/>
        </w:rPr>
      </w:pPr>
      <w:r>
        <w:rPr>
          <w:rFonts w:hint="eastAsia" w:ascii="仿宋_GB2312" w:hAnsi="仿宋" w:eastAsia="仿宋_GB2312"/>
          <w:sz w:val="32"/>
          <w:szCs w:val="32"/>
          <w:lang w:eastAsia="zh-CN"/>
        </w:rPr>
        <w:t>易地建设费</w:t>
      </w:r>
      <w:r>
        <w:rPr>
          <w:rFonts w:hint="eastAsia" w:ascii="仿宋_GB2312" w:hAnsi="仿宋" w:eastAsia="仿宋_GB2312"/>
          <w:sz w:val="32"/>
          <w:szCs w:val="32"/>
        </w:rPr>
        <w:t>项目</w:t>
      </w:r>
      <w:r>
        <w:rPr>
          <w:rFonts w:hint="eastAsia" w:ascii="仿宋_GB2312" w:hAnsi="仿宋_GB2312" w:eastAsia="仿宋_GB2312" w:cs="仿宋_GB2312"/>
          <w:sz w:val="32"/>
          <w:szCs w:val="32"/>
        </w:rPr>
        <w:t>自评综述：根据年初设定的绩效目标，</w:t>
      </w:r>
      <w:r>
        <w:rPr>
          <w:rFonts w:hint="eastAsia" w:ascii="仿宋_GB2312" w:hAnsi="仿宋" w:eastAsia="仿宋_GB2312"/>
          <w:sz w:val="32"/>
          <w:szCs w:val="32"/>
          <w:lang w:eastAsia="zh-CN"/>
        </w:rPr>
        <w:t>易地建设费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61.79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61.79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p>
    <w:p>
      <w:pPr>
        <w:adjustRightInd w:val="0"/>
        <w:snapToGrid w:val="0"/>
        <w:spacing w:line="6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项目投入</w:t>
      </w:r>
    </w:p>
    <w:p>
      <w:pPr>
        <w:adjustRightInd w:val="0"/>
        <w:snapToGrid w:val="0"/>
        <w:spacing w:line="6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项目产出</w:t>
      </w:r>
    </w:p>
    <w:p>
      <w:pPr>
        <w:adjustRightInd w:val="0"/>
        <w:snapToGrid w:val="0"/>
        <w:spacing w:line="6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对项目的实际完成率、完成及时率、质量达标率、成本节约率等情况进行分析后，根据指标体系评分标准计算分值。</w:t>
      </w:r>
    </w:p>
    <w:p>
      <w:pPr>
        <w:pStyle w:val="15"/>
        <w:numPr>
          <w:ilvl w:val="0"/>
          <w:numId w:val="4"/>
        </w:numPr>
        <w:adjustRightInd w:val="0"/>
        <w:snapToGrid w:val="0"/>
        <w:spacing w:line="620" w:lineRule="exact"/>
        <w:ind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项目的市级完成率达到100%，得20分</w:t>
      </w:r>
    </w:p>
    <w:p>
      <w:pPr>
        <w:pStyle w:val="15"/>
        <w:numPr>
          <w:ilvl w:val="0"/>
          <w:numId w:val="4"/>
        </w:numPr>
        <w:adjustRightInd w:val="0"/>
        <w:snapToGrid w:val="0"/>
        <w:spacing w:line="620" w:lineRule="exact"/>
        <w:ind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项目完成质量达标率达到90%，得9分。</w:t>
      </w:r>
    </w:p>
    <w:p>
      <w:pPr>
        <w:pStyle w:val="15"/>
        <w:numPr>
          <w:ilvl w:val="0"/>
          <w:numId w:val="4"/>
        </w:numPr>
        <w:adjustRightInd w:val="0"/>
        <w:snapToGrid w:val="0"/>
        <w:spacing w:line="620" w:lineRule="exact"/>
        <w:ind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项目的完成及时率达到90%，得9分。</w:t>
      </w:r>
    </w:p>
    <w:p>
      <w:pPr>
        <w:adjustRightInd w:val="0"/>
        <w:snapToGrid w:val="0"/>
        <w:spacing w:line="620" w:lineRule="exact"/>
        <w:ind w:left="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总分38分</w:t>
      </w:r>
    </w:p>
    <w:p>
      <w:pPr>
        <w:adjustRightInd w:val="0"/>
        <w:snapToGrid w:val="0"/>
        <w:spacing w:line="620" w:lineRule="exact"/>
        <w:ind w:left="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项目的预算执行率达到100%，得10分</w:t>
      </w:r>
    </w:p>
    <w:p>
      <w:pPr>
        <w:adjustRightInd w:val="0"/>
        <w:snapToGrid w:val="0"/>
        <w:spacing w:line="620" w:lineRule="exact"/>
        <w:ind w:left="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项目的社会效益指标达到95%，得38分</w:t>
      </w:r>
    </w:p>
    <w:p>
      <w:pPr>
        <w:adjustRightInd w:val="0"/>
        <w:snapToGrid w:val="0"/>
        <w:spacing w:line="6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项目的社会满意度指标达到80%，得9分</w:t>
      </w:r>
    </w:p>
    <w:p>
      <w:pPr>
        <w:adjustRightInd w:val="0"/>
        <w:snapToGrid w:val="0"/>
        <w:spacing w:line="620" w:lineRule="exact"/>
        <w:ind w:left="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、项目综合评价结论和评价等级</w:t>
      </w:r>
    </w:p>
    <w:p>
      <w:pPr>
        <w:pStyle w:val="6"/>
        <w:widowControl/>
        <w:shd w:val="clear" w:color="auto" w:fill="FFFFFF"/>
        <w:spacing w:beforeAutospacing="0" w:afterAutospacing="0"/>
        <w:ind w:firstLine="672" w:firstLineChars="200"/>
        <w:rPr>
          <w:rFonts w:ascii="仿宋_GB2312" w:hAnsi="仿宋_GB2312" w:eastAsia="仿宋_GB2312" w:cs="仿宋_GB2312"/>
          <w:spacing w:val="8"/>
          <w:sz w:val="32"/>
          <w:szCs w:val="32"/>
          <w:shd w:val="clear" w:color="auto" w:fill="FFFFFF"/>
        </w:rPr>
      </w:pPr>
      <w:r>
        <w:rPr>
          <w:rFonts w:hint="eastAsia" w:ascii="仿宋_GB2312" w:hAnsi="仿宋_GB2312" w:eastAsia="仿宋_GB2312" w:cs="仿宋_GB2312"/>
          <w:spacing w:val="8"/>
          <w:sz w:val="32"/>
          <w:szCs w:val="32"/>
          <w:shd w:val="clear" w:color="auto" w:fill="FFFFFF"/>
        </w:rPr>
        <w:t>根据项目绩效情况，给出总得分95分，得出综合评价结论和项目综合绩效评价等级为优秀。</w:t>
      </w:r>
    </w:p>
    <w:p>
      <w:pPr>
        <w:adjustRightInd w:val="0"/>
        <w:snapToGrid w:val="0"/>
        <w:spacing w:line="620" w:lineRule="exact"/>
        <w:ind w:left="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四、存在的问题及改进措施</w:t>
      </w:r>
    </w:p>
    <w:p>
      <w:pPr>
        <w:adjustRightInd w:val="0"/>
        <w:snapToGrid w:val="0"/>
        <w:spacing w:line="620" w:lineRule="exact"/>
        <w:ind w:firstLine="672" w:firstLineChars="200"/>
        <w:rPr>
          <w:rFonts w:hint="eastAsia" w:ascii="仿宋_GB2312" w:hAnsi="仿宋_GB2312" w:eastAsia="仿宋_GB2312" w:cs="仿宋_GB2312"/>
          <w:spacing w:val="8"/>
          <w:kern w:val="0"/>
          <w:sz w:val="32"/>
          <w:szCs w:val="32"/>
          <w:shd w:val="clear" w:color="auto" w:fill="FFFFFF"/>
        </w:rPr>
      </w:pPr>
      <w:r>
        <w:rPr>
          <w:rFonts w:hint="eastAsia" w:ascii="仿宋_GB2312" w:hAnsi="仿宋_GB2312" w:eastAsia="仿宋_GB2312" w:cs="仿宋_GB2312"/>
          <w:spacing w:val="8"/>
          <w:kern w:val="0"/>
          <w:sz w:val="32"/>
          <w:szCs w:val="32"/>
          <w:shd w:val="clear" w:color="auto" w:fill="FFFFFF"/>
        </w:rPr>
        <w:t>无</w:t>
      </w:r>
    </w:p>
    <w:tbl>
      <w:tblPr>
        <w:tblStyle w:val="7"/>
        <w:tblpPr w:leftFromText="180" w:rightFromText="180" w:vertAnchor="text" w:horzAnchor="page" w:tblpXSpec="center" w:tblpY="156"/>
        <w:tblOverlap w:val="never"/>
        <w:tblW w:w="108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71"/>
        <w:gridCol w:w="2050"/>
        <w:gridCol w:w="974"/>
        <w:gridCol w:w="1319"/>
        <w:gridCol w:w="1126"/>
        <w:gridCol w:w="1260"/>
        <w:gridCol w:w="1042"/>
        <w:gridCol w:w="14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083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1083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jc w:val="center"/>
        </w:trPr>
        <w:tc>
          <w:tcPr>
            <w:tcW w:w="1083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157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205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石家庄市藁城区总工会</w:t>
            </w:r>
          </w:p>
        </w:tc>
        <w:tc>
          <w:tcPr>
            <w:tcW w:w="97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31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12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26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53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25" w:hRule="atLeast"/>
          <w:jc w:val="center"/>
        </w:trPr>
        <w:tc>
          <w:tcPr>
            <w:tcW w:w="15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2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易地建设费</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379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石家庄市藁城区总工会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jc w:val="center"/>
        </w:trPr>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30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3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61.79</w:t>
            </w:r>
          </w:p>
        </w:tc>
        <w:tc>
          <w:tcPr>
            <w:tcW w:w="13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61.79</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61.79</w:t>
            </w:r>
          </w:p>
        </w:tc>
        <w:tc>
          <w:tcPr>
            <w:tcW w:w="14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61.79</w:t>
            </w: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61.79</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61.79</w:t>
            </w:r>
          </w:p>
        </w:tc>
        <w:tc>
          <w:tcPr>
            <w:tcW w:w="14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4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jc w:val="center"/>
        </w:trPr>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43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342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0"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3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易地建设费61.79万</w:t>
            </w:r>
          </w:p>
        </w:tc>
        <w:tc>
          <w:tcPr>
            <w:tcW w:w="342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本次指标支付61.79万元已到位</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jc w:val="center"/>
        </w:trPr>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5"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  （40分）</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综合事务保障率</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5"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完成工作质量</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按计划工作任务完成</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完成工作成本</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执行率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完成工作质量</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10"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  （40分）</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保障单位正常运转，工作圆满完成</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10"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职工满意度</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0" w:hRule="atLeast"/>
          <w:jc w:val="center"/>
        </w:trPr>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7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5" w:hRule="atLeast"/>
          <w:jc w:val="center"/>
        </w:trPr>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9259"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57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填报人:葛玉坤</w:t>
            </w:r>
          </w:p>
        </w:tc>
        <w:tc>
          <w:tcPr>
            <w:tcW w:w="205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97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31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12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12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88045619</w:t>
            </w:r>
          </w:p>
        </w:tc>
        <w:tc>
          <w:tcPr>
            <w:tcW w:w="104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48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bl>
    <w:p>
      <w:pPr>
        <w:numPr>
          <w:ilvl w:val="0"/>
          <w:numId w:val="0"/>
        </w:numPr>
        <w:adjustRightInd w:val="0"/>
        <w:snapToGrid w:val="0"/>
        <w:spacing w:line="580" w:lineRule="exact"/>
        <w:rPr>
          <w:rFonts w:ascii="仿宋_GB2312" w:hAnsi="仿宋_GB2312" w:eastAsia="仿宋_GB2312" w:cs="仿宋_GB2312"/>
          <w:sz w:val="32"/>
          <w:szCs w:val="32"/>
        </w:rPr>
      </w:pPr>
    </w:p>
    <w:p>
      <w:pPr>
        <w:keepNext/>
        <w:keepLines/>
        <w:numPr>
          <w:ilvl w:val="0"/>
          <w:numId w:val="5"/>
        </w:numPr>
        <w:snapToGrid w:val="0"/>
        <w:spacing w:line="580" w:lineRule="exact"/>
        <w:ind w:firstLine="643" w:firstLineChars="20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6.53</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5.92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90.7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增加了办公经费</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eastAsia="zh-CN"/>
        </w:rPr>
        <w:t>本部门</w:t>
      </w:r>
      <w:r>
        <w:rPr>
          <w:rFonts w:hint="eastAsia" w:ascii="仿宋_GB2312" w:hAnsi="Times New Roman" w:eastAsia="仿宋_GB2312" w:cs="DengXian-Regular"/>
          <w:sz w:val="32"/>
          <w:szCs w:val="32"/>
          <w:lang w:val="en-US" w:eastAsia="zh-CN"/>
        </w:rPr>
        <w:t>2019年度未发生国有资产占用经费支出，与上年无增减变化。</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eastAsia="zh-CN"/>
        </w:rPr>
        <w:t>“三公经费”、政府性基金、国有资本经营、政府采购无收支结转余情况，故以空表列示。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9" w:type="first"/>
          <w:footerReference r:id="rId21" w:type="first"/>
          <w:headerReference r:id="rId18" w:type="default"/>
          <w:footerReference r:id="rId20"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9"/>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2"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4"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800"/>
        <w:gridCol w:w="3365"/>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5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5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76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75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535.97</w:t>
            </w: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526.88</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535.97</w:t>
            </w: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526.88</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9.09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535.97</w:t>
            </w:r>
            <w:r>
              <w:rPr>
                <w:rFonts w:hint="eastAsia" w:ascii="宋体" w:hAnsi="宋体" w:eastAsia="宋体" w:cs="宋体"/>
                <w:color w:val="000000"/>
                <w:kern w:val="0"/>
                <w:sz w:val="22"/>
                <w:lang w:bidi="ar"/>
              </w:rPr>
              <w:t>　</w:t>
            </w:r>
          </w:p>
        </w:tc>
        <w:tc>
          <w:tcPr>
            <w:tcW w:w="33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535.97</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7"/>
        <w:tblW w:w="9580" w:type="dxa"/>
        <w:jc w:val="center"/>
        <w:tblLayout w:type="fixed"/>
        <w:tblCellMar>
          <w:top w:w="0" w:type="dxa"/>
          <w:left w:w="0" w:type="dxa"/>
          <w:bottom w:w="0" w:type="dxa"/>
          <w:right w:w="0" w:type="dxa"/>
        </w:tblCellMar>
      </w:tblPr>
      <w:tblGrid>
        <w:gridCol w:w="1008"/>
        <w:gridCol w:w="58"/>
        <w:gridCol w:w="58"/>
        <w:gridCol w:w="2054"/>
        <w:gridCol w:w="750"/>
        <w:gridCol w:w="840"/>
        <w:gridCol w:w="811"/>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317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8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05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5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5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7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317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535.97</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535.97</w:t>
            </w:r>
          </w:p>
        </w:tc>
        <w:tc>
          <w:tcPr>
            <w:tcW w:w="8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2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一般公共服务支出</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534.38</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534.38</w:t>
            </w:r>
          </w:p>
        </w:tc>
        <w:tc>
          <w:tcPr>
            <w:tcW w:w="8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w:t>
            </w:r>
          </w:p>
        </w:tc>
        <w:tc>
          <w:tcPr>
            <w:tcW w:w="2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群众团体事务</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534.38</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534.38</w:t>
            </w:r>
          </w:p>
        </w:tc>
        <w:tc>
          <w:tcPr>
            <w:tcW w:w="8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2012902</w:t>
            </w:r>
          </w:p>
        </w:tc>
        <w:tc>
          <w:tcPr>
            <w:tcW w:w="2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一般行政管理事务</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0.96</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0.96</w:t>
            </w:r>
          </w:p>
        </w:tc>
        <w:tc>
          <w:tcPr>
            <w:tcW w:w="8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2012906</w:t>
            </w:r>
          </w:p>
        </w:tc>
        <w:tc>
          <w:tcPr>
            <w:tcW w:w="2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工会事务</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533.42</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533.42</w:t>
            </w:r>
          </w:p>
        </w:tc>
        <w:tc>
          <w:tcPr>
            <w:tcW w:w="8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w:t>
            </w:r>
          </w:p>
        </w:tc>
        <w:tc>
          <w:tcPr>
            <w:tcW w:w="2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社会保障和就业支出</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1.59</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1.59</w:t>
            </w:r>
          </w:p>
        </w:tc>
        <w:tc>
          <w:tcPr>
            <w:tcW w:w="8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20825</w:t>
            </w:r>
          </w:p>
        </w:tc>
        <w:tc>
          <w:tcPr>
            <w:tcW w:w="2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其他生活救助</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1.59</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1.59</w:t>
            </w:r>
          </w:p>
        </w:tc>
        <w:tc>
          <w:tcPr>
            <w:tcW w:w="8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2082501</w:t>
            </w:r>
          </w:p>
        </w:tc>
        <w:tc>
          <w:tcPr>
            <w:tcW w:w="2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其他城市生活救助</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1.59</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1.59</w:t>
            </w:r>
          </w:p>
        </w:tc>
        <w:tc>
          <w:tcPr>
            <w:tcW w:w="8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883"/>
        <w:gridCol w:w="870"/>
        <w:gridCol w:w="928"/>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2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83"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eastAsiaTheme="minorEastAsia"/>
                <w:color w:val="000000"/>
                <w:sz w:val="20"/>
                <w:szCs w:val="20"/>
                <w:lang w:eastAsia="zh-CN"/>
              </w:rPr>
            </w:pPr>
          </w:p>
        </w:tc>
        <w:tc>
          <w:tcPr>
            <w:tcW w:w="8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2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98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8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92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88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8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8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98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98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526.88</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59.83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467.05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一般公共服务支出</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526.88</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59.83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467.05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群众团体事务</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526.88</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59.83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467.05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2012902</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一般行政管理事务</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0.96</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0.96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2012906</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工会事务</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525.92</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59.83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466.09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761"/>
        <w:gridCol w:w="2847"/>
        <w:gridCol w:w="507"/>
        <w:gridCol w:w="726"/>
        <w:gridCol w:w="735"/>
        <w:gridCol w:w="597"/>
      </w:tblGrid>
      <w:tr>
        <w:tblPrEx>
          <w:tblCellMar>
            <w:top w:w="0" w:type="dxa"/>
            <w:left w:w="0" w:type="dxa"/>
            <w:bottom w:w="0" w:type="dxa"/>
            <w:right w:w="0" w:type="dxa"/>
          </w:tblCellMar>
        </w:tblPrEx>
        <w:trPr>
          <w:trHeight w:val="489"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267"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4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4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72" w:hRule="atLeast"/>
          <w:jc w:val="center"/>
        </w:trPr>
        <w:tc>
          <w:tcPr>
            <w:tcW w:w="410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412"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8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821"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22"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535.97</w:t>
            </w: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526.88</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526.88</w:t>
            </w: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52"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535.97</w:t>
            </w: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526.88</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526.88</w:t>
            </w: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9.09</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9.09</w:t>
            </w: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07"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535.97</w:t>
            </w:r>
          </w:p>
        </w:tc>
        <w:tc>
          <w:tcPr>
            <w:tcW w:w="2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535.97</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535.97</w:t>
            </w: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7"/>
        <w:tblW w:w="9990" w:type="dxa"/>
        <w:jc w:val="center"/>
        <w:tblLayout w:type="fixed"/>
        <w:tblCellMar>
          <w:top w:w="0" w:type="dxa"/>
          <w:left w:w="0" w:type="dxa"/>
          <w:bottom w:w="0" w:type="dxa"/>
          <w:right w:w="0" w:type="dxa"/>
        </w:tblCellMar>
      </w:tblPr>
      <w:tblGrid>
        <w:gridCol w:w="1174"/>
        <w:gridCol w:w="67"/>
        <w:gridCol w:w="67"/>
        <w:gridCol w:w="2195"/>
        <w:gridCol w:w="18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5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4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1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8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8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8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5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5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526.88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59.83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467.05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21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一般公共服务支出</w:t>
            </w:r>
          </w:p>
        </w:tc>
        <w:tc>
          <w:tcPr>
            <w:tcW w:w="1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526.88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59.83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467.05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w:t>
            </w:r>
          </w:p>
        </w:tc>
        <w:tc>
          <w:tcPr>
            <w:tcW w:w="21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群众团体事务</w:t>
            </w:r>
          </w:p>
        </w:tc>
        <w:tc>
          <w:tcPr>
            <w:tcW w:w="1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526.88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59.83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467.05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2012902</w:t>
            </w:r>
          </w:p>
        </w:tc>
        <w:tc>
          <w:tcPr>
            <w:tcW w:w="21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一般行政管理事务</w:t>
            </w:r>
          </w:p>
        </w:tc>
        <w:tc>
          <w:tcPr>
            <w:tcW w:w="1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0.96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0.96</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2012906</w:t>
            </w:r>
          </w:p>
        </w:tc>
        <w:tc>
          <w:tcPr>
            <w:tcW w:w="21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工会事务</w:t>
            </w:r>
          </w:p>
        </w:tc>
        <w:tc>
          <w:tcPr>
            <w:tcW w:w="1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525.92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59.83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466.09</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1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1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eastAsia="zh-CN"/>
        </w:rPr>
        <w:t>注：本表反应部门本年度一般公共预算财政拨款支出情况。</w:t>
      </w:r>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57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294"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0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29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53.30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6.53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19.31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7.72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7.96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6.27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0.46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11.58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0.93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53.3</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6.53</w:t>
            </w:r>
          </w:p>
        </w:tc>
      </w:tr>
    </w:tbl>
    <w:p>
      <w:r>
        <w:rPr>
          <w:rFonts w:hint="eastAsia"/>
          <w:lang w:eastAsia="zh-CN"/>
        </w:rPr>
        <w:t>注：本表反映部门本年度一般公共预算财政拨款基本支出明细情况。</w:t>
      </w:r>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注：本表反映部门本年度政府性基金预算财政拨款收入、支出及结转和结余情况。本部门本年度无收支及结转结余情况，按要求以空表列示。</w:t>
      </w:r>
      <w:r>
        <w:br w:type="page"/>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注：本表反映部门本年度国有资本经营预算财政拨款支出情况。本部门本年度无相关支出情况，按要求以空表列示。</w:t>
      </w:r>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6" w:type="first"/>
      <w:headerReference r:id="rId25" w:type="default"/>
      <w:footerReference r:id="rId27"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华文细黑">
    <w:panose1 w:val="02010600040101010101"/>
    <w:charset w:val="86"/>
    <w:family w:val="auto"/>
    <w:pitch w:val="default"/>
    <w:sig w:usb0="00000287" w:usb1="080F0000" w:usb2="00000000" w:usb3="00000000" w:csb0="0004009F" w:csb1="DFD7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360" w:firstLine="36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510CA5"/>
    <w:multiLevelType w:val="singleLevel"/>
    <w:tmpl w:val="F7510CA5"/>
    <w:lvl w:ilvl="0" w:tentative="0">
      <w:start w:val="1"/>
      <w:numFmt w:val="chineseCounting"/>
      <w:suff w:val="nothing"/>
      <w:lvlText w:val="%1、"/>
      <w:lvlJc w:val="left"/>
      <w:rPr>
        <w:rFonts w:hint="eastAsia"/>
      </w:rPr>
    </w:lvl>
  </w:abstractNum>
  <w:abstractNum w:abstractNumId="1">
    <w:nsid w:val="190D3E22"/>
    <w:multiLevelType w:val="multilevel"/>
    <w:tmpl w:val="190D3E22"/>
    <w:lvl w:ilvl="0" w:tentative="0">
      <w:start w:val="1"/>
      <w:numFmt w:val="decimal"/>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59950409"/>
    <w:multiLevelType w:val="singleLevel"/>
    <w:tmpl w:val="59950409"/>
    <w:lvl w:ilvl="0" w:tentative="0">
      <w:start w:val="1"/>
      <w:numFmt w:val="decimal"/>
      <w:suff w:val="space"/>
      <w:lvlText w:val="%1."/>
      <w:lvlJc w:val="left"/>
    </w:lvl>
  </w:abstractNum>
  <w:abstractNum w:abstractNumId="4">
    <w:nsid w:val="5E438F12"/>
    <w:multiLevelType w:val="singleLevel"/>
    <w:tmpl w:val="5E438F12"/>
    <w:lvl w:ilvl="0" w:tentative="0">
      <w:start w:val="2"/>
      <w:numFmt w:val="chineseCounting"/>
      <w:suff w:val="nothing"/>
      <w:lvlText w:val="%1、"/>
      <w:lvlJc w:val="left"/>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Y5MjI0YmNkMzI0N2JhZjRmZTgwMGE5NDg2ZDNiZTE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12989"/>
    <w:rsid w:val="00442CC2"/>
    <w:rsid w:val="00446244"/>
    <w:rsid w:val="00473C20"/>
    <w:rsid w:val="004D61CB"/>
    <w:rsid w:val="005011D6"/>
    <w:rsid w:val="00503F2E"/>
    <w:rsid w:val="00552226"/>
    <w:rsid w:val="00566120"/>
    <w:rsid w:val="00582E6D"/>
    <w:rsid w:val="005954D5"/>
    <w:rsid w:val="005A53FA"/>
    <w:rsid w:val="005D1293"/>
    <w:rsid w:val="006119CB"/>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A6E58"/>
    <w:rsid w:val="008F21F1"/>
    <w:rsid w:val="008F221B"/>
    <w:rsid w:val="008F5A2D"/>
    <w:rsid w:val="00921602"/>
    <w:rsid w:val="00957EA1"/>
    <w:rsid w:val="00966E5B"/>
    <w:rsid w:val="009B4EF0"/>
    <w:rsid w:val="009D271F"/>
    <w:rsid w:val="00A929C2"/>
    <w:rsid w:val="00AA7DA5"/>
    <w:rsid w:val="00AD097F"/>
    <w:rsid w:val="00B844F4"/>
    <w:rsid w:val="00BA06A1"/>
    <w:rsid w:val="00BA770A"/>
    <w:rsid w:val="00C054DE"/>
    <w:rsid w:val="00C679A9"/>
    <w:rsid w:val="00C7541C"/>
    <w:rsid w:val="00CA215B"/>
    <w:rsid w:val="00CC0FAA"/>
    <w:rsid w:val="00CD0736"/>
    <w:rsid w:val="00D1570F"/>
    <w:rsid w:val="00D32830"/>
    <w:rsid w:val="00D623A8"/>
    <w:rsid w:val="00DB7153"/>
    <w:rsid w:val="00DB7F05"/>
    <w:rsid w:val="00DE2332"/>
    <w:rsid w:val="00E028C3"/>
    <w:rsid w:val="00E14F77"/>
    <w:rsid w:val="00E27D1F"/>
    <w:rsid w:val="00E3076B"/>
    <w:rsid w:val="00E36978"/>
    <w:rsid w:val="00E82A1E"/>
    <w:rsid w:val="00EA05EC"/>
    <w:rsid w:val="00EC06F4"/>
    <w:rsid w:val="00EC2613"/>
    <w:rsid w:val="00EE4E36"/>
    <w:rsid w:val="00F665F4"/>
    <w:rsid w:val="00FD225F"/>
    <w:rsid w:val="013E142A"/>
    <w:rsid w:val="014D780B"/>
    <w:rsid w:val="02125978"/>
    <w:rsid w:val="0270630F"/>
    <w:rsid w:val="027E4888"/>
    <w:rsid w:val="029C3AB2"/>
    <w:rsid w:val="032849B0"/>
    <w:rsid w:val="036A11EC"/>
    <w:rsid w:val="039C1B3B"/>
    <w:rsid w:val="03D87452"/>
    <w:rsid w:val="03DA5A71"/>
    <w:rsid w:val="03E14E54"/>
    <w:rsid w:val="041A49D3"/>
    <w:rsid w:val="041F2EFB"/>
    <w:rsid w:val="04553933"/>
    <w:rsid w:val="04B56ED5"/>
    <w:rsid w:val="04D33321"/>
    <w:rsid w:val="05190F23"/>
    <w:rsid w:val="05286EDC"/>
    <w:rsid w:val="052C1276"/>
    <w:rsid w:val="05520BCF"/>
    <w:rsid w:val="05B00A30"/>
    <w:rsid w:val="05C01D3C"/>
    <w:rsid w:val="065601AB"/>
    <w:rsid w:val="06DC7A1D"/>
    <w:rsid w:val="06FA335F"/>
    <w:rsid w:val="07287DD5"/>
    <w:rsid w:val="078C282C"/>
    <w:rsid w:val="07B93A67"/>
    <w:rsid w:val="07FE384A"/>
    <w:rsid w:val="08180CBB"/>
    <w:rsid w:val="082A49C4"/>
    <w:rsid w:val="08CF28AB"/>
    <w:rsid w:val="08D70E11"/>
    <w:rsid w:val="08D751D6"/>
    <w:rsid w:val="0906666A"/>
    <w:rsid w:val="093855AD"/>
    <w:rsid w:val="09EA2C5A"/>
    <w:rsid w:val="0A224E84"/>
    <w:rsid w:val="0A2508D0"/>
    <w:rsid w:val="0A6A7785"/>
    <w:rsid w:val="0AB96CF7"/>
    <w:rsid w:val="0AEC4417"/>
    <w:rsid w:val="0B011416"/>
    <w:rsid w:val="0B084FC6"/>
    <w:rsid w:val="0B1C2910"/>
    <w:rsid w:val="0B76102F"/>
    <w:rsid w:val="0B964A90"/>
    <w:rsid w:val="0BAC39DB"/>
    <w:rsid w:val="0C106D59"/>
    <w:rsid w:val="0C7123B3"/>
    <w:rsid w:val="0CB44ED1"/>
    <w:rsid w:val="0CCF196E"/>
    <w:rsid w:val="0CDD5DCB"/>
    <w:rsid w:val="0CFD1F83"/>
    <w:rsid w:val="0D6B7E09"/>
    <w:rsid w:val="0D7727C9"/>
    <w:rsid w:val="0DBF0243"/>
    <w:rsid w:val="0DD1468D"/>
    <w:rsid w:val="0DE513E1"/>
    <w:rsid w:val="0E053F0D"/>
    <w:rsid w:val="0E6901CC"/>
    <w:rsid w:val="0E6A6FD9"/>
    <w:rsid w:val="0E990FE8"/>
    <w:rsid w:val="0EBC1BFF"/>
    <w:rsid w:val="0EC30BE7"/>
    <w:rsid w:val="0F8E5AC5"/>
    <w:rsid w:val="0F9561C6"/>
    <w:rsid w:val="0FB269E3"/>
    <w:rsid w:val="0FE567D6"/>
    <w:rsid w:val="10667FF3"/>
    <w:rsid w:val="109F6267"/>
    <w:rsid w:val="10B56B74"/>
    <w:rsid w:val="10E7100E"/>
    <w:rsid w:val="10ED3259"/>
    <w:rsid w:val="10EF212F"/>
    <w:rsid w:val="111225DA"/>
    <w:rsid w:val="11672D50"/>
    <w:rsid w:val="11BF1292"/>
    <w:rsid w:val="11C60192"/>
    <w:rsid w:val="11EA7E40"/>
    <w:rsid w:val="120E2140"/>
    <w:rsid w:val="1227410D"/>
    <w:rsid w:val="12417852"/>
    <w:rsid w:val="12504315"/>
    <w:rsid w:val="126202C6"/>
    <w:rsid w:val="12E405E9"/>
    <w:rsid w:val="130C02D5"/>
    <w:rsid w:val="13234AFF"/>
    <w:rsid w:val="13550E91"/>
    <w:rsid w:val="13820662"/>
    <w:rsid w:val="13B1595E"/>
    <w:rsid w:val="13B92A0B"/>
    <w:rsid w:val="13C42801"/>
    <w:rsid w:val="142E2F7D"/>
    <w:rsid w:val="143C760A"/>
    <w:rsid w:val="14503BCB"/>
    <w:rsid w:val="1463535A"/>
    <w:rsid w:val="14C10A57"/>
    <w:rsid w:val="14D03AA5"/>
    <w:rsid w:val="15153B78"/>
    <w:rsid w:val="153623F5"/>
    <w:rsid w:val="165C7A38"/>
    <w:rsid w:val="16807723"/>
    <w:rsid w:val="16AE77C7"/>
    <w:rsid w:val="178D14FC"/>
    <w:rsid w:val="180E3508"/>
    <w:rsid w:val="181D0424"/>
    <w:rsid w:val="183D1BA8"/>
    <w:rsid w:val="18676307"/>
    <w:rsid w:val="18E04F42"/>
    <w:rsid w:val="19425395"/>
    <w:rsid w:val="19611CF1"/>
    <w:rsid w:val="19CF6C96"/>
    <w:rsid w:val="19EC3B8F"/>
    <w:rsid w:val="19FC2BA6"/>
    <w:rsid w:val="1A071DBA"/>
    <w:rsid w:val="1A39094E"/>
    <w:rsid w:val="1A3B4F42"/>
    <w:rsid w:val="1AA63ACC"/>
    <w:rsid w:val="1ACB49EB"/>
    <w:rsid w:val="1AEF2EC1"/>
    <w:rsid w:val="1B063DBD"/>
    <w:rsid w:val="1B5B3A4A"/>
    <w:rsid w:val="1C090B07"/>
    <w:rsid w:val="1C226C64"/>
    <w:rsid w:val="1C4859A9"/>
    <w:rsid w:val="1CC96C94"/>
    <w:rsid w:val="1CF0041D"/>
    <w:rsid w:val="1D3348E1"/>
    <w:rsid w:val="1D4120E5"/>
    <w:rsid w:val="1DA132A5"/>
    <w:rsid w:val="1DAD7378"/>
    <w:rsid w:val="1DB112E2"/>
    <w:rsid w:val="1DFF5304"/>
    <w:rsid w:val="1E01422E"/>
    <w:rsid w:val="1E0947D2"/>
    <w:rsid w:val="1E1A21DF"/>
    <w:rsid w:val="1E2045D0"/>
    <w:rsid w:val="1EBB4304"/>
    <w:rsid w:val="1EFF5872"/>
    <w:rsid w:val="1FCE4C77"/>
    <w:rsid w:val="1FCF49A9"/>
    <w:rsid w:val="1FEC7F29"/>
    <w:rsid w:val="208C4783"/>
    <w:rsid w:val="209F0538"/>
    <w:rsid w:val="20B64804"/>
    <w:rsid w:val="20EF0871"/>
    <w:rsid w:val="22245BDC"/>
    <w:rsid w:val="22315D1A"/>
    <w:rsid w:val="224D0959"/>
    <w:rsid w:val="2280748B"/>
    <w:rsid w:val="22D1337D"/>
    <w:rsid w:val="23276935"/>
    <w:rsid w:val="234901B7"/>
    <w:rsid w:val="23786C2C"/>
    <w:rsid w:val="239A75B6"/>
    <w:rsid w:val="23E53E1C"/>
    <w:rsid w:val="24116E82"/>
    <w:rsid w:val="245F4942"/>
    <w:rsid w:val="24B94718"/>
    <w:rsid w:val="24E546F8"/>
    <w:rsid w:val="253D2AD9"/>
    <w:rsid w:val="25460B10"/>
    <w:rsid w:val="25803108"/>
    <w:rsid w:val="258D3191"/>
    <w:rsid w:val="260D281B"/>
    <w:rsid w:val="26163344"/>
    <w:rsid w:val="2674017C"/>
    <w:rsid w:val="26823A60"/>
    <w:rsid w:val="26A21D68"/>
    <w:rsid w:val="26DF2D6C"/>
    <w:rsid w:val="26FF2146"/>
    <w:rsid w:val="27773560"/>
    <w:rsid w:val="283F7FAD"/>
    <w:rsid w:val="28582965"/>
    <w:rsid w:val="28D10408"/>
    <w:rsid w:val="28DE6392"/>
    <w:rsid w:val="28F0013B"/>
    <w:rsid w:val="290830A4"/>
    <w:rsid w:val="293E0D1B"/>
    <w:rsid w:val="29597134"/>
    <w:rsid w:val="295C2ED9"/>
    <w:rsid w:val="29D63F81"/>
    <w:rsid w:val="2A155569"/>
    <w:rsid w:val="2A4F42B1"/>
    <w:rsid w:val="2A8F7FA3"/>
    <w:rsid w:val="2AD450C5"/>
    <w:rsid w:val="2ADA3260"/>
    <w:rsid w:val="2AF63054"/>
    <w:rsid w:val="2B2B361F"/>
    <w:rsid w:val="2B441E22"/>
    <w:rsid w:val="2C0B124C"/>
    <w:rsid w:val="2CB7643B"/>
    <w:rsid w:val="2CCD3F7D"/>
    <w:rsid w:val="2CE20E90"/>
    <w:rsid w:val="2D1A0A76"/>
    <w:rsid w:val="2D30351E"/>
    <w:rsid w:val="2D5D148F"/>
    <w:rsid w:val="2D6A465D"/>
    <w:rsid w:val="2DA94E64"/>
    <w:rsid w:val="2DCC7D7C"/>
    <w:rsid w:val="2DD433FD"/>
    <w:rsid w:val="2DFC4FF8"/>
    <w:rsid w:val="2E3012A4"/>
    <w:rsid w:val="2EE71082"/>
    <w:rsid w:val="2F277E16"/>
    <w:rsid w:val="2F520E81"/>
    <w:rsid w:val="2F81099B"/>
    <w:rsid w:val="2F845CF1"/>
    <w:rsid w:val="2FBB4E1C"/>
    <w:rsid w:val="2FDF2E2E"/>
    <w:rsid w:val="30057144"/>
    <w:rsid w:val="30117A6A"/>
    <w:rsid w:val="30281124"/>
    <w:rsid w:val="30361090"/>
    <w:rsid w:val="305E4FD1"/>
    <w:rsid w:val="30936EEF"/>
    <w:rsid w:val="31164AF2"/>
    <w:rsid w:val="312B678A"/>
    <w:rsid w:val="31C2036A"/>
    <w:rsid w:val="31C342ED"/>
    <w:rsid w:val="31D044F2"/>
    <w:rsid w:val="320D02A5"/>
    <w:rsid w:val="32CA4903"/>
    <w:rsid w:val="32F34457"/>
    <w:rsid w:val="33552815"/>
    <w:rsid w:val="33977C28"/>
    <w:rsid w:val="33AE6F25"/>
    <w:rsid w:val="33C752CE"/>
    <w:rsid w:val="33F525C4"/>
    <w:rsid w:val="34292679"/>
    <w:rsid w:val="342B3DD7"/>
    <w:rsid w:val="34612708"/>
    <w:rsid w:val="346A6DCC"/>
    <w:rsid w:val="348E566F"/>
    <w:rsid w:val="34C51221"/>
    <w:rsid w:val="351814A7"/>
    <w:rsid w:val="3525182B"/>
    <w:rsid w:val="353137BF"/>
    <w:rsid w:val="355C31B2"/>
    <w:rsid w:val="355E179D"/>
    <w:rsid w:val="3573559C"/>
    <w:rsid w:val="3582468A"/>
    <w:rsid w:val="35EE1733"/>
    <w:rsid w:val="363244EB"/>
    <w:rsid w:val="37453360"/>
    <w:rsid w:val="37C95113"/>
    <w:rsid w:val="37D27193"/>
    <w:rsid w:val="37F3593F"/>
    <w:rsid w:val="386E1D37"/>
    <w:rsid w:val="38715F80"/>
    <w:rsid w:val="387D022D"/>
    <w:rsid w:val="38BA0512"/>
    <w:rsid w:val="38F54AEA"/>
    <w:rsid w:val="38FD015E"/>
    <w:rsid w:val="39012CB0"/>
    <w:rsid w:val="390D0F8D"/>
    <w:rsid w:val="39D2654D"/>
    <w:rsid w:val="39E76904"/>
    <w:rsid w:val="3A226944"/>
    <w:rsid w:val="3A410565"/>
    <w:rsid w:val="3A46257A"/>
    <w:rsid w:val="3A6D02E5"/>
    <w:rsid w:val="3AEE6A48"/>
    <w:rsid w:val="3B0A3CFB"/>
    <w:rsid w:val="3B0D2D14"/>
    <w:rsid w:val="3B1C7C01"/>
    <w:rsid w:val="3B8F348E"/>
    <w:rsid w:val="3BC14407"/>
    <w:rsid w:val="3C1620AA"/>
    <w:rsid w:val="3C316DCA"/>
    <w:rsid w:val="3C6024AB"/>
    <w:rsid w:val="3C882039"/>
    <w:rsid w:val="3D677617"/>
    <w:rsid w:val="3D7A48BA"/>
    <w:rsid w:val="3D8F080F"/>
    <w:rsid w:val="3D8F116B"/>
    <w:rsid w:val="3E3A02E2"/>
    <w:rsid w:val="3E8C66F3"/>
    <w:rsid w:val="3EDB2940"/>
    <w:rsid w:val="3FAC0F48"/>
    <w:rsid w:val="40131D32"/>
    <w:rsid w:val="408E3C22"/>
    <w:rsid w:val="40AA2A2B"/>
    <w:rsid w:val="40B53220"/>
    <w:rsid w:val="41000B2B"/>
    <w:rsid w:val="4126587D"/>
    <w:rsid w:val="417A4BF7"/>
    <w:rsid w:val="419E60C2"/>
    <w:rsid w:val="41B20779"/>
    <w:rsid w:val="42205461"/>
    <w:rsid w:val="423309F3"/>
    <w:rsid w:val="425E7966"/>
    <w:rsid w:val="42C85A66"/>
    <w:rsid w:val="42EE3488"/>
    <w:rsid w:val="42F34507"/>
    <w:rsid w:val="430F2773"/>
    <w:rsid w:val="43183648"/>
    <w:rsid w:val="435703E9"/>
    <w:rsid w:val="439C24FA"/>
    <w:rsid w:val="447F7697"/>
    <w:rsid w:val="44AC1A2D"/>
    <w:rsid w:val="44CE1FA4"/>
    <w:rsid w:val="45145563"/>
    <w:rsid w:val="456C2FCB"/>
    <w:rsid w:val="45A50E66"/>
    <w:rsid w:val="45A65D05"/>
    <w:rsid w:val="45CB57D2"/>
    <w:rsid w:val="45DB7724"/>
    <w:rsid w:val="467C7388"/>
    <w:rsid w:val="46B00191"/>
    <w:rsid w:val="475F56C5"/>
    <w:rsid w:val="47704E8B"/>
    <w:rsid w:val="47821013"/>
    <w:rsid w:val="47882A60"/>
    <w:rsid w:val="47A445D0"/>
    <w:rsid w:val="47EF6817"/>
    <w:rsid w:val="480726D8"/>
    <w:rsid w:val="482627F5"/>
    <w:rsid w:val="487F73ED"/>
    <w:rsid w:val="48831E62"/>
    <w:rsid w:val="48944198"/>
    <w:rsid w:val="48D427BE"/>
    <w:rsid w:val="48E94EE5"/>
    <w:rsid w:val="49244CE2"/>
    <w:rsid w:val="493F24A6"/>
    <w:rsid w:val="494D146B"/>
    <w:rsid w:val="49705881"/>
    <w:rsid w:val="499B2A8D"/>
    <w:rsid w:val="49CB10B1"/>
    <w:rsid w:val="49F0793B"/>
    <w:rsid w:val="4A347EAE"/>
    <w:rsid w:val="4A3F1492"/>
    <w:rsid w:val="4A400FE2"/>
    <w:rsid w:val="4A5950BB"/>
    <w:rsid w:val="4B0963B5"/>
    <w:rsid w:val="4BB951D0"/>
    <w:rsid w:val="4BBB49BC"/>
    <w:rsid w:val="4BCB1E7A"/>
    <w:rsid w:val="4C057B96"/>
    <w:rsid w:val="4C4B0123"/>
    <w:rsid w:val="4C8664D4"/>
    <w:rsid w:val="4CA672D9"/>
    <w:rsid w:val="4CFF5C98"/>
    <w:rsid w:val="4D4B6068"/>
    <w:rsid w:val="4DBF6191"/>
    <w:rsid w:val="4DF06083"/>
    <w:rsid w:val="4DF42464"/>
    <w:rsid w:val="4E04406A"/>
    <w:rsid w:val="4E324336"/>
    <w:rsid w:val="4E5C7486"/>
    <w:rsid w:val="4E9F2B33"/>
    <w:rsid w:val="4EAA32BF"/>
    <w:rsid w:val="4EAA7398"/>
    <w:rsid w:val="4F107AE8"/>
    <w:rsid w:val="4F4F2CB2"/>
    <w:rsid w:val="4FFD661C"/>
    <w:rsid w:val="4FFF4A28"/>
    <w:rsid w:val="500424D2"/>
    <w:rsid w:val="5012259F"/>
    <w:rsid w:val="50227D56"/>
    <w:rsid w:val="50404CDB"/>
    <w:rsid w:val="50E3708C"/>
    <w:rsid w:val="50F87728"/>
    <w:rsid w:val="515310C7"/>
    <w:rsid w:val="52094078"/>
    <w:rsid w:val="52460C3C"/>
    <w:rsid w:val="52600405"/>
    <w:rsid w:val="529B4319"/>
    <w:rsid w:val="52B77690"/>
    <w:rsid w:val="533B47A5"/>
    <w:rsid w:val="53532EF9"/>
    <w:rsid w:val="5370742A"/>
    <w:rsid w:val="53CA4499"/>
    <w:rsid w:val="53F57E38"/>
    <w:rsid w:val="544A6943"/>
    <w:rsid w:val="54584DBB"/>
    <w:rsid w:val="5461119B"/>
    <w:rsid w:val="54B668A2"/>
    <w:rsid w:val="54F72BF0"/>
    <w:rsid w:val="554E0CC9"/>
    <w:rsid w:val="55AA4213"/>
    <w:rsid w:val="562D06DC"/>
    <w:rsid w:val="568B14F4"/>
    <w:rsid w:val="568B6F46"/>
    <w:rsid w:val="56C66AC2"/>
    <w:rsid w:val="571705FB"/>
    <w:rsid w:val="573808B1"/>
    <w:rsid w:val="57462324"/>
    <w:rsid w:val="575D032F"/>
    <w:rsid w:val="57773DD6"/>
    <w:rsid w:val="578B79AB"/>
    <w:rsid w:val="57C743B0"/>
    <w:rsid w:val="583D06A7"/>
    <w:rsid w:val="583D47E0"/>
    <w:rsid w:val="58704276"/>
    <w:rsid w:val="587C3385"/>
    <w:rsid w:val="58AB4FD2"/>
    <w:rsid w:val="58CA7C16"/>
    <w:rsid w:val="58D90669"/>
    <w:rsid w:val="58FE3B53"/>
    <w:rsid w:val="58FE549D"/>
    <w:rsid w:val="59632533"/>
    <w:rsid w:val="59723E27"/>
    <w:rsid w:val="59983753"/>
    <w:rsid w:val="59A57236"/>
    <w:rsid w:val="59F95266"/>
    <w:rsid w:val="5A265949"/>
    <w:rsid w:val="5A4343B4"/>
    <w:rsid w:val="5A6C2DFE"/>
    <w:rsid w:val="5A8549E4"/>
    <w:rsid w:val="5AA9046F"/>
    <w:rsid w:val="5ACF27C7"/>
    <w:rsid w:val="5B553695"/>
    <w:rsid w:val="5B776275"/>
    <w:rsid w:val="5BC40DEC"/>
    <w:rsid w:val="5BD6133E"/>
    <w:rsid w:val="5BD75160"/>
    <w:rsid w:val="5BD93848"/>
    <w:rsid w:val="5C665CE5"/>
    <w:rsid w:val="5C7C0290"/>
    <w:rsid w:val="5C893B5B"/>
    <w:rsid w:val="5CCD3FD5"/>
    <w:rsid w:val="5DAF4DA6"/>
    <w:rsid w:val="5DE34450"/>
    <w:rsid w:val="5DE751D2"/>
    <w:rsid w:val="5E0F3EE3"/>
    <w:rsid w:val="5E932BED"/>
    <w:rsid w:val="5EA43AAA"/>
    <w:rsid w:val="5EC0671F"/>
    <w:rsid w:val="5ED15B35"/>
    <w:rsid w:val="5F53056F"/>
    <w:rsid w:val="5F677827"/>
    <w:rsid w:val="5F831573"/>
    <w:rsid w:val="5FCF63EB"/>
    <w:rsid w:val="5FEC77CB"/>
    <w:rsid w:val="6029067D"/>
    <w:rsid w:val="602D1C6E"/>
    <w:rsid w:val="607256FB"/>
    <w:rsid w:val="608E40A8"/>
    <w:rsid w:val="60E81A92"/>
    <w:rsid w:val="60FF68ED"/>
    <w:rsid w:val="611D059E"/>
    <w:rsid w:val="61FA5F9D"/>
    <w:rsid w:val="621039E1"/>
    <w:rsid w:val="62357AC2"/>
    <w:rsid w:val="624F7196"/>
    <w:rsid w:val="629D094B"/>
    <w:rsid w:val="62BE2FB2"/>
    <w:rsid w:val="62D164F0"/>
    <w:rsid w:val="63105250"/>
    <w:rsid w:val="6387444E"/>
    <w:rsid w:val="638F0F1F"/>
    <w:rsid w:val="63E77AB9"/>
    <w:rsid w:val="640816E0"/>
    <w:rsid w:val="64114FC3"/>
    <w:rsid w:val="64870F49"/>
    <w:rsid w:val="64A315A7"/>
    <w:rsid w:val="64CD6910"/>
    <w:rsid w:val="653535F2"/>
    <w:rsid w:val="6535499D"/>
    <w:rsid w:val="65624E42"/>
    <w:rsid w:val="65B11820"/>
    <w:rsid w:val="65D77D59"/>
    <w:rsid w:val="66034872"/>
    <w:rsid w:val="667F0B0D"/>
    <w:rsid w:val="66887C88"/>
    <w:rsid w:val="66987415"/>
    <w:rsid w:val="66D50608"/>
    <w:rsid w:val="6769097A"/>
    <w:rsid w:val="677A39BB"/>
    <w:rsid w:val="6789158D"/>
    <w:rsid w:val="67D16EC7"/>
    <w:rsid w:val="67D81BA4"/>
    <w:rsid w:val="67D904AE"/>
    <w:rsid w:val="67F62099"/>
    <w:rsid w:val="67F7222A"/>
    <w:rsid w:val="68077DD3"/>
    <w:rsid w:val="68C57719"/>
    <w:rsid w:val="68D640E4"/>
    <w:rsid w:val="690E0994"/>
    <w:rsid w:val="69550216"/>
    <w:rsid w:val="699D0D33"/>
    <w:rsid w:val="6A8D5E7F"/>
    <w:rsid w:val="6A8F58AE"/>
    <w:rsid w:val="6A923F1C"/>
    <w:rsid w:val="6AAF1C96"/>
    <w:rsid w:val="6B006C42"/>
    <w:rsid w:val="6B4F2AB1"/>
    <w:rsid w:val="6BF80DFD"/>
    <w:rsid w:val="6BFB5589"/>
    <w:rsid w:val="6C3B1756"/>
    <w:rsid w:val="6C826D7F"/>
    <w:rsid w:val="6D972D78"/>
    <w:rsid w:val="6DA5536C"/>
    <w:rsid w:val="6DB52477"/>
    <w:rsid w:val="6E3D1729"/>
    <w:rsid w:val="6E9C07F2"/>
    <w:rsid w:val="6EAD06FD"/>
    <w:rsid w:val="6F446CE5"/>
    <w:rsid w:val="6F686DF9"/>
    <w:rsid w:val="6F771012"/>
    <w:rsid w:val="6F9957DB"/>
    <w:rsid w:val="6FDC4EFE"/>
    <w:rsid w:val="6FF53847"/>
    <w:rsid w:val="70080735"/>
    <w:rsid w:val="706C55C1"/>
    <w:rsid w:val="7071164D"/>
    <w:rsid w:val="7097316D"/>
    <w:rsid w:val="709E40C8"/>
    <w:rsid w:val="70A40396"/>
    <w:rsid w:val="70D14C2C"/>
    <w:rsid w:val="71095EB5"/>
    <w:rsid w:val="71244739"/>
    <w:rsid w:val="720F54B9"/>
    <w:rsid w:val="721163D5"/>
    <w:rsid w:val="722E4DF6"/>
    <w:rsid w:val="727B4F2C"/>
    <w:rsid w:val="72932A54"/>
    <w:rsid w:val="72B32362"/>
    <w:rsid w:val="72CA151C"/>
    <w:rsid w:val="72E836C5"/>
    <w:rsid w:val="72F746D2"/>
    <w:rsid w:val="7304646F"/>
    <w:rsid w:val="735F64AE"/>
    <w:rsid w:val="738657C3"/>
    <w:rsid w:val="73AA278E"/>
    <w:rsid w:val="73D3368F"/>
    <w:rsid w:val="7435496F"/>
    <w:rsid w:val="745B69FD"/>
    <w:rsid w:val="74947BAD"/>
    <w:rsid w:val="74C50CEA"/>
    <w:rsid w:val="750F3980"/>
    <w:rsid w:val="75467F8B"/>
    <w:rsid w:val="75681757"/>
    <w:rsid w:val="756842FE"/>
    <w:rsid w:val="75693704"/>
    <w:rsid w:val="759A39BE"/>
    <w:rsid w:val="75A346A8"/>
    <w:rsid w:val="75B14A9A"/>
    <w:rsid w:val="75CF21A2"/>
    <w:rsid w:val="761110C5"/>
    <w:rsid w:val="76207683"/>
    <w:rsid w:val="765D2345"/>
    <w:rsid w:val="76B00E1F"/>
    <w:rsid w:val="76EE1A4D"/>
    <w:rsid w:val="770A0A00"/>
    <w:rsid w:val="776C4920"/>
    <w:rsid w:val="77C16C3F"/>
    <w:rsid w:val="783C73C5"/>
    <w:rsid w:val="785E2E3D"/>
    <w:rsid w:val="78865B5D"/>
    <w:rsid w:val="78A0579A"/>
    <w:rsid w:val="78CE0BEB"/>
    <w:rsid w:val="79281FB6"/>
    <w:rsid w:val="79533B54"/>
    <w:rsid w:val="7974790F"/>
    <w:rsid w:val="79923B2A"/>
    <w:rsid w:val="79B9382C"/>
    <w:rsid w:val="79D8597C"/>
    <w:rsid w:val="7A1E743E"/>
    <w:rsid w:val="7A555A36"/>
    <w:rsid w:val="7B043B76"/>
    <w:rsid w:val="7B230808"/>
    <w:rsid w:val="7B267CCC"/>
    <w:rsid w:val="7B2B5A65"/>
    <w:rsid w:val="7B7A0A5B"/>
    <w:rsid w:val="7B906680"/>
    <w:rsid w:val="7BA02C47"/>
    <w:rsid w:val="7C041A6A"/>
    <w:rsid w:val="7C097C13"/>
    <w:rsid w:val="7C303441"/>
    <w:rsid w:val="7CAB3D83"/>
    <w:rsid w:val="7CD17A53"/>
    <w:rsid w:val="7CD5409A"/>
    <w:rsid w:val="7CD979D8"/>
    <w:rsid w:val="7DBE5607"/>
    <w:rsid w:val="7DD16B4B"/>
    <w:rsid w:val="7DE15DD2"/>
    <w:rsid w:val="7E03421C"/>
    <w:rsid w:val="7E2945FC"/>
    <w:rsid w:val="7E327570"/>
    <w:rsid w:val="7E3F73CA"/>
    <w:rsid w:val="7E8F5C8E"/>
    <w:rsid w:val="7EB10625"/>
    <w:rsid w:val="7EF25920"/>
    <w:rsid w:val="7F483D43"/>
    <w:rsid w:val="7F811C19"/>
    <w:rsid w:val="7FAF5741"/>
    <w:rsid w:val="7FBC5621"/>
    <w:rsid w:val="7FBD53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autoRedefine/>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rFonts w:cs="Times New Roman"/>
      <w:kern w:val="0"/>
      <w:sz w:val="24"/>
      <w:szCs w:val="24"/>
    </w:rPr>
  </w:style>
  <w:style w:type="table" w:styleId="8">
    <w:name w:val="Table Grid"/>
    <w:autoRedefine/>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5"/>
    <w:autoRedefine/>
    <w:qFormat/>
    <w:uiPriority w:val="99"/>
    <w:rPr>
      <w:rFonts w:asciiTheme="minorHAnsi" w:hAnsiTheme="minorHAnsi" w:eastAsiaTheme="minorEastAsia"/>
      <w:sz w:val="18"/>
      <w:szCs w:val="18"/>
    </w:rPr>
  </w:style>
  <w:style w:type="character" w:customStyle="1" w:styleId="11">
    <w:name w:val="页脚 Char"/>
    <w:basedOn w:val="9"/>
    <w:link w:val="4"/>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font41"/>
    <w:basedOn w:val="9"/>
    <w:autoRedefine/>
    <w:qFormat/>
    <w:uiPriority w:val="0"/>
    <w:rPr>
      <w:rFonts w:hint="eastAsia" w:ascii="宋体" w:hAnsi="宋体" w:eastAsia="宋体" w:cs="宋体"/>
      <w:color w:val="000000"/>
      <w:sz w:val="20"/>
      <w:szCs w:val="20"/>
      <w:u w:val="none"/>
    </w:rPr>
  </w:style>
  <w:style w:type="character" w:customStyle="1" w:styleId="14">
    <w:name w:val="font11"/>
    <w:basedOn w:val="9"/>
    <w:autoRedefine/>
    <w:qFormat/>
    <w:uiPriority w:val="0"/>
    <w:rPr>
      <w:rFonts w:hint="default" w:ascii="Calibri" w:hAnsi="Calibri" w:cs="Calibri"/>
      <w:color w:val="000000"/>
      <w:sz w:val="20"/>
      <w:szCs w:val="20"/>
      <w:u w:val="none"/>
    </w:rPr>
  </w:style>
  <w:style w:type="paragraph" w:styleId="15">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chart" Target="charts/chart5.xml"/><Relationship Id="rId33" Type="http://schemas.openxmlformats.org/officeDocument/2006/relationships/chart" Target="charts/chart4.xml"/><Relationship Id="rId32" Type="http://schemas.openxmlformats.org/officeDocument/2006/relationships/chart" Target="charts/chart3.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2.bmp"/><Relationship Id="rId28" Type="http://schemas.openxmlformats.org/officeDocument/2006/relationships/theme" Target="theme/theme1.xml"/><Relationship Id="rId27" Type="http://schemas.openxmlformats.org/officeDocument/2006/relationships/footer" Target="footer10.xml"/><Relationship Id="rId26" Type="http://schemas.openxmlformats.org/officeDocument/2006/relationships/header" Target="header15.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header" Target="header11.xml"/><Relationship Id="rId21" Type="http://schemas.openxmlformats.org/officeDocument/2006/relationships/footer" Target="foot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5"/>
              </a:solidFill>
              <a:ln w="19050">
                <a:solidFill>
                  <a:schemeClr val="lt1"/>
                </a:solidFill>
              </a:ln>
              <a:effectLst/>
            </c:spPr>
          </c:dPt>
          <c:dLbls>
            <c:dLbl>
              <c:idx val="0"/>
              <c:layout>
                <c:manualLayout>
                  <c:x val="0.00229114664085901"/>
                  <c:y val="-0.252633933994226"/>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535.97万元</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100%</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97097020626432"/>
                      <c:h val="0.170781369305167"/>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收入</c:v>
                </c:pt>
              </c:strCache>
            </c:strRef>
          </c:cat>
          <c:val>
            <c:numRef>
              <c:f>Sheet1!$B$2</c:f>
              <c:numCache>
                <c:formatCode>General</c:formatCode>
                <c:ptCount val="1"/>
                <c:pt idx="0">
                  <c:v>535.97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单位：万元</c:v>
                </c:pt>
              </c:strCache>
            </c:strRef>
          </c:tx>
          <c:spPr>
            <a:solidFill>
              <a:srgbClr val="FFFF00"/>
            </a:solidFill>
          </c:spPr>
          <c:explosion val="0"/>
          <c:dPt>
            <c:idx val="0"/>
            <c:bubble3D val="0"/>
            <c:spPr>
              <a:solidFill>
                <a:srgbClr val="FFFF00"/>
              </a:solidFill>
              <a:ln w="19050">
                <a:solidFill>
                  <a:schemeClr val="lt1"/>
                </a:solidFill>
              </a:ln>
              <a:effectLst/>
            </c:spPr>
          </c:dPt>
          <c:dPt>
            <c:idx val="1"/>
            <c:bubble3D val="0"/>
            <c:spPr>
              <a:solidFill>
                <a:schemeClr val="accent5"/>
              </a:solidFill>
              <a:ln w="19050">
                <a:solidFill>
                  <a:schemeClr val="lt1"/>
                </a:solidFill>
              </a:ln>
              <a:effectLst/>
            </c:spPr>
          </c:dPt>
          <c:dLbls>
            <c:dLbl>
              <c:idx val="0"/>
              <c:layout>
                <c:manualLayout>
                  <c:x val="-0.0333577052806596"/>
                  <c:y val="0.134087224588579"/>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59.83万元</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11%</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886097253923277"/>
                  <c:y val="-0.16874457252024"/>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467.05万元</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89%</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59.83</c:v>
                </c:pt>
                <c:pt idx="1">
                  <c:v>467.05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31950464396285"/>
          <c:y val="0.941896024464832"/>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195"/>
          <c:y val="0.165390662609888"/>
          <c:w val="0.9268"/>
          <c:h val="0.640572597137014"/>
        </c:manualLayout>
      </c:layout>
      <c:barChart>
        <c:barDir val="col"/>
        <c:grouping val="clustered"/>
        <c:varyColors val="0"/>
        <c:ser>
          <c:idx val="0"/>
          <c:order val="0"/>
          <c:tx>
            <c:strRef>
              <c:f>Sheet1!$B$1</c:f>
              <c:strCache>
                <c:ptCount val="1"/>
                <c:pt idx="0">
                  <c:v>金额</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2019年度收入</c:v>
                </c:pt>
                <c:pt idx="1">
                  <c:v>2018年度收入</c:v>
                </c:pt>
                <c:pt idx="2">
                  <c:v>2019年度支出</c:v>
                </c:pt>
                <c:pt idx="3">
                  <c:v>2018年度支出</c:v>
                </c:pt>
              </c:strCache>
            </c:strRef>
          </c:cat>
          <c:val>
            <c:numRef>
              <c:f>Sheet1!$B$2:$B$5</c:f>
              <c:numCache>
                <c:formatCode>General</c:formatCode>
                <c:ptCount val="4"/>
                <c:pt idx="0">
                  <c:v>535.97</c:v>
                </c:pt>
                <c:pt idx="1">
                  <c:v>434.24</c:v>
                </c:pt>
                <c:pt idx="2">
                  <c:v>526.88</c:v>
                </c:pt>
                <c:pt idx="3">
                  <c:v>434.24</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Sheet1!$A$2:$A$5</c:f>
              <c:strCache>
                <c:ptCount val="4"/>
                <c:pt idx="0">
                  <c:v>2019年度收入</c:v>
                </c:pt>
                <c:pt idx="1">
                  <c:v>2018年度收入</c:v>
                </c:pt>
                <c:pt idx="2">
                  <c:v>2019年度支出</c:v>
                </c:pt>
                <c:pt idx="3">
                  <c:v>2018年度支出</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Sheet1!$A$2:$A$5</c:f>
              <c:strCache>
                <c:ptCount val="4"/>
                <c:pt idx="0">
                  <c:v>2019年度收入</c:v>
                </c:pt>
                <c:pt idx="1">
                  <c:v>2018年度收入</c:v>
                </c:pt>
                <c:pt idx="2">
                  <c:v>2019年度支出</c:v>
                </c:pt>
                <c:pt idx="3">
                  <c:v>2018年度支出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561652613"/>
        <c:axId val="804986583"/>
      </c:barChart>
      <c:catAx>
        <c:axId val="56165261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04986583"/>
        <c:crosses val="autoZero"/>
        <c:auto val="1"/>
        <c:lblAlgn val="ctr"/>
        <c:lblOffset val="100"/>
        <c:noMultiLvlLbl val="0"/>
      </c:catAx>
      <c:valAx>
        <c:axId val="8049865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165261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金额：万元</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收入预算</c:v>
                </c:pt>
                <c:pt idx="1">
                  <c:v>收入决算</c:v>
                </c:pt>
                <c:pt idx="2">
                  <c:v>支出预算</c:v>
                </c:pt>
                <c:pt idx="3">
                  <c:v>支出决算</c:v>
                </c:pt>
              </c:strCache>
            </c:strRef>
          </c:cat>
          <c:val>
            <c:numRef>
              <c:f>Sheet1!$B$2:$B$5</c:f>
              <c:numCache>
                <c:formatCode>General</c:formatCode>
                <c:ptCount val="4"/>
                <c:pt idx="0">
                  <c:v>535.97</c:v>
                </c:pt>
                <c:pt idx="1">
                  <c:v>434.24</c:v>
                </c:pt>
                <c:pt idx="2">
                  <c:v>526.88</c:v>
                </c:pt>
                <c:pt idx="3">
                  <c:v>434.24</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Sheet1!$A$2:$A$5</c:f>
              <c:strCache>
                <c:ptCount val="4"/>
                <c:pt idx="0">
                  <c:v>收入预算</c:v>
                </c:pt>
                <c:pt idx="1">
                  <c:v>收入决算</c:v>
                </c:pt>
                <c:pt idx="2">
                  <c:v>支出预算</c:v>
                </c:pt>
                <c:pt idx="3">
                  <c:v>支出决算</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Sheet1!$A$2:$A$5</c:f>
              <c:strCache>
                <c:ptCount val="4"/>
                <c:pt idx="0">
                  <c:v>收入预算</c:v>
                </c:pt>
                <c:pt idx="1">
                  <c:v>收入决算</c:v>
                </c:pt>
                <c:pt idx="2">
                  <c:v>支出预算</c:v>
                </c:pt>
                <c:pt idx="3">
                  <c:v>支出决算</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537628137"/>
        <c:axId val="230827983"/>
      </c:barChart>
      <c:catAx>
        <c:axId val="53762813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0827983"/>
        <c:crosses val="autoZero"/>
        <c:auto val="1"/>
        <c:lblAlgn val="ctr"/>
        <c:lblOffset val="100"/>
        <c:noMultiLvlLbl val="0"/>
      </c:catAx>
      <c:valAx>
        <c:axId val="2308279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762813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55354659248957"/>
          <c:y val="0.00653452406883032"/>
        </c:manualLayout>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金额</c:v>
                </c:pt>
              </c:strCache>
            </c:strRef>
          </c:tx>
          <c:spPr>
            <a:solidFill>
              <a:schemeClr val="accent5"/>
            </a:solidFill>
          </c:spPr>
          <c:explosion val="0"/>
          <c:dPt>
            <c:idx val="0"/>
            <c:bubble3D val="0"/>
            <c:spPr>
              <a:solidFill>
                <a:schemeClr val="accent5"/>
              </a:solidFill>
              <a:ln w="19050">
                <a:solidFill>
                  <a:schemeClr val="lt1"/>
                </a:solidFill>
              </a:ln>
              <a:effectLst/>
            </c:spPr>
          </c:dPt>
          <c:dLbls>
            <c:dLbl>
              <c:idx val="0"/>
              <c:layout>
                <c:manualLayout>
                  <c:x val="-0.00208697657713351"/>
                  <c:y val="-0.207013907489983"/>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526.88万元</a:t>
                    </a:r>
                    <a:r>
                      <a:rPr lang="en-US" altLang="zh-CN"/>
                      <a:t>100%</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52573018080668"/>
                      <c:h val="0.159878022217382"/>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一般公共服务（类）支出</c:v>
                </c:pt>
              </c:strCache>
            </c:strRef>
          </c:cat>
          <c:val>
            <c:numRef>
              <c:f>Sheet1!$B$2</c:f>
              <c:numCache>
                <c:formatCode>General</c:formatCode>
                <c:ptCount val="1"/>
                <c:pt idx="0">
                  <c:v>526.88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24</TotalTime>
  <ScaleCrop>false</ScaleCrop>
  <LinksUpToDate>false</LinksUpToDate>
  <CharactersWithSpaces>11119</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古灵精怪</cp:lastModifiedBy>
  <cp:lastPrinted>2020-07-30T02:37:00Z</cp:lastPrinted>
  <dcterms:modified xsi:type="dcterms:W3CDTF">2024-02-23T01:32:24Z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1209D88ABE9D441E9BCF73AFEE85EBBE_12</vt:lpwstr>
  </property>
</Properties>
</file>