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南董镇</w:t>
      </w:r>
      <w:r>
        <w:rPr>
          <w:rFonts w:ascii="黑体" w:hAnsi="黑体" w:eastAsia="黑体" w:cs="黑体"/>
          <w:b/>
          <w:color w:val="000000"/>
          <w:sz w:val="44"/>
        </w:rPr>
        <w:t>2022年部门预算公开</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0</w:t>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w:t>
      </w:r>
      <w:r>
        <w:rPr>
          <w:rFonts w:hint="eastAsia"/>
          <w:lang w:val="en-US" w:eastAsia="zh-CN"/>
        </w:rPr>
        <w:t>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rPr>
          <w:rFonts w:hint="eastAsia"/>
          <w:lang w:val="en-US" w:eastAsia="zh-CN"/>
        </w:rPr>
        <w:t>3</w:t>
      </w:r>
      <w:r>
        <w:fldChar w:fldCharType="end"/>
      </w:r>
      <w:r>
        <w:fldChar w:fldCharType="end"/>
      </w:r>
      <w:r>
        <w:rPr>
          <w:rFonts w:hint="eastAsia"/>
          <w:lang w:val="en-US" w:eastAsia="zh-CN"/>
        </w:rPr>
        <w:t>9</w:t>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lang w:val="en-US" w:eastAsia="zh-CN"/>
        </w:rPr>
        <w:t>0</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810石家庄市藁城区南董镇人民政府</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1425.10</w:t>
            </w:r>
          </w:p>
        </w:tc>
        <w:tc>
          <w:tcPr>
            <w:tcW w:w="4535" w:type="dxa"/>
            <w:vAlign w:val="center"/>
          </w:tcPr>
          <w:p>
            <w:pPr>
              <w:pStyle w:val="14"/>
            </w:pPr>
            <w:r>
              <w:t>一、一般公共服务支出</w:t>
            </w:r>
          </w:p>
        </w:tc>
        <w:tc>
          <w:tcPr>
            <w:tcW w:w="2126" w:type="dxa"/>
            <w:vAlign w:val="center"/>
          </w:tcPr>
          <w:p>
            <w:pPr>
              <w:pStyle w:val="13"/>
            </w:pPr>
            <w:r>
              <w:t>1328.60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1425.10</w:t>
            </w:r>
          </w:p>
        </w:tc>
        <w:tc>
          <w:tcPr>
            <w:tcW w:w="4535" w:type="dxa"/>
            <w:vAlign w:val="center"/>
          </w:tcPr>
          <w:p>
            <w:pPr>
              <w:pStyle w:val="16"/>
            </w:pPr>
            <w:r>
              <w:t>本年支出合计</w:t>
            </w:r>
          </w:p>
        </w:tc>
        <w:tc>
          <w:tcPr>
            <w:tcW w:w="2126" w:type="dxa"/>
            <w:vAlign w:val="center"/>
          </w:tcPr>
          <w:p>
            <w:pPr>
              <w:pStyle w:val="17"/>
            </w:pPr>
            <w:r>
              <w:t>1425.10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1425.10</w:t>
            </w:r>
          </w:p>
        </w:tc>
        <w:tc>
          <w:tcPr>
            <w:tcW w:w="4535" w:type="dxa"/>
            <w:vAlign w:val="center"/>
          </w:tcPr>
          <w:p>
            <w:pPr>
              <w:pStyle w:val="16"/>
            </w:pPr>
            <w:r>
              <w:t>支出总计</w:t>
            </w:r>
          </w:p>
        </w:tc>
        <w:tc>
          <w:tcPr>
            <w:tcW w:w="2126" w:type="dxa"/>
            <w:vAlign w:val="center"/>
          </w:tcPr>
          <w:p>
            <w:pPr>
              <w:pStyle w:val="17"/>
            </w:pPr>
            <w:r>
              <w:t>1425.10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810石家庄市藁城区南董镇人民政府</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1425.10</w:t>
            </w:r>
          </w:p>
        </w:tc>
        <w:tc>
          <w:tcPr>
            <w:tcW w:w="1134" w:type="dxa"/>
            <w:vAlign w:val="center"/>
          </w:tcPr>
          <w:p>
            <w:pPr>
              <w:pStyle w:val="17"/>
            </w:pPr>
            <w:r>
              <w:t>1425.10</w:t>
            </w:r>
          </w:p>
        </w:tc>
        <w:tc>
          <w:tcPr>
            <w:tcW w:w="1134" w:type="dxa"/>
            <w:vAlign w:val="center"/>
          </w:tcPr>
          <w:p>
            <w:pPr>
              <w:pStyle w:val="17"/>
            </w:pPr>
            <w:r>
              <w:t>1425.10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1328.60</w:t>
            </w:r>
          </w:p>
        </w:tc>
        <w:tc>
          <w:tcPr>
            <w:tcW w:w="1134" w:type="dxa"/>
            <w:vAlign w:val="center"/>
          </w:tcPr>
          <w:p>
            <w:pPr>
              <w:pStyle w:val="13"/>
            </w:pPr>
            <w:r>
              <w:t>1328.60</w:t>
            </w:r>
          </w:p>
        </w:tc>
        <w:tc>
          <w:tcPr>
            <w:tcW w:w="1134" w:type="dxa"/>
            <w:vAlign w:val="center"/>
          </w:tcPr>
          <w:p>
            <w:pPr>
              <w:pStyle w:val="13"/>
            </w:pPr>
            <w:r>
              <w:t>1328.60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1328.60</w:t>
            </w:r>
          </w:p>
        </w:tc>
        <w:tc>
          <w:tcPr>
            <w:tcW w:w="1134" w:type="dxa"/>
            <w:vAlign w:val="center"/>
          </w:tcPr>
          <w:p>
            <w:pPr>
              <w:pStyle w:val="13"/>
            </w:pPr>
            <w:r>
              <w:t>1328.60</w:t>
            </w:r>
          </w:p>
        </w:tc>
        <w:tc>
          <w:tcPr>
            <w:tcW w:w="1134" w:type="dxa"/>
            <w:vAlign w:val="center"/>
          </w:tcPr>
          <w:p>
            <w:pPr>
              <w:pStyle w:val="13"/>
            </w:pPr>
            <w:r>
              <w:t>1328.60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1187.27</w:t>
            </w:r>
          </w:p>
        </w:tc>
        <w:tc>
          <w:tcPr>
            <w:tcW w:w="1134" w:type="dxa"/>
            <w:vAlign w:val="center"/>
          </w:tcPr>
          <w:p>
            <w:pPr>
              <w:pStyle w:val="13"/>
            </w:pPr>
            <w:r>
              <w:t>1187.27</w:t>
            </w:r>
          </w:p>
        </w:tc>
        <w:tc>
          <w:tcPr>
            <w:tcW w:w="1134" w:type="dxa"/>
            <w:vAlign w:val="center"/>
          </w:tcPr>
          <w:p>
            <w:pPr>
              <w:pStyle w:val="13"/>
            </w:pPr>
            <w:r>
              <w:t>1187.27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2010303</w:t>
            </w:r>
          </w:p>
        </w:tc>
        <w:tc>
          <w:tcPr>
            <w:tcW w:w="1559" w:type="dxa"/>
            <w:vAlign w:val="center"/>
          </w:tcPr>
          <w:p>
            <w:pPr>
              <w:pStyle w:val="14"/>
            </w:pPr>
            <w:r>
              <w:t>机关服务</w:t>
            </w:r>
          </w:p>
        </w:tc>
        <w:tc>
          <w:tcPr>
            <w:tcW w:w="1134" w:type="dxa"/>
            <w:vAlign w:val="center"/>
          </w:tcPr>
          <w:p>
            <w:pPr>
              <w:pStyle w:val="13"/>
            </w:pPr>
            <w:r>
              <w:t>141.33</w:t>
            </w:r>
          </w:p>
        </w:tc>
        <w:tc>
          <w:tcPr>
            <w:tcW w:w="1134" w:type="dxa"/>
            <w:vAlign w:val="center"/>
          </w:tcPr>
          <w:p>
            <w:pPr>
              <w:pStyle w:val="13"/>
            </w:pPr>
            <w:r>
              <w:t>141.33</w:t>
            </w:r>
          </w:p>
        </w:tc>
        <w:tc>
          <w:tcPr>
            <w:tcW w:w="1134" w:type="dxa"/>
            <w:vAlign w:val="center"/>
          </w:tcPr>
          <w:p>
            <w:pPr>
              <w:pStyle w:val="13"/>
            </w:pPr>
            <w:r>
              <w:t>141.33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2130701</w:t>
            </w:r>
          </w:p>
        </w:tc>
        <w:tc>
          <w:tcPr>
            <w:tcW w:w="1559" w:type="dxa"/>
            <w:vAlign w:val="center"/>
          </w:tcPr>
          <w:p>
            <w:pPr>
              <w:pStyle w:val="14"/>
            </w:pPr>
            <w:r>
              <w:t>对村级公益事业建设的补助</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r>
              <w:t>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810石家庄市藁城区南董镇人民政府</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1425.10</w:t>
            </w:r>
          </w:p>
        </w:tc>
        <w:tc>
          <w:tcPr>
            <w:tcW w:w="1361" w:type="dxa"/>
            <w:vAlign w:val="center"/>
          </w:tcPr>
          <w:p>
            <w:pPr>
              <w:pStyle w:val="17"/>
            </w:pPr>
            <w:r>
              <w:t>1187.27</w:t>
            </w:r>
          </w:p>
        </w:tc>
        <w:tc>
          <w:tcPr>
            <w:tcW w:w="1361" w:type="dxa"/>
            <w:vAlign w:val="center"/>
          </w:tcPr>
          <w:p>
            <w:pPr>
              <w:pStyle w:val="17"/>
            </w:pPr>
            <w:r>
              <w:t>237.83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1328.60</w:t>
            </w:r>
          </w:p>
        </w:tc>
        <w:tc>
          <w:tcPr>
            <w:tcW w:w="1361" w:type="dxa"/>
            <w:vAlign w:val="center"/>
          </w:tcPr>
          <w:p>
            <w:pPr>
              <w:pStyle w:val="13"/>
            </w:pPr>
            <w:r>
              <w:t>1187.27</w:t>
            </w:r>
          </w:p>
        </w:tc>
        <w:tc>
          <w:tcPr>
            <w:tcW w:w="1361" w:type="dxa"/>
            <w:vAlign w:val="center"/>
          </w:tcPr>
          <w:p>
            <w:pPr>
              <w:pStyle w:val="13"/>
            </w:pPr>
            <w:r>
              <w:t>141.33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1328.60</w:t>
            </w:r>
          </w:p>
        </w:tc>
        <w:tc>
          <w:tcPr>
            <w:tcW w:w="1361" w:type="dxa"/>
            <w:vAlign w:val="center"/>
          </w:tcPr>
          <w:p>
            <w:pPr>
              <w:pStyle w:val="13"/>
            </w:pPr>
            <w:r>
              <w:t>1187.27</w:t>
            </w:r>
          </w:p>
        </w:tc>
        <w:tc>
          <w:tcPr>
            <w:tcW w:w="1361" w:type="dxa"/>
            <w:vAlign w:val="center"/>
          </w:tcPr>
          <w:p>
            <w:pPr>
              <w:pStyle w:val="13"/>
            </w:pPr>
            <w:r>
              <w:t>141.33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1187.27</w:t>
            </w:r>
          </w:p>
        </w:tc>
        <w:tc>
          <w:tcPr>
            <w:tcW w:w="1361" w:type="dxa"/>
            <w:vAlign w:val="center"/>
          </w:tcPr>
          <w:p>
            <w:pPr>
              <w:pStyle w:val="13"/>
            </w:pPr>
            <w:r>
              <w:t>1187.27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2010303</w:t>
            </w:r>
          </w:p>
        </w:tc>
        <w:tc>
          <w:tcPr>
            <w:tcW w:w="4535" w:type="dxa"/>
            <w:vAlign w:val="center"/>
          </w:tcPr>
          <w:p>
            <w:pPr>
              <w:pStyle w:val="14"/>
            </w:pPr>
            <w:r>
              <w:t>机关服务</w:t>
            </w:r>
          </w:p>
        </w:tc>
        <w:tc>
          <w:tcPr>
            <w:tcW w:w="1361" w:type="dxa"/>
            <w:vAlign w:val="center"/>
          </w:tcPr>
          <w:p>
            <w:pPr>
              <w:pStyle w:val="13"/>
            </w:pPr>
            <w:r>
              <w:t>141.33</w:t>
            </w:r>
          </w:p>
        </w:tc>
        <w:tc>
          <w:tcPr>
            <w:tcW w:w="1361" w:type="dxa"/>
            <w:vAlign w:val="center"/>
          </w:tcPr>
          <w:p>
            <w:pPr>
              <w:pStyle w:val="13"/>
            </w:pPr>
          </w:p>
        </w:tc>
        <w:tc>
          <w:tcPr>
            <w:tcW w:w="1361" w:type="dxa"/>
            <w:vAlign w:val="center"/>
          </w:tcPr>
          <w:p>
            <w:pPr>
              <w:pStyle w:val="13"/>
            </w:pPr>
            <w:r>
              <w:t>141.33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15.50</w:t>
            </w:r>
          </w:p>
        </w:tc>
        <w:tc>
          <w:tcPr>
            <w:tcW w:w="1361" w:type="dxa"/>
            <w:vAlign w:val="center"/>
          </w:tcPr>
          <w:p>
            <w:pPr>
              <w:pStyle w:val="13"/>
            </w:pPr>
          </w:p>
        </w:tc>
        <w:tc>
          <w:tcPr>
            <w:tcW w:w="1361" w:type="dxa"/>
            <w:vAlign w:val="center"/>
          </w:tcPr>
          <w:p>
            <w:pPr>
              <w:pStyle w:val="13"/>
            </w:pPr>
            <w:r>
              <w:t>15.50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15.50</w:t>
            </w:r>
          </w:p>
        </w:tc>
        <w:tc>
          <w:tcPr>
            <w:tcW w:w="1361" w:type="dxa"/>
            <w:vAlign w:val="center"/>
          </w:tcPr>
          <w:p>
            <w:pPr>
              <w:pStyle w:val="13"/>
            </w:pPr>
          </w:p>
        </w:tc>
        <w:tc>
          <w:tcPr>
            <w:tcW w:w="1361" w:type="dxa"/>
            <w:vAlign w:val="center"/>
          </w:tcPr>
          <w:p>
            <w:pPr>
              <w:pStyle w:val="13"/>
            </w:pPr>
            <w:r>
              <w:t>15.50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15.50</w:t>
            </w:r>
          </w:p>
        </w:tc>
        <w:tc>
          <w:tcPr>
            <w:tcW w:w="1361" w:type="dxa"/>
            <w:vAlign w:val="center"/>
          </w:tcPr>
          <w:p>
            <w:pPr>
              <w:pStyle w:val="13"/>
            </w:pPr>
          </w:p>
        </w:tc>
        <w:tc>
          <w:tcPr>
            <w:tcW w:w="1361" w:type="dxa"/>
            <w:vAlign w:val="center"/>
          </w:tcPr>
          <w:p>
            <w:pPr>
              <w:pStyle w:val="13"/>
            </w:pPr>
            <w:r>
              <w:t>15.50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r>
              <w:t>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810石家庄市藁城区南董镇人民政府</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1425.10</w:t>
            </w:r>
          </w:p>
        </w:tc>
        <w:tc>
          <w:tcPr>
            <w:tcW w:w="3402" w:type="dxa"/>
            <w:vAlign w:val="center"/>
          </w:tcPr>
          <w:p>
            <w:pPr>
              <w:pStyle w:val="14"/>
            </w:pPr>
            <w:r>
              <w:t>一、一般公共服务支出</w:t>
            </w:r>
          </w:p>
        </w:tc>
        <w:tc>
          <w:tcPr>
            <w:tcW w:w="1474" w:type="dxa"/>
            <w:vAlign w:val="center"/>
          </w:tcPr>
          <w:p>
            <w:pPr>
              <w:pStyle w:val="13"/>
            </w:pPr>
            <w:r>
              <w:t>1328.60</w:t>
            </w:r>
          </w:p>
        </w:tc>
        <w:tc>
          <w:tcPr>
            <w:tcW w:w="1474" w:type="dxa"/>
            <w:vAlign w:val="center"/>
          </w:tcPr>
          <w:p>
            <w:pPr>
              <w:pStyle w:val="13"/>
            </w:pPr>
            <w:r>
              <w:t>1328.60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15.50</w:t>
            </w:r>
          </w:p>
        </w:tc>
        <w:tc>
          <w:tcPr>
            <w:tcW w:w="1474" w:type="dxa"/>
            <w:vAlign w:val="center"/>
          </w:tcPr>
          <w:p>
            <w:pPr>
              <w:pStyle w:val="13"/>
            </w:pPr>
            <w:r>
              <w:t>15.50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16.00</w:t>
            </w:r>
          </w:p>
        </w:tc>
        <w:tc>
          <w:tcPr>
            <w:tcW w:w="1474" w:type="dxa"/>
            <w:vAlign w:val="center"/>
          </w:tcPr>
          <w:p>
            <w:pPr>
              <w:pStyle w:val="13"/>
            </w:pPr>
            <w:r>
              <w:t>16.00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5.00</w:t>
            </w:r>
          </w:p>
        </w:tc>
        <w:tc>
          <w:tcPr>
            <w:tcW w:w="1474" w:type="dxa"/>
            <w:vAlign w:val="center"/>
          </w:tcPr>
          <w:p>
            <w:pPr>
              <w:pStyle w:val="13"/>
            </w:pPr>
            <w:r>
              <w:t>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60.00</w:t>
            </w:r>
          </w:p>
        </w:tc>
        <w:tc>
          <w:tcPr>
            <w:tcW w:w="1474" w:type="dxa"/>
            <w:vAlign w:val="center"/>
          </w:tcPr>
          <w:p>
            <w:pPr>
              <w:pStyle w:val="13"/>
            </w:pPr>
            <w:r>
              <w:t>60.00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1425.10</w:t>
            </w:r>
          </w:p>
        </w:tc>
        <w:tc>
          <w:tcPr>
            <w:tcW w:w="3402" w:type="dxa"/>
            <w:vAlign w:val="center"/>
          </w:tcPr>
          <w:p>
            <w:pPr>
              <w:pStyle w:val="16"/>
            </w:pPr>
            <w:r>
              <w:t>本年支出合计</w:t>
            </w:r>
          </w:p>
        </w:tc>
        <w:tc>
          <w:tcPr>
            <w:tcW w:w="1474" w:type="dxa"/>
            <w:vAlign w:val="center"/>
          </w:tcPr>
          <w:p>
            <w:pPr>
              <w:pStyle w:val="17"/>
            </w:pPr>
            <w:r>
              <w:t>1425.10</w:t>
            </w:r>
          </w:p>
        </w:tc>
        <w:tc>
          <w:tcPr>
            <w:tcW w:w="1474" w:type="dxa"/>
            <w:vAlign w:val="center"/>
          </w:tcPr>
          <w:p>
            <w:pPr>
              <w:pStyle w:val="17"/>
            </w:pPr>
            <w:r>
              <w:t>1425.10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1425.10</w:t>
            </w:r>
          </w:p>
        </w:tc>
        <w:tc>
          <w:tcPr>
            <w:tcW w:w="3402" w:type="dxa"/>
            <w:vAlign w:val="center"/>
          </w:tcPr>
          <w:p>
            <w:pPr>
              <w:pStyle w:val="16"/>
            </w:pPr>
            <w:r>
              <w:t>支出总计</w:t>
            </w:r>
          </w:p>
        </w:tc>
        <w:tc>
          <w:tcPr>
            <w:tcW w:w="1474" w:type="dxa"/>
            <w:vAlign w:val="center"/>
          </w:tcPr>
          <w:p>
            <w:pPr>
              <w:pStyle w:val="17"/>
            </w:pPr>
            <w:r>
              <w:t>1425.10</w:t>
            </w:r>
          </w:p>
        </w:tc>
        <w:tc>
          <w:tcPr>
            <w:tcW w:w="1474" w:type="dxa"/>
            <w:vAlign w:val="center"/>
          </w:tcPr>
          <w:p>
            <w:pPr>
              <w:pStyle w:val="17"/>
            </w:pPr>
            <w:r>
              <w:t>1425.10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1425.10</w:t>
            </w:r>
          </w:p>
        </w:tc>
        <w:tc>
          <w:tcPr>
            <w:tcW w:w="2551" w:type="dxa"/>
            <w:vAlign w:val="center"/>
          </w:tcPr>
          <w:p>
            <w:pPr>
              <w:pStyle w:val="17"/>
            </w:pPr>
            <w:r>
              <w:t>1187.27</w:t>
            </w:r>
          </w:p>
        </w:tc>
        <w:tc>
          <w:tcPr>
            <w:tcW w:w="2551" w:type="dxa"/>
            <w:vAlign w:val="center"/>
          </w:tcPr>
          <w:p>
            <w:pPr>
              <w:pStyle w:val="17"/>
            </w:pPr>
            <w:r>
              <w:t>237.83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1328.60</w:t>
            </w:r>
          </w:p>
        </w:tc>
        <w:tc>
          <w:tcPr>
            <w:tcW w:w="2551" w:type="dxa"/>
            <w:vAlign w:val="center"/>
          </w:tcPr>
          <w:p>
            <w:pPr>
              <w:pStyle w:val="13"/>
            </w:pPr>
            <w:r>
              <w:t>1187.27</w:t>
            </w:r>
          </w:p>
        </w:tc>
        <w:tc>
          <w:tcPr>
            <w:tcW w:w="2551" w:type="dxa"/>
            <w:vAlign w:val="center"/>
          </w:tcPr>
          <w:p>
            <w:pPr>
              <w:pStyle w:val="13"/>
            </w:pPr>
            <w:r>
              <w:t>141.33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1328.60</w:t>
            </w:r>
          </w:p>
        </w:tc>
        <w:tc>
          <w:tcPr>
            <w:tcW w:w="2551" w:type="dxa"/>
            <w:vAlign w:val="center"/>
          </w:tcPr>
          <w:p>
            <w:pPr>
              <w:pStyle w:val="13"/>
            </w:pPr>
            <w:r>
              <w:t>1187.27</w:t>
            </w:r>
          </w:p>
        </w:tc>
        <w:tc>
          <w:tcPr>
            <w:tcW w:w="2551" w:type="dxa"/>
            <w:vAlign w:val="center"/>
          </w:tcPr>
          <w:p>
            <w:pPr>
              <w:pStyle w:val="13"/>
            </w:pPr>
            <w:r>
              <w:t>141.33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1187.27</w:t>
            </w:r>
          </w:p>
        </w:tc>
        <w:tc>
          <w:tcPr>
            <w:tcW w:w="2551" w:type="dxa"/>
            <w:vAlign w:val="center"/>
          </w:tcPr>
          <w:p>
            <w:pPr>
              <w:pStyle w:val="13"/>
            </w:pPr>
            <w:r>
              <w:t>1187.27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2010303</w:t>
            </w:r>
          </w:p>
        </w:tc>
        <w:tc>
          <w:tcPr>
            <w:tcW w:w="4535" w:type="dxa"/>
            <w:vAlign w:val="center"/>
          </w:tcPr>
          <w:p>
            <w:pPr>
              <w:pStyle w:val="14"/>
            </w:pPr>
            <w:r>
              <w:t>机关服务</w:t>
            </w:r>
          </w:p>
        </w:tc>
        <w:tc>
          <w:tcPr>
            <w:tcW w:w="2551" w:type="dxa"/>
            <w:vAlign w:val="center"/>
          </w:tcPr>
          <w:p>
            <w:pPr>
              <w:pStyle w:val="13"/>
            </w:pPr>
            <w:r>
              <w:t>141.33</w:t>
            </w:r>
          </w:p>
        </w:tc>
        <w:tc>
          <w:tcPr>
            <w:tcW w:w="2551" w:type="dxa"/>
            <w:vAlign w:val="center"/>
          </w:tcPr>
          <w:p>
            <w:pPr>
              <w:pStyle w:val="13"/>
            </w:pPr>
          </w:p>
        </w:tc>
        <w:tc>
          <w:tcPr>
            <w:tcW w:w="2551" w:type="dxa"/>
            <w:vAlign w:val="center"/>
          </w:tcPr>
          <w:p>
            <w:pPr>
              <w:pStyle w:val="13"/>
            </w:pPr>
            <w:r>
              <w:t>141.33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15.50</w:t>
            </w:r>
          </w:p>
        </w:tc>
        <w:tc>
          <w:tcPr>
            <w:tcW w:w="2551" w:type="dxa"/>
            <w:vAlign w:val="center"/>
          </w:tcPr>
          <w:p>
            <w:pPr>
              <w:pStyle w:val="13"/>
            </w:pPr>
          </w:p>
        </w:tc>
        <w:tc>
          <w:tcPr>
            <w:tcW w:w="2551" w:type="dxa"/>
            <w:vAlign w:val="center"/>
          </w:tcPr>
          <w:p>
            <w:pPr>
              <w:pStyle w:val="13"/>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15.50</w:t>
            </w:r>
          </w:p>
        </w:tc>
        <w:tc>
          <w:tcPr>
            <w:tcW w:w="2551" w:type="dxa"/>
            <w:vAlign w:val="center"/>
          </w:tcPr>
          <w:p>
            <w:pPr>
              <w:pStyle w:val="13"/>
            </w:pPr>
          </w:p>
        </w:tc>
        <w:tc>
          <w:tcPr>
            <w:tcW w:w="2551" w:type="dxa"/>
            <w:vAlign w:val="center"/>
          </w:tcPr>
          <w:p>
            <w:pPr>
              <w:pStyle w:val="13"/>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15.50</w:t>
            </w:r>
          </w:p>
        </w:tc>
        <w:tc>
          <w:tcPr>
            <w:tcW w:w="2551" w:type="dxa"/>
            <w:vAlign w:val="center"/>
          </w:tcPr>
          <w:p>
            <w:pPr>
              <w:pStyle w:val="13"/>
            </w:pPr>
          </w:p>
        </w:tc>
        <w:tc>
          <w:tcPr>
            <w:tcW w:w="2551" w:type="dxa"/>
            <w:vAlign w:val="center"/>
          </w:tcPr>
          <w:p>
            <w:pPr>
              <w:pStyle w:val="13"/>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16.00</w:t>
            </w:r>
          </w:p>
        </w:tc>
        <w:tc>
          <w:tcPr>
            <w:tcW w:w="2551" w:type="dxa"/>
            <w:vAlign w:val="center"/>
          </w:tcPr>
          <w:p>
            <w:pPr>
              <w:pStyle w:val="13"/>
            </w:pPr>
          </w:p>
        </w:tc>
        <w:tc>
          <w:tcPr>
            <w:tcW w:w="2551"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16.00</w:t>
            </w:r>
          </w:p>
        </w:tc>
        <w:tc>
          <w:tcPr>
            <w:tcW w:w="2551" w:type="dxa"/>
            <w:vAlign w:val="center"/>
          </w:tcPr>
          <w:p>
            <w:pPr>
              <w:pStyle w:val="13"/>
            </w:pPr>
          </w:p>
        </w:tc>
        <w:tc>
          <w:tcPr>
            <w:tcW w:w="2551"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16.00</w:t>
            </w:r>
          </w:p>
        </w:tc>
        <w:tc>
          <w:tcPr>
            <w:tcW w:w="2551" w:type="dxa"/>
            <w:vAlign w:val="center"/>
          </w:tcPr>
          <w:p>
            <w:pPr>
              <w:pStyle w:val="13"/>
            </w:pPr>
          </w:p>
        </w:tc>
        <w:tc>
          <w:tcPr>
            <w:tcW w:w="2551"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60.00</w:t>
            </w:r>
          </w:p>
        </w:tc>
        <w:tc>
          <w:tcPr>
            <w:tcW w:w="2551" w:type="dxa"/>
            <w:vAlign w:val="center"/>
          </w:tcPr>
          <w:p>
            <w:pPr>
              <w:pStyle w:val="13"/>
            </w:pPr>
          </w:p>
        </w:tc>
        <w:tc>
          <w:tcPr>
            <w:tcW w:w="2551"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60.00</w:t>
            </w:r>
          </w:p>
        </w:tc>
        <w:tc>
          <w:tcPr>
            <w:tcW w:w="2551" w:type="dxa"/>
            <w:vAlign w:val="center"/>
          </w:tcPr>
          <w:p>
            <w:pPr>
              <w:pStyle w:val="13"/>
            </w:pPr>
          </w:p>
        </w:tc>
        <w:tc>
          <w:tcPr>
            <w:tcW w:w="2551" w:type="dxa"/>
            <w:vAlign w:val="center"/>
          </w:tcPr>
          <w:p>
            <w:pPr>
              <w:pStyle w:val="13"/>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60.00</w:t>
            </w:r>
          </w:p>
        </w:tc>
        <w:tc>
          <w:tcPr>
            <w:tcW w:w="2551" w:type="dxa"/>
            <w:vAlign w:val="center"/>
          </w:tcPr>
          <w:p>
            <w:pPr>
              <w:pStyle w:val="13"/>
            </w:pPr>
          </w:p>
        </w:tc>
        <w:tc>
          <w:tcPr>
            <w:tcW w:w="2551" w:type="dxa"/>
            <w:vAlign w:val="center"/>
          </w:tcPr>
          <w:p>
            <w:pPr>
              <w:pStyle w:val="13"/>
            </w:pPr>
            <w:r>
              <w:t>60.00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1187.27</w:t>
            </w:r>
          </w:p>
        </w:tc>
        <w:tc>
          <w:tcPr>
            <w:tcW w:w="2551" w:type="dxa"/>
            <w:vAlign w:val="center"/>
          </w:tcPr>
          <w:p>
            <w:pPr>
              <w:pStyle w:val="17"/>
            </w:pPr>
            <w:r>
              <w:t>1018.02</w:t>
            </w:r>
          </w:p>
        </w:tc>
        <w:tc>
          <w:tcPr>
            <w:tcW w:w="2551" w:type="dxa"/>
            <w:vAlign w:val="center"/>
          </w:tcPr>
          <w:p>
            <w:pPr>
              <w:pStyle w:val="17"/>
            </w:pPr>
            <w:r>
              <w:t>169.25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915.63</w:t>
            </w:r>
          </w:p>
        </w:tc>
        <w:tc>
          <w:tcPr>
            <w:tcW w:w="2551" w:type="dxa"/>
            <w:vAlign w:val="center"/>
          </w:tcPr>
          <w:p>
            <w:pPr>
              <w:pStyle w:val="13"/>
            </w:pPr>
            <w:r>
              <w:t>915.63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181.72</w:t>
            </w:r>
          </w:p>
        </w:tc>
        <w:tc>
          <w:tcPr>
            <w:tcW w:w="2551" w:type="dxa"/>
            <w:vAlign w:val="center"/>
          </w:tcPr>
          <w:p>
            <w:pPr>
              <w:pStyle w:val="13"/>
            </w:pPr>
            <w:r>
              <w:t>181.72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369.22</w:t>
            </w:r>
          </w:p>
        </w:tc>
        <w:tc>
          <w:tcPr>
            <w:tcW w:w="2551" w:type="dxa"/>
            <w:vAlign w:val="center"/>
          </w:tcPr>
          <w:p>
            <w:pPr>
              <w:pStyle w:val="13"/>
            </w:pPr>
            <w:r>
              <w:t>369.22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9.39</w:t>
            </w:r>
          </w:p>
        </w:tc>
        <w:tc>
          <w:tcPr>
            <w:tcW w:w="2551" w:type="dxa"/>
            <w:vAlign w:val="center"/>
          </w:tcPr>
          <w:p>
            <w:pPr>
              <w:pStyle w:val="13"/>
            </w:pPr>
            <w:r>
              <w:t>9.39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70.66</w:t>
            </w:r>
          </w:p>
        </w:tc>
        <w:tc>
          <w:tcPr>
            <w:tcW w:w="2551" w:type="dxa"/>
            <w:vAlign w:val="center"/>
          </w:tcPr>
          <w:p>
            <w:pPr>
              <w:pStyle w:val="13"/>
            </w:pPr>
            <w:r>
              <w:t>70.66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75.41</w:t>
            </w:r>
          </w:p>
        </w:tc>
        <w:tc>
          <w:tcPr>
            <w:tcW w:w="2551" w:type="dxa"/>
            <w:vAlign w:val="center"/>
          </w:tcPr>
          <w:p>
            <w:pPr>
              <w:pStyle w:val="13"/>
            </w:pPr>
            <w:r>
              <w:t>75.41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39.59</w:t>
            </w:r>
          </w:p>
        </w:tc>
        <w:tc>
          <w:tcPr>
            <w:tcW w:w="2551" w:type="dxa"/>
            <w:vAlign w:val="center"/>
          </w:tcPr>
          <w:p>
            <w:pPr>
              <w:pStyle w:val="13"/>
            </w:pPr>
            <w:r>
              <w:t>39.59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30.64</w:t>
            </w:r>
          </w:p>
        </w:tc>
        <w:tc>
          <w:tcPr>
            <w:tcW w:w="2551" w:type="dxa"/>
            <w:vAlign w:val="center"/>
          </w:tcPr>
          <w:p>
            <w:pPr>
              <w:pStyle w:val="13"/>
            </w:pPr>
            <w:r>
              <w:t>30.64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76.46</w:t>
            </w:r>
          </w:p>
        </w:tc>
        <w:tc>
          <w:tcPr>
            <w:tcW w:w="2551" w:type="dxa"/>
            <w:vAlign w:val="center"/>
          </w:tcPr>
          <w:p>
            <w:pPr>
              <w:pStyle w:val="13"/>
            </w:pPr>
            <w:r>
              <w:t>76.46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62.55</w:t>
            </w:r>
          </w:p>
        </w:tc>
        <w:tc>
          <w:tcPr>
            <w:tcW w:w="2551" w:type="dxa"/>
            <w:vAlign w:val="center"/>
          </w:tcPr>
          <w:p>
            <w:pPr>
              <w:pStyle w:val="13"/>
            </w:pPr>
            <w:r>
              <w:t>62.55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169.25</w:t>
            </w:r>
          </w:p>
        </w:tc>
        <w:tc>
          <w:tcPr>
            <w:tcW w:w="2551" w:type="dxa"/>
            <w:vAlign w:val="center"/>
          </w:tcPr>
          <w:p>
            <w:pPr>
              <w:pStyle w:val="13"/>
            </w:pPr>
          </w:p>
        </w:tc>
        <w:tc>
          <w:tcPr>
            <w:tcW w:w="2551" w:type="dxa"/>
            <w:vAlign w:val="center"/>
          </w:tcPr>
          <w:p>
            <w:pPr>
              <w:pStyle w:val="13"/>
            </w:pPr>
            <w:r>
              <w:t>169.25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25.00</w:t>
            </w:r>
          </w:p>
        </w:tc>
        <w:tc>
          <w:tcPr>
            <w:tcW w:w="2551" w:type="dxa"/>
            <w:vAlign w:val="center"/>
          </w:tcPr>
          <w:p>
            <w:pPr>
              <w:pStyle w:val="13"/>
            </w:pPr>
          </w:p>
        </w:tc>
        <w:tc>
          <w:tcPr>
            <w:tcW w:w="2551"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22.94</w:t>
            </w:r>
          </w:p>
        </w:tc>
        <w:tc>
          <w:tcPr>
            <w:tcW w:w="2551" w:type="dxa"/>
            <w:vAlign w:val="center"/>
          </w:tcPr>
          <w:p>
            <w:pPr>
              <w:pStyle w:val="13"/>
            </w:pPr>
          </w:p>
        </w:tc>
        <w:tc>
          <w:tcPr>
            <w:tcW w:w="2551" w:type="dxa"/>
            <w:vAlign w:val="center"/>
          </w:tcPr>
          <w:p>
            <w:pPr>
              <w:pStyle w:val="13"/>
            </w:pPr>
            <w:r>
              <w:t>22.94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18.00</w:t>
            </w:r>
          </w:p>
        </w:tc>
        <w:tc>
          <w:tcPr>
            <w:tcW w:w="2551" w:type="dxa"/>
            <w:vAlign w:val="center"/>
          </w:tcPr>
          <w:p>
            <w:pPr>
              <w:pStyle w:val="13"/>
            </w:pPr>
          </w:p>
        </w:tc>
        <w:tc>
          <w:tcPr>
            <w:tcW w:w="2551"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4.29</w:t>
            </w:r>
          </w:p>
        </w:tc>
        <w:tc>
          <w:tcPr>
            <w:tcW w:w="2551" w:type="dxa"/>
            <w:vAlign w:val="center"/>
          </w:tcPr>
          <w:p>
            <w:pPr>
              <w:pStyle w:val="13"/>
            </w:pPr>
          </w:p>
        </w:tc>
        <w:tc>
          <w:tcPr>
            <w:tcW w:w="2551" w:type="dxa"/>
            <w:vAlign w:val="center"/>
          </w:tcPr>
          <w:p>
            <w:pPr>
              <w:pStyle w:val="13"/>
            </w:pPr>
            <w:r>
              <w:t>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4.54</w:t>
            </w:r>
          </w:p>
        </w:tc>
        <w:tc>
          <w:tcPr>
            <w:tcW w:w="2551" w:type="dxa"/>
            <w:vAlign w:val="center"/>
          </w:tcPr>
          <w:p>
            <w:pPr>
              <w:pStyle w:val="13"/>
            </w:pPr>
          </w:p>
        </w:tc>
        <w:tc>
          <w:tcPr>
            <w:tcW w:w="2551" w:type="dxa"/>
            <w:vAlign w:val="center"/>
          </w:tcPr>
          <w:p>
            <w:pPr>
              <w:pStyle w:val="13"/>
            </w:pPr>
            <w:r>
              <w:t>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2.20</w:t>
            </w:r>
          </w:p>
        </w:tc>
        <w:tc>
          <w:tcPr>
            <w:tcW w:w="2551" w:type="dxa"/>
            <w:vAlign w:val="center"/>
          </w:tcPr>
          <w:p>
            <w:pPr>
              <w:pStyle w:val="13"/>
            </w:pPr>
          </w:p>
        </w:tc>
        <w:tc>
          <w:tcPr>
            <w:tcW w:w="2551"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31.14</w:t>
            </w:r>
          </w:p>
        </w:tc>
        <w:tc>
          <w:tcPr>
            <w:tcW w:w="2551" w:type="dxa"/>
            <w:vAlign w:val="center"/>
          </w:tcPr>
          <w:p>
            <w:pPr>
              <w:pStyle w:val="13"/>
            </w:pPr>
          </w:p>
        </w:tc>
        <w:tc>
          <w:tcPr>
            <w:tcW w:w="2551" w:type="dxa"/>
            <w:vAlign w:val="center"/>
          </w:tcPr>
          <w:p>
            <w:pPr>
              <w:pStyle w:val="13"/>
            </w:pPr>
            <w:r>
              <w:t>31.14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5.14</w:t>
            </w:r>
          </w:p>
        </w:tc>
        <w:tc>
          <w:tcPr>
            <w:tcW w:w="2551" w:type="dxa"/>
            <w:vAlign w:val="center"/>
          </w:tcPr>
          <w:p>
            <w:pPr>
              <w:pStyle w:val="13"/>
            </w:pPr>
          </w:p>
        </w:tc>
        <w:tc>
          <w:tcPr>
            <w:tcW w:w="2551" w:type="dxa"/>
            <w:vAlign w:val="center"/>
          </w:tcPr>
          <w:p>
            <w:pPr>
              <w:pStyle w:val="13"/>
            </w:pPr>
            <w:r>
              <w:t>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102.39</w:t>
            </w:r>
          </w:p>
        </w:tc>
        <w:tc>
          <w:tcPr>
            <w:tcW w:w="2551" w:type="dxa"/>
            <w:vAlign w:val="center"/>
          </w:tcPr>
          <w:p>
            <w:pPr>
              <w:pStyle w:val="13"/>
            </w:pPr>
            <w:r>
              <w:t>102.39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80.58</w:t>
            </w:r>
          </w:p>
        </w:tc>
        <w:tc>
          <w:tcPr>
            <w:tcW w:w="2551" w:type="dxa"/>
            <w:vAlign w:val="center"/>
          </w:tcPr>
          <w:p>
            <w:pPr>
              <w:pStyle w:val="13"/>
            </w:pPr>
            <w:r>
              <w:t>80.58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21.75</w:t>
            </w:r>
          </w:p>
        </w:tc>
        <w:tc>
          <w:tcPr>
            <w:tcW w:w="2551" w:type="dxa"/>
            <w:vAlign w:val="center"/>
          </w:tcPr>
          <w:p>
            <w:pPr>
              <w:pStyle w:val="13"/>
            </w:pPr>
            <w:r>
              <w:t>21.75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0.06</w:t>
            </w:r>
          </w:p>
        </w:tc>
        <w:tc>
          <w:tcPr>
            <w:tcW w:w="2551" w:type="dxa"/>
            <w:vAlign w:val="center"/>
          </w:tcPr>
          <w:p>
            <w:pPr>
              <w:pStyle w:val="13"/>
            </w:pPr>
            <w:r>
              <w:t>0.06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810石家庄市藁城区南董镇人民政府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810石家庄市藁城区南董镇人民政府</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2.20</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2.20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2.20</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石家庄市藁城区南董镇人民政府2022年部门预算信息公开情况说明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石家庄市藁城区南董镇人民政府2022年部门预算信息公开情况说明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、《地方预决算公开操作规程》和《关于进一步推进预算公开工作的实施意见》规定，现将石家庄市藁城区南董镇人民政府2022年部门预算公开如下：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bookmarkStart w:id="18" w:name="_GoBack"/>
      <w:bookmarkEnd w:id="18"/>
    </w:p>
    <w:p>
      <w:pPr>
        <w:pStyle w:val="19"/>
      </w:pPr>
      <w:r>
        <w:t>（1）党务、政务管理</w:t>
      </w:r>
    </w:p>
    <w:p>
      <w:pPr>
        <w:pStyle w:val="19"/>
      </w:pPr>
      <w:r>
        <w:t>处理机关日常工作的协调和督促检查；负责机关文电、值班、会务、机要、保密、档案、党务政务公开、对外联络、后勤保障等日常运转工作；负责机关和所属单位财务及国有资产管理等工作。</w:t>
      </w:r>
    </w:p>
    <w:p>
      <w:pPr>
        <w:pStyle w:val="19"/>
      </w:pPr>
      <w:r>
        <w:t>（2）党建工作</w:t>
      </w:r>
    </w:p>
    <w:p>
      <w:pPr>
        <w:pStyle w:val="19"/>
      </w:pPr>
      <w:r>
        <w:t>加强镇党委自身建设和村（社区）党组织建设，以及其他隶属镇党委的党组织建设，抓好发展党员工作，加强党员队伍建设。维护和执行党的纪律，监督党员干部和其他任何工作人员严格遵守国家法律法规。</w:t>
      </w:r>
    </w:p>
    <w:p>
      <w:pPr>
        <w:pStyle w:val="19"/>
      </w:pPr>
      <w:r>
        <w:t>（3）社会治理和应急管理</w:t>
      </w:r>
    </w:p>
    <w:p>
      <w:pPr>
        <w:pStyle w:val="19"/>
      </w:pPr>
      <w:r>
        <w:t>做好应急管理工作，落实应急管理责任；做好基层治理综合指挥工作；做好基层网格化管理工作；做好社会治安综合治理工作，做好司法、宗教工作，打击邪教；做好群众 来信来访、搞好农村矛盾纠纷排查调处；妥善处理突发性、群体性事件，维护社会稳定；打击各类犯罪活动。</w:t>
      </w:r>
    </w:p>
    <w:p>
      <w:pPr>
        <w:pStyle w:val="19"/>
      </w:pPr>
      <w:r>
        <w:t>（4）自然资源和生态环境保护</w:t>
      </w:r>
    </w:p>
    <w:p>
      <w:pPr>
        <w:pStyle w:val="19"/>
      </w:pPr>
      <w:r>
        <w:t>承担自然资源保护和治理环境污染。依法保护和监管自然资源，改善人居环境，治理大气、水、土地等污染。</w:t>
      </w:r>
    </w:p>
    <w:p>
      <w:pPr>
        <w:pStyle w:val="19"/>
      </w:pPr>
      <w:r>
        <w:t>（5）综合行政执法</w:t>
      </w:r>
    </w:p>
    <w:p>
      <w:pPr>
        <w:pStyle w:val="19"/>
      </w:pPr>
      <w:r>
        <w:t>做好城乡建设、生态环境、文化市场、农业农村、安全生产、民族宗教等领域行政执法工作。</w:t>
      </w:r>
    </w:p>
    <w:p>
      <w:pPr>
        <w:pStyle w:val="19"/>
      </w:pPr>
      <w:r>
        <w:t>（6）行政综合服务</w:t>
      </w:r>
    </w:p>
    <w:p>
      <w:pPr>
        <w:pStyle w:val="19"/>
      </w:pPr>
      <w:r>
        <w:t>做好行政审批服务事项的受理、办理工作，提供政策和业务咨询；指导村便民服务站点建设。负责镇财政预算管理与执行，负责镇机关收支活动，组织实施镇财务核算及监督工作。</w:t>
      </w:r>
    </w:p>
    <w:p>
      <w:pPr>
        <w:pStyle w:val="19"/>
      </w:pPr>
      <w:r>
        <w:t>（7）退役军人服务管理</w:t>
      </w:r>
    </w:p>
    <w:p>
      <w:pPr>
        <w:pStyle w:val="19"/>
      </w:pPr>
      <w:r>
        <w:t>宣传贯彻退役军人法律法规，做好退役军人就业、创业扶持、拥军优属、优抚帮扶、走访慰问、信访接待、权益保障等工作；配合武装部做好征兵、民兵、预备役、国防教育相关工作。</w:t>
      </w:r>
    </w:p>
    <w:p>
      <w:pPr>
        <w:pStyle w:val="19"/>
      </w:pPr>
      <w:r>
        <w:t>（8）农业综合服务</w:t>
      </w:r>
    </w:p>
    <w:p>
      <w:pPr>
        <w:pStyle w:val="19"/>
      </w:pPr>
      <w: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pPr>
        <w:pStyle w:val="19"/>
      </w:pPr>
      <w:r>
        <w:t>（9）社会救助政策及管理</w:t>
      </w:r>
    </w:p>
    <w:p>
      <w:pPr>
        <w:pStyle w:val="19"/>
      </w:pPr>
      <w:r>
        <w:t>承担社会救助体系建设，负责农村居民最低生活保障、五保供养、医疗救助。</w:t>
      </w:r>
    </w:p>
    <w:p>
      <w:pPr>
        <w:pStyle w:val="19"/>
      </w:pPr>
      <w:r>
        <w:t>（10）村财镇管、涉农资金</w:t>
      </w:r>
    </w:p>
    <w:p>
      <w:pPr>
        <w:pStyle w:val="19"/>
      </w:pPr>
      <w:r>
        <w:t>负责村级财务核算及监督工作，负责涉农资金的落实，负责管理镇国有资产，实施债权债务监督管理。</w:t>
      </w:r>
    </w:p>
    <w:p>
      <w:pPr>
        <w:pStyle w:val="19"/>
      </w:pPr>
      <w:r>
        <w:t>（11）文教卫生</w:t>
      </w:r>
    </w:p>
    <w:p>
      <w:pPr>
        <w:pStyle w:val="19"/>
      </w:pPr>
      <w:r>
        <w:t>配合教育、科技、文体、卫生等部门搞好义务教育，普及推广科学技术，丰富农村文化生活，开展全民健身运动，推行和完善新型合作医疗制度，提高参保率，加强农村食品安全监管。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石家庄市藁城区南董镇人民政府本级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按照预算管理有关规定，目前我省部门预算的编制实行综合预算管理，即全部收入和支出都反映在预算中。石家庄市藁城区南董镇人民政府机关及所属事业单位的收支包含在部门预算中。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w:t>
      </w:r>
      <w:r>
        <w:rPr>
          <w:rFonts w:hint="eastAsia" w:eastAsia="仿宋" w:cs="Times New Roman"/>
          <w:sz w:val="32"/>
          <w:szCs w:val="32"/>
          <w:lang w:val="en-US" w:eastAsia="zh-CN"/>
        </w:rPr>
        <w:t>1425.10</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1425.10</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keepNext w:val="0"/>
        <w:keepLines w:val="0"/>
        <w:pageBreakBefore w:val="0"/>
        <w:widowControl/>
        <w:kinsoku/>
        <w:wordWrap/>
        <w:overflowPunct/>
        <w:topLinePunct w:val="0"/>
        <w:autoSpaceDE/>
        <w:autoSpaceDN/>
        <w:bidi w:val="0"/>
        <w:adjustRightInd/>
        <w:snapToGrid/>
        <w:spacing w:line="560" w:lineRule="exact"/>
        <w:ind w:right="0" w:rightChars="0" w:firstLine="640" w:firstLineChars="200"/>
        <w:jc w:val="left"/>
        <w:textAlignment w:val="auto"/>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eastAsia="仿宋" w:cs="Times New Roman"/>
          <w:sz w:val="32"/>
          <w:szCs w:val="32"/>
          <w:lang w:val="en-US" w:eastAsia="zh-CN"/>
        </w:rPr>
        <w:t>1425.10</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1187.27</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1018.02</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169.25</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237.83</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主要为综合工作经费52.24万元，临时人员工资35万元，兰盾安保人员工资18.96万元，执法队工作经费20.22万元，农村独生子女费5万元，农村文化建设资金16万元，南董镇学区工会费15.5万元，南董镇政府工会费2.6万元，金五线公路占地补偿费12.31万元，中央农村综合改革转移支付资金60万元。</w:t>
      </w:r>
    </w:p>
    <w:p>
      <w:pPr>
        <w:keepNext w:val="0"/>
        <w:keepLines w:val="0"/>
        <w:pageBreakBefore w:val="0"/>
        <w:widowControl/>
        <w:kinsoku/>
        <w:wordWrap/>
        <w:overflowPunct/>
        <w:topLinePunct w:val="0"/>
        <w:autoSpaceDE/>
        <w:autoSpaceDN/>
        <w:bidi w:val="0"/>
        <w:adjustRightInd/>
        <w:snapToGrid/>
        <w:spacing w:line="560" w:lineRule="exact"/>
        <w:ind w:right="0" w:rightChars="0" w:firstLine="640" w:firstLineChars="200"/>
        <w:jc w:val="left"/>
        <w:textAlignment w:val="auto"/>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3、比上年增减情况</w:t>
      </w:r>
    </w:p>
    <w:p>
      <w:pPr>
        <w:keepNext w:val="0"/>
        <w:keepLines w:val="0"/>
        <w:pageBreakBefore w:val="0"/>
        <w:widowControl/>
        <w:kinsoku/>
        <w:wordWrap/>
        <w:overflowPunct/>
        <w:topLinePunct w:val="0"/>
        <w:autoSpaceDE/>
        <w:autoSpaceDN/>
        <w:bidi w:val="0"/>
        <w:adjustRightInd/>
        <w:snapToGrid/>
        <w:spacing w:line="560" w:lineRule="exact"/>
        <w:ind w:right="0" w:rightChars="0" w:firstLine="640" w:firstLineChars="200"/>
        <w:jc w:val="left"/>
        <w:textAlignment w:val="auto"/>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2022年部门预算收支安排1425.10万元，较2021年增加163.53万元，其中：基本支出增加112.45万元，主要是人员增加，相应减少人员经费和日常公用经费；项目支出增加51.08万元，主要是增加执法队工作经费，农村独生子女费，农村文化建设资金，中央农村综合改革转移支付资金，其他支出无增减变化。</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spacing w:line="460" w:lineRule="exact"/>
        <w:ind w:firstLine="640" w:firstLineChars="200"/>
        <w:rPr>
          <w:rFonts w:ascii="黑体" w:hAnsi="黑体" w:eastAsia="黑体" w:cs="黑体"/>
          <w:color w:val="000000"/>
          <w:sz w:val="32"/>
        </w:rPr>
      </w:pPr>
      <w:r>
        <w:rPr>
          <w:rFonts w:hint="eastAsia" w:ascii="Times New Roman" w:hAnsi="Times New Roman" w:eastAsia="仿宋" w:cs="Times New Roman"/>
          <w:sz w:val="32"/>
          <w:szCs w:val="32"/>
        </w:rPr>
        <w:t>2022年，我部门机关运行经费共计安排</w:t>
      </w:r>
      <w:r>
        <w:rPr>
          <w:rFonts w:hint="eastAsia" w:eastAsia="仿宋" w:cs="Times New Roman"/>
          <w:sz w:val="32"/>
          <w:szCs w:val="32"/>
          <w:lang w:val="en-US" w:eastAsia="zh-CN"/>
        </w:rPr>
        <w:t>169.25</w:t>
      </w:r>
      <w:r>
        <w:rPr>
          <w:rFonts w:hint="eastAsia" w:ascii="Times New Roman" w:hAnsi="Times New Roman" w:eastAsia="仿宋" w:cs="Times New Roman"/>
          <w:sz w:val="32"/>
          <w:szCs w:val="32"/>
        </w:rPr>
        <w:t>万元，主要用于保证机关正常运转的办公及印刷费、邮电费、差旅费、福利费、专用材料及一般设备购置费、电费、日常维修费、公务车运行维护费等支出。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2.2</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2.2</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2.2</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pStyle w:val="22"/>
        <w:ind w:left="0" w:leftChars="0" w:firstLine="0" w:firstLineChars="0"/>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坚持以习近平新时代中国特色社会主义思想为指导，深入贯彻党的十九大和十九届二中、三中、四中、五中全会和中央经济工作会议精神，坚定不移贯彻新发展理念，坚持稳中求进总基调，围绕“经济强镇、美丽南董”奋斗目标，进一步完善政府治理体系、提升执行落实能力、加强法治政府建设，转变政府工作作风、加强党风廉政建设，更加勤勉敬业，更加务实担当，不断提升政府履职能力和社会治理效能，强化公共服务，着力改善民生，推进项目建设，推动全镇高质量发展。</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（一）加强政务管理</w:t>
      </w:r>
    </w:p>
    <w:p>
      <w:pPr>
        <w:pStyle w:val="24"/>
      </w:pPr>
      <w:r>
        <w:t>绩效目标：保障机关日常运转，各项工作正常开展。依法依规履行机关日常管理职责，确保政府各项工作正常运行。有效保证镇政府日常应急值守和突发事件应对处置工作；完善应急预案体系建设，确保遇突发事件能够有效应对。</w:t>
      </w:r>
    </w:p>
    <w:p>
      <w:pPr>
        <w:pStyle w:val="24"/>
      </w:pPr>
      <w:r>
        <w:t>绩效指标：各项工作能够正常开展，工作目标完成率90%以上，群众对工作满意度达到90%以上。</w:t>
      </w:r>
    </w:p>
    <w:p>
      <w:pPr>
        <w:pStyle w:val="24"/>
      </w:pPr>
      <w:r>
        <w:t>（二）保障村级正常运转</w:t>
      </w:r>
    </w:p>
    <w:p>
      <w:pPr>
        <w:pStyle w:val="24"/>
      </w:pPr>
      <w:r>
        <w:t>绩效目标：保障村级工作及各村服务群众各项工作顺利开展。对党组织、村民委员会日常工作及服务群众各项工作开展所需经费进行补助。村级办公经费及服务群众专项费用拨付到位，保障村级办公及服务群众各项工作按照年初各村制定的计划保质保量完成工作任务。群众对村里工作的满意度达到90%以上。</w:t>
      </w:r>
    </w:p>
    <w:p>
      <w:pPr>
        <w:pStyle w:val="24"/>
      </w:pPr>
      <w:r>
        <w:t>绩效指标：工作目标完成率90%以上，群众对村里工作的满意度达到90%以上。</w:t>
      </w:r>
    </w:p>
    <w:p>
      <w:pPr>
        <w:pStyle w:val="24"/>
      </w:pPr>
      <w:r>
        <w:t>（三）加快建设现代农村</w:t>
      </w:r>
    </w:p>
    <w:p>
      <w:pPr>
        <w:pStyle w:val="24"/>
      </w:pPr>
      <w:r>
        <w:t>绩效目标：全区域、高标准推进农村人居环境整治，实施村庄清洁和绿化、美化等专项行动，巩固农村生活垃圾处理成效，提高污水治理水平，加快形成干净、整洁、有序、美观的村庄环境。</w:t>
      </w:r>
    </w:p>
    <w:p>
      <w:pPr>
        <w:pStyle w:val="24"/>
      </w:pPr>
      <w:r>
        <w:t>绩效指标：环境整治涉及村达90%以上，群众满意度90%以上。</w:t>
      </w:r>
    </w:p>
    <w:p>
      <w:pPr>
        <w:pStyle w:val="24"/>
      </w:pPr>
      <w:r>
        <w:t>（四）坚持以人民为中心，着力保障和改善民生</w:t>
      </w:r>
    </w:p>
    <w:p>
      <w:pPr>
        <w:pStyle w:val="24"/>
      </w:pPr>
      <w:r>
        <w:t>绩效目标：抓好民生保障及稳定。扩大城乡居民养老和医疗覆盖面，参保率达到95%以上。关注建档立卡贫困户返贫及因重病、重残造成家庭困难的边缘户。抓退役军人管理和帮扶，化解土地、环保、安全生产、民生、食品、信访等各类安全风险，早发现、早介入、早化解，抓源头、抓隐患、抓宣讲，确保社会和谐稳定。</w:t>
      </w:r>
    </w:p>
    <w:p>
      <w:pPr>
        <w:pStyle w:val="24"/>
      </w:pPr>
      <w:r>
        <w:t>绩效指标：群众满意度达到90%以上。</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pPr>
        <w:pStyle w:val="25"/>
      </w:pPr>
      <w:r>
        <w:t>（二）加强支出管理。以项目预算绩效为依据，优化支出结构，预算编制做细做实，支出执行有章可循。严格履行政府采购手续，提前谋划，降低预算支出的波动幅度。资金支出安排科学合理，为项目组织实施保驾护航。</w:t>
      </w:r>
    </w:p>
    <w:p>
      <w:pPr>
        <w:pStyle w:val="25"/>
      </w:pPr>
      <w:r>
        <w:t>（三）加强绩效运行监控。按要求开展绩效运行监控，全程跟踪预算执行进度，对执行过程中发现的问题及时反馈，制定切实可行举措，确保绩效目标如期保质实现。</w:t>
      </w:r>
    </w:p>
    <w:p>
      <w:pPr>
        <w:pStyle w:val="25"/>
      </w:pPr>
      <w:r>
        <w:t>（四）做好绩效自评。积极开展年度部门预算绩效自评和重点评价工作，在自评中发现问题并及时整改解决，开展重点评价工作，调整优化重大项目支出结构，提高财政资金使用效益。</w:t>
      </w:r>
    </w:p>
    <w:p>
      <w:pPr>
        <w:pStyle w:val="25"/>
      </w:pPr>
      <w: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5"/>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七）加强宣传培训调研。加强人员培训，提高本部门职工业务素质；加强调研，提出优化财政资金配置、提高资金使用效益的意见意见；加大宣传力度，强化预算绩效管理意识，促进预算绩效管理水平进一步提升。</w:t>
      </w:r>
    </w:p>
    <w:p>
      <w:pPr>
        <w:pStyle w:val="25"/>
      </w:pPr>
    </w:p>
    <w:p>
      <w:pPr>
        <w:pStyle w:val="25"/>
      </w:pPr>
    </w:p>
    <w:p>
      <w:pPr>
        <w:pStyle w:val="25"/>
      </w:pPr>
    </w:p>
    <w:p>
      <w:pPr>
        <w:pStyle w:val="25"/>
      </w:pPr>
    </w:p>
    <w:p>
      <w:pPr>
        <w:pStyle w:val="25"/>
      </w:pPr>
    </w:p>
    <w:p>
      <w:pPr>
        <w:pStyle w:val="25"/>
      </w:pPr>
    </w:p>
    <w:p>
      <w:pPr>
        <w:pStyle w:val="25"/>
        <w:ind w:left="0" w:leftChars="0" w:firstLine="0" w:firstLineChars="0"/>
      </w:pPr>
    </w:p>
    <w:p>
      <w:pPr>
        <w:pStyle w:val="25"/>
        <w:ind w:left="0" w:leftChars="0" w:firstLine="0" w:firstLineChars="0"/>
      </w:pPr>
    </w:p>
    <w:p>
      <w:pPr>
        <w:spacing w:before="0" w:after="0" w:line="240" w:lineRule="auto"/>
        <w:ind w:firstLine="640"/>
        <w:jc w:val="left"/>
        <w:outlineLvl w:val="9"/>
      </w:pPr>
      <w:r>
        <w:rPr>
          <w:rFonts w:ascii="方正楷体_GBK" w:hAnsi="方正楷体_GBK" w:eastAsia="方正楷体_GBK" w:cs="方正楷体_GBK"/>
          <w:b/>
          <w:color w:val="000000"/>
          <w:sz w:val="32"/>
        </w:rPr>
        <w:t>第二部分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1、金五线公路占地补偿费绩效目标表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1.待交通局负担占地补偿款拨付到位后，及时拨付公路占地补偿款。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补偿亩数</w:t>
            </w:r>
          </w:p>
        </w:tc>
        <w:tc>
          <w:tcPr>
            <w:tcW w:w="2835" w:type="dxa"/>
            <w:vAlign w:val="center"/>
          </w:tcPr>
          <w:p>
            <w:pPr>
              <w:pStyle w:val="28"/>
            </w:pPr>
            <w:r>
              <w:t>拨付占地补亩数</w:t>
            </w:r>
          </w:p>
        </w:tc>
        <w:tc>
          <w:tcPr>
            <w:tcW w:w="2551" w:type="dxa"/>
            <w:vAlign w:val="center"/>
          </w:tcPr>
          <w:p>
            <w:pPr>
              <w:pStyle w:val="28"/>
            </w:pPr>
            <w:r>
              <w:t>≥273.57亩</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资金拨付完成率</w:t>
            </w:r>
          </w:p>
        </w:tc>
        <w:tc>
          <w:tcPr>
            <w:tcW w:w="2835" w:type="dxa"/>
            <w:vAlign w:val="center"/>
          </w:tcPr>
          <w:p>
            <w:pPr>
              <w:pStyle w:val="28"/>
            </w:pPr>
            <w:r>
              <w:t>占地补贴足额发放</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及时拨付占地补</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项目成本</w:t>
            </w:r>
          </w:p>
        </w:tc>
        <w:tc>
          <w:tcPr>
            <w:tcW w:w="2835" w:type="dxa"/>
            <w:vAlign w:val="center"/>
          </w:tcPr>
          <w:p>
            <w:pPr>
              <w:pStyle w:val="28"/>
            </w:pPr>
            <w:r>
              <w:t>项目控制预算数</w:t>
            </w:r>
          </w:p>
        </w:tc>
        <w:tc>
          <w:tcPr>
            <w:tcW w:w="2551" w:type="dxa"/>
            <w:vAlign w:val="center"/>
          </w:tcPr>
          <w:p>
            <w:pPr>
              <w:pStyle w:val="28"/>
            </w:pPr>
            <w:r>
              <w:t>≤123107.85元</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拨付工作在全镇形成的重要影响得到认可</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群众对工作的满意度</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2、兰盾安保人员工资（综合工作经费）绩效目标表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1.用于支付兰盾安保人员工资及服务管理费。确保巡防队员工资发放到位，正常开展工作，保障社会治安稳定。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60"/>
        <w:gridCol w:w="217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760" w:type="dxa"/>
            <w:vAlign w:val="center"/>
          </w:tcPr>
          <w:p>
            <w:pPr>
              <w:pStyle w:val="27"/>
            </w:pPr>
            <w:r>
              <w:t>绩效指标描述</w:t>
            </w:r>
          </w:p>
        </w:tc>
        <w:tc>
          <w:tcPr>
            <w:tcW w:w="2172"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拨付安保人数</w:t>
            </w:r>
          </w:p>
        </w:tc>
        <w:tc>
          <w:tcPr>
            <w:tcW w:w="2760" w:type="dxa"/>
            <w:vAlign w:val="center"/>
          </w:tcPr>
          <w:p>
            <w:pPr>
              <w:pStyle w:val="28"/>
            </w:pPr>
            <w:r>
              <w:t>兰盾安保人员工资发放人数</w:t>
            </w:r>
          </w:p>
        </w:tc>
        <w:tc>
          <w:tcPr>
            <w:tcW w:w="2172" w:type="dxa"/>
            <w:vAlign w:val="center"/>
          </w:tcPr>
          <w:p>
            <w:pPr>
              <w:pStyle w:val="28"/>
            </w:pPr>
            <w:r>
              <w:t>6名</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发放资金效率</w:t>
            </w:r>
          </w:p>
        </w:tc>
        <w:tc>
          <w:tcPr>
            <w:tcW w:w="2760" w:type="dxa"/>
            <w:vAlign w:val="center"/>
          </w:tcPr>
          <w:p>
            <w:pPr>
              <w:pStyle w:val="28"/>
            </w:pPr>
            <w:r>
              <w:t>按照安排数量发放经费</w:t>
            </w:r>
          </w:p>
        </w:tc>
        <w:tc>
          <w:tcPr>
            <w:tcW w:w="2172" w:type="dxa"/>
            <w:vAlign w:val="center"/>
          </w:tcPr>
          <w:p>
            <w:pPr>
              <w:pStyle w:val="28"/>
            </w:pPr>
            <w:r>
              <w:t>≥90百分比</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资金及时率</w:t>
            </w:r>
          </w:p>
        </w:tc>
        <w:tc>
          <w:tcPr>
            <w:tcW w:w="2760" w:type="dxa"/>
            <w:vAlign w:val="center"/>
          </w:tcPr>
          <w:p>
            <w:pPr>
              <w:pStyle w:val="28"/>
            </w:pPr>
            <w:r>
              <w:t>按照进度发放工资</w:t>
            </w:r>
          </w:p>
        </w:tc>
        <w:tc>
          <w:tcPr>
            <w:tcW w:w="2172" w:type="dxa"/>
            <w:vAlign w:val="center"/>
          </w:tcPr>
          <w:p>
            <w:pPr>
              <w:pStyle w:val="28"/>
            </w:pPr>
            <w:r>
              <w:t>≥90百分比</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工资标准</w:t>
            </w:r>
          </w:p>
        </w:tc>
        <w:tc>
          <w:tcPr>
            <w:tcW w:w="2760" w:type="dxa"/>
            <w:vAlign w:val="center"/>
          </w:tcPr>
          <w:p>
            <w:pPr>
              <w:pStyle w:val="28"/>
            </w:pPr>
            <w:r>
              <w:t>工资标准</w:t>
            </w:r>
          </w:p>
        </w:tc>
        <w:tc>
          <w:tcPr>
            <w:tcW w:w="2172" w:type="dxa"/>
            <w:vAlign w:val="center"/>
          </w:tcPr>
          <w:p>
            <w:pPr>
              <w:pStyle w:val="28"/>
            </w:pPr>
            <w:r>
              <w:t>按实际执行</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760"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工作在全镇形成的重要影响得到认可</w:t>
            </w:r>
          </w:p>
        </w:tc>
        <w:tc>
          <w:tcPr>
            <w:tcW w:w="2172" w:type="dxa"/>
            <w:vAlign w:val="center"/>
          </w:tcPr>
          <w:p>
            <w:pPr>
              <w:pStyle w:val="28"/>
            </w:pPr>
            <w:r>
              <w:t>≥90百分比</w:t>
            </w:r>
          </w:p>
        </w:tc>
        <w:tc>
          <w:tcPr>
            <w:tcW w:w="2466" w:type="dxa"/>
            <w:vAlign w:val="center"/>
          </w:tcPr>
          <w:p>
            <w:pPr>
              <w:pStyle w:val="28"/>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760" w:type="dxa"/>
            <w:vAlign w:val="center"/>
          </w:tcPr>
          <w:p>
            <w:pPr>
              <w:pStyle w:val="28"/>
            </w:pPr>
            <w:r>
              <w:t>群众对各项工作的满意度</w:t>
            </w:r>
          </w:p>
        </w:tc>
        <w:tc>
          <w:tcPr>
            <w:tcW w:w="2172" w:type="dxa"/>
            <w:vAlign w:val="center"/>
          </w:tcPr>
          <w:p>
            <w:pPr>
              <w:pStyle w:val="28"/>
            </w:pPr>
            <w:r>
              <w:t>≥90百分比</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3、临时人员工资（综合工作经费）绩效目标表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1.确保临时人员工资发放到位，顺利开展各项工作。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12"/>
        <w:gridCol w:w="2220"/>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712" w:type="dxa"/>
            <w:vAlign w:val="center"/>
          </w:tcPr>
          <w:p>
            <w:pPr>
              <w:pStyle w:val="27"/>
            </w:pPr>
            <w:r>
              <w:t>绩效指标描述</w:t>
            </w:r>
          </w:p>
        </w:tc>
        <w:tc>
          <w:tcPr>
            <w:tcW w:w="2220"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发放人数</w:t>
            </w:r>
          </w:p>
        </w:tc>
        <w:tc>
          <w:tcPr>
            <w:tcW w:w="2712" w:type="dxa"/>
            <w:vAlign w:val="center"/>
          </w:tcPr>
          <w:p>
            <w:pPr>
              <w:pStyle w:val="28"/>
            </w:pPr>
            <w:r>
              <w:t>拨付临时人员人数</w:t>
            </w:r>
          </w:p>
        </w:tc>
        <w:tc>
          <w:tcPr>
            <w:tcW w:w="2220" w:type="dxa"/>
            <w:vAlign w:val="center"/>
          </w:tcPr>
          <w:p>
            <w:pPr>
              <w:pStyle w:val="28"/>
            </w:pPr>
            <w:r>
              <w:t>≥14名</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发放完成率</w:t>
            </w:r>
          </w:p>
        </w:tc>
        <w:tc>
          <w:tcPr>
            <w:tcW w:w="2712" w:type="dxa"/>
            <w:vAlign w:val="center"/>
          </w:tcPr>
          <w:p>
            <w:pPr>
              <w:pStyle w:val="28"/>
            </w:pPr>
            <w:r>
              <w:t>临时人员工资足额发放</w:t>
            </w:r>
          </w:p>
        </w:tc>
        <w:tc>
          <w:tcPr>
            <w:tcW w:w="2220" w:type="dxa"/>
            <w:vAlign w:val="center"/>
          </w:tcPr>
          <w:p>
            <w:pPr>
              <w:pStyle w:val="28"/>
            </w:pPr>
            <w:r>
              <w:t>≥90%</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资金及时率</w:t>
            </w:r>
          </w:p>
        </w:tc>
        <w:tc>
          <w:tcPr>
            <w:tcW w:w="2712" w:type="dxa"/>
            <w:vAlign w:val="center"/>
          </w:tcPr>
          <w:p>
            <w:pPr>
              <w:pStyle w:val="28"/>
            </w:pPr>
            <w:r>
              <w:t>按照进度发放工资</w:t>
            </w:r>
          </w:p>
        </w:tc>
        <w:tc>
          <w:tcPr>
            <w:tcW w:w="2220" w:type="dxa"/>
            <w:vAlign w:val="center"/>
          </w:tcPr>
          <w:p>
            <w:pPr>
              <w:pStyle w:val="28"/>
            </w:pPr>
            <w:r>
              <w:t>≥90%</w:t>
            </w:r>
          </w:p>
        </w:tc>
        <w:tc>
          <w:tcPr>
            <w:tcW w:w="2466" w:type="dxa"/>
            <w:vAlign w:val="center"/>
          </w:tcPr>
          <w:p>
            <w:pPr>
              <w:pStyle w:val="28"/>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工资标准</w:t>
            </w:r>
          </w:p>
        </w:tc>
        <w:tc>
          <w:tcPr>
            <w:tcW w:w="2712" w:type="dxa"/>
            <w:vAlign w:val="center"/>
          </w:tcPr>
          <w:p>
            <w:pPr>
              <w:pStyle w:val="28"/>
            </w:pPr>
            <w:r>
              <w:t>工资标准</w:t>
            </w:r>
          </w:p>
        </w:tc>
        <w:tc>
          <w:tcPr>
            <w:tcW w:w="2220" w:type="dxa"/>
            <w:vAlign w:val="center"/>
          </w:tcPr>
          <w:p>
            <w:pPr>
              <w:pStyle w:val="28"/>
            </w:pPr>
            <w:r>
              <w:t>按实际执行</w:t>
            </w:r>
          </w:p>
        </w:tc>
        <w:tc>
          <w:tcPr>
            <w:tcW w:w="2466" w:type="dxa"/>
            <w:vAlign w:val="center"/>
          </w:tcPr>
          <w:p>
            <w:pPr>
              <w:pStyle w:val="28"/>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712" w:type="dxa"/>
            <w:vAlign w:val="center"/>
          </w:tcPr>
          <w:p>
            <w:pPr>
              <w:pStyle w:val="28"/>
            </w:pPr>
            <w:r>
              <w:t>拨付工作在全镇形成的重要影响得到认可</w:t>
            </w:r>
          </w:p>
        </w:tc>
        <w:tc>
          <w:tcPr>
            <w:tcW w:w="2220" w:type="dxa"/>
            <w:vAlign w:val="center"/>
          </w:tcPr>
          <w:p>
            <w:pPr>
              <w:pStyle w:val="28"/>
            </w:pPr>
            <w:r>
              <w:t>≥90%</w:t>
            </w:r>
          </w:p>
        </w:tc>
        <w:tc>
          <w:tcPr>
            <w:tcW w:w="2466" w:type="dxa"/>
            <w:vAlign w:val="center"/>
          </w:tcPr>
          <w:p>
            <w:pPr>
              <w:pStyle w:val="28"/>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区中满意度</w:t>
            </w:r>
          </w:p>
        </w:tc>
        <w:tc>
          <w:tcPr>
            <w:tcW w:w="2712" w:type="dxa"/>
            <w:vAlign w:val="center"/>
          </w:tcPr>
          <w:p>
            <w:pPr>
              <w:pStyle w:val="28"/>
            </w:pPr>
            <w:r>
              <w:t>群众对各项工作的满意度</w:t>
            </w:r>
          </w:p>
        </w:tc>
        <w:tc>
          <w:tcPr>
            <w:tcW w:w="2220"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4、南董镇2022年度学区工会费绩效目标表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1.保障工会费及时足额上缴</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覆盖率</w:t>
            </w:r>
          </w:p>
        </w:tc>
        <w:tc>
          <w:tcPr>
            <w:tcW w:w="2835" w:type="dxa"/>
            <w:vAlign w:val="center"/>
          </w:tcPr>
          <w:p>
            <w:pPr>
              <w:pStyle w:val="28"/>
            </w:pPr>
            <w:r>
              <w:t>覆盖率达到工会要求</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上缴资金完成率</w:t>
            </w:r>
          </w:p>
        </w:tc>
        <w:tc>
          <w:tcPr>
            <w:tcW w:w="2835"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按照工会安排资金数量上缴工会费</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上缴资金及时率</w:t>
            </w:r>
          </w:p>
        </w:tc>
        <w:tc>
          <w:tcPr>
            <w:tcW w:w="2835"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按照工会安排时间进度上缴工会费</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工会缴费标准</w:t>
            </w:r>
          </w:p>
        </w:tc>
        <w:tc>
          <w:tcPr>
            <w:tcW w:w="2835" w:type="dxa"/>
            <w:vAlign w:val="center"/>
          </w:tcPr>
          <w:p>
            <w:pPr>
              <w:pStyle w:val="28"/>
            </w:pPr>
            <w:r>
              <w:t>工会缴费标准</w:t>
            </w:r>
          </w:p>
        </w:tc>
        <w:tc>
          <w:tcPr>
            <w:tcW w:w="2551" w:type="dxa"/>
            <w:vAlign w:val="center"/>
          </w:tcPr>
          <w:p>
            <w:pPr>
              <w:pStyle w:val="28"/>
            </w:pPr>
            <w:r>
              <w:t>按实际执行</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工会工作在全镇形成的重要影响得到认可</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对工会工作的满意度</w:t>
            </w:r>
          </w:p>
        </w:tc>
        <w:tc>
          <w:tcPr>
            <w:tcW w:w="2551" w:type="dxa"/>
            <w:vAlign w:val="center"/>
          </w:tcPr>
          <w:p>
            <w:pPr>
              <w:pStyle w:val="28"/>
            </w:pPr>
            <w:r>
              <w:t>≥90%</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5、南董镇2022年度政府工会费绩效目标表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1.保障工会费及时足额上缴</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覆盖率</w:t>
            </w:r>
          </w:p>
        </w:tc>
        <w:tc>
          <w:tcPr>
            <w:tcW w:w="2835" w:type="dxa"/>
            <w:vAlign w:val="center"/>
          </w:tcPr>
          <w:p>
            <w:pPr>
              <w:pStyle w:val="28"/>
            </w:pPr>
            <w:r>
              <w:t>覆盖率达到工会要求</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上缴资金完成率</w:t>
            </w:r>
          </w:p>
        </w:tc>
        <w:tc>
          <w:tcPr>
            <w:tcW w:w="2835" w:type="dxa"/>
            <w:vAlign w:val="center"/>
          </w:tcPr>
          <w:p>
            <w:pPr>
              <w:pStyle w:val="28"/>
            </w:pPr>
            <w:r>
              <w:t>按照工会安排资金数量上缴工会费</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上缴资金及时率</w:t>
            </w:r>
          </w:p>
        </w:tc>
        <w:tc>
          <w:tcPr>
            <w:tcW w:w="2835" w:type="dxa"/>
            <w:vAlign w:val="center"/>
          </w:tcPr>
          <w:p>
            <w:pPr>
              <w:pStyle w:val="28"/>
            </w:pPr>
            <w:r>
              <w:t>按照工会安排时间进度上缴工会费</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工会费缴费标准</w:t>
            </w:r>
          </w:p>
        </w:tc>
        <w:tc>
          <w:tcPr>
            <w:tcW w:w="2835" w:type="dxa"/>
            <w:vAlign w:val="center"/>
          </w:tcPr>
          <w:p>
            <w:pPr>
              <w:pStyle w:val="28"/>
            </w:pPr>
            <w:r>
              <w:t>工会费缴费标准</w:t>
            </w:r>
          </w:p>
        </w:tc>
        <w:tc>
          <w:tcPr>
            <w:tcW w:w="2551" w:type="dxa"/>
            <w:vAlign w:val="center"/>
          </w:tcPr>
          <w:p>
            <w:pPr>
              <w:pStyle w:val="28"/>
            </w:pPr>
            <w:r>
              <w:t>按实际执行</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工会工作在全镇形成的重要影响得到认可</w:t>
            </w:r>
          </w:p>
        </w:tc>
        <w:tc>
          <w:tcPr>
            <w:tcW w:w="2551" w:type="dxa"/>
            <w:vAlign w:val="center"/>
          </w:tcPr>
          <w:p>
            <w:pPr>
              <w:pStyle w:val="28"/>
            </w:pPr>
            <w:r>
              <w:t>≥90%</w:t>
            </w:r>
          </w:p>
        </w:tc>
        <w:tc>
          <w:tcPr>
            <w:tcW w:w="2268" w:type="dxa"/>
            <w:vAlign w:val="center"/>
          </w:tcPr>
          <w:p>
            <w:pPr>
              <w:pStyle w:val="28"/>
            </w:pPr>
            <w:r>
              <w:t xml:space="preserve">年度工作计划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对工会工作的满意度</w:t>
            </w:r>
          </w:p>
        </w:tc>
        <w:tc>
          <w:tcPr>
            <w:tcW w:w="2551" w:type="dxa"/>
            <w:vAlign w:val="center"/>
          </w:tcPr>
          <w:p>
            <w:pPr>
              <w:pStyle w:val="28"/>
            </w:pPr>
            <w:r>
              <w:t>≥90%</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6、南董镇综合工作经费绩效目标表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1.保证各项工作正常开展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84"/>
        <w:gridCol w:w="2148"/>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784" w:type="dxa"/>
            <w:vAlign w:val="center"/>
          </w:tcPr>
          <w:p>
            <w:pPr>
              <w:pStyle w:val="27"/>
            </w:pPr>
            <w:r>
              <w:t>绩效指标描述</w:t>
            </w:r>
          </w:p>
        </w:tc>
        <w:tc>
          <w:tcPr>
            <w:tcW w:w="2148"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经费保障率</w:t>
            </w:r>
          </w:p>
        </w:tc>
        <w:tc>
          <w:tcPr>
            <w:tcW w:w="2784"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为各项工作顺利开展提供足额资金</w:t>
            </w:r>
          </w:p>
        </w:tc>
        <w:tc>
          <w:tcPr>
            <w:tcW w:w="2148"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工作完成率</w:t>
            </w:r>
          </w:p>
        </w:tc>
        <w:tc>
          <w:tcPr>
            <w:tcW w:w="2784"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当年政府各项工作完成进度</w:t>
            </w:r>
          </w:p>
        </w:tc>
        <w:tc>
          <w:tcPr>
            <w:tcW w:w="2148"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各项工作保障时间节点</w:t>
            </w:r>
          </w:p>
        </w:tc>
        <w:tc>
          <w:tcPr>
            <w:tcW w:w="2784"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按时完成上级安排的各项工作</w:t>
            </w:r>
          </w:p>
        </w:tc>
        <w:tc>
          <w:tcPr>
            <w:tcW w:w="2148"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经费标准</w:t>
            </w:r>
          </w:p>
        </w:tc>
        <w:tc>
          <w:tcPr>
            <w:tcW w:w="2784" w:type="dxa"/>
            <w:vAlign w:val="center"/>
          </w:tcPr>
          <w:p>
            <w:pPr>
              <w:pStyle w:val="28"/>
            </w:pPr>
            <w:r>
              <w:t>经费等使用标准</w:t>
            </w:r>
          </w:p>
        </w:tc>
        <w:tc>
          <w:tcPr>
            <w:tcW w:w="2148" w:type="dxa"/>
            <w:vAlign w:val="center"/>
          </w:tcPr>
          <w:p>
            <w:pPr>
              <w:pStyle w:val="28"/>
            </w:pPr>
            <w:r>
              <w:t>按实际执行</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784" w:type="dxa"/>
            <w:vAlign w:val="center"/>
          </w:tcPr>
          <w:p>
            <w:pPr>
              <w:pStyle w:val="28"/>
            </w:pPr>
            <w:r>
              <w:t>各项工作在全镇形成的重要影响得到认可</w:t>
            </w:r>
          </w:p>
        </w:tc>
        <w:tc>
          <w:tcPr>
            <w:tcW w:w="2148"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784" w:type="dxa"/>
            <w:vAlign w:val="center"/>
          </w:tcPr>
          <w:p>
            <w:pPr>
              <w:pStyle w:val="28"/>
            </w:pPr>
            <w:r>
              <w:t>群众对当年工作的满意度</w:t>
            </w:r>
          </w:p>
        </w:tc>
        <w:tc>
          <w:tcPr>
            <w:tcW w:w="2148" w:type="dxa"/>
            <w:vAlign w:val="center"/>
          </w:tcPr>
          <w:p>
            <w:pPr>
              <w:pStyle w:val="28"/>
            </w:pPr>
            <w:r>
              <w:t>≥90%</w:t>
            </w:r>
          </w:p>
        </w:tc>
        <w:tc>
          <w:tcPr>
            <w:tcW w:w="2466"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7、农村独生子女费绩效目标表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1.按照相关政策要求为农村独生子女家庭发放补助。</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发放人数</w:t>
            </w:r>
          </w:p>
        </w:tc>
        <w:tc>
          <w:tcPr>
            <w:tcW w:w="2835" w:type="dxa"/>
            <w:vAlign w:val="center"/>
          </w:tcPr>
          <w:p>
            <w:pPr>
              <w:pStyle w:val="28"/>
            </w:pPr>
            <w:r>
              <w:t>拨付独生子女费人数</w:t>
            </w:r>
          </w:p>
        </w:tc>
        <w:tc>
          <w:tcPr>
            <w:tcW w:w="2551" w:type="dxa"/>
            <w:vAlign w:val="center"/>
          </w:tcPr>
          <w:p>
            <w:pPr>
              <w:pStyle w:val="28"/>
            </w:pPr>
            <w:r>
              <w:t>≥400人</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发放完成率</w:t>
            </w:r>
          </w:p>
        </w:tc>
        <w:tc>
          <w:tcPr>
            <w:tcW w:w="2835" w:type="dxa"/>
            <w:vAlign w:val="center"/>
          </w:tcPr>
          <w:p>
            <w:pPr>
              <w:pStyle w:val="28"/>
            </w:pPr>
            <w:r>
              <w:t>独生子女费足额发放</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发放及时率</w:t>
            </w:r>
          </w:p>
        </w:tc>
        <w:tc>
          <w:tcPr>
            <w:tcW w:w="2835" w:type="dxa"/>
            <w:vAlign w:val="center"/>
          </w:tcPr>
          <w:p>
            <w:pPr>
              <w:pStyle w:val="28"/>
            </w:pPr>
            <w:r>
              <w:t>按照时间安排发放</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发放标准</w:t>
            </w:r>
          </w:p>
        </w:tc>
        <w:tc>
          <w:tcPr>
            <w:tcW w:w="2835" w:type="dxa"/>
            <w:vAlign w:val="center"/>
          </w:tcPr>
          <w:p>
            <w:pPr>
              <w:pStyle w:val="28"/>
            </w:pPr>
            <w:r>
              <w:t>农村独生子女费标准</w:t>
            </w:r>
          </w:p>
        </w:tc>
        <w:tc>
          <w:tcPr>
            <w:tcW w:w="2551" w:type="dxa"/>
            <w:vAlign w:val="center"/>
          </w:tcPr>
          <w:p>
            <w:pPr>
              <w:pStyle w:val="28"/>
            </w:pPr>
            <w:r>
              <w:t>10元/每人每月</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拨付工作在全镇形成的重要影响得到群众认可</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独生子女家庭满意度</w:t>
            </w:r>
          </w:p>
        </w:tc>
        <w:tc>
          <w:tcPr>
            <w:tcW w:w="2835" w:type="dxa"/>
            <w:vAlign w:val="center"/>
          </w:tcPr>
          <w:p>
            <w:pPr>
              <w:pStyle w:val="28"/>
            </w:pPr>
            <w:r>
              <w:t>独生子女家庭对发放工作的满意度</w:t>
            </w:r>
          </w:p>
        </w:tc>
        <w:tc>
          <w:tcPr>
            <w:tcW w:w="2551" w:type="dxa"/>
            <w:vAlign w:val="center"/>
          </w:tcPr>
          <w:p>
            <w:pPr>
              <w:pStyle w:val="28"/>
            </w:pPr>
            <w:r>
              <w:t>≥90%</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1.用于支付农村公共文化事业发展，保障继承农村群众基本文化权益。</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664"/>
        <w:gridCol w:w="2268"/>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664" w:type="dxa"/>
            <w:vAlign w:val="center"/>
          </w:tcPr>
          <w:p>
            <w:pPr>
              <w:pStyle w:val="27"/>
            </w:pPr>
            <w:r>
              <w:t>绩效指标描述</w:t>
            </w:r>
          </w:p>
        </w:tc>
        <w:tc>
          <w:tcPr>
            <w:tcW w:w="2268"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发放村数量</w:t>
            </w:r>
          </w:p>
        </w:tc>
        <w:tc>
          <w:tcPr>
            <w:tcW w:w="2664" w:type="dxa"/>
            <w:vAlign w:val="center"/>
          </w:tcPr>
          <w:p>
            <w:pPr>
              <w:pStyle w:val="28"/>
            </w:pPr>
            <w:r>
              <w:t>资金发放村数量</w:t>
            </w:r>
          </w:p>
        </w:tc>
        <w:tc>
          <w:tcPr>
            <w:tcW w:w="2268" w:type="dxa"/>
            <w:vAlign w:val="center"/>
          </w:tcPr>
          <w:p>
            <w:pPr>
              <w:pStyle w:val="28"/>
            </w:pPr>
            <w:r>
              <w:t>16个</w:t>
            </w:r>
          </w:p>
        </w:tc>
        <w:tc>
          <w:tcPr>
            <w:tcW w:w="2466" w:type="dxa"/>
            <w:vAlign w:val="center"/>
          </w:tcPr>
          <w:p>
            <w:pPr>
              <w:pStyle w:val="28"/>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资金发放完成率</w:t>
            </w:r>
          </w:p>
        </w:tc>
        <w:tc>
          <w:tcPr>
            <w:tcW w:w="2664" w:type="dxa"/>
            <w:vAlign w:val="center"/>
          </w:tcPr>
          <w:p>
            <w:pPr>
              <w:pStyle w:val="28"/>
            </w:pPr>
            <w:r>
              <w:t>资金发放完成率</w:t>
            </w:r>
          </w:p>
        </w:tc>
        <w:tc>
          <w:tcPr>
            <w:tcW w:w="2268" w:type="dxa"/>
            <w:vAlign w:val="center"/>
          </w:tcPr>
          <w:p>
            <w:pPr>
              <w:pStyle w:val="28"/>
            </w:pPr>
            <w:r>
              <w:t>≥90百分比</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自己发放及时率</w:t>
            </w:r>
          </w:p>
        </w:tc>
        <w:tc>
          <w:tcPr>
            <w:tcW w:w="2664" w:type="dxa"/>
            <w:vAlign w:val="center"/>
          </w:tcPr>
          <w:p>
            <w:pPr>
              <w:pStyle w:val="28"/>
            </w:pPr>
            <w:r>
              <w:t>资金发放及时率</w:t>
            </w:r>
          </w:p>
        </w:tc>
        <w:tc>
          <w:tcPr>
            <w:tcW w:w="2268" w:type="dxa"/>
            <w:vAlign w:val="center"/>
          </w:tcPr>
          <w:p>
            <w:pPr>
              <w:pStyle w:val="28"/>
            </w:pPr>
            <w:r>
              <w:t>≥90百分比</w:t>
            </w:r>
          </w:p>
        </w:tc>
        <w:tc>
          <w:tcPr>
            <w:tcW w:w="2466"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资金发放标准</w:t>
            </w:r>
          </w:p>
        </w:tc>
        <w:tc>
          <w:tcPr>
            <w:tcW w:w="2664" w:type="dxa"/>
            <w:vAlign w:val="center"/>
          </w:tcPr>
          <w:p>
            <w:pPr>
              <w:pStyle w:val="28"/>
            </w:pPr>
            <w:r>
              <w:t>资金发放标准</w:t>
            </w:r>
          </w:p>
        </w:tc>
        <w:tc>
          <w:tcPr>
            <w:tcW w:w="2268" w:type="dxa"/>
            <w:vAlign w:val="center"/>
          </w:tcPr>
          <w:p>
            <w:pPr>
              <w:pStyle w:val="28"/>
            </w:pPr>
            <w:r>
              <w:t>1万元</w:t>
            </w:r>
          </w:p>
        </w:tc>
        <w:tc>
          <w:tcPr>
            <w:tcW w:w="2466" w:type="dxa"/>
            <w:vAlign w:val="center"/>
          </w:tcPr>
          <w:p>
            <w:pPr>
              <w:pStyle w:val="28"/>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社会影响力</w:t>
            </w:r>
          </w:p>
        </w:tc>
        <w:tc>
          <w:tcPr>
            <w:tcW w:w="2664" w:type="dxa"/>
            <w:vAlign w:val="center"/>
          </w:tcPr>
          <w:p>
            <w:pPr>
              <w:pStyle w:val="28"/>
            </w:pPr>
            <w:r>
              <w:t>拨付工作在全镇形成的重要影响得到认可</w:t>
            </w:r>
          </w:p>
        </w:tc>
        <w:tc>
          <w:tcPr>
            <w:tcW w:w="2268" w:type="dxa"/>
            <w:vAlign w:val="center"/>
          </w:tcPr>
          <w:p>
            <w:pPr>
              <w:pStyle w:val="28"/>
            </w:pPr>
            <w:r>
              <w:t>≥90百分比</w:t>
            </w:r>
          </w:p>
        </w:tc>
        <w:tc>
          <w:tcPr>
            <w:tcW w:w="2466" w:type="dxa"/>
            <w:vAlign w:val="center"/>
          </w:tcPr>
          <w:p>
            <w:pPr>
              <w:pStyle w:val="28"/>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664" w:type="dxa"/>
            <w:vAlign w:val="center"/>
          </w:tcPr>
          <w:p>
            <w:pPr>
              <w:pStyle w:val="28"/>
            </w:pPr>
            <w:r>
              <w:t>各村对拨付工作的满意度</w:t>
            </w:r>
          </w:p>
        </w:tc>
        <w:tc>
          <w:tcPr>
            <w:tcW w:w="2268" w:type="dxa"/>
            <w:vAlign w:val="center"/>
          </w:tcPr>
          <w:p>
            <w:pPr>
              <w:pStyle w:val="28"/>
            </w:pPr>
            <w:r>
              <w:t>≥90百分比</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9、石财农【2021】88号关于提前下达2022年中央农村综合改革转移支付预算的通知绩效目标表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1.根据上级文件，做好农村一事一议奖补资金拨付工作，改善农村基础设施环境，提升农村公共服务水平。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556"/>
        <w:gridCol w:w="237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556" w:type="dxa"/>
            <w:vAlign w:val="center"/>
          </w:tcPr>
          <w:p>
            <w:pPr>
              <w:pStyle w:val="27"/>
            </w:pPr>
            <w:r>
              <w:t>绩效指标描述</w:t>
            </w:r>
          </w:p>
        </w:tc>
        <w:tc>
          <w:tcPr>
            <w:tcW w:w="237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村级个数</w:t>
            </w:r>
          </w:p>
        </w:tc>
        <w:tc>
          <w:tcPr>
            <w:tcW w:w="2556" w:type="dxa"/>
            <w:vAlign w:val="center"/>
          </w:tcPr>
          <w:p>
            <w:pPr>
              <w:pStyle w:val="28"/>
            </w:pPr>
            <w:r>
              <w:t>一事一议项目涉及村个数</w:t>
            </w:r>
          </w:p>
        </w:tc>
        <w:tc>
          <w:tcPr>
            <w:tcW w:w="2376" w:type="dxa"/>
            <w:vAlign w:val="center"/>
          </w:tcPr>
          <w:p>
            <w:pPr>
              <w:pStyle w:val="28"/>
            </w:pPr>
            <w:r>
              <w:t>≥1个</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工程验收合格率</w:t>
            </w:r>
          </w:p>
        </w:tc>
        <w:tc>
          <w:tcPr>
            <w:tcW w:w="2556"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全部工程完工后验收符合行业标准质量要求比率</w:t>
            </w:r>
          </w:p>
        </w:tc>
        <w:tc>
          <w:tcPr>
            <w:tcW w:w="237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资金拨付及时率</w:t>
            </w:r>
          </w:p>
        </w:tc>
        <w:tc>
          <w:tcPr>
            <w:tcW w:w="2556" w:type="dxa"/>
            <w:vAlign w:val="center"/>
          </w:tcPr>
          <w:p>
            <w:pPr>
              <w:pStyle w:val="28"/>
              <w:keepNext w:val="0"/>
              <w:keepLines w:val="0"/>
              <w:pageBreakBefore w:val="0"/>
              <w:widowControl/>
              <w:kinsoku/>
              <w:wordWrap/>
              <w:overflowPunct/>
              <w:topLinePunct w:val="0"/>
              <w:autoSpaceDE/>
              <w:autoSpaceDN/>
              <w:bidi w:val="0"/>
              <w:adjustRightInd/>
              <w:snapToGrid/>
              <w:spacing w:line="240" w:lineRule="exact"/>
              <w:textAlignment w:val="auto"/>
            </w:pPr>
            <w:r>
              <w:t>按照年初预算标准合理分配及时拨付</w:t>
            </w:r>
          </w:p>
        </w:tc>
        <w:tc>
          <w:tcPr>
            <w:tcW w:w="237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预算成本</w:t>
            </w:r>
          </w:p>
        </w:tc>
        <w:tc>
          <w:tcPr>
            <w:tcW w:w="2556" w:type="dxa"/>
            <w:vAlign w:val="center"/>
          </w:tcPr>
          <w:p>
            <w:pPr>
              <w:pStyle w:val="28"/>
            </w:pPr>
            <w:r>
              <w:t>按预算项目执行</w:t>
            </w:r>
          </w:p>
        </w:tc>
        <w:tc>
          <w:tcPr>
            <w:tcW w:w="2376" w:type="dxa"/>
            <w:vAlign w:val="center"/>
          </w:tcPr>
          <w:p>
            <w:pPr>
              <w:pStyle w:val="28"/>
            </w:pPr>
            <w:r>
              <w:t>元/项</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农村环境得到改善</w:t>
            </w:r>
          </w:p>
        </w:tc>
        <w:tc>
          <w:tcPr>
            <w:tcW w:w="2556" w:type="dxa"/>
            <w:vAlign w:val="center"/>
          </w:tcPr>
          <w:p>
            <w:pPr>
              <w:pStyle w:val="28"/>
            </w:pPr>
            <w:r>
              <w:t>农村环境有所提升</w:t>
            </w:r>
          </w:p>
        </w:tc>
        <w:tc>
          <w:tcPr>
            <w:tcW w:w="2376" w:type="dxa"/>
            <w:vAlign w:val="center"/>
          </w:tcPr>
          <w:p>
            <w:pPr>
              <w:pStyle w:val="28"/>
            </w:pPr>
            <w:r>
              <w:t>≥90%</w:t>
            </w:r>
          </w:p>
        </w:tc>
        <w:tc>
          <w:tcPr>
            <w:tcW w:w="2466"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556" w:type="dxa"/>
            <w:vAlign w:val="center"/>
          </w:tcPr>
          <w:p>
            <w:pPr>
              <w:pStyle w:val="28"/>
            </w:pPr>
            <w:r>
              <w:t>群众对当年农村公益事业建设的整体满意度</w:t>
            </w:r>
          </w:p>
        </w:tc>
        <w:tc>
          <w:tcPr>
            <w:tcW w:w="2376" w:type="dxa"/>
            <w:vAlign w:val="center"/>
          </w:tcPr>
          <w:p>
            <w:pPr>
              <w:pStyle w:val="28"/>
            </w:pPr>
            <w:r>
              <w:t>≥90%</w:t>
            </w:r>
          </w:p>
        </w:tc>
        <w:tc>
          <w:tcPr>
            <w:tcW w:w="2466"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10、执法队工作经费绩效目标表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1.确保各项工作正常开展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资金拨付数量</w:t>
            </w:r>
          </w:p>
        </w:tc>
        <w:tc>
          <w:tcPr>
            <w:tcW w:w="2835" w:type="dxa"/>
            <w:vAlign w:val="center"/>
          </w:tcPr>
          <w:p>
            <w:pPr>
              <w:pStyle w:val="28"/>
            </w:pPr>
            <w:r>
              <w:t>当年经费拨付情况</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发放资金完成率</w:t>
            </w:r>
          </w:p>
        </w:tc>
        <w:tc>
          <w:tcPr>
            <w:tcW w:w="2835" w:type="dxa"/>
            <w:vAlign w:val="center"/>
          </w:tcPr>
          <w:p>
            <w:pPr>
              <w:pStyle w:val="28"/>
            </w:pPr>
            <w:r>
              <w:t>工作经费是否足额发放</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发放资金及时率</w:t>
            </w:r>
          </w:p>
        </w:tc>
        <w:tc>
          <w:tcPr>
            <w:tcW w:w="2835" w:type="dxa"/>
            <w:vAlign w:val="center"/>
          </w:tcPr>
          <w:p>
            <w:pPr>
              <w:pStyle w:val="28"/>
            </w:pPr>
            <w:r>
              <w:t>按时保障工作经费发放</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经费标准</w:t>
            </w:r>
          </w:p>
        </w:tc>
        <w:tc>
          <w:tcPr>
            <w:tcW w:w="2835" w:type="dxa"/>
            <w:vAlign w:val="center"/>
          </w:tcPr>
          <w:p>
            <w:pPr>
              <w:pStyle w:val="28"/>
            </w:pPr>
            <w:r>
              <w:t>资金投入标准</w:t>
            </w:r>
          </w:p>
        </w:tc>
        <w:tc>
          <w:tcPr>
            <w:tcW w:w="2551" w:type="dxa"/>
            <w:vAlign w:val="center"/>
          </w:tcPr>
          <w:p>
            <w:pPr>
              <w:pStyle w:val="28"/>
            </w:pPr>
            <w:r>
              <w:t>按实际执行</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工作在全镇形成的重要影响得到认可</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群众对工作的满意度</w:t>
            </w:r>
          </w:p>
        </w:tc>
        <w:tc>
          <w:tcPr>
            <w:tcW w:w="2551" w:type="dxa"/>
            <w:vAlign w:val="center"/>
          </w:tcPr>
          <w:p>
            <w:pPr>
              <w:pStyle w:val="28"/>
            </w:pPr>
            <w:r>
              <w:t>≥90%</w:t>
            </w:r>
          </w:p>
        </w:tc>
        <w:tc>
          <w:tcPr>
            <w:tcW w:w="2268" w:type="dxa"/>
            <w:vAlign w:val="center"/>
          </w:tcPr>
          <w:p>
            <w:pPr>
              <w:pStyle w:val="28"/>
            </w:pPr>
            <w:r>
              <w:t>年度工作计划</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2022年，石家庄市藁城区南董镇人民政府安排政府采购预算0.00万元。具体内容见下表。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810石家庄市藁城区南董镇人民政府</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石家庄市藁城区南董镇人民政府（含所属单位）上年末固定资产金额为1528.95万元（详见下表）。本年度拟购置固定资产总额为4.58万元</w:t>
      </w:r>
      <w:r>
        <w:rPr>
          <w:rFonts w:hint="eastAsia" w:eastAsia="方正仿宋_GBK" w:cs="Times New Roman"/>
          <w:b w:val="0"/>
          <w:color w:val="000000"/>
          <w:sz w:val="28"/>
          <w:lang w:eastAsia="zh-CN"/>
        </w:rPr>
        <w:t>，</w:t>
      </w:r>
      <w:r>
        <w:rPr>
          <w:rFonts w:hint="eastAsia" w:eastAsia="方正仿宋_GBK" w:cs="Times New Roman"/>
          <w:b w:val="0"/>
          <w:color w:val="000000"/>
          <w:sz w:val="28"/>
          <w:lang w:val="en-US" w:eastAsia="zh-CN"/>
        </w:rPr>
        <w:t>主要为电脑、打印机、文件柜、办公桌椅等，因</w:t>
      </w:r>
      <w:r>
        <w:rPr>
          <w:rFonts w:hint="eastAsia" w:eastAsia="方正仿宋_GBK" w:cs="Times New Roman"/>
          <w:b w:val="0"/>
          <w:color w:val="auto"/>
          <w:sz w:val="28"/>
          <w:lang w:val="en-US" w:eastAsia="zh-CN"/>
        </w:rPr>
        <w:t>未达到政府采购限额，故未列入政府采购预算</w:t>
      </w:r>
      <w:r>
        <w:rPr>
          <w:rFonts w:ascii="Times New Roman" w:hAnsi="Times New Roman" w:eastAsia="方正仿宋_GBK" w:cs="Times New Roman"/>
          <w:b w:val="0"/>
          <w:color w:val="auto"/>
          <w:sz w:val="28"/>
        </w:rPr>
        <w:t>。</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810石家庄市藁城区南董镇人民政府</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1528.95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15633.75</w:t>
            </w:r>
          </w:p>
        </w:tc>
        <w:tc>
          <w:tcPr>
            <w:tcW w:w="2835" w:type="dxa"/>
            <w:vAlign w:val="center"/>
          </w:tcPr>
          <w:p>
            <w:pPr>
              <w:pStyle w:val="13"/>
            </w:pPr>
            <w:r>
              <w:t>1313.25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650</w:t>
            </w:r>
          </w:p>
        </w:tc>
        <w:tc>
          <w:tcPr>
            <w:tcW w:w="2835" w:type="dxa"/>
            <w:vAlign w:val="center"/>
          </w:tcPr>
          <w:p>
            <w:pPr>
              <w:pStyle w:val="13"/>
            </w:pPr>
            <w:r>
              <w:t>18.96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261</w:t>
            </w:r>
          </w:p>
        </w:tc>
        <w:tc>
          <w:tcPr>
            <w:tcW w:w="2835" w:type="dxa"/>
            <w:vAlign w:val="center"/>
          </w:tcPr>
          <w:p>
            <w:pPr>
              <w:pStyle w:val="13"/>
            </w:pPr>
            <w:r>
              <w:t>207.85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361"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579AF8"/>
    <w:multiLevelType w:val="singleLevel"/>
    <w:tmpl w:val="3D579AF8"/>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dhYzIyNzNhZjUwNWVhZGQxMzQxYTM1ZDQwYmVjNjgifQ=="/>
  </w:docVars>
  <w:rsids>
    <w:rsidRoot w:val="00000000"/>
    <w:rsid w:val="02783E3F"/>
    <w:rsid w:val="10505DE5"/>
    <w:rsid w:val="1B59655C"/>
    <w:rsid w:val="1DF0581D"/>
    <w:rsid w:val="1EDB7E74"/>
    <w:rsid w:val="232B4567"/>
    <w:rsid w:val="2C732CBE"/>
    <w:rsid w:val="3BBD7FFF"/>
    <w:rsid w:val="3F241B75"/>
    <w:rsid w:val="42B66B9C"/>
    <w:rsid w:val="59F357AF"/>
    <w:rsid w:val="5A3F3748"/>
    <w:rsid w:val="5AE44879"/>
    <w:rsid w:val="5C7E0FC0"/>
    <w:rsid w:val="662D64FA"/>
    <w:rsid w:val="72860B70"/>
    <w:rsid w:val="73667257"/>
    <w:rsid w:val="7BDE7F01"/>
    <w:rsid w:val="7C2F501B"/>
    <w:rsid w:val="7E624ED3"/>
    <w:rsid w:val="7F974ED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b736d2e4-11d4-41b5-86cf-88f32dbe4596"/>
    <w:qFormat/>
    <w:uiPriority w:val="0"/>
    <w:rPr>
      <w:rFonts w:ascii="Times New Roman" w:hAnsi="Times New Roman" w:eastAsia="Times New Roman" w:cstheme="minorBidi"/>
      <w:sz w:val="24"/>
      <w:szCs w:val="24"/>
      <w:lang w:val="en-US" w:eastAsia="uk-UA" w:bidi="ar-SA"/>
    </w:rPr>
  </w:style>
  <w:style w:type="paragraph" w:customStyle="1" w:styleId="27">
    <w:name w:val="单元格样式1_213df3e2-e4d4-4379-8c63-331d32e555cf"/>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ca7a9864-611c-4fa9-844e-16c89254f1db"/>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65f6a54d-705c-4d9d-a67d-c862cba55d66"/>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2022-02-14T17:52:33Z</dcterms:created>
  <dcterms:modified xsi:type="dcterms:W3CDTF">2022-02-14T09:52:33Z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2022-02-14T17:52:39Z</dcterms:created>
  <dcterms:modified xsi:type="dcterms:W3CDTF">2022-02-14T09:52:38Z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2022-02-14T17:52:44Z</dcterms:created>
  <dcterms:modified xsi:type="dcterms:W3CDTF">2022-02-14T09:52:44Z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2022-02-14T17:52:49Z</dcterms:created>
  <dcterms:modified xsi:type="dcterms:W3CDTF">2022-02-14T09:52:48Z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2022-02-14T17:52:28Z</dcterms:created>
  <dcterms:modified xsi:type="dcterms:W3CDTF">2022-02-14T09:52:27Z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2022-02-14T17:52:49Z</dcterms:created>
  <dcterms:modified xsi:type="dcterms:W3CDTF">2022-02-14T09:52:49Z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2022-02-14T17:52:54Z</dcterms:created>
  <dcterms:modified xsi:type="dcterms:W3CDTF">2022-02-14T09:52:54Z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2022-02-14T17:52:55Z</dcterms:created>
  <dcterms:modified xsi:type="dcterms:W3CDTF">2022-02-14T09:52:55Z</dcterms:modified>
</cp:coreProperties>
</file>

<file path=customXml/itemProps1.xml><?xml version="1.0" encoding="utf-8"?>
<ds:datastoreItem xmlns:ds="http://schemas.openxmlformats.org/officeDocument/2006/customXml" ds:itemID="{fbb49cdc-eca5-4801-a67f-5e0c9ea43805}">
  <ds:schemaRefs/>
</ds:datastoreItem>
</file>

<file path=customXml/itemProps10.xml><?xml version="1.0" encoding="utf-8"?>
<ds:datastoreItem xmlns:ds="http://schemas.openxmlformats.org/officeDocument/2006/customXml" ds:itemID="{13fae82c-8e3d-458d-abb2-3a4e0194a0e2}">
  <ds:schemaRefs/>
</ds:datastoreItem>
</file>

<file path=customXml/itemProps11.xml><?xml version="1.0" encoding="utf-8"?>
<ds:datastoreItem xmlns:ds="http://schemas.openxmlformats.org/officeDocument/2006/customXml" ds:itemID="{e998819d-e098-47ac-ae66-9aa7a7e63c0e}">
  <ds:schemaRefs/>
</ds:datastoreItem>
</file>

<file path=customXml/itemProps12.xml><?xml version="1.0" encoding="utf-8"?>
<ds:datastoreItem xmlns:ds="http://schemas.openxmlformats.org/officeDocument/2006/customXml" ds:itemID="{9f9e7016-1d02-4cb4-ab63-6c33d4aa1bf9}">
  <ds:schemaRefs/>
</ds:datastoreItem>
</file>

<file path=customXml/itemProps13.xml><?xml version="1.0" encoding="utf-8"?>
<ds:datastoreItem xmlns:ds="http://schemas.openxmlformats.org/officeDocument/2006/customXml" ds:itemID="{e8a15466-25a2-45e8-8fad-db6385006c1a}">
  <ds:schemaRefs/>
</ds:datastoreItem>
</file>

<file path=customXml/itemProps14.xml><?xml version="1.0" encoding="utf-8"?>
<ds:datastoreItem xmlns:ds="http://schemas.openxmlformats.org/officeDocument/2006/customXml" ds:itemID="{da21a650-b9e3-4248-8d04-bdf75dc13c98}">
  <ds:schemaRefs/>
</ds:datastoreItem>
</file>

<file path=customXml/itemProps15.xml><?xml version="1.0" encoding="utf-8"?>
<ds:datastoreItem xmlns:ds="http://schemas.openxmlformats.org/officeDocument/2006/customXml" ds:itemID="{5042ac95-eb81-4c05-bb96-ed78d0be6bb7}">
  <ds:schemaRefs/>
</ds:datastoreItem>
</file>

<file path=customXml/itemProps16.xml><?xml version="1.0" encoding="utf-8"?>
<ds:datastoreItem xmlns:ds="http://schemas.openxmlformats.org/officeDocument/2006/customXml" ds:itemID="{52dd3e0a-267b-4866-9fba-f39a7726f301}">
  <ds:schemaRefs/>
</ds:datastoreItem>
</file>

<file path=customXml/itemProps2.xml><?xml version="1.0" encoding="utf-8"?>
<ds:datastoreItem xmlns:ds="http://schemas.openxmlformats.org/officeDocument/2006/customXml" ds:itemID="{bb8ef809-a1eb-4853-a54b-c77699b5f385}">
  <ds:schemaRefs/>
</ds:datastoreItem>
</file>

<file path=customXml/itemProps3.xml><?xml version="1.0" encoding="utf-8"?>
<ds:datastoreItem xmlns:ds="http://schemas.openxmlformats.org/officeDocument/2006/customXml" ds:itemID="{d65db794-556f-49bc-bd16-c0d331a09aad}">
  <ds:schemaRefs/>
</ds:datastoreItem>
</file>

<file path=customXml/itemProps4.xml><?xml version="1.0" encoding="utf-8"?>
<ds:datastoreItem xmlns:ds="http://schemas.openxmlformats.org/officeDocument/2006/customXml" ds:itemID="{e67c8b07-d0b6-4dd0-bc20-759723ae45bb}">
  <ds:schemaRefs/>
</ds:datastoreItem>
</file>

<file path=customXml/itemProps5.xml><?xml version="1.0" encoding="utf-8"?>
<ds:datastoreItem xmlns:ds="http://schemas.openxmlformats.org/officeDocument/2006/customXml" ds:itemID="{7394db48-d637-4ed1-b7fe-9b1605e7818c}">
  <ds:schemaRefs/>
</ds:datastoreItem>
</file>

<file path=customXml/itemProps6.xml><?xml version="1.0" encoding="utf-8"?>
<ds:datastoreItem xmlns:ds="http://schemas.openxmlformats.org/officeDocument/2006/customXml" ds:itemID="{4172843c-a665-4002-94de-2dc208c3749f}">
  <ds:schemaRefs/>
</ds:datastoreItem>
</file>

<file path=customXml/itemProps7.xml><?xml version="1.0" encoding="utf-8"?>
<ds:datastoreItem xmlns:ds="http://schemas.openxmlformats.org/officeDocument/2006/customXml" ds:itemID="{857a55ca-8bd0-4ce4-a778-237f9c3c9259}">
  <ds:schemaRefs/>
</ds:datastoreItem>
</file>

<file path=customXml/itemProps8.xml><?xml version="1.0" encoding="utf-8"?>
<ds:datastoreItem xmlns:ds="http://schemas.openxmlformats.org/officeDocument/2006/customXml" ds:itemID="{1d7f752e-fbab-42c3-b304-bb472758f433}">
  <ds:schemaRefs/>
</ds:datastoreItem>
</file>

<file path=customXml/itemProps9.xml><?xml version="1.0" encoding="utf-8"?>
<ds:datastoreItem xmlns:ds="http://schemas.openxmlformats.org/officeDocument/2006/customXml" ds:itemID="{75f293ed-185d-4045-86b8-3dacf5e588e0}">
  <ds:schemaRefs/>
</ds:datastoreItem>
</file>

<file path=docProps/app.xml><?xml version="1.0" encoding="utf-8"?>
<Properties xmlns="http://schemas.openxmlformats.org/officeDocument/2006/extended-properties" xmlns:vt="http://schemas.openxmlformats.org/officeDocument/2006/docPropsVTypes">
  <Pages>41</Pages>
  <Words>10238</Words>
  <Characters>11966</Characters>
  <TotalTime>253</TotalTime>
  <ScaleCrop>false</ScaleCrop>
  <LinksUpToDate>false</LinksUpToDate>
  <CharactersWithSpaces>12148</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2022-02-14T17:52:00Z</dcterms:created>
  <dc:creator>光影精灵</dc:creator>
  <cp:lastModifiedBy>韩小木</cp:lastModifiedBy>
  <dcterms:modified xsi:type="dcterms:W3CDTF">2024-02-23T00:24:04Z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B39A6BA1333B405CB5ADA2CD57DA8748</vt:lpwstr>
  </property>
</Properties>
</file>