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藁城区西关镇人民政府</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一、石家庄市藁城区西关镇人民政府本级收支预算</w:t>
      </w:r>
      <w:r>
        <w:tab/>
      </w:r>
      <w:r>
        <w:fldChar w:fldCharType="begin"/>
      </w:r>
      <w:r>
        <w:instrText xml:space="preserve">PAGEREF _Toc_4_4_0000000019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1346.38</w:t>
            </w:r>
          </w:p>
        </w:tc>
        <w:tc>
          <w:tcPr>
            <w:tcW w:w="4535" w:type="dxa"/>
            <w:vAlign w:val="center"/>
          </w:tcPr>
          <w:p>
            <w:pPr>
              <w:pStyle w:val="10"/>
            </w:pPr>
            <w:r>
              <w:t>一、一般公共服务支出</w:t>
            </w:r>
          </w:p>
        </w:tc>
        <w:tc>
          <w:tcPr>
            <w:tcW w:w="2126" w:type="dxa"/>
            <w:vAlign w:val="center"/>
          </w:tcPr>
          <w:p>
            <w:pPr>
              <w:pStyle w:val="11"/>
            </w:pPr>
            <w:r>
              <w:t>1232.05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pPr>
            <w:r>
              <w:t>1346.38</w:t>
            </w:r>
          </w:p>
        </w:tc>
        <w:tc>
          <w:tcPr>
            <w:tcW w:w="4535" w:type="dxa"/>
            <w:vAlign w:val="center"/>
          </w:tcPr>
          <w:p>
            <w:pPr>
              <w:pStyle w:val="12"/>
            </w:pPr>
            <w:r>
              <w:t>本年支出合计</w:t>
            </w:r>
          </w:p>
        </w:tc>
        <w:tc>
          <w:tcPr>
            <w:tcW w:w="2126" w:type="dxa"/>
            <w:vAlign w:val="center"/>
          </w:tcPr>
          <w:p>
            <w:pPr>
              <w:pStyle w:val="13"/>
            </w:pPr>
            <w:r>
              <w:t>1346.38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pPr>
            <w:r>
              <w:t>1346.38</w:t>
            </w:r>
          </w:p>
        </w:tc>
        <w:tc>
          <w:tcPr>
            <w:tcW w:w="4535" w:type="dxa"/>
            <w:vAlign w:val="center"/>
          </w:tcPr>
          <w:p>
            <w:pPr>
              <w:pStyle w:val="12"/>
            </w:pPr>
            <w:r>
              <w:t>支出总计</w:t>
            </w:r>
          </w:p>
        </w:tc>
        <w:tc>
          <w:tcPr>
            <w:tcW w:w="2126" w:type="dxa"/>
            <w:vAlign w:val="center"/>
          </w:tcPr>
          <w:p>
            <w:pPr>
              <w:pStyle w:val="13"/>
            </w:pPr>
            <w:r>
              <w:t>1346.38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1346.38</w:t>
            </w:r>
          </w:p>
        </w:tc>
        <w:tc>
          <w:tcPr>
            <w:tcW w:w="1134" w:type="dxa"/>
            <w:vAlign w:val="center"/>
          </w:tcPr>
          <w:p>
            <w:pPr>
              <w:pStyle w:val="13"/>
            </w:pPr>
            <w:r>
              <w:t>1346.38</w:t>
            </w:r>
          </w:p>
        </w:tc>
        <w:tc>
          <w:tcPr>
            <w:tcW w:w="1134" w:type="dxa"/>
            <w:vAlign w:val="center"/>
          </w:tcPr>
          <w:p>
            <w:pPr>
              <w:pStyle w:val="13"/>
            </w:pPr>
            <w:r>
              <w:t>1346.38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1232.05</w:t>
            </w:r>
          </w:p>
        </w:tc>
        <w:tc>
          <w:tcPr>
            <w:tcW w:w="1134" w:type="dxa"/>
            <w:vAlign w:val="center"/>
          </w:tcPr>
          <w:p>
            <w:pPr>
              <w:pStyle w:val="11"/>
            </w:pPr>
            <w:r>
              <w:t>1232.05</w:t>
            </w:r>
          </w:p>
        </w:tc>
        <w:tc>
          <w:tcPr>
            <w:tcW w:w="1134" w:type="dxa"/>
            <w:vAlign w:val="center"/>
          </w:tcPr>
          <w:p>
            <w:pPr>
              <w:pStyle w:val="11"/>
            </w:pPr>
            <w:r>
              <w:t>1232.05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11"/>
            </w:pPr>
            <w:r>
              <w:t>1232.05</w:t>
            </w:r>
          </w:p>
        </w:tc>
        <w:tc>
          <w:tcPr>
            <w:tcW w:w="1134" w:type="dxa"/>
            <w:vAlign w:val="center"/>
          </w:tcPr>
          <w:p>
            <w:pPr>
              <w:pStyle w:val="11"/>
            </w:pPr>
            <w:r>
              <w:t>1232.05</w:t>
            </w:r>
          </w:p>
        </w:tc>
        <w:tc>
          <w:tcPr>
            <w:tcW w:w="1134" w:type="dxa"/>
            <w:vAlign w:val="center"/>
          </w:tcPr>
          <w:p>
            <w:pPr>
              <w:pStyle w:val="11"/>
            </w:pPr>
            <w:r>
              <w:t>1232.05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11"/>
            </w:pPr>
            <w:r>
              <w:t>1068.23</w:t>
            </w:r>
          </w:p>
        </w:tc>
        <w:tc>
          <w:tcPr>
            <w:tcW w:w="1134" w:type="dxa"/>
            <w:vAlign w:val="center"/>
          </w:tcPr>
          <w:p>
            <w:pPr>
              <w:pStyle w:val="11"/>
            </w:pPr>
            <w:r>
              <w:t>1068.23</w:t>
            </w:r>
          </w:p>
        </w:tc>
        <w:tc>
          <w:tcPr>
            <w:tcW w:w="1134" w:type="dxa"/>
            <w:vAlign w:val="center"/>
          </w:tcPr>
          <w:p>
            <w:pPr>
              <w:pStyle w:val="11"/>
            </w:pPr>
            <w:r>
              <w:t>1068.23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2010303</w:t>
            </w:r>
          </w:p>
        </w:tc>
        <w:tc>
          <w:tcPr>
            <w:tcW w:w="1559" w:type="dxa"/>
            <w:vAlign w:val="center"/>
          </w:tcPr>
          <w:p>
            <w:pPr>
              <w:pStyle w:val="10"/>
            </w:pPr>
            <w:r>
              <w:t>机关服务</w:t>
            </w:r>
          </w:p>
        </w:tc>
        <w:tc>
          <w:tcPr>
            <w:tcW w:w="1134" w:type="dxa"/>
            <w:vAlign w:val="center"/>
          </w:tcPr>
          <w:p>
            <w:pPr>
              <w:pStyle w:val="11"/>
            </w:pPr>
            <w:r>
              <w:t>163.82</w:t>
            </w:r>
          </w:p>
        </w:tc>
        <w:tc>
          <w:tcPr>
            <w:tcW w:w="1134" w:type="dxa"/>
            <w:vAlign w:val="center"/>
          </w:tcPr>
          <w:p>
            <w:pPr>
              <w:pStyle w:val="11"/>
            </w:pPr>
            <w:r>
              <w:t>163.82</w:t>
            </w:r>
          </w:p>
        </w:tc>
        <w:tc>
          <w:tcPr>
            <w:tcW w:w="1134" w:type="dxa"/>
            <w:vAlign w:val="center"/>
          </w:tcPr>
          <w:p>
            <w:pPr>
              <w:pStyle w:val="11"/>
            </w:pPr>
            <w:r>
              <w:t>163.82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205</w:t>
            </w:r>
          </w:p>
        </w:tc>
        <w:tc>
          <w:tcPr>
            <w:tcW w:w="1559" w:type="dxa"/>
            <w:vAlign w:val="center"/>
          </w:tcPr>
          <w:p>
            <w:pPr>
              <w:pStyle w:val="10"/>
            </w:pPr>
            <w:r>
              <w:t>教育支出</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20502</w:t>
            </w:r>
          </w:p>
        </w:tc>
        <w:tc>
          <w:tcPr>
            <w:tcW w:w="1559" w:type="dxa"/>
            <w:vAlign w:val="center"/>
          </w:tcPr>
          <w:p>
            <w:pPr>
              <w:pStyle w:val="10"/>
            </w:pPr>
            <w:r>
              <w:t>普通教育</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2050202</w:t>
            </w:r>
          </w:p>
        </w:tc>
        <w:tc>
          <w:tcPr>
            <w:tcW w:w="1559" w:type="dxa"/>
            <w:vAlign w:val="center"/>
          </w:tcPr>
          <w:p>
            <w:pPr>
              <w:pStyle w:val="10"/>
            </w:pPr>
            <w:r>
              <w:t>小学教育</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21007</w:t>
            </w:r>
          </w:p>
        </w:tc>
        <w:tc>
          <w:tcPr>
            <w:tcW w:w="1559" w:type="dxa"/>
            <w:vAlign w:val="center"/>
          </w:tcPr>
          <w:p>
            <w:pPr>
              <w:pStyle w:val="10"/>
            </w:pPr>
            <w:r>
              <w:t>计划生育事务</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2100799</w:t>
            </w:r>
          </w:p>
        </w:tc>
        <w:tc>
          <w:tcPr>
            <w:tcW w:w="1559" w:type="dxa"/>
            <w:vAlign w:val="center"/>
          </w:tcPr>
          <w:p>
            <w:pPr>
              <w:pStyle w:val="10"/>
            </w:pPr>
            <w:r>
              <w:t>其他计划生育事务支出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11"/>
            </w:pPr>
            <w:r>
              <w:t>84.04</w:t>
            </w:r>
          </w:p>
        </w:tc>
        <w:tc>
          <w:tcPr>
            <w:tcW w:w="1134" w:type="dxa"/>
            <w:vAlign w:val="center"/>
          </w:tcPr>
          <w:p>
            <w:pPr>
              <w:pStyle w:val="11"/>
            </w:pPr>
            <w:r>
              <w:t>84.04</w:t>
            </w:r>
          </w:p>
        </w:tc>
        <w:tc>
          <w:tcPr>
            <w:tcW w:w="1134" w:type="dxa"/>
            <w:vAlign w:val="center"/>
          </w:tcPr>
          <w:p>
            <w:pPr>
              <w:pStyle w:val="11"/>
            </w:pPr>
            <w:r>
              <w:t>84.04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21307</w:t>
            </w:r>
          </w:p>
        </w:tc>
        <w:tc>
          <w:tcPr>
            <w:tcW w:w="1559" w:type="dxa"/>
            <w:vAlign w:val="center"/>
          </w:tcPr>
          <w:p>
            <w:pPr>
              <w:pStyle w:val="10"/>
            </w:pPr>
            <w:r>
              <w:t>农村综合改革</w:t>
            </w:r>
          </w:p>
        </w:tc>
        <w:tc>
          <w:tcPr>
            <w:tcW w:w="1134" w:type="dxa"/>
            <w:vAlign w:val="center"/>
          </w:tcPr>
          <w:p>
            <w:pPr>
              <w:pStyle w:val="11"/>
            </w:pPr>
            <w:r>
              <w:t>84.04</w:t>
            </w:r>
          </w:p>
        </w:tc>
        <w:tc>
          <w:tcPr>
            <w:tcW w:w="1134" w:type="dxa"/>
            <w:vAlign w:val="center"/>
          </w:tcPr>
          <w:p>
            <w:pPr>
              <w:pStyle w:val="11"/>
            </w:pPr>
            <w:r>
              <w:t>84.04</w:t>
            </w:r>
          </w:p>
        </w:tc>
        <w:tc>
          <w:tcPr>
            <w:tcW w:w="1134" w:type="dxa"/>
            <w:vAlign w:val="center"/>
          </w:tcPr>
          <w:p>
            <w:pPr>
              <w:pStyle w:val="11"/>
            </w:pPr>
            <w:r>
              <w:t>84.04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2130701</w:t>
            </w:r>
          </w:p>
        </w:tc>
        <w:tc>
          <w:tcPr>
            <w:tcW w:w="1559" w:type="dxa"/>
            <w:vAlign w:val="center"/>
          </w:tcPr>
          <w:p>
            <w:pPr>
              <w:pStyle w:val="10"/>
            </w:pPr>
            <w:r>
              <w:t>对村级公益事业建设的补助</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2130705</w:t>
            </w:r>
          </w:p>
        </w:tc>
        <w:tc>
          <w:tcPr>
            <w:tcW w:w="1559" w:type="dxa"/>
            <w:vAlign w:val="center"/>
          </w:tcPr>
          <w:p>
            <w:pPr>
              <w:pStyle w:val="10"/>
            </w:pPr>
            <w:r>
              <w:t>对村民委员会和村党支部的补助</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1346.38</w:t>
            </w:r>
          </w:p>
        </w:tc>
        <w:tc>
          <w:tcPr>
            <w:tcW w:w="1361" w:type="dxa"/>
            <w:vAlign w:val="center"/>
          </w:tcPr>
          <w:p>
            <w:pPr>
              <w:pStyle w:val="13"/>
            </w:pPr>
            <w:r>
              <w:t>1068.23</w:t>
            </w:r>
          </w:p>
        </w:tc>
        <w:tc>
          <w:tcPr>
            <w:tcW w:w="1361" w:type="dxa"/>
            <w:vAlign w:val="center"/>
          </w:tcPr>
          <w:p>
            <w:pPr>
              <w:pStyle w:val="13"/>
            </w:pPr>
            <w:r>
              <w:t>278.15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1232.05</w:t>
            </w:r>
          </w:p>
        </w:tc>
        <w:tc>
          <w:tcPr>
            <w:tcW w:w="1361" w:type="dxa"/>
            <w:vAlign w:val="center"/>
          </w:tcPr>
          <w:p>
            <w:pPr>
              <w:pStyle w:val="11"/>
            </w:pPr>
            <w:r>
              <w:t>1068.23</w:t>
            </w:r>
          </w:p>
        </w:tc>
        <w:tc>
          <w:tcPr>
            <w:tcW w:w="1361" w:type="dxa"/>
            <w:vAlign w:val="center"/>
          </w:tcPr>
          <w:p>
            <w:pPr>
              <w:pStyle w:val="11"/>
            </w:pPr>
            <w:r>
              <w:t>163.82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11"/>
            </w:pPr>
            <w:r>
              <w:t>1232.05</w:t>
            </w:r>
          </w:p>
        </w:tc>
        <w:tc>
          <w:tcPr>
            <w:tcW w:w="1361" w:type="dxa"/>
            <w:vAlign w:val="center"/>
          </w:tcPr>
          <w:p>
            <w:pPr>
              <w:pStyle w:val="11"/>
            </w:pPr>
            <w:r>
              <w:t>1068.23</w:t>
            </w:r>
          </w:p>
        </w:tc>
        <w:tc>
          <w:tcPr>
            <w:tcW w:w="1361" w:type="dxa"/>
            <w:vAlign w:val="center"/>
          </w:tcPr>
          <w:p>
            <w:pPr>
              <w:pStyle w:val="11"/>
            </w:pPr>
            <w:r>
              <w:t>163.82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11"/>
            </w:pPr>
            <w:r>
              <w:t>1068.23</w:t>
            </w:r>
          </w:p>
        </w:tc>
        <w:tc>
          <w:tcPr>
            <w:tcW w:w="1361" w:type="dxa"/>
            <w:vAlign w:val="center"/>
          </w:tcPr>
          <w:p>
            <w:pPr>
              <w:pStyle w:val="11"/>
            </w:pPr>
            <w:r>
              <w:t>1068.23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2010303</w:t>
            </w:r>
          </w:p>
        </w:tc>
        <w:tc>
          <w:tcPr>
            <w:tcW w:w="4535" w:type="dxa"/>
            <w:vAlign w:val="center"/>
          </w:tcPr>
          <w:p>
            <w:pPr>
              <w:pStyle w:val="10"/>
            </w:pPr>
            <w:r>
              <w:t>机关服务</w:t>
            </w:r>
          </w:p>
        </w:tc>
        <w:tc>
          <w:tcPr>
            <w:tcW w:w="1361" w:type="dxa"/>
            <w:vAlign w:val="center"/>
          </w:tcPr>
          <w:p>
            <w:pPr>
              <w:pStyle w:val="11"/>
            </w:pPr>
            <w:r>
              <w:t>163.82</w:t>
            </w:r>
          </w:p>
        </w:tc>
        <w:tc>
          <w:tcPr>
            <w:tcW w:w="1361" w:type="dxa"/>
            <w:vAlign w:val="center"/>
          </w:tcPr>
          <w:p>
            <w:pPr>
              <w:pStyle w:val="11"/>
            </w:pPr>
          </w:p>
        </w:tc>
        <w:tc>
          <w:tcPr>
            <w:tcW w:w="1361" w:type="dxa"/>
            <w:vAlign w:val="center"/>
          </w:tcPr>
          <w:p>
            <w:pPr>
              <w:pStyle w:val="11"/>
            </w:pPr>
            <w:r>
              <w:t>163.82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205</w:t>
            </w:r>
          </w:p>
        </w:tc>
        <w:tc>
          <w:tcPr>
            <w:tcW w:w="4535" w:type="dxa"/>
            <w:vAlign w:val="center"/>
          </w:tcPr>
          <w:p>
            <w:pPr>
              <w:pStyle w:val="10"/>
            </w:pPr>
            <w:r>
              <w:t>教育支出</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20502</w:t>
            </w:r>
          </w:p>
        </w:tc>
        <w:tc>
          <w:tcPr>
            <w:tcW w:w="4535" w:type="dxa"/>
            <w:vAlign w:val="center"/>
          </w:tcPr>
          <w:p>
            <w:pPr>
              <w:pStyle w:val="10"/>
            </w:pPr>
            <w:r>
              <w:t>普通教育</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2050202</w:t>
            </w:r>
          </w:p>
        </w:tc>
        <w:tc>
          <w:tcPr>
            <w:tcW w:w="4535" w:type="dxa"/>
            <w:vAlign w:val="center"/>
          </w:tcPr>
          <w:p>
            <w:pPr>
              <w:pStyle w:val="10"/>
            </w:pPr>
            <w:r>
              <w:t>小学教育</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21007</w:t>
            </w:r>
          </w:p>
        </w:tc>
        <w:tc>
          <w:tcPr>
            <w:tcW w:w="4535" w:type="dxa"/>
            <w:vAlign w:val="center"/>
          </w:tcPr>
          <w:p>
            <w:pPr>
              <w:pStyle w:val="10"/>
            </w:pPr>
            <w:r>
              <w:t>计划生育事务</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2100799</w:t>
            </w:r>
          </w:p>
        </w:tc>
        <w:tc>
          <w:tcPr>
            <w:tcW w:w="4535" w:type="dxa"/>
            <w:vAlign w:val="center"/>
          </w:tcPr>
          <w:p>
            <w:pPr>
              <w:pStyle w:val="10"/>
            </w:pPr>
            <w:r>
              <w:t>其他计划生育事务支出</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11"/>
            </w:pPr>
            <w:r>
              <w:t>84.04</w:t>
            </w:r>
          </w:p>
        </w:tc>
        <w:tc>
          <w:tcPr>
            <w:tcW w:w="1361" w:type="dxa"/>
            <w:vAlign w:val="center"/>
          </w:tcPr>
          <w:p>
            <w:pPr>
              <w:pStyle w:val="11"/>
            </w:pPr>
          </w:p>
        </w:tc>
        <w:tc>
          <w:tcPr>
            <w:tcW w:w="1361" w:type="dxa"/>
            <w:vAlign w:val="center"/>
          </w:tcPr>
          <w:p>
            <w:pPr>
              <w:pStyle w:val="11"/>
            </w:pPr>
            <w:r>
              <w:t>84.04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21307</w:t>
            </w:r>
          </w:p>
        </w:tc>
        <w:tc>
          <w:tcPr>
            <w:tcW w:w="4535" w:type="dxa"/>
            <w:vAlign w:val="center"/>
          </w:tcPr>
          <w:p>
            <w:pPr>
              <w:pStyle w:val="10"/>
            </w:pPr>
            <w:r>
              <w:t>农村综合改革</w:t>
            </w:r>
          </w:p>
        </w:tc>
        <w:tc>
          <w:tcPr>
            <w:tcW w:w="1361" w:type="dxa"/>
            <w:vAlign w:val="center"/>
          </w:tcPr>
          <w:p>
            <w:pPr>
              <w:pStyle w:val="11"/>
            </w:pPr>
            <w:r>
              <w:t>84.04</w:t>
            </w:r>
          </w:p>
        </w:tc>
        <w:tc>
          <w:tcPr>
            <w:tcW w:w="1361" w:type="dxa"/>
            <w:vAlign w:val="center"/>
          </w:tcPr>
          <w:p>
            <w:pPr>
              <w:pStyle w:val="11"/>
            </w:pPr>
          </w:p>
        </w:tc>
        <w:tc>
          <w:tcPr>
            <w:tcW w:w="1361" w:type="dxa"/>
            <w:vAlign w:val="center"/>
          </w:tcPr>
          <w:p>
            <w:pPr>
              <w:pStyle w:val="11"/>
            </w:pPr>
            <w:r>
              <w:t>84.04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2130701</w:t>
            </w:r>
          </w:p>
        </w:tc>
        <w:tc>
          <w:tcPr>
            <w:tcW w:w="4535" w:type="dxa"/>
            <w:vAlign w:val="center"/>
          </w:tcPr>
          <w:p>
            <w:pPr>
              <w:pStyle w:val="10"/>
            </w:pPr>
            <w:r>
              <w:t>对村级公益事业建设的补助</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2130705</w:t>
            </w:r>
          </w:p>
        </w:tc>
        <w:tc>
          <w:tcPr>
            <w:tcW w:w="4535" w:type="dxa"/>
            <w:vAlign w:val="center"/>
          </w:tcPr>
          <w:p>
            <w:pPr>
              <w:pStyle w:val="10"/>
            </w:pPr>
            <w:r>
              <w:t>对村民委员会和村党支部的补助</w:t>
            </w: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1346.38</w:t>
            </w:r>
          </w:p>
        </w:tc>
        <w:tc>
          <w:tcPr>
            <w:tcW w:w="3402" w:type="dxa"/>
            <w:vAlign w:val="center"/>
          </w:tcPr>
          <w:p>
            <w:pPr>
              <w:pStyle w:val="10"/>
            </w:pPr>
            <w:r>
              <w:t>一、一般公共服务支出</w:t>
            </w:r>
          </w:p>
        </w:tc>
        <w:tc>
          <w:tcPr>
            <w:tcW w:w="1474" w:type="dxa"/>
            <w:vAlign w:val="center"/>
          </w:tcPr>
          <w:p>
            <w:pPr>
              <w:pStyle w:val="11"/>
            </w:pPr>
            <w:r>
              <w:t>1232.05</w:t>
            </w:r>
          </w:p>
        </w:tc>
        <w:tc>
          <w:tcPr>
            <w:tcW w:w="1474" w:type="dxa"/>
            <w:vAlign w:val="center"/>
          </w:tcPr>
          <w:p>
            <w:pPr>
              <w:pStyle w:val="11"/>
            </w:pPr>
            <w:r>
              <w:t>1232.05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r>
              <w:t>12.79</w:t>
            </w:r>
          </w:p>
        </w:tc>
        <w:tc>
          <w:tcPr>
            <w:tcW w:w="1474" w:type="dxa"/>
            <w:vAlign w:val="center"/>
          </w:tcPr>
          <w:p>
            <w:pPr>
              <w:pStyle w:val="11"/>
            </w:pPr>
            <w:r>
              <w:t>12.79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r>
              <w:t>14.00</w:t>
            </w:r>
          </w:p>
        </w:tc>
        <w:tc>
          <w:tcPr>
            <w:tcW w:w="1474" w:type="dxa"/>
            <w:vAlign w:val="center"/>
          </w:tcPr>
          <w:p>
            <w:pPr>
              <w:pStyle w:val="11"/>
            </w:pPr>
            <w:r>
              <w:t>14.00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3.50</w:t>
            </w:r>
          </w:p>
        </w:tc>
        <w:tc>
          <w:tcPr>
            <w:tcW w:w="1474" w:type="dxa"/>
            <w:vAlign w:val="center"/>
          </w:tcPr>
          <w:p>
            <w:pPr>
              <w:pStyle w:val="11"/>
            </w:pPr>
            <w:r>
              <w:t>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r>
              <w:t>84.04</w:t>
            </w:r>
          </w:p>
        </w:tc>
        <w:tc>
          <w:tcPr>
            <w:tcW w:w="1474" w:type="dxa"/>
            <w:vAlign w:val="center"/>
          </w:tcPr>
          <w:p>
            <w:pPr>
              <w:pStyle w:val="11"/>
            </w:pPr>
            <w:r>
              <w:t>84.04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2"/>
            </w:pPr>
            <w:r>
              <w:t>本年收入合计</w:t>
            </w:r>
          </w:p>
        </w:tc>
        <w:tc>
          <w:tcPr>
            <w:tcW w:w="1474" w:type="dxa"/>
            <w:vAlign w:val="center"/>
          </w:tcPr>
          <w:p>
            <w:pPr>
              <w:pStyle w:val="13"/>
            </w:pPr>
            <w:r>
              <w:t>1346.38</w:t>
            </w:r>
          </w:p>
        </w:tc>
        <w:tc>
          <w:tcPr>
            <w:tcW w:w="3402" w:type="dxa"/>
            <w:vAlign w:val="center"/>
          </w:tcPr>
          <w:p>
            <w:pPr>
              <w:pStyle w:val="12"/>
            </w:pPr>
            <w:r>
              <w:t>本年支出合计</w:t>
            </w:r>
          </w:p>
        </w:tc>
        <w:tc>
          <w:tcPr>
            <w:tcW w:w="1474" w:type="dxa"/>
            <w:vAlign w:val="center"/>
          </w:tcPr>
          <w:p>
            <w:pPr>
              <w:pStyle w:val="13"/>
            </w:pPr>
            <w:r>
              <w:t>1346.38</w:t>
            </w:r>
          </w:p>
        </w:tc>
        <w:tc>
          <w:tcPr>
            <w:tcW w:w="1474" w:type="dxa"/>
            <w:vAlign w:val="center"/>
          </w:tcPr>
          <w:p>
            <w:pPr>
              <w:pStyle w:val="13"/>
            </w:pPr>
            <w:r>
              <w:t>1346.38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32</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2"/>
            </w:pPr>
            <w:r>
              <w:t>收入总计</w:t>
            </w:r>
          </w:p>
        </w:tc>
        <w:tc>
          <w:tcPr>
            <w:tcW w:w="1474" w:type="dxa"/>
            <w:vAlign w:val="center"/>
          </w:tcPr>
          <w:p>
            <w:pPr>
              <w:pStyle w:val="13"/>
            </w:pPr>
            <w:r>
              <w:t>1346.38</w:t>
            </w:r>
          </w:p>
        </w:tc>
        <w:tc>
          <w:tcPr>
            <w:tcW w:w="3402" w:type="dxa"/>
            <w:vAlign w:val="center"/>
          </w:tcPr>
          <w:p>
            <w:pPr>
              <w:pStyle w:val="12"/>
            </w:pPr>
            <w:r>
              <w:t>支出总计</w:t>
            </w:r>
          </w:p>
        </w:tc>
        <w:tc>
          <w:tcPr>
            <w:tcW w:w="1474" w:type="dxa"/>
            <w:vAlign w:val="center"/>
          </w:tcPr>
          <w:p>
            <w:pPr>
              <w:pStyle w:val="13"/>
            </w:pPr>
            <w:r>
              <w:t>1346.38</w:t>
            </w:r>
          </w:p>
        </w:tc>
        <w:tc>
          <w:tcPr>
            <w:tcW w:w="1474" w:type="dxa"/>
            <w:vAlign w:val="center"/>
          </w:tcPr>
          <w:p>
            <w:pPr>
              <w:pStyle w:val="13"/>
            </w:pPr>
            <w:r>
              <w:t>1346.38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1346.38</w:t>
            </w:r>
          </w:p>
        </w:tc>
        <w:tc>
          <w:tcPr>
            <w:tcW w:w="2551" w:type="dxa"/>
            <w:vAlign w:val="center"/>
          </w:tcPr>
          <w:p>
            <w:pPr>
              <w:pStyle w:val="13"/>
            </w:pPr>
            <w:r>
              <w:t>1068.23</w:t>
            </w:r>
          </w:p>
        </w:tc>
        <w:tc>
          <w:tcPr>
            <w:tcW w:w="2551" w:type="dxa"/>
            <w:vAlign w:val="center"/>
          </w:tcPr>
          <w:p>
            <w:pPr>
              <w:pStyle w:val="13"/>
            </w:pPr>
            <w:r>
              <w:t>278.15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1232.05</w:t>
            </w:r>
          </w:p>
        </w:tc>
        <w:tc>
          <w:tcPr>
            <w:tcW w:w="2551" w:type="dxa"/>
            <w:vAlign w:val="center"/>
          </w:tcPr>
          <w:p>
            <w:pPr>
              <w:pStyle w:val="11"/>
            </w:pPr>
            <w:r>
              <w:t>1068.23</w:t>
            </w:r>
          </w:p>
        </w:tc>
        <w:tc>
          <w:tcPr>
            <w:tcW w:w="2551" w:type="dxa"/>
            <w:vAlign w:val="center"/>
          </w:tcPr>
          <w:p>
            <w:pPr>
              <w:pStyle w:val="11"/>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11"/>
            </w:pPr>
            <w:r>
              <w:t>1232.05</w:t>
            </w:r>
          </w:p>
        </w:tc>
        <w:tc>
          <w:tcPr>
            <w:tcW w:w="2551" w:type="dxa"/>
            <w:vAlign w:val="center"/>
          </w:tcPr>
          <w:p>
            <w:pPr>
              <w:pStyle w:val="11"/>
            </w:pPr>
            <w:r>
              <w:t>1068.23</w:t>
            </w:r>
          </w:p>
        </w:tc>
        <w:tc>
          <w:tcPr>
            <w:tcW w:w="2551" w:type="dxa"/>
            <w:vAlign w:val="center"/>
          </w:tcPr>
          <w:p>
            <w:pPr>
              <w:pStyle w:val="11"/>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11"/>
            </w:pPr>
            <w:r>
              <w:t>1068.23</w:t>
            </w:r>
          </w:p>
        </w:tc>
        <w:tc>
          <w:tcPr>
            <w:tcW w:w="2551" w:type="dxa"/>
            <w:vAlign w:val="center"/>
          </w:tcPr>
          <w:p>
            <w:pPr>
              <w:pStyle w:val="11"/>
            </w:pPr>
            <w:r>
              <w:t>1068.23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2010303</w:t>
            </w:r>
          </w:p>
        </w:tc>
        <w:tc>
          <w:tcPr>
            <w:tcW w:w="4535" w:type="dxa"/>
            <w:vAlign w:val="center"/>
          </w:tcPr>
          <w:p>
            <w:pPr>
              <w:pStyle w:val="10"/>
            </w:pPr>
            <w:r>
              <w:t>机关服务</w:t>
            </w:r>
          </w:p>
        </w:tc>
        <w:tc>
          <w:tcPr>
            <w:tcW w:w="2551" w:type="dxa"/>
            <w:vAlign w:val="center"/>
          </w:tcPr>
          <w:p>
            <w:pPr>
              <w:pStyle w:val="11"/>
            </w:pPr>
            <w:r>
              <w:t>163.82</w:t>
            </w:r>
          </w:p>
        </w:tc>
        <w:tc>
          <w:tcPr>
            <w:tcW w:w="2551" w:type="dxa"/>
            <w:vAlign w:val="center"/>
          </w:tcPr>
          <w:p>
            <w:pPr>
              <w:pStyle w:val="11"/>
            </w:pPr>
          </w:p>
        </w:tc>
        <w:tc>
          <w:tcPr>
            <w:tcW w:w="2551" w:type="dxa"/>
            <w:vAlign w:val="center"/>
          </w:tcPr>
          <w:p>
            <w:pPr>
              <w:pStyle w:val="11"/>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205</w:t>
            </w:r>
          </w:p>
        </w:tc>
        <w:tc>
          <w:tcPr>
            <w:tcW w:w="4535" w:type="dxa"/>
            <w:vAlign w:val="center"/>
          </w:tcPr>
          <w:p>
            <w:pPr>
              <w:pStyle w:val="10"/>
            </w:pPr>
            <w:r>
              <w:t>教育支出</w:t>
            </w:r>
          </w:p>
        </w:tc>
        <w:tc>
          <w:tcPr>
            <w:tcW w:w="2551" w:type="dxa"/>
            <w:vAlign w:val="center"/>
          </w:tcPr>
          <w:p>
            <w:pPr>
              <w:pStyle w:val="11"/>
            </w:pPr>
            <w:r>
              <w:t>12.79</w:t>
            </w:r>
          </w:p>
        </w:tc>
        <w:tc>
          <w:tcPr>
            <w:tcW w:w="2551" w:type="dxa"/>
            <w:vAlign w:val="center"/>
          </w:tcPr>
          <w:p>
            <w:pPr>
              <w:pStyle w:val="11"/>
            </w:pPr>
          </w:p>
        </w:tc>
        <w:tc>
          <w:tcPr>
            <w:tcW w:w="2551"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20502</w:t>
            </w:r>
          </w:p>
        </w:tc>
        <w:tc>
          <w:tcPr>
            <w:tcW w:w="4535" w:type="dxa"/>
            <w:vAlign w:val="center"/>
          </w:tcPr>
          <w:p>
            <w:pPr>
              <w:pStyle w:val="10"/>
            </w:pPr>
            <w:r>
              <w:t>普通教育</w:t>
            </w:r>
          </w:p>
        </w:tc>
        <w:tc>
          <w:tcPr>
            <w:tcW w:w="2551" w:type="dxa"/>
            <w:vAlign w:val="center"/>
          </w:tcPr>
          <w:p>
            <w:pPr>
              <w:pStyle w:val="11"/>
            </w:pPr>
            <w:r>
              <w:t>12.79</w:t>
            </w:r>
          </w:p>
        </w:tc>
        <w:tc>
          <w:tcPr>
            <w:tcW w:w="2551" w:type="dxa"/>
            <w:vAlign w:val="center"/>
          </w:tcPr>
          <w:p>
            <w:pPr>
              <w:pStyle w:val="11"/>
            </w:pPr>
          </w:p>
        </w:tc>
        <w:tc>
          <w:tcPr>
            <w:tcW w:w="2551"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2050202</w:t>
            </w:r>
          </w:p>
        </w:tc>
        <w:tc>
          <w:tcPr>
            <w:tcW w:w="4535" w:type="dxa"/>
            <w:vAlign w:val="center"/>
          </w:tcPr>
          <w:p>
            <w:pPr>
              <w:pStyle w:val="10"/>
            </w:pPr>
            <w:r>
              <w:t>小学教育</w:t>
            </w:r>
          </w:p>
        </w:tc>
        <w:tc>
          <w:tcPr>
            <w:tcW w:w="2551" w:type="dxa"/>
            <w:vAlign w:val="center"/>
          </w:tcPr>
          <w:p>
            <w:pPr>
              <w:pStyle w:val="11"/>
            </w:pPr>
            <w:r>
              <w:t>12.79</w:t>
            </w:r>
          </w:p>
        </w:tc>
        <w:tc>
          <w:tcPr>
            <w:tcW w:w="2551" w:type="dxa"/>
            <w:vAlign w:val="center"/>
          </w:tcPr>
          <w:p>
            <w:pPr>
              <w:pStyle w:val="11"/>
            </w:pPr>
          </w:p>
        </w:tc>
        <w:tc>
          <w:tcPr>
            <w:tcW w:w="2551"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21007</w:t>
            </w:r>
          </w:p>
        </w:tc>
        <w:tc>
          <w:tcPr>
            <w:tcW w:w="4535" w:type="dxa"/>
            <w:vAlign w:val="center"/>
          </w:tcPr>
          <w:p>
            <w:pPr>
              <w:pStyle w:val="10"/>
            </w:pPr>
            <w:r>
              <w:t>计划生育事务</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2100799</w:t>
            </w:r>
          </w:p>
        </w:tc>
        <w:tc>
          <w:tcPr>
            <w:tcW w:w="4535" w:type="dxa"/>
            <w:vAlign w:val="center"/>
          </w:tcPr>
          <w:p>
            <w:pPr>
              <w:pStyle w:val="10"/>
            </w:pPr>
            <w:r>
              <w:t>其他计划生育事务支出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11"/>
            </w:pPr>
            <w:r>
              <w:t>84.04</w:t>
            </w:r>
          </w:p>
        </w:tc>
        <w:tc>
          <w:tcPr>
            <w:tcW w:w="2551" w:type="dxa"/>
            <w:vAlign w:val="center"/>
          </w:tcPr>
          <w:p>
            <w:pPr>
              <w:pStyle w:val="11"/>
            </w:pPr>
          </w:p>
        </w:tc>
        <w:tc>
          <w:tcPr>
            <w:tcW w:w="2551" w:type="dxa"/>
            <w:vAlign w:val="center"/>
          </w:tcPr>
          <w:p>
            <w:pPr>
              <w:pStyle w:val="11"/>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21307</w:t>
            </w:r>
          </w:p>
        </w:tc>
        <w:tc>
          <w:tcPr>
            <w:tcW w:w="4535" w:type="dxa"/>
            <w:vAlign w:val="center"/>
          </w:tcPr>
          <w:p>
            <w:pPr>
              <w:pStyle w:val="10"/>
            </w:pPr>
            <w:r>
              <w:t>农村综合改革</w:t>
            </w:r>
          </w:p>
        </w:tc>
        <w:tc>
          <w:tcPr>
            <w:tcW w:w="2551" w:type="dxa"/>
            <w:vAlign w:val="center"/>
          </w:tcPr>
          <w:p>
            <w:pPr>
              <w:pStyle w:val="11"/>
            </w:pPr>
            <w:r>
              <w:t>84.04</w:t>
            </w:r>
          </w:p>
        </w:tc>
        <w:tc>
          <w:tcPr>
            <w:tcW w:w="2551" w:type="dxa"/>
            <w:vAlign w:val="center"/>
          </w:tcPr>
          <w:p>
            <w:pPr>
              <w:pStyle w:val="11"/>
            </w:pPr>
          </w:p>
        </w:tc>
        <w:tc>
          <w:tcPr>
            <w:tcW w:w="2551" w:type="dxa"/>
            <w:vAlign w:val="center"/>
          </w:tcPr>
          <w:p>
            <w:pPr>
              <w:pStyle w:val="11"/>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2130701</w:t>
            </w:r>
          </w:p>
        </w:tc>
        <w:tc>
          <w:tcPr>
            <w:tcW w:w="4535" w:type="dxa"/>
            <w:vAlign w:val="center"/>
          </w:tcPr>
          <w:p>
            <w:pPr>
              <w:pStyle w:val="10"/>
            </w:pPr>
            <w:r>
              <w:t>对村级公益事业建设的补助</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2130705</w:t>
            </w:r>
          </w:p>
        </w:tc>
        <w:tc>
          <w:tcPr>
            <w:tcW w:w="4535" w:type="dxa"/>
            <w:vAlign w:val="center"/>
          </w:tcPr>
          <w:p>
            <w:pPr>
              <w:pStyle w:val="10"/>
            </w:pPr>
            <w:r>
              <w:t>对村民委员会和村党支部的补助</w:t>
            </w:r>
          </w:p>
        </w:tc>
        <w:tc>
          <w:tcPr>
            <w:tcW w:w="2551" w:type="dxa"/>
            <w:vAlign w:val="center"/>
          </w:tcPr>
          <w:p>
            <w:pPr>
              <w:pStyle w:val="11"/>
            </w:pPr>
            <w:r>
              <w:t>24.04</w:t>
            </w:r>
          </w:p>
        </w:tc>
        <w:tc>
          <w:tcPr>
            <w:tcW w:w="2551" w:type="dxa"/>
            <w:vAlign w:val="center"/>
          </w:tcPr>
          <w:p>
            <w:pPr>
              <w:pStyle w:val="11"/>
            </w:pPr>
          </w:p>
        </w:tc>
        <w:tc>
          <w:tcPr>
            <w:tcW w:w="2551" w:type="dxa"/>
            <w:vAlign w:val="center"/>
          </w:tcPr>
          <w:p>
            <w:pPr>
              <w:pStyle w:val="11"/>
            </w:pPr>
            <w:r>
              <w:t>24.04</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1068.23</w:t>
            </w:r>
          </w:p>
        </w:tc>
        <w:tc>
          <w:tcPr>
            <w:tcW w:w="2551" w:type="dxa"/>
            <w:vAlign w:val="center"/>
          </w:tcPr>
          <w:p>
            <w:pPr>
              <w:pStyle w:val="13"/>
            </w:pPr>
            <w:r>
              <w:t>911.15</w:t>
            </w:r>
          </w:p>
        </w:tc>
        <w:tc>
          <w:tcPr>
            <w:tcW w:w="2551" w:type="dxa"/>
            <w:vAlign w:val="center"/>
          </w:tcPr>
          <w:p>
            <w:pPr>
              <w:pStyle w:val="13"/>
            </w:pPr>
            <w:r>
              <w:t>157.08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820.00</w:t>
            </w:r>
          </w:p>
        </w:tc>
        <w:tc>
          <w:tcPr>
            <w:tcW w:w="2551" w:type="dxa"/>
            <w:vAlign w:val="center"/>
          </w:tcPr>
          <w:p>
            <w:pPr>
              <w:pStyle w:val="11"/>
            </w:pPr>
            <w:r>
              <w:t>820.00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163.22</w:t>
            </w:r>
          </w:p>
        </w:tc>
        <w:tc>
          <w:tcPr>
            <w:tcW w:w="2551" w:type="dxa"/>
            <w:vAlign w:val="center"/>
          </w:tcPr>
          <w:p>
            <w:pPr>
              <w:pStyle w:val="11"/>
            </w:pPr>
            <w:r>
              <w:t>163.22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329.79</w:t>
            </w:r>
          </w:p>
        </w:tc>
        <w:tc>
          <w:tcPr>
            <w:tcW w:w="2551" w:type="dxa"/>
            <w:vAlign w:val="center"/>
          </w:tcPr>
          <w:p>
            <w:pPr>
              <w:pStyle w:val="11"/>
            </w:pPr>
            <w:r>
              <w:t>329.79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63.58</w:t>
            </w:r>
          </w:p>
        </w:tc>
        <w:tc>
          <w:tcPr>
            <w:tcW w:w="2551" w:type="dxa"/>
            <w:vAlign w:val="center"/>
          </w:tcPr>
          <w:p>
            <w:pPr>
              <w:pStyle w:val="11"/>
            </w:pPr>
            <w:r>
              <w:t>63.58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67.55</w:t>
            </w:r>
          </w:p>
        </w:tc>
        <w:tc>
          <w:tcPr>
            <w:tcW w:w="2551" w:type="dxa"/>
            <w:vAlign w:val="center"/>
          </w:tcPr>
          <w:p>
            <w:pPr>
              <w:pStyle w:val="11"/>
            </w:pPr>
            <w:r>
              <w:t>67.55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35.47</w:t>
            </w:r>
          </w:p>
        </w:tc>
        <w:tc>
          <w:tcPr>
            <w:tcW w:w="2551" w:type="dxa"/>
            <w:vAlign w:val="center"/>
          </w:tcPr>
          <w:p>
            <w:pPr>
              <w:pStyle w:val="11"/>
            </w:pPr>
            <w:r>
              <w:t>35.47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27.44</w:t>
            </w:r>
          </w:p>
        </w:tc>
        <w:tc>
          <w:tcPr>
            <w:tcW w:w="2551" w:type="dxa"/>
            <w:vAlign w:val="center"/>
          </w:tcPr>
          <w:p>
            <w:pPr>
              <w:pStyle w:val="11"/>
            </w:pPr>
            <w:r>
              <w:t>27.44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68.67</w:t>
            </w:r>
          </w:p>
        </w:tc>
        <w:tc>
          <w:tcPr>
            <w:tcW w:w="2551" w:type="dxa"/>
            <w:vAlign w:val="center"/>
          </w:tcPr>
          <w:p>
            <w:pPr>
              <w:pStyle w:val="11"/>
            </w:pPr>
            <w:r>
              <w:t>68.67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56.04</w:t>
            </w:r>
          </w:p>
        </w:tc>
        <w:tc>
          <w:tcPr>
            <w:tcW w:w="2551" w:type="dxa"/>
            <w:vAlign w:val="center"/>
          </w:tcPr>
          <w:p>
            <w:pPr>
              <w:pStyle w:val="11"/>
            </w:pPr>
            <w:r>
              <w:t>56.04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156.08</w:t>
            </w:r>
          </w:p>
        </w:tc>
        <w:tc>
          <w:tcPr>
            <w:tcW w:w="2551" w:type="dxa"/>
            <w:vAlign w:val="center"/>
          </w:tcPr>
          <w:p>
            <w:pPr>
              <w:pStyle w:val="11"/>
            </w:pPr>
          </w:p>
        </w:tc>
        <w:tc>
          <w:tcPr>
            <w:tcW w:w="2551" w:type="dxa"/>
            <w:vAlign w:val="center"/>
          </w:tcPr>
          <w:p>
            <w:pPr>
              <w:pStyle w:val="11"/>
            </w:pPr>
            <w:r>
              <w:t>156.08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27.80</w:t>
            </w:r>
          </w:p>
        </w:tc>
        <w:tc>
          <w:tcPr>
            <w:tcW w:w="2551" w:type="dxa"/>
            <w:vAlign w:val="center"/>
          </w:tcPr>
          <w:p>
            <w:pPr>
              <w:pStyle w:val="11"/>
            </w:pPr>
          </w:p>
        </w:tc>
        <w:tc>
          <w:tcPr>
            <w:tcW w:w="2551" w:type="dxa"/>
            <w:vAlign w:val="center"/>
          </w:tcPr>
          <w:p>
            <w:pPr>
              <w:pStyle w:val="11"/>
            </w:pPr>
            <w:r>
              <w:t>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30203</w:t>
            </w:r>
          </w:p>
        </w:tc>
        <w:tc>
          <w:tcPr>
            <w:tcW w:w="4535" w:type="dxa"/>
            <w:vAlign w:val="center"/>
          </w:tcPr>
          <w:p>
            <w:pPr>
              <w:pStyle w:val="10"/>
            </w:pPr>
            <w:r>
              <w:t>咨询费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20.04</w:t>
            </w:r>
          </w:p>
        </w:tc>
        <w:tc>
          <w:tcPr>
            <w:tcW w:w="2551" w:type="dxa"/>
            <w:vAlign w:val="center"/>
          </w:tcPr>
          <w:p>
            <w:pPr>
              <w:pStyle w:val="11"/>
            </w:pPr>
          </w:p>
        </w:tc>
        <w:tc>
          <w:tcPr>
            <w:tcW w:w="2551" w:type="dxa"/>
            <w:vAlign w:val="center"/>
          </w:tcPr>
          <w:p>
            <w:pPr>
              <w:pStyle w:val="11"/>
            </w:pPr>
            <w:r>
              <w:t>20.04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30214</w:t>
            </w:r>
          </w:p>
        </w:tc>
        <w:tc>
          <w:tcPr>
            <w:tcW w:w="4535" w:type="dxa"/>
            <w:vAlign w:val="center"/>
          </w:tcPr>
          <w:p>
            <w:pPr>
              <w:pStyle w:val="10"/>
            </w:pPr>
            <w:r>
              <w:t>租赁费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11"/>
            </w:pPr>
            <w:r>
              <w:t>4.08</w:t>
            </w:r>
          </w:p>
        </w:tc>
        <w:tc>
          <w:tcPr>
            <w:tcW w:w="2551" w:type="dxa"/>
            <w:vAlign w:val="center"/>
          </w:tcPr>
          <w:p>
            <w:pPr>
              <w:pStyle w:val="11"/>
            </w:pPr>
          </w:p>
        </w:tc>
        <w:tc>
          <w:tcPr>
            <w:tcW w:w="2551"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28.56</w:t>
            </w:r>
          </w:p>
        </w:tc>
        <w:tc>
          <w:tcPr>
            <w:tcW w:w="2551" w:type="dxa"/>
            <w:vAlign w:val="center"/>
          </w:tcPr>
          <w:p>
            <w:pPr>
              <w:pStyle w:val="11"/>
            </w:pPr>
          </w:p>
        </w:tc>
        <w:tc>
          <w:tcPr>
            <w:tcW w:w="2551" w:type="dxa"/>
            <w:vAlign w:val="center"/>
          </w:tcPr>
          <w:p>
            <w:pPr>
              <w:pStyle w:val="11"/>
            </w:pPr>
            <w:r>
              <w:t>28.56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91.15</w:t>
            </w:r>
          </w:p>
        </w:tc>
        <w:tc>
          <w:tcPr>
            <w:tcW w:w="2551" w:type="dxa"/>
            <w:vAlign w:val="center"/>
          </w:tcPr>
          <w:p>
            <w:pPr>
              <w:pStyle w:val="11"/>
            </w:pPr>
            <w:r>
              <w:t>91.15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60.26</w:t>
            </w:r>
          </w:p>
        </w:tc>
        <w:tc>
          <w:tcPr>
            <w:tcW w:w="2551" w:type="dxa"/>
            <w:vAlign w:val="center"/>
          </w:tcPr>
          <w:p>
            <w:pPr>
              <w:pStyle w:val="11"/>
            </w:pPr>
            <w:r>
              <w:t>60.26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11"/>
            </w:pPr>
            <w:r>
              <w:t>30.88</w:t>
            </w:r>
          </w:p>
        </w:tc>
        <w:tc>
          <w:tcPr>
            <w:tcW w:w="2551" w:type="dxa"/>
            <w:vAlign w:val="center"/>
          </w:tcPr>
          <w:p>
            <w:pPr>
              <w:pStyle w:val="11"/>
            </w:pPr>
            <w:r>
              <w:t>30.88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1191" w:type="dxa"/>
            <w:vAlign w:val="center"/>
          </w:tcPr>
          <w:p>
            <w:pPr>
              <w:pStyle w:val="10"/>
            </w:pPr>
            <w:r>
              <w:t>310</w:t>
            </w:r>
          </w:p>
        </w:tc>
        <w:tc>
          <w:tcPr>
            <w:tcW w:w="4535" w:type="dxa"/>
            <w:vAlign w:val="center"/>
          </w:tcPr>
          <w:p>
            <w:pPr>
              <w:pStyle w:val="10"/>
            </w:pPr>
            <w:r>
              <w:t>资本性支出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1191" w:type="dxa"/>
            <w:vAlign w:val="center"/>
          </w:tcPr>
          <w:p>
            <w:pPr>
              <w:pStyle w:val="10"/>
            </w:pPr>
            <w:r>
              <w:t>31002</w:t>
            </w:r>
          </w:p>
        </w:tc>
        <w:tc>
          <w:tcPr>
            <w:tcW w:w="4535" w:type="dxa"/>
            <w:vAlign w:val="center"/>
          </w:tcPr>
          <w:p>
            <w:pPr>
              <w:pStyle w:val="10"/>
            </w:pPr>
            <w:r>
              <w:t>办公设备购置</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2" w:type="dxa"/>
            <w:vAlign w:val="center"/>
          </w:tcPr>
          <w:p>
            <w:pPr>
              <w:pStyle w:val="13"/>
            </w:pPr>
            <w:r>
              <w:rPr>
                <w:rFonts w:hint="eastAsia" w:asciiTheme="minorEastAsia" w:hAnsiTheme="minorEastAsia" w:eastAsiaTheme="minorEastAsia"/>
                <w:lang w:eastAsia="zh-CN"/>
              </w:rPr>
              <w:t>14.4</w:t>
            </w:r>
          </w:p>
        </w:tc>
        <w:tc>
          <w:tcPr>
            <w:tcW w:w="2381" w:type="dxa"/>
            <w:vAlign w:val="center"/>
          </w:tcPr>
          <w:p>
            <w:pPr>
              <w:pStyle w:val="13"/>
            </w:pPr>
            <w:r>
              <w:rPr>
                <w:rFonts w:hint="eastAsia" w:asciiTheme="minorEastAsia" w:hAnsiTheme="minorEastAsia" w:eastAsiaTheme="minorEastAsia"/>
                <w:lang w:eastAsia="zh-CN"/>
              </w:rPr>
              <w:t>14.4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“三公”经费小计</w:t>
            </w:r>
          </w:p>
        </w:tc>
        <w:tc>
          <w:tcPr>
            <w:tcW w:w="2382" w:type="dxa"/>
            <w:vAlign w:val="center"/>
          </w:tcPr>
          <w:p>
            <w:pPr>
              <w:pStyle w:val="11"/>
            </w:pPr>
            <w:r>
              <w:rPr>
                <w:rFonts w:hint="eastAsia" w:asciiTheme="minorEastAsia" w:hAnsiTheme="minorEastAsia" w:eastAsiaTheme="minorEastAsia"/>
                <w:lang w:eastAsia="zh-CN"/>
              </w:rPr>
              <w:t>14.4</w:t>
            </w:r>
          </w:p>
        </w:tc>
        <w:tc>
          <w:tcPr>
            <w:tcW w:w="2381" w:type="dxa"/>
            <w:vAlign w:val="center"/>
          </w:tcPr>
          <w:p>
            <w:pPr>
              <w:pStyle w:val="11"/>
            </w:pPr>
            <w:r>
              <w:rPr>
                <w:rFonts w:hint="eastAsia" w:asciiTheme="minorEastAsia" w:hAnsiTheme="minorEastAsia" w:eastAsiaTheme="minorEastAsia"/>
                <w:lang w:eastAsia="zh-CN"/>
              </w:rPr>
              <w:t>14.4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2382" w:type="dxa"/>
            <w:vAlign w:val="center"/>
          </w:tcPr>
          <w:p>
            <w:pPr>
              <w:pStyle w:val="11"/>
            </w:pPr>
            <w:r>
              <w:rPr>
                <w:rFonts w:hint="eastAsia" w:asciiTheme="minorEastAsia" w:hAnsiTheme="minorEastAsia" w:eastAsiaTheme="minorEastAsia"/>
                <w:lang w:eastAsia="zh-CN"/>
              </w:rPr>
              <w:t>14.4</w:t>
            </w:r>
          </w:p>
        </w:tc>
        <w:tc>
          <w:tcPr>
            <w:tcW w:w="2381" w:type="dxa"/>
            <w:vAlign w:val="center"/>
          </w:tcPr>
          <w:p>
            <w:pPr>
              <w:pStyle w:val="11"/>
            </w:pPr>
            <w:r>
              <w:rPr>
                <w:rFonts w:hint="eastAsia" w:asciiTheme="minorEastAsia" w:hAnsiTheme="minorEastAsia" w:eastAsiaTheme="minorEastAsia"/>
                <w:lang w:eastAsia="zh-CN"/>
              </w:rPr>
              <w:t>14.4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2382"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2382"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10"/>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石家庄市藁城区西关镇人民政府2022年部门预算信息公开情况说明</w:t>
      </w:r>
    </w:p>
    <w:p>
      <w:pPr>
        <w:jc w:val="center"/>
      </w:pPr>
      <w:r>
        <w:rPr>
          <w:rFonts w:ascii="方正小标宋_GBK" w:hAnsi="方正小标宋_GBK" w:eastAsia="方正小标宋_GBK" w:cs="方正小标宋_GBK"/>
          <w:color w:val="000000"/>
          <w:sz w:val="44"/>
        </w:rPr>
        <w:t>石家庄市藁城区西关镇人民政府2022年部门预算信息公开情况说明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预算法》、《地方预决算公开操作规程》和《关于进一步推进预算公开工作的实施意见》规定，现将石家庄市藁城区西关镇人民政府2022年部门预算公开如下：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根据《石家庄市藁城区西关镇人民政府职能配置、内设机构和人员编制规定》， 石家庄市藁城区西关镇人民政府的主要职责是：</w:t>
      </w:r>
    </w:p>
    <w:p>
      <w:pPr>
        <w:pStyle w:val="15"/>
      </w:pPr>
    </w:p>
    <w:p>
      <w:pPr>
        <w:pStyle w:val="15"/>
      </w:pPr>
      <w:r>
        <w:t>(一)政务管理。依法依规履行机关日常管理职责。依法依规履行机关日常管理职责，确保政府工作正常运行。</w:t>
      </w:r>
    </w:p>
    <w:p>
      <w:pPr>
        <w:pStyle w:val="15"/>
      </w:pPr>
      <w:r>
        <w:t>(二)应急管理。保证镇政府值班工作，及时报告重要情况，传达和督促落实镇党委、政府领导指示。有效保证镇政府日常应急值守和突发事件应对处置工作；完善应急预案体系建设，确保遇突发事件能够有效应对。</w:t>
      </w:r>
    </w:p>
    <w:p>
      <w:pPr>
        <w:pStyle w:val="15"/>
      </w:pPr>
      <w: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15"/>
      </w:pPr>
      <w:r>
        <w:t>(四)推动经济发展，完善基础设施，惠及民生。承担经济发展和民生改善培育支柱产业，加强基础设施建设和新型农村服务体系建设。落实安全生产责任制，搞好农业新技术示范推广。</w:t>
      </w:r>
    </w:p>
    <w:p>
      <w:pPr>
        <w:pStyle w:val="15"/>
      </w:pPr>
      <w:r>
        <w:t>(五)社会救助政策及管理。承担社会救助体系建设，负责农村居民最低生活保障、五保供养、医疗救助。完善农村社会救助制度，实施分类救助，应保尽保,动态管理。</w:t>
      </w:r>
    </w:p>
    <w:p>
      <w:pPr>
        <w:pStyle w:val="15"/>
      </w:pPr>
      <w:r>
        <w:t>(六)计生政策落实。提供各类计划生育技术服务，建立利益导向机制，开展出生人口性别比治理以及流动人口计划生育管理等各项工作。保障计生法律法规落实。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pPr>
        <w:pStyle w:val="15"/>
      </w:pPr>
      <w:r>
        <w:t>(七)计生服务。开展计划生育各种知识宣传和咨询服务</w:t>
      </w:r>
      <w:r>
        <w:tab/>
      </w:r>
      <w:r>
        <w:t>以提高育龄群众对计划生育认知能力为目标，开展计划生育各种知识宣传和咨询服务。</w:t>
      </w:r>
    </w:p>
    <w:p>
      <w:pPr>
        <w:pStyle w:val="15"/>
      </w:pPr>
      <w:r>
        <w:t>(八)预算管理。负责镇财政预算管理与执行保证镇机关正常运转</w:t>
      </w:r>
    </w:p>
    <w:p>
      <w:pPr>
        <w:pStyle w:val="15"/>
      </w:pPr>
      <w:r>
        <w:t>(九)财务管理。负责镇机关收支活动，组织实施镇财务核算及监督工作，以收定支，合理安排支出，严防出现资金支出不规范现象发生。</w:t>
      </w:r>
    </w:p>
    <w:p>
      <w:pPr>
        <w:pStyle w:val="15"/>
      </w:pPr>
      <w:r>
        <w:t>(十)村财镇代管。负责村级财务核算及监督工作</w:t>
      </w:r>
      <w:r>
        <w:tab/>
      </w:r>
      <w:r>
        <w:t>对村级财务进行规范化管理，严防支出票据不规范现象发生。</w:t>
      </w:r>
    </w:p>
    <w:p>
      <w:pPr>
        <w:pStyle w:val="15"/>
      </w:pPr>
      <w:r>
        <w:t>(十一)涉农资金。负责涉农资金的落实，将各项涉农资金兑付落实，监督管理资金的合理有效使用。</w:t>
      </w:r>
    </w:p>
    <w:p>
      <w:pPr>
        <w:pStyle w:val="15"/>
      </w:pPr>
      <w:r>
        <w:t>(十二)国有资产管理。负责管理镇国有资产，加强国有资产管理，严防国有资产流失</w:t>
      </w:r>
    </w:p>
    <w:p>
      <w:pPr>
        <w:pStyle w:val="15"/>
      </w:pPr>
      <w:r>
        <w:t>(十三)债权债务管理。实施债权债务监督管理，实施债权债务监督管理，杜绝增加政府债务</w:t>
      </w:r>
    </w:p>
    <w:p>
      <w:pPr>
        <w:pStyle w:val="15"/>
      </w:pPr>
      <w:r>
        <w:t>(十四)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pPr>
        <w:pStyle w:val="15"/>
      </w:pPr>
      <w:r>
        <w:t>(十五)推动文化发展。运用多种文化艺术手段，开展丰富多彩群众活动。运用多种文化艺术手段，丰富群众文化、提高农民基本素质</w:t>
      </w:r>
    </w:p>
    <w:p>
      <w:pPr>
        <w:pStyle w:val="15"/>
      </w:pPr>
      <w:r>
        <w:t>(十六)农村管理。对各行政村村容村貌及卫生维护提升，农村卫生长效管理机制</w:t>
      </w:r>
    </w:p>
    <w:p>
      <w:pPr>
        <w:pStyle w:val="15"/>
      </w:pPr>
      <w:r>
        <w:t>(十七)政务管理。加强对社会关注关系民生的社会事管理，抓好土地、环保、安全生产、食品安全、社会环境等的治理</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石家庄市藁城区西关镇人民政府本级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按照预算管理有关规定，目前我省部门预算的编制实行综合预算管理，即全部收入和支出都反映在预算中。石家庄市藁城区西关镇人民政府机关及所属事业单位的收支包含在部门预算中。</w:t>
      </w:r>
    </w:p>
    <w:p>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反映本部门当年全部收入。2022年预算收入</w:t>
      </w:r>
      <w:r>
        <w:rPr>
          <w:rFonts w:eastAsia="仿宋"/>
          <w:sz w:val="32"/>
          <w:szCs w:val="32"/>
        </w:rPr>
        <w:t>1346.38</w:t>
      </w:r>
      <w:r>
        <w:rPr>
          <w:rFonts w:hint="eastAsia" w:eastAsia="仿宋"/>
          <w:sz w:val="32"/>
          <w:szCs w:val="32"/>
        </w:rPr>
        <w:t>万元，其中：一般公共预算收入</w:t>
      </w:r>
      <w:r>
        <w:t>1346.38</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lang w:eastAsia="zh-CN"/>
        </w:rPr>
      </w:pPr>
      <w:r>
        <w:rPr>
          <w:rFonts w:hint="eastAsia" w:eastAsia="仿宋"/>
          <w:sz w:val="32"/>
          <w:szCs w:val="32"/>
        </w:rPr>
        <w:t>2、</w:t>
      </w:r>
      <w:r>
        <w:rPr>
          <w:rFonts w:eastAsia="仿宋"/>
          <w:sz w:val="32"/>
          <w:szCs w:val="32"/>
        </w:rPr>
        <w:t>支出说明</w:t>
      </w:r>
    </w:p>
    <w:p>
      <w:pPr>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w:t>
      </w:r>
      <w:r>
        <w:t>1346.38</w:t>
      </w:r>
      <w:r>
        <w:rPr>
          <w:rFonts w:hint="eastAsia" w:eastAsia="仿宋"/>
          <w:sz w:val="32"/>
          <w:szCs w:val="32"/>
        </w:rPr>
        <w:t>万元，其中基本支出</w:t>
      </w:r>
      <w:r>
        <w:rPr>
          <w:rFonts w:hint="eastAsia" w:eastAsia="仿宋"/>
          <w:sz w:val="32"/>
          <w:szCs w:val="32"/>
          <w:lang w:eastAsia="zh-CN"/>
        </w:rPr>
        <w:t>1068.23</w:t>
      </w:r>
      <w:r>
        <w:rPr>
          <w:rFonts w:hint="eastAsia" w:eastAsia="仿宋"/>
          <w:sz w:val="32"/>
          <w:szCs w:val="32"/>
        </w:rPr>
        <w:t>万元，包括人员经费</w:t>
      </w:r>
      <w:r>
        <w:rPr>
          <w:rFonts w:hint="eastAsia" w:eastAsia="仿宋"/>
          <w:sz w:val="32"/>
          <w:szCs w:val="32"/>
          <w:lang w:eastAsia="zh-CN"/>
        </w:rPr>
        <w:t>911.15</w:t>
      </w:r>
      <w:r>
        <w:rPr>
          <w:rFonts w:hint="eastAsia" w:eastAsia="仿宋"/>
          <w:sz w:val="32"/>
          <w:szCs w:val="32"/>
        </w:rPr>
        <w:t>万元和日常公用经费</w:t>
      </w:r>
      <w:r>
        <w:rPr>
          <w:rFonts w:hint="eastAsia" w:eastAsia="仿宋"/>
          <w:sz w:val="32"/>
          <w:szCs w:val="32"/>
          <w:lang w:eastAsia="zh-CN"/>
        </w:rPr>
        <w:t>157.08</w:t>
      </w:r>
      <w:r>
        <w:rPr>
          <w:rFonts w:hint="eastAsia" w:eastAsia="仿宋"/>
          <w:sz w:val="32"/>
          <w:szCs w:val="32"/>
        </w:rPr>
        <w:t>万元；项目支出</w:t>
      </w:r>
      <w:r>
        <w:rPr>
          <w:rFonts w:hint="eastAsia" w:eastAsia="仿宋"/>
          <w:sz w:val="32"/>
          <w:szCs w:val="32"/>
          <w:lang w:eastAsia="zh-CN"/>
        </w:rPr>
        <w:t>278.15</w:t>
      </w:r>
      <w:r>
        <w:rPr>
          <w:rFonts w:hint="eastAsia" w:eastAsia="仿宋"/>
          <w:sz w:val="32"/>
          <w:szCs w:val="32"/>
        </w:rPr>
        <w:t>万元，</w:t>
      </w:r>
      <w:bookmarkStart w:id="18" w:name="_GoBack"/>
      <w:bookmarkEnd w:id="18"/>
      <w:r>
        <w:rPr>
          <w:rFonts w:hint="eastAsia" w:eastAsia="仿宋"/>
          <w:sz w:val="32"/>
          <w:szCs w:val="32"/>
        </w:rPr>
        <w:t>主要为</w:t>
      </w:r>
      <w:r>
        <w:rPr>
          <w:rFonts w:hint="eastAsia" w:eastAsia="仿宋"/>
          <w:sz w:val="32"/>
          <w:szCs w:val="32"/>
          <w:lang w:eastAsia="zh-CN"/>
        </w:rPr>
        <w:t>综合经费55.4</w:t>
      </w:r>
      <w:r>
        <w:rPr>
          <w:rFonts w:hint="eastAsia" w:eastAsia="仿宋"/>
          <w:sz w:val="32"/>
          <w:szCs w:val="32"/>
        </w:rPr>
        <w:t>万元，</w:t>
      </w:r>
      <w:r>
        <w:rPr>
          <w:rFonts w:hint="eastAsia" w:eastAsia="仿宋"/>
          <w:sz w:val="32"/>
          <w:szCs w:val="32"/>
          <w:lang w:eastAsia="zh-CN"/>
        </w:rPr>
        <w:t>政府工会费2.92</w:t>
      </w:r>
      <w:r>
        <w:rPr>
          <w:rFonts w:hint="eastAsia" w:eastAsia="仿宋"/>
          <w:sz w:val="32"/>
          <w:szCs w:val="32"/>
        </w:rPr>
        <w:t>万元，</w:t>
      </w:r>
      <w:r>
        <w:rPr>
          <w:rFonts w:hint="eastAsia" w:eastAsia="仿宋"/>
          <w:sz w:val="32"/>
          <w:szCs w:val="32"/>
          <w:lang w:eastAsia="zh-CN"/>
        </w:rPr>
        <w:t>联防队员工资40</w:t>
      </w:r>
      <w:r>
        <w:rPr>
          <w:rFonts w:hint="eastAsia" w:eastAsia="仿宋"/>
          <w:sz w:val="32"/>
          <w:szCs w:val="32"/>
        </w:rPr>
        <w:t>万元，</w:t>
      </w:r>
      <w:r>
        <w:rPr>
          <w:rFonts w:hint="eastAsia" w:eastAsia="仿宋"/>
          <w:sz w:val="32"/>
          <w:szCs w:val="32"/>
          <w:lang w:eastAsia="zh-CN"/>
        </w:rPr>
        <w:t>学区工会费12.79</w:t>
      </w:r>
      <w:r>
        <w:rPr>
          <w:rFonts w:hint="eastAsia" w:eastAsia="仿宋"/>
          <w:sz w:val="32"/>
          <w:szCs w:val="32"/>
        </w:rPr>
        <w:t>万元</w:t>
      </w:r>
      <w:r>
        <w:rPr>
          <w:rFonts w:hint="eastAsia" w:eastAsia="仿宋"/>
          <w:sz w:val="32"/>
          <w:szCs w:val="32"/>
          <w:lang w:eastAsia="zh-CN"/>
        </w:rPr>
        <w:t>，金五线拓宽、增西路占地补偿24.04万元，独生子女费3.5万元，执法队工作经费65.503万元，</w:t>
      </w:r>
      <w:r>
        <w:rPr>
          <w:rFonts w:eastAsia="仿宋"/>
          <w:sz w:val="32"/>
          <w:szCs w:val="32"/>
        </w:rPr>
        <w:t>农村文化建设资金</w:t>
      </w:r>
      <w:r>
        <w:rPr>
          <w:rFonts w:hint="eastAsia" w:eastAsia="仿宋"/>
          <w:sz w:val="32"/>
          <w:szCs w:val="32"/>
        </w:rPr>
        <w:t xml:space="preserve"> 14万元，</w:t>
      </w:r>
      <w:r>
        <w:rPr>
          <w:rFonts w:eastAsia="仿宋"/>
          <w:sz w:val="32"/>
          <w:szCs w:val="32"/>
        </w:rPr>
        <w:t>石财农【2021】101号关于提前下达2022年省级农村综合改革转移支付</w:t>
      </w:r>
      <w:r>
        <w:rPr>
          <w:rFonts w:hint="eastAsia" w:eastAsia="仿宋"/>
          <w:sz w:val="32"/>
          <w:szCs w:val="32"/>
        </w:rPr>
        <w:t>60万元，其他支出0万元。</w:t>
      </w:r>
    </w:p>
    <w:p>
      <w:pPr>
        <w:spacing w:line="460" w:lineRule="exact"/>
        <w:ind w:firstLine="640"/>
        <w:rPr>
          <w:rFonts w:eastAsia="仿宋"/>
          <w:sz w:val="32"/>
          <w:szCs w:val="32"/>
          <w:lang w:eastAsia="zh-CN"/>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2022年部门预算收支安排</w:t>
      </w:r>
      <w:r>
        <w:rPr>
          <w:rFonts w:hint="eastAsia" w:eastAsia="仿宋"/>
          <w:sz w:val="32"/>
          <w:szCs w:val="32"/>
          <w:lang w:eastAsia="zh-CN"/>
        </w:rPr>
        <w:t>1346.38</w:t>
      </w:r>
      <w:r>
        <w:rPr>
          <w:rFonts w:hint="eastAsia" w:eastAsia="仿宋"/>
          <w:color w:val="000000"/>
          <w:sz w:val="32"/>
          <w:szCs w:val="32"/>
        </w:rPr>
        <w:t>万元，</w:t>
      </w:r>
      <w:r>
        <w:rPr>
          <w:rFonts w:hint="eastAsia" w:eastAsia="仿宋"/>
          <w:sz w:val="32"/>
          <w:szCs w:val="32"/>
        </w:rPr>
        <w:t>较2021年</w:t>
      </w:r>
      <w:r>
        <w:rPr>
          <w:rFonts w:hint="eastAsia" w:eastAsia="仿宋"/>
          <w:sz w:val="32"/>
          <w:szCs w:val="32"/>
          <w:lang w:eastAsia="zh-CN"/>
        </w:rPr>
        <w:t>增加183.7</w:t>
      </w:r>
      <w:r>
        <w:rPr>
          <w:rFonts w:hint="eastAsia" w:eastAsia="仿宋"/>
          <w:sz w:val="32"/>
          <w:szCs w:val="32"/>
        </w:rPr>
        <w:t>万元，其中：基本支出</w:t>
      </w:r>
      <w:r>
        <w:rPr>
          <w:rFonts w:hint="eastAsia" w:eastAsia="仿宋"/>
          <w:sz w:val="32"/>
          <w:szCs w:val="32"/>
          <w:lang w:eastAsia="zh-CN"/>
        </w:rPr>
        <w:t>增加63.95</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w:t>
      </w:r>
      <w:r>
        <w:rPr>
          <w:rFonts w:hint="eastAsia" w:eastAsia="仿宋"/>
          <w:sz w:val="32"/>
          <w:szCs w:val="32"/>
          <w:lang w:eastAsia="zh-CN"/>
        </w:rPr>
        <w:t>119.75</w:t>
      </w:r>
      <w:r>
        <w:rPr>
          <w:rFonts w:hint="eastAsia" w:eastAsia="仿宋"/>
          <w:sz w:val="32"/>
          <w:szCs w:val="32"/>
        </w:rPr>
        <w:t>万元，主要是增加</w:t>
      </w:r>
      <w:r>
        <w:rPr>
          <w:rFonts w:hint="eastAsia" w:eastAsia="仿宋"/>
          <w:sz w:val="32"/>
          <w:szCs w:val="32"/>
          <w:lang w:eastAsia="zh-CN"/>
        </w:rPr>
        <w:t>独生子女费、执法队工作经费、农村文化建设资金、</w:t>
      </w:r>
      <w:r>
        <w:rPr>
          <w:rFonts w:eastAsia="仿宋"/>
          <w:sz w:val="32"/>
          <w:szCs w:val="32"/>
        </w:rPr>
        <w:t>石财农【2021】101号关于提前下达2022年省级农村综合改革转移支付</w:t>
      </w:r>
      <w:r>
        <w:rPr>
          <w:rFonts w:hint="eastAsia" w:eastAsia="仿宋"/>
          <w:sz w:val="32"/>
          <w:szCs w:val="32"/>
        </w:rPr>
        <w:t>资金；减少服务群众专项经费、离任干部补贴</w:t>
      </w:r>
      <w:r>
        <w:rPr>
          <w:rFonts w:hint="eastAsia" w:eastAsia="仿宋"/>
          <w:sz w:val="32"/>
          <w:szCs w:val="32"/>
          <w:lang w:eastAsia="zh-CN"/>
        </w:rPr>
        <w:t>；</w:t>
      </w:r>
      <w:r>
        <w:rPr>
          <w:rFonts w:hint="eastAsia" w:eastAsia="仿宋"/>
          <w:sz w:val="32"/>
          <w:szCs w:val="32"/>
        </w:rPr>
        <w:t>其他支出无增减变化。</w:t>
      </w:r>
    </w:p>
    <w:p>
      <w:pPr>
        <w:pStyle w:val="16"/>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eastAsia="仿宋"/>
          <w:sz w:val="32"/>
          <w:szCs w:val="32"/>
        </w:rPr>
        <w:t>2022年，我部门机关运行经费共计安排</w:t>
      </w:r>
      <w:r>
        <w:rPr>
          <w:rFonts w:hint="eastAsia" w:eastAsia="仿宋"/>
          <w:sz w:val="32"/>
          <w:szCs w:val="32"/>
          <w:lang w:eastAsia="zh-CN"/>
        </w:rPr>
        <w:t>157.08</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17"/>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lang w:eastAsia="zh-CN"/>
        </w:rPr>
      </w:pPr>
      <w:r>
        <w:rPr>
          <w:rFonts w:hint="eastAsia" w:eastAsia="仿宋"/>
          <w:sz w:val="32"/>
          <w:szCs w:val="32"/>
        </w:rPr>
        <w:t>2022年，我部门财政拨款“三公”经费预算安排</w:t>
      </w:r>
      <w:r>
        <w:rPr>
          <w:rFonts w:hint="eastAsia" w:eastAsia="仿宋"/>
          <w:sz w:val="32"/>
          <w:szCs w:val="32"/>
          <w:lang w:eastAsia="zh-CN"/>
        </w:rPr>
        <w:t>14.4</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14.4</w:t>
      </w:r>
      <w:r>
        <w:rPr>
          <w:rFonts w:hint="eastAsia" w:eastAsia="仿宋"/>
          <w:sz w:val="32"/>
          <w:szCs w:val="32"/>
        </w:rPr>
        <w:t>万元（其中：公务用车购置费</w:t>
      </w:r>
      <w:r>
        <w:rPr>
          <w:rFonts w:hint="eastAsia" w:eastAsia="仿宋"/>
          <w:sz w:val="32"/>
          <w:szCs w:val="32"/>
          <w:lang w:eastAsia="zh-CN"/>
        </w:rPr>
        <w:t>1</w:t>
      </w:r>
      <w:r>
        <w:rPr>
          <w:rFonts w:hint="eastAsia" w:eastAsia="仿宋"/>
          <w:sz w:val="32"/>
          <w:szCs w:val="32"/>
        </w:rPr>
        <w:t>0万元，公务用车运行维护费</w:t>
      </w:r>
      <w:r>
        <w:rPr>
          <w:rFonts w:hint="eastAsia" w:eastAsia="仿宋"/>
          <w:sz w:val="32"/>
          <w:szCs w:val="32"/>
          <w:lang w:eastAsia="zh-CN"/>
        </w:rPr>
        <w:t>4.4</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因公出国（境）费、公务接待费与上年持平，公务用车购置及运维费增加10万元（其中公车购置费增加10万元）。</w:t>
      </w:r>
    </w:p>
    <w:p>
      <w:pPr>
        <w:pStyle w:val="18"/>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坚决贯彻新发展理念，坚持“上项目、优环境、惠民生、保稳定”的工作思路，重点做好以下几项工作。</w:t>
      </w:r>
    </w:p>
    <w:p>
      <w:pPr>
        <w:pStyle w:val="19"/>
      </w:pPr>
      <w:r>
        <w:t>（一）经济发展再创新业绩。全镇经济保持中高速增长，实现一般公共预算收入1310万元，完成固定资产投资不低于5.4亿元，规模以上企业产值43064万元，规模以上企业产值增长11%，新增规上工业企业1个，服务业企业1个，不断提升经济发展水平。</w:t>
      </w:r>
    </w:p>
    <w:p>
      <w:pPr>
        <w:pStyle w:val="19"/>
      </w:pPr>
      <w:r>
        <w:t>（二）生态文明再现新进展。严格执行国土空间规划，加大耕地保护和违法占地、私搭乱建、违章建筑的拆除整治力度，依法审批管理农村宅基地发放，保持违法占地动态清零。持续加大空气、水、土壤污染防治力度，建立正面清单制度，实施精准管控，严格污染物排放、控车、抑尘等管控措施，坚决打击取缔“散乱污”企业，生态环境持续改善，稳定退出空气质量全市“后六十”。</w:t>
      </w:r>
    </w:p>
    <w:p>
      <w:pPr>
        <w:pStyle w:val="19"/>
      </w:pPr>
      <w:r>
        <w:t>（三）乡村建设再上新台阶。持续深入开展人居环境整治和路域环境深度治理行动，加快村庄违建拆除，打通断头路，确保2022年全域村庄小街巷硬化率100%，高标准建设美丽街区、美丽庭院，争创省级美丽乡村和森林乡村2个以上，同时建立健全人居环境整治激励机制、保障机制和监管机制。结合江水置换工程施工，在各村合适位置设置安装消防栓，提高消防应急能力。</w:t>
      </w:r>
    </w:p>
    <w:p>
      <w:pPr>
        <w:pStyle w:val="19"/>
      </w:pPr>
      <w:r>
        <w:t>（四）基层治理再促新提升。不断健全防范化解重大风险体制机制，着力增强突发公共事件应急能力，不断提升自然灾害防御水平，进一步深化街（巷）长工作机制，加强社会治安综合治理，及时解决矛盾纠纷，争创石家庄市“六无”乡镇，创建基层社会治理示范村2个。</w:t>
      </w:r>
    </w:p>
    <w:p>
      <w:pPr>
        <w:pStyle w:val="19"/>
      </w:pPr>
      <w:r>
        <w:t>（五）服务效能再推新举措。建立和完善长效机制，强化服务职能，紧紧围绕优化营商环境和小微权力清单制度落实，持续推进简政放权、放管结合、优化服务，加大网络化电子化政务服务，积极做好政务信息公开工作，接受社会和人民群众的监督，创新方式方法，实现优质、高效、便捷的服务环境。</w:t>
      </w:r>
    </w:p>
    <w:p>
      <w:pPr>
        <w:pStyle w:val="19"/>
      </w:pPr>
    </w:p>
    <w:p>
      <w:pPr>
        <w:spacing w:line="500" w:lineRule="exact"/>
        <w:ind w:firstLine="560"/>
      </w:pPr>
      <w:r>
        <w:rPr>
          <w:rFonts w:eastAsia="方正仿宋_GBK"/>
          <w:color w:val="000000"/>
          <w:sz w:val="28"/>
        </w:rPr>
        <w:t>（二）分项绩效目标</w:t>
      </w:r>
    </w:p>
    <w:p>
      <w:pPr>
        <w:pStyle w:val="20"/>
      </w:pPr>
      <w:r>
        <w:t>（一）经济发展再创新业绩。</w:t>
      </w:r>
    </w:p>
    <w:p>
      <w:pPr>
        <w:pStyle w:val="20"/>
      </w:pPr>
      <w:r>
        <w:t>绩效目标：积极开展亲情招商、以商招商，广招商，全员招商，全镇经济保持中高速增长，固定资产投资、规模以上企业产值稳步增长。</w:t>
      </w:r>
    </w:p>
    <w:p>
      <w:pPr>
        <w:pStyle w:val="20"/>
      </w:pPr>
      <w:r>
        <w:t>绩效指标：实现一般公共预算收入1310万元，完成固定资产投资不低于5.4亿元，规模以上企业产值43064万元，规模以上企业产值增长11%，新增规上工业企业1个，服务业企业1个，不断提升经济发展水平。</w:t>
      </w:r>
    </w:p>
    <w:p>
      <w:pPr>
        <w:pStyle w:val="20"/>
      </w:pPr>
      <w:r>
        <w:t>(二)生态文明再现新进展。</w:t>
      </w:r>
    </w:p>
    <w:p>
      <w:pPr>
        <w:pStyle w:val="20"/>
      </w:pPr>
      <w:r>
        <w:t>绩效目标：严格执行国土空间规划，加大耕地保护和违法占地、私搭乱建、违章建筑的拆除整治力度。持续加大空气、水、土壤污染防治力度，建立正面清单制度，实施精准管控。</w:t>
      </w:r>
    </w:p>
    <w:p>
      <w:pPr>
        <w:pStyle w:val="20"/>
      </w:pPr>
      <w:r>
        <w:t>绩效指标：依法审批管理农村宅基地发放，保持违法占地动态清零。严格污染物排放、控车、抑尘等管控措施，坚决打击取缔“散乱污”企业，生态环境持续改善，稳定退出空气质量全市“后六十”。</w:t>
      </w:r>
    </w:p>
    <w:p>
      <w:pPr>
        <w:pStyle w:val="20"/>
      </w:pPr>
      <w:r>
        <w:t>（三）乡村建设再上新台阶。</w:t>
      </w:r>
    </w:p>
    <w:p>
      <w:pPr>
        <w:pStyle w:val="20"/>
      </w:pPr>
      <w:r>
        <w:t>绩效目标：持续深入开展人居环境整治和路域环境深度治理行动，加快村庄违建拆除。同时建立健全人居环境整治激励机制、保障机制和监管机制。</w:t>
      </w:r>
    </w:p>
    <w:p>
      <w:pPr>
        <w:pStyle w:val="20"/>
      </w:pPr>
      <w:r>
        <w:t>绩效指标：打通断头路，确保2022年全域村庄小街巷硬化率100%，高标准建设美丽街区、美丽庭院，争创省级美丽乡村和森林乡村2个以上，结合江水置换工程施工，在各村合适位置设置安装消防栓，提高消防应急能力。</w:t>
      </w:r>
    </w:p>
    <w:p>
      <w:pPr>
        <w:pStyle w:val="20"/>
      </w:pPr>
      <w:r>
        <w:t>（四）基层治理再促新提升。</w:t>
      </w:r>
    </w:p>
    <w:p>
      <w:pPr>
        <w:pStyle w:val="20"/>
      </w:pPr>
      <w:r>
        <w:t xml:space="preserve">绩效目标：不断健全防范化解重大风险体制机制，着力增强突发公共事件应急能力，不断提升自然灾害防御水平，进一步深化街（巷）长工作机制，加强社会治安综合治理，及时解决矛盾纠纷。  </w:t>
      </w:r>
    </w:p>
    <w:p>
      <w:pPr>
        <w:pStyle w:val="20"/>
      </w:pPr>
      <w:r>
        <w:t>绩效指标：争创石家庄市“六无”乡镇，创建基层社会治理示范村2个。</w:t>
      </w:r>
    </w:p>
    <w:p>
      <w:pPr>
        <w:pStyle w:val="20"/>
      </w:pPr>
      <w:r>
        <w:t>（五）服务效能再推新举措。</w:t>
      </w:r>
    </w:p>
    <w:p>
      <w:pPr>
        <w:pStyle w:val="20"/>
      </w:pPr>
      <w:r>
        <w:t>绩效指标：积极推动土地流转，培育农民专业合作社和家庭农场发展新模式。</w:t>
      </w:r>
    </w:p>
    <w:p>
      <w:pPr>
        <w:pStyle w:val="20"/>
      </w:pPr>
      <w:r>
        <w:t>绩效指标：实现多品种规模发展、林下经济、复合种植等多种模式的农业产业发展新路径。</w:t>
      </w:r>
    </w:p>
    <w:p>
      <w:pPr>
        <w:spacing w:line="500" w:lineRule="exact"/>
        <w:ind w:firstLine="560"/>
      </w:pPr>
      <w:r>
        <w:rPr>
          <w:rFonts w:eastAsia="方正仿宋_GBK"/>
          <w:color w:val="000000"/>
          <w:sz w:val="28"/>
        </w:rPr>
        <w:t>（三）工作保障措施</w:t>
      </w:r>
    </w:p>
    <w:p>
      <w:pPr>
        <w:pStyle w:val="21"/>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pPr>
        <w:pStyle w:val="21"/>
      </w:pPr>
      <w:r>
        <w:t>（二）优化支出管理。按照“谁花钱、谁负责、谁举证”的原则，明确各线预算绩效管理职责。实现花钱必问效，确保财务与业务工作紧密衔接。</w:t>
      </w:r>
    </w:p>
    <w:p>
      <w:pPr>
        <w:pStyle w:val="21"/>
      </w:pPr>
      <w:r>
        <w:t>（三）加强绩效监控。按财政要求开展绩效运行监控，全程跟踪预算执行进度，对执行过程中发现的问题及时反馈，制定切实可行举措，保障绩效目标按期高质量完成。</w:t>
      </w:r>
    </w:p>
    <w:p>
      <w:pPr>
        <w:pStyle w:val="21"/>
      </w:pPr>
      <w:r>
        <w:t>（四）做好绩效自评。按财政部门要求及时开展上年度部门预算绩效自评和重点评价工作，对评价中发现的问题及时整改，调整优化支出结构，提高财政资金使用效益。</w:t>
      </w:r>
    </w:p>
    <w:p>
      <w:pPr>
        <w:pStyle w:val="21"/>
      </w:pPr>
      <w:r>
        <w:t>（五）规范财务资产管理。完善财务管理制度，严格审批手续，加强固定资产登记、使用和报废处置管理，做到支出合理，物尽其用。</w:t>
      </w:r>
    </w:p>
    <w:p>
      <w:pPr>
        <w:pStyle w:val="21"/>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pPr>
        <w:ind w:firstLine="640"/>
      </w:pPr>
      <w:r>
        <w:rPr>
          <w:rFonts w:ascii="方正楷体_GBK" w:hAnsi="方正楷体_GBK" w:eastAsia="方正楷体_GBK" w:cs="方正楷体_GBK"/>
          <w:b/>
          <w:color w:val="000000"/>
          <w:sz w:val="32"/>
        </w:rPr>
        <w:t>第二部分 预算项目绩效目标</w:t>
      </w:r>
    </w:p>
    <w:p>
      <w:pPr>
        <w:pStyle w:val="22"/>
        <w:ind w:firstLine="560"/>
      </w:pPr>
      <w:r>
        <w:rPr>
          <w:rFonts w:ascii="方正仿宋_GBK" w:hAnsi="方正仿宋_GBK" w:eastAsia="方正仿宋_GBK" w:cs="方正仿宋_GBK"/>
          <w:b/>
          <w:color w:val="000000"/>
          <w:sz w:val="28"/>
        </w:rPr>
        <w:t>1、金五线拓宽、增西路占地补偿绩效目标表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1.及时拨付金五线拓宽、增西路占地补偿</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拨付占地补偿农户比例</w:t>
            </w:r>
          </w:p>
        </w:tc>
        <w:tc>
          <w:tcPr>
            <w:tcW w:w="2835" w:type="dxa"/>
            <w:vAlign w:val="center"/>
          </w:tcPr>
          <w:p>
            <w:pPr>
              <w:pStyle w:val="24"/>
            </w:pPr>
            <w:r>
              <w:t>拨付占地补偿农户户数占应发放补贴总户数</w:t>
            </w:r>
          </w:p>
        </w:tc>
        <w:tc>
          <w:tcPr>
            <w:tcW w:w="2551" w:type="dxa"/>
            <w:vAlign w:val="center"/>
          </w:tcPr>
          <w:p>
            <w:pPr>
              <w:pStyle w:val="24"/>
            </w:pPr>
            <w:r>
              <w:t>≥100%</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完成率</w:t>
            </w:r>
          </w:p>
        </w:tc>
        <w:tc>
          <w:tcPr>
            <w:tcW w:w="2835" w:type="dxa"/>
            <w:vAlign w:val="center"/>
          </w:tcPr>
          <w:p>
            <w:pPr>
              <w:pStyle w:val="24"/>
            </w:pPr>
            <w:r>
              <w:t>当年镇政府各项工作完成进度</w:t>
            </w:r>
          </w:p>
        </w:tc>
        <w:tc>
          <w:tcPr>
            <w:tcW w:w="2551" w:type="dxa"/>
            <w:vAlign w:val="center"/>
          </w:tcPr>
          <w:p>
            <w:pPr>
              <w:pStyle w:val="24"/>
            </w:pPr>
            <w:r>
              <w:t>≥90%</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拨付及时率</w:t>
            </w:r>
          </w:p>
        </w:tc>
        <w:tc>
          <w:tcPr>
            <w:tcW w:w="2835" w:type="dxa"/>
            <w:vAlign w:val="center"/>
          </w:tcPr>
          <w:p>
            <w:pPr>
              <w:pStyle w:val="24"/>
            </w:pPr>
            <w:r>
              <w:t>及时拨付农户</w:t>
            </w:r>
          </w:p>
        </w:tc>
        <w:tc>
          <w:tcPr>
            <w:tcW w:w="2551" w:type="dxa"/>
            <w:vAlign w:val="center"/>
          </w:tcPr>
          <w:p>
            <w:pPr>
              <w:pStyle w:val="24"/>
            </w:pPr>
            <w:r>
              <w:t>≥95%</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补偿标准</w:t>
            </w:r>
          </w:p>
        </w:tc>
        <w:tc>
          <w:tcPr>
            <w:tcW w:w="2835" w:type="dxa"/>
            <w:vAlign w:val="center"/>
          </w:tcPr>
          <w:p>
            <w:pPr>
              <w:pStyle w:val="24"/>
            </w:pPr>
            <w:r>
              <w:t>是否按照标准进行补偿</w:t>
            </w:r>
          </w:p>
        </w:tc>
        <w:tc>
          <w:tcPr>
            <w:tcW w:w="2551" w:type="dxa"/>
            <w:vAlign w:val="center"/>
          </w:tcPr>
          <w:p>
            <w:pPr>
              <w:pStyle w:val="24"/>
            </w:pPr>
            <w:r>
              <w:t>≥700元/亩</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社会影响力</w:t>
            </w:r>
          </w:p>
        </w:tc>
        <w:tc>
          <w:tcPr>
            <w:tcW w:w="2835" w:type="dxa"/>
            <w:vAlign w:val="center"/>
          </w:tcPr>
          <w:p>
            <w:pPr>
              <w:pStyle w:val="24"/>
            </w:pPr>
            <w:r>
              <w:t>拨付工作在全镇形成的重要影响得到广大群众的认可</w:t>
            </w:r>
          </w:p>
        </w:tc>
        <w:tc>
          <w:tcPr>
            <w:tcW w:w="2551" w:type="dxa"/>
            <w:vAlign w:val="center"/>
          </w:tcPr>
          <w:p>
            <w:pPr>
              <w:pStyle w:val="24"/>
            </w:pPr>
            <w:r>
              <w:t>≥90%</w:t>
            </w:r>
          </w:p>
        </w:tc>
        <w:tc>
          <w:tcPr>
            <w:tcW w:w="2268" w:type="dxa"/>
            <w:vAlign w:val="center"/>
          </w:tcPr>
          <w:p>
            <w:pPr>
              <w:pStyle w:val="2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群众对当年工作的满意度</w:t>
            </w:r>
          </w:p>
        </w:tc>
        <w:tc>
          <w:tcPr>
            <w:tcW w:w="2551" w:type="dxa"/>
            <w:vAlign w:val="center"/>
          </w:tcPr>
          <w:p>
            <w:pPr>
              <w:pStyle w:val="24"/>
            </w:pPr>
            <w:r>
              <w:t>≥90%</w:t>
            </w:r>
          </w:p>
        </w:tc>
        <w:tc>
          <w:tcPr>
            <w:tcW w:w="2268" w:type="dxa"/>
            <w:vAlign w:val="center"/>
          </w:tcPr>
          <w:p>
            <w:pPr>
              <w:pStyle w:val="24"/>
            </w:pPr>
            <w:r>
              <w:t>调查问卷</w:t>
            </w:r>
          </w:p>
        </w:tc>
      </w:tr>
    </w:tbl>
    <w:p>
      <w:pPr>
        <w:pStyle w:val="22"/>
      </w:pPr>
    </w:p>
    <w:p>
      <w:pPr>
        <w:pStyle w:val="22"/>
        <w:ind w:firstLine="560"/>
      </w:pPr>
      <w:r>
        <w:rPr>
          <w:rFonts w:ascii="方正仿宋_GBK" w:hAnsi="方正仿宋_GBK" w:eastAsia="方正仿宋_GBK" w:cs="方正仿宋_GBK"/>
          <w:b/>
          <w:color w:val="000000"/>
          <w:sz w:val="28"/>
        </w:rPr>
        <w:t>2、联防队员工资(综合工作经费）绩效目标表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1.用于2022年联防队员及劳务派遣人员工资</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联防队员等人数</w:t>
            </w:r>
          </w:p>
        </w:tc>
        <w:tc>
          <w:tcPr>
            <w:tcW w:w="2835" w:type="dxa"/>
            <w:vAlign w:val="center"/>
          </w:tcPr>
          <w:p>
            <w:pPr>
              <w:pStyle w:val="24"/>
            </w:pPr>
            <w:r>
              <w:t>对联防队员等17人支付工资</w:t>
            </w:r>
          </w:p>
        </w:tc>
        <w:tc>
          <w:tcPr>
            <w:tcW w:w="2551" w:type="dxa"/>
            <w:vAlign w:val="center"/>
          </w:tcPr>
          <w:p>
            <w:pPr>
              <w:pStyle w:val="24"/>
            </w:pPr>
            <w:r>
              <w:t>≥17人</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资金到位率</w:t>
            </w:r>
          </w:p>
        </w:tc>
        <w:tc>
          <w:tcPr>
            <w:tcW w:w="2835" w:type="dxa"/>
            <w:vAlign w:val="center"/>
          </w:tcPr>
          <w:p>
            <w:pPr>
              <w:pStyle w:val="24"/>
            </w:pPr>
            <w:r>
              <w:t>资金到位率</w:t>
            </w:r>
          </w:p>
        </w:tc>
        <w:tc>
          <w:tcPr>
            <w:tcW w:w="2551" w:type="dxa"/>
            <w:vAlign w:val="center"/>
          </w:tcPr>
          <w:p>
            <w:pPr>
              <w:pStyle w:val="24"/>
            </w:pPr>
            <w:r>
              <w:t>≥95%</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发放率</w:t>
            </w:r>
          </w:p>
        </w:tc>
        <w:tc>
          <w:tcPr>
            <w:tcW w:w="2835" w:type="dxa"/>
            <w:vAlign w:val="center"/>
          </w:tcPr>
          <w:p>
            <w:pPr>
              <w:pStyle w:val="24"/>
            </w:pPr>
            <w:r>
              <w:t>发放率</w:t>
            </w:r>
          </w:p>
        </w:tc>
        <w:tc>
          <w:tcPr>
            <w:tcW w:w="2551" w:type="dxa"/>
            <w:vAlign w:val="center"/>
          </w:tcPr>
          <w:p>
            <w:pPr>
              <w:pStyle w:val="24"/>
            </w:pPr>
            <w:r>
              <w:t>≥98%</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人均发放水平</w:t>
            </w:r>
          </w:p>
        </w:tc>
        <w:tc>
          <w:tcPr>
            <w:tcW w:w="2835" w:type="dxa"/>
            <w:vAlign w:val="center"/>
          </w:tcPr>
          <w:p>
            <w:pPr>
              <w:pStyle w:val="24"/>
            </w:pPr>
            <w:r>
              <w:t>人均发放水平</w:t>
            </w:r>
          </w:p>
        </w:tc>
        <w:tc>
          <w:tcPr>
            <w:tcW w:w="2551" w:type="dxa"/>
            <w:vAlign w:val="center"/>
          </w:tcPr>
          <w:p>
            <w:pPr>
              <w:pStyle w:val="24"/>
            </w:pPr>
            <w:r>
              <w:t>≥1800元/月</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可持续影响指标</w:t>
            </w:r>
          </w:p>
        </w:tc>
        <w:tc>
          <w:tcPr>
            <w:tcW w:w="2835" w:type="dxa"/>
            <w:vAlign w:val="center"/>
          </w:tcPr>
          <w:p>
            <w:pPr>
              <w:pStyle w:val="24"/>
            </w:pPr>
            <w:r>
              <w:t>基本公共服务水平</w:t>
            </w:r>
          </w:p>
        </w:tc>
        <w:tc>
          <w:tcPr>
            <w:tcW w:w="2835" w:type="dxa"/>
            <w:vAlign w:val="center"/>
          </w:tcPr>
          <w:p>
            <w:pPr>
              <w:pStyle w:val="24"/>
            </w:pPr>
            <w:r>
              <w:t>基本公共服务水平</w:t>
            </w:r>
          </w:p>
        </w:tc>
        <w:tc>
          <w:tcPr>
            <w:tcW w:w="2551" w:type="dxa"/>
            <w:vAlign w:val="center"/>
          </w:tcPr>
          <w:p>
            <w:pPr>
              <w:pStyle w:val="24"/>
            </w:pPr>
            <w:r>
              <w:t>≥95%</w:t>
            </w:r>
          </w:p>
        </w:tc>
        <w:tc>
          <w:tcPr>
            <w:tcW w:w="2268" w:type="dxa"/>
            <w:vAlign w:val="center"/>
          </w:tcPr>
          <w:p>
            <w:pPr>
              <w:pStyle w:val="2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群众满意度</w:t>
            </w:r>
          </w:p>
        </w:tc>
        <w:tc>
          <w:tcPr>
            <w:tcW w:w="2551" w:type="dxa"/>
            <w:vAlign w:val="center"/>
          </w:tcPr>
          <w:p>
            <w:pPr>
              <w:pStyle w:val="24"/>
            </w:pPr>
            <w:r>
              <w:t>≥90%</w:t>
            </w:r>
          </w:p>
        </w:tc>
        <w:tc>
          <w:tcPr>
            <w:tcW w:w="2268" w:type="dxa"/>
            <w:vAlign w:val="center"/>
          </w:tcPr>
          <w:p>
            <w:pPr>
              <w:pStyle w:val="24"/>
            </w:pPr>
            <w:r>
              <w:t>调查问卷</w:t>
            </w:r>
          </w:p>
        </w:tc>
      </w:tr>
    </w:tbl>
    <w:p>
      <w:pPr>
        <w:pStyle w:val="22"/>
      </w:pPr>
    </w:p>
    <w:p>
      <w:pPr>
        <w:pStyle w:val="22"/>
        <w:ind w:firstLine="560"/>
      </w:pPr>
      <w:r>
        <w:rPr>
          <w:rFonts w:ascii="方正仿宋_GBK" w:hAnsi="方正仿宋_GBK" w:eastAsia="方正仿宋_GBK" w:cs="方正仿宋_GBK"/>
          <w:b/>
          <w:color w:val="000000"/>
          <w:sz w:val="28"/>
        </w:rPr>
        <w:t>3、农村独生子女费绩效目标表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1.对全镇独生子女户进行奖励</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全镇14村</w:t>
            </w:r>
          </w:p>
        </w:tc>
        <w:tc>
          <w:tcPr>
            <w:tcW w:w="2835" w:type="dxa"/>
            <w:vAlign w:val="center"/>
          </w:tcPr>
          <w:p>
            <w:pPr>
              <w:pStyle w:val="24"/>
            </w:pPr>
            <w:r>
              <w:t>对全镇14村独生子女户进行奖励</w:t>
            </w:r>
          </w:p>
        </w:tc>
        <w:tc>
          <w:tcPr>
            <w:tcW w:w="2551" w:type="dxa"/>
            <w:vAlign w:val="center"/>
          </w:tcPr>
          <w:p>
            <w:pPr>
              <w:pStyle w:val="24"/>
            </w:pPr>
            <w:r>
              <w:t>14个</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及时足额发放</w:t>
            </w:r>
          </w:p>
        </w:tc>
        <w:tc>
          <w:tcPr>
            <w:tcW w:w="2835" w:type="dxa"/>
            <w:vAlign w:val="center"/>
          </w:tcPr>
          <w:p>
            <w:pPr>
              <w:pStyle w:val="24"/>
            </w:pPr>
            <w:r>
              <w:t>对全部独生子女户及时足额发放</w:t>
            </w:r>
          </w:p>
        </w:tc>
        <w:tc>
          <w:tcPr>
            <w:tcW w:w="2551" w:type="dxa"/>
            <w:vAlign w:val="center"/>
          </w:tcPr>
          <w:p>
            <w:pPr>
              <w:pStyle w:val="24"/>
            </w:pPr>
            <w:r>
              <w:t>≥95%</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及时发放</w:t>
            </w:r>
          </w:p>
        </w:tc>
        <w:tc>
          <w:tcPr>
            <w:tcW w:w="2835" w:type="dxa"/>
            <w:vAlign w:val="center"/>
          </w:tcPr>
          <w:p>
            <w:pPr>
              <w:pStyle w:val="24"/>
            </w:pPr>
            <w:r>
              <w:t>按季及时发放</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人均发放水平</w:t>
            </w:r>
          </w:p>
        </w:tc>
        <w:tc>
          <w:tcPr>
            <w:tcW w:w="2835" w:type="dxa"/>
            <w:vAlign w:val="center"/>
          </w:tcPr>
          <w:p>
            <w:pPr>
              <w:pStyle w:val="24"/>
            </w:pPr>
            <w:r>
              <w:t>人均发放水平</w:t>
            </w:r>
          </w:p>
        </w:tc>
        <w:tc>
          <w:tcPr>
            <w:tcW w:w="2551" w:type="dxa"/>
            <w:vAlign w:val="center"/>
          </w:tcPr>
          <w:p>
            <w:pPr>
              <w:pStyle w:val="24"/>
            </w:pPr>
            <w:r>
              <w:t>≥10元</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受益总人数</w:t>
            </w:r>
          </w:p>
        </w:tc>
        <w:tc>
          <w:tcPr>
            <w:tcW w:w="2835" w:type="dxa"/>
            <w:vAlign w:val="center"/>
          </w:tcPr>
          <w:p>
            <w:pPr>
              <w:pStyle w:val="24"/>
            </w:pPr>
            <w:r>
              <w:t>受益总人数</w:t>
            </w:r>
          </w:p>
        </w:tc>
        <w:tc>
          <w:tcPr>
            <w:tcW w:w="2551" w:type="dxa"/>
            <w:vAlign w:val="center"/>
          </w:tcPr>
          <w:p>
            <w:pPr>
              <w:pStyle w:val="24"/>
            </w:pPr>
            <w:r>
              <w:t>≥98%</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独生子女户满意度</w:t>
            </w:r>
          </w:p>
        </w:tc>
        <w:tc>
          <w:tcPr>
            <w:tcW w:w="2835" w:type="dxa"/>
            <w:vAlign w:val="center"/>
          </w:tcPr>
          <w:p>
            <w:pPr>
              <w:pStyle w:val="24"/>
            </w:pPr>
            <w:r>
              <w:t>独生子女对奖励发放的满意程度</w:t>
            </w:r>
          </w:p>
        </w:tc>
        <w:tc>
          <w:tcPr>
            <w:tcW w:w="2551" w:type="dxa"/>
            <w:vAlign w:val="center"/>
          </w:tcPr>
          <w:p>
            <w:pPr>
              <w:pStyle w:val="24"/>
            </w:pPr>
            <w:r>
              <w:t>≥90%</w:t>
            </w:r>
          </w:p>
        </w:tc>
        <w:tc>
          <w:tcPr>
            <w:tcW w:w="2268" w:type="dxa"/>
            <w:vAlign w:val="center"/>
          </w:tcPr>
          <w:p>
            <w:pPr>
              <w:pStyle w:val="24"/>
            </w:pPr>
            <w:r>
              <w:t>调查问卷</w:t>
            </w:r>
          </w:p>
        </w:tc>
      </w:tr>
    </w:tbl>
    <w:p>
      <w:pPr>
        <w:pStyle w:val="22"/>
      </w:pPr>
    </w:p>
    <w:p>
      <w:pPr>
        <w:pStyle w:val="22"/>
        <w:ind w:firstLine="560"/>
      </w:pPr>
      <w:r>
        <w:rPr>
          <w:rFonts w:ascii="方正仿宋_GBK" w:hAnsi="方正仿宋_GBK" w:eastAsia="方正仿宋_GBK" w:cs="方正仿宋_GBK"/>
          <w:b/>
          <w:color w:val="000000"/>
          <w:sz w:val="28"/>
        </w:rPr>
        <w:t>4、农村文化建设资金绩效目标表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1.用于各村文化建设方面的支出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辖区内所有村</w:t>
            </w:r>
          </w:p>
        </w:tc>
        <w:tc>
          <w:tcPr>
            <w:tcW w:w="2835" w:type="dxa"/>
            <w:vAlign w:val="center"/>
          </w:tcPr>
          <w:p>
            <w:pPr>
              <w:pStyle w:val="24"/>
            </w:pPr>
            <w:r>
              <w:t>资金拨付覆盖辖区内14个村</w:t>
            </w:r>
          </w:p>
        </w:tc>
        <w:tc>
          <w:tcPr>
            <w:tcW w:w="2551" w:type="dxa"/>
            <w:vAlign w:val="center"/>
          </w:tcPr>
          <w:p>
            <w:pPr>
              <w:pStyle w:val="24"/>
            </w:pPr>
            <w:r>
              <w:t>≤14个村</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每村拨付数量</w:t>
            </w:r>
          </w:p>
        </w:tc>
        <w:tc>
          <w:tcPr>
            <w:tcW w:w="2835" w:type="dxa"/>
            <w:vAlign w:val="center"/>
          </w:tcPr>
          <w:p>
            <w:pPr>
              <w:pStyle w:val="24"/>
            </w:pPr>
            <w:r>
              <w:t>各村拨付资金数额</w:t>
            </w:r>
          </w:p>
        </w:tc>
        <w:tc>
          <w:tcPr>
            <w:tcW w:w="2551" w:type="dxa"/>
            <w:vAlign w:val="center"/>
          </w:tcPr>
          <w:p>
            <w:pPr>
              <w:pStyle w:val="24"/>
            </w:pPr>
            <w:r>
              <w:t>1万元</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资金拨付及时率</w:t>
            </w:r>
          </w:p>
        </w:tc>
        <w:tc>
          <w:tcPr>
            <w:tcW w:w="2835" w:type="dxa"/>
            <w:vAlign w:val="center"/>
          </w:tcPr>
          <w:p>
            <w:pPr>
              <w:pStyle w:val="24"/>
            </w:pPr>
            <w:r>
              <w:t>资金及时足额拨付各村</w:t>
            </w:r>
          </w:p>
        </w:tc>
        <w:tc>
          <w:tcPr>
            <w:tcW w:w="2551" w:type="dxa"/>
            <w:vAlign w:val="center"/>
          </w:tcPr>
          <w:p>
            <w:pPr>
              <w:pStyle w:val="24"/>
            </w:pPr>
            <w:r>
              <w:t>≥90%</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成本指标</w:t>
            </w:r>
          </w:p>
        </w:tc>
        <w:tc>
          <w:tcPr>
            <w:tcW w:w="2835" w:type="dxa"/>
            <w:vAlign w:val="center"/>
          </w:tcPr>
          <w:p>
            <w:pPr>
              <w:pStyle w:val="24"/>
            </w:pPr>
            <w:r>
              <w:t>成本指标</w:t>
            </w:r>
          </w:p>
        </w:tc>
        <w:tc>
          <w:tcPr>
            <w:tcW w:w="2551" w:type="dxa"/>
            <w:vAlign w:val="center"/>
          </w:tcPr>
          <w:p>
            <w:pPr>
              <w:pStyle w:val="24"/>
            </w:pPr>
            <w:r>
              <w:t>≥90%</w:t>
            </w:r>
          </w:p>
        </w:tc>
        <w:tc>
          <w:tcPr>
            <w:tcW w:w="2268" w:type="dxa"/>
            <w:vAlign w:val="center"/>
          </w:tcPr>
          <w:p>
            <w:pPr>
              <w:pStyle w:val="24"/>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社会影响力</w:t>
            </w:r>
          </w:p>
        </w:tc>
        <w:tc>
          <w:tcPr>
            <w:tcW w:w="2835" w:type="dxa"/>
            <w:vAlign w:val="center"/>
          </w:tcPr>
          <w:p>
            <w:pPr>
              <w:pStyle w:val="24"/>
            </w:pPr>
            <w:r>
              <w:t>社会影响力</w:t>
            </w:r>
          </w:p>
        </w:tc>
        <w:tc>
          <w:tcPr>
            <w:tcW w:w="2551" w:type="dxa"/>
            <w:vAlign w:val="center"/>
          </w:tcPr>
          <w:p>
            <w:pPr>
              <w:pStyle w:val="24"/>
            </w:pPr>
            <w:r>
              <w:t>≥90%</w:t>
            </w:r>
          </w:p>
        </w:tc>
        <w:tc>
          <w:tcPr>
            <w:tcW w:w="2268" w:type="dxa"/>
            <w:vAlign w:val="center"/>
          </w:tcPr>
          <w:p>
            <w:pPr>
              <w:pStyle w:val="2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群众满意度</w:t>
            </w:r>
          </w:p>
        </w:tc>
        <w:tc>
          <w:tcPr>
            <w:tcW w:w="2551" w:type="dxa"/>
            <w:vAlign w:val="center"/>
          </w:tcPr>
          <w:p>
            <w:pPr>
              <w:pStyle w:val="24"/>
            </w:pPr>
            <w:r>
              <w:t>≥90%</w:t>
            </w:r>
          </w:p>
        </w:tc>
        <w:tc>
          <w:tcPr>
            <w:tcW w:w="2268" w:type="dxa"/>
            <w:vAlign w:val="center"/>
          </w:tcPr>
          <w:p>
            <w:pPr>
              <w:pStyle w:val="24"/>
            </w:pPr>
            <w:r>
              <w:t>走访调查</w:t>
            </w:r>
          </w:p>
        </w:tc>
      </w:tr>
    </w:tbl>
    <w:p>
      <w:pPr>
        <w:pStyle w:val="22"/>
      </w:pPr>
    </w:p>
    <w:p>
      <w:pPr>
        <w:pStyle w:val="22"/>
        <w:ind w:firstLine="560"/>
      </w:pPr>
      <w:r>
        <w:rPr>
          <w:rFonts w:ascii="方正仿宋_GBK" w:hAnsi="方正仿宋_GBK" w:eastAsia="方正仿宋_GBK" w:cs="方正仿宋_GBK"/>
          <w:b/>
          <w:color w:val="000000"/>
          <w:sz w:val="28"/>
        </w:rPr>
        <w:t>5、石财农【2021】101号关于提前下达2022年省级农村综合改革转移支付预算的通知绩效目标表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1.加强村基础设施建设，改善农村环境</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村级个数</w:t>
            </w:r>
          </w:p>
        </w:tc>
        <w:tc>
          <w:tcPr>
            <w:tcW w:w="2835" w:type="dxa"/>
            <w:vAlign w:val="center"/>
          </w:tcPr>
          <w:p>
            <w:pPr>
              <w:pStyle w:val="24"/>
            </w:pPr>
            <w:r>
              <w:t>建设村级公益事业村个数</w:t>
            </w:r>
          </w:p>
        </w:tc>
        <w:tc>
          <w:tcPr>
            <w:tcW w:w="2551" w:type="dxa"/>
            <w:vAlign w:val="center"/>
          </w:tcPr>
          <w:p>
            <w:pPr>
              <w:pStyle w:val="24"/>
            </w:pPr>
            <w:r>
              <w:t>≥1个</w:t>
            </w:r>
          </w:p>
        </w:tc>
        <w:tc>
          <w:tcPr>
            <w:tcW w:w="2268" w:type="dxa"/>
            <w:vAlign w:val="center"/>
          </w:tcPr>
          <w:p>
            <w:pPr>
              <w:pStyle w:val="24"/>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工程验收合格率</w:t>
            </w:r>
          </w:p>
        </w:tc>
        <w:tc>
          <w:tcPr>
            <w:tcW w:w="2835" w:type="dxa"/>
            <w:vAlign w:val="center"/>
          </w:tcPr>
          <w:p>
            <w:pPr>
              <w:pStyle w:val="24"/>
            </w:pPr>
            <w:r>
              <w:t>全部工程完工后验收符合行业标准质量要求比率</w:t>
            </w:r>
          </w:p>
        </w:tc>
        <w:tc>
          <w:tcPr>
            <w:tcW w:w="2551" w:type="dxa"/>
            <w:vAlign w:val="center"/>
          </w:tcPr>
          <w:p>
            <w:pPr>
              <w:pStyle w:val="24"/>
            </w:pPr>
            <w:r>
              <w:t>≥95%</w:t>
            </w:r>
          </w:p>
        </w:tc>
        <w:tc>
          <w:tcPr>
            <w:tcW w:w="2268" w:type="dxa"/>
            <w:vAlign w:val="center"/>
          </w:tcPr>
          <w:p>
            <w:pPr>
              <w:pStyle w:val="24"/>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资金拨付及时率</w:t>
            </w:r>
          </w:p>
        </w:tc>
        <w:tc>
          <w:tcPr>
            <w:tcW w:w="2835" w:type="dxa"/>
            <w:vAlign w:val="center"/>
          </w:tcPr>
          <w:p>
            <w:pPr>
              <w:pStyle w:val="24"/>
            </w:pPr>
            <w:r>
              <w:t>按照年初预算标准合理分配及时拨付</w:t>
            </w:r>
          </w:p>
        </w:tc>
        <w:tc>
          <w:tcPr>
            <w:tcW w:w="2551" w:type="dxa"/>
            <w:vAlign w:val="center"/>
          </w:tcPr>
          <w:p>
            <w:pPr>
              <w:pStyle w:val="24"/>
            </w:pPr>
            <w:r>
              <w:t>≥95%</w:t>
            </w:r>
          </w:p>
        </w:tc>
        <w:tc>
          <w:tcPr>
            <w:tcW w:w="2268" w:type="dxa"/>
            <w:vAlign w:val="center"/>
          </w:tcPr>
          <w:p>
            <w:pPr>
              <w:pStyle w:val="24"/>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预算成本</w:t>
            </w:r>
          </w:p>
        </w:tc>
        <w:tc>
          <w:tcPr>
            <w:tcW w:w="2835" w:type="dxa"/>
            <w:vAlign w:val="center"/>
          </w:tcPr>
          <w:p>
            <w:pPr>
              <w:pStyle w:val="24"/>
            </w:pPr>
            <w:r>
              <w:t>按照预算项目执行</w:t>
            </w:r>
          </w:p>
        </w:tc>
        <w:tc>
          <w:tcPr>
            <w:tcW w:w="2551" w:type="dxa"/>
            <w:vAlign w:val="center"/>
          </w:tcPr>
          <w:p>
            <w:pPr>
              <w:pStyle w:val="24"/>
            </w:pPr>
            <w:r>
              <w:t>元/项</w:t>
            </w:r>
          </w:p>
        </w:tc>
        <w:tc>
          <w:tcPr>
            <w:tcW w:w="2268" w:type="dxa"/>
            <w:vAlign w:val="center"/>
          </w:tcPr>
          <w:p>
            <w:pPr>
              <w:pStyle w:val="24"/>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农村环境得到改善</w:t>
            </w:r>
          </w:p>
        </w:tc>
        <w:tc>
          <w:tcPr>
            <w:tcW w:w="2835" w:type="dxa"/>
            <w:vAlign w:val="center"/>
          </w:tcPr>
          <w:p>
            <w:pPr>
              <w:pStyle w:val="24"/>
            </w:pPr>
            <w:r>
              <w:t>农村环境有所提升也得到了有效改善</w:t>
            </w:r>
          </w:p>
        </w:tc>
        <w:tc>
          <w:tcPr>
            <w:tcW w:w="2551" w:type="dxa"/>
            <w:vAlign w:val="center"/>
          </w:tcPr>
          <w:p>
            <w:pPr>
              <w:pStyle w:val="24"/>
            </w:pPr>
            <w:r>
              <w:t>≥95%</w:t>
            </w:r>
          </w:p>
        </w:tc>
        <w:tc>
          <w:tcPr>
            <w:tcW w:w="2268" w:type="dxa"/>
            <w:vAlign w:val="center"/>
          </w:tcPr>
          <w:p>
            <w:pPr>
              <w:pStyle w:val="24"/>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群众对当年农村公益事业建设的整体满意度</w:t>
            </w:r>
          </w:p>
        </w:tc>
        <w:tc>
          <w:tcPr>
            <w:tcW w:w="2551" w:type="dxa"/>
            <w:vAlign w:val="center"/>
          </w:tcPr>
          <w:p>
            <w:pPr>
              <w:pStyle w:val="24"/>
            </w:pPr>
            <w:r>
              <w:t>≥95%</w:t>
            </w:r>
          </w:p>
        </w:tc>
        <w:tc>
          <w:tcPr>
            <w:tcW w:w="2268" w:type="dxa"/>
            <w:vAlign w:val="center"/>
          </w:tcPr>
          <w:p>
            <w:pPr>
              <w:pStyle w:val="24"/>
            </w:pPr>
            <w:r>
              <w:t>问卷调查</w:t>
            </w:r>
          </w:p>
        </w:tc>
      </w:tr>
    </w:tbl>
    <w:p>
      <w:pPr>
        <w:pStyle w:val="22"/>
      </w:pPr>
    </w:p>
    <w:p>
      <w:pPr>
        <w:pStyle w:val="22"/>
        <w:ind w:firstLine="560"/>
      </w:pPr>
      <w:r>
        <w:rPr>
          <w:rFonts w:ascii="方正仿宋_GBK" w:hAnsi="方正仿宋_GBK" w:eastAsia="方正仿宋_GBK" w:cs="方正仿宋_GBK"/>
          <w:b/>
          <w:color w:val="000000"/>
          <w:sz w:val="28"/>
        </w:rPr>
        <w:t>6、学区工会费绩效目标表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1.及时足额上缴工会费，保障工会工作的正常运转</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覆盖率</w:t>
            </w:r>
          </w:p>
        </w:tc>
        <w:tc>
          <w:tcPr>
            <w:tcW w:w="2835" w:type="dxa"/>
            <w:vAlign w:val="center"/>
          </w:tcPr>
          <w:p>
            <w:pPr>
              <w:pStyle w:val="24"/>
            </w:pPr>
            <w:r>
              <w:t>覆盖率达到工会要求</w:t>
            </w:r>
          </w:p>
        </w:tc>
        <w:tc>
          <w:tcPr>
            <w:tcW w:w="2551" w:type="dxa"/>
            <w:vAlign w:val="center"/>
          </w:tcPr>
          <w:p>
            <w:pPr>
              <w:pStyle w:val="24"/>
            </w:pPr>
            <w:r>
              <w:t>≥90%</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上缴资金完成率</w:t>
            </w:r>
          </w:p>
        </w:tc>
        <w:tc>
          <w:tcPr>
            <w:tcW w:w="2835" w:type="dxa"/>
            <w:vAlign w:val="center"/>
          </w:tcPr>
          <w:p>
            <w:pPr>
              <w:pStyle w:val="24"/>
            </w:pPr>
            <w:r>
              <w:t>按照工会安排资金数量上缴工会费</w:t>
            </w:r>
          </w:p>
        </w:tc>
        <w:tc>
          <w:tcPr>
            <w:tcW w:w="2551" w:type="dxa"/>
            <w:vAlign w:val="center"/>
          </w:tcPr>
          <w:p>
            <w:pPr>
              <w:pStyle w:val="24"/>
            </w:pPr>
            <w:r>
              <w:t>≥90%</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上缴资金及时率</w:t>
            </w:r>
          </w:p>
        </w:tc>
        <w:tc>
          <w:tcPr>
            <w:tcW w:w="2835" w:type="dxa"/>
            <w:vAlign w:val="center"/>
          </w:tcPr>
          <w:p>
            <w:pPr>
              <w:pStyle w:val="24"/>
            </w:pPr>
            <w:r>
              <w:t>按照区工会安排时间进度上缴工会费</w:t>
            </w:r>
          </w:p>
        </w:tc>
        <w:tc>
          <w:tcPr>
            <w:tcW w:w="2551" w:type="dxa"/>
            <w:vAlign w:val="center"/>
          </w:tcPr>
          <w:p>
            <w:pPr>
              <w:pStyle w:val="24"/>
            </w:pPr>
            <w:r>
              <w:t>≥90%</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财政投入</w:t>
            </w:r>
          </w:p>
        </w:tc>
        <w:tc>
          <w:tcPr>
            <w:tcW w:w="2835" w:type="dxa"/>
            <w:vAlign w:val="center"/>
          </w:tcPr>
          <w:p>
            <w:pPr>
              <w:pStyle w:val="24"/>
            </w:pPr>
            <w:r>
              <w:t>财政投入</w:t>
            </w:r>
          </w:p>
        </w:tc>
        <w:tc>
          <w:tcPr>
            <w:tcW w:w="2551" w:type="dxa"/>
            <w:vAlign w:val="center"/>
          </w:tcPr>
          <w:p>
            <w:pPr>
              <w:pStyle w:val="24"/>
            </w:pPr>
            <w:r>
              <w:t>按照上解比例安排预算资金</w:t>
            </w:r>
          </w:p>
        </w:tc>
        <w:tc>
          <w:tcPr>
            <w:tcW w:w="2268" w:type="dxa"/>
            <w:vAlign w:val="center"/>
          </w:tcPr>
          <w:p>
            <w:pPr>
              <w:pStyle w:val="24"/>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社会影响力</w:t>
            </w:r>
          </w:p>
        </w:tc>
        <w:tc>
          <w:tcPr>
            <w:tcW w:w="2835" w:type="dxa"/>
            <w:vAlign w:val="center"/>
          </w:tcPr>
          <w:p>
            <w:pPr>
              <w:pStyle w:val="24"/>
            </w:pPr>
            <w:r>
              <w:t>工会工作在全镇形成的重要影响得到认可</w:t>
            </w:r>
          </w:p>
        </w:tc>
        <w:tc>
          <w:tcPr>
            <w:tcW w:w="2551" w:type="dxa"/>
            <w:vAlign w:val="center"/>
          </w:tcPr>
          <w:p>
            <w:pPr>
              <w:pStyle w:val="24"/>
            </w:pPr>
            <w:r>
              <w:t>≥90%</w:t>
            </w:r>
          </w:p>
        </w:tc>
        <w:tc>
          <w:tcPr>
            <w:tcW w:w="2268" w:type="dxa"/>
            <w:vAlign w:val="center"/>
          </w:tcPr>
          <w:p>
            <w:pPr>
              <w:pStyle w:val="24"/>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对政府供给工作的满意度</w:t>
            </w:r>
          </w:p>
        </w:tc>
        <w:tc>
          <w:tcPr>
            <w:tcW w:w="2551" w:type="dxa"/>
            <w:vAlign w:val="center"/>
          </w:tcPr>
          <w:p>
            <w:pPr>
              <w:pStyle w:val="24"/>
            </w:pPr>
            <w:r>
              <w:t>≥90%</w:t>
            </w:r>
          </w:p>
        </w:tc>
        <w:tc>
          <w:tcPr>
            <w:tcW w:w="2268" w:type="dxa"/>
            <w:vAlign w:val="center"/>
          </w:tcPr>
          <w:p>
            <w:pPr>
              <w:pStyle w:val="24"/>
            </w:pPr>
            <w:r>
              <w:t>考核结果</w:t>
            </w:r>
          </w:p>
        </w:tc>
      </w:tr>
    </w:tbl>
    <w:p>
      <w:pPr>
        <w:pStyle w:val="22"/>
      </w:pPr>
    </w:p>
    <w:p>
      <w:pPr>
        <w:pStyle w:val="22"/>
        <w:ind w:firstLine="560"/>
      </w:pPr>
      <w:r>
        <w:rPr>
          <w:rFonts w:ascii="方正仿宋_GBK" w:hAnsi="方正仿宋_GBK" w:eastAsia="方正仿宋_GBK" w:cs="方正仿宋_GBK"/>
          <w:b/>
          <w:color w:val="000000"/>
          <w:sz w:val="28"/>
        </w:rPr>
        <w:t>7、政府工会费绩效目标表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1.及时足额上缴工会费，保障工会工作正常开展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覆盖率</w:t>
            </w:r>
          </w:p>
        </w:tc>
        <w:tc>
          <w:tcPr>
            <w:tcW w:w="2835" w:type="dxa"/>
            <w:vAlign w:val="center"/>
          </w:tcPr>
          <w:p>
            <w:pPr>
              <w:pStyle w:val="24"/>
            </w:pPr>
            <w:r>
              <w:t>覆盖率达到工会要求</w:t>
            </w:r>
          </w:p>
        </w:tc>
        <w:tc>
          <w:tcPr>
            <w:tcW w:w="2551" w:type="dxa"/>
            <w:vAlign w:val="center"/>
          </w:tcPr>
          <w:p>
            <w:pPr>
              <w:pStyle w:val="24"/>
            </w:pPr>
            <w:r>
              <w:t>≥90百分比</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上缴资金完成率</w:t>
            </w:r>
          </w:p>
        </w:tc>
        <w:tc>
          <w:tcPr>
            <w:tcW w:w="2835" w:type="dxa"/>
            <w:vAlign w:val="center"/>
          </w:tcPr>
          <w:p>
            <w:pPr>
              <w:pStyle w:val="24"/>
            </w:pPr>
            <w:r>
              <w:t>按照工会安排资金数量上缴工会费</w:t>
            </w:r>
          </w:p>
        </w:tc>
        <w:tc>
          <w:tcPr>
            <w:tcW w:w="2551" w:type="dxa"/>
            <w:vAlign w:val="center"/>
          </w:tcPr>
          <w:p>
            <w:pPr>
              <w:pStyle w:val="24"/>
            </w:pPr>
            <w:r>
              <w:t>≥90百分比</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上缴资金及时率</w:t>
            </w:r>
          </w:p>
        </w:tc>
        <w:tc>
          <w:tcPr>
            <w:tcW w:w="2835" w:type="dxa"/>
            <w:vAlign w:val="center"/>
          </w:tcPr>
          <w:p>
            <w:pPr>
              <w:pStyle w:val="24"/>
            </w:pPr>
            <w:r>
              <w:t>按照区工会安排时间进度上缴工会费</w:t>
            </w:r>
          </w:p>
        </w:tc>
        <w:tc>
          <w:tcPr>
            <w:tcW w:w="2551" w:type="dxa"/>
            <w:vAlign w:val="center"/>
          </w:tcPr>
          <w:p>
            <w:pPr>
              <w:pStyle w:val="24"/>
            </w:pPr>
            <w:r>
              <w:t>≥90百分比</w:t>
            </w:r>
          </w:p>
        </w:tc>
        <w:tc>
          <w:tcPr>
            <w:tcW w:w="2268" w:type="dxa"/>
            <w:vAlign w:val="center"/>
          </w:tcPr>
          <w:p>
            <w:pPr>
              <w:pStyle w:val="2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财政投入</w:t>
            </w:r>
          </w:p>
        </w:tc>
        <w:tc>
          <w:tcPr>
            <w:tcW w:w="2835" w:type="dxa"/>
            <w:vAlign w:val="center"/>
          </w:tcPr>
          <w:p>
            <w:pPr>
              <w:pStyle w:val="24"/>
            </w:pPr>
            <w:r>
              <w:t>财政投入</w:t>
            </w:r>
          </w:p>
        </w:tc>
        <w:tc>
          <w:tcPr>
            <w:tcW w:w="2551" w:type="dxa"/>
            <w:vAlign w:val="center"/>
          </w:tcPr>
          <w:p>
            <w:pPr>
              <w:pStyle w:val="24"/>
            </w:pPr>
            <w:r>
              <w:t>按照上解比例安排预算资金</w:t>
            </w:r>
          </w:p>
        </w:tc>
        <w:tc>
          <w:tcPr>
            <w:tcW w:w="2268" w:type="dxa"/>
            <w:vAlign w:val="center"/>
          </w:tcPr>
          <w:p>
            <w:pPr>
              <w:pStyle w:val="24"/>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社会影响力</w:t>
            </w:r>
          </w:p>
        </w:tc>
        <w:tc>
          <w:tcPr>
            <w:tcW w:w="2835" w:type="dxa"/>
            <w:vAlign w:val="center"/>
          </w:tcPr>
          <w:p>
            <w:pPr>
              <w:pStyle w:val="24"/>
            </w:pPr>
            <w:r>
              <w:t>工会工作在全镇形成的重要影响得到认可</w:t>
            </w:r>
          </w:p>
        </w:tc>
        <w:tc>
          <w:tcPr>
            <w:tcW w:w="2551" w:type="dxa"/>
            <w:vAlign w:val="center"/>
          </w:tcPr>
          <w:p>
            <w:pPr>
              <w:pStyle w:val="24"/>
            </w:pPr>
            <w:r>
              <w:t>≥85百分比</w:t>
            </w:r>
          </w:p>
        </w:tc>
        <w:tc>
          <w:tcPr>
            <w:tcW w:w="2268" w:type="dxa"/>
            <w:vAlign w:val="center"/>
          </w:tcPr>
          <w:p>
            <w:pPr>
              <w:pStyle w:val="24"/>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群众满意度</w:t>
            </w:r>
          </w:p>
        </w:tc>
        <w:tc>
          <w:tcPr>
            <w:tcW w:w="2835" w:type="dxa"/>
            <w:vAlign w:val="center"/>
          </w:tcPr>
          <w:p>
            <w:pPr>
              <w:pStyle w:val="24"/>
            </w:pPr>
            <w:r>
              <w:t>群众对当年工作的满意数量占总数的比例</w:t>
            </w:r>
          </w:p>
        </w:tc>
        <w:tc>
          <w:tcPr>
            <w:tcW w:w="2551" w:type="dxa"/>
            <w:vAlign w:val="center"/>
          </w:tcPr>
          <w:p>
            <w:pPr>
              <w:pStyle w:val="24"/>
            </w:pPr>
            <w:r>
              <w:t>≥90百分比</w:t>
            </w:r>
          </w:p>
        </w:tc>
        <w:tc>
          <w:tcPr>
            <w:tcW w:w="2268" w:type="dxa"/>
            <w:vAlign w:val="center"/>
          </w:tcPr>
          <w:p>
            <w:pPr>
              <w:pStyle w:val="24"/>
            </w:pPr>
            <w:r>
              <w:t>随机走访</w:t>
            </w:r>
          </w:p>
        </w:tc>
      </w:tr>
    </w:tbl>
    <w:p>
      <w:pPr>
        <w:pStyle w:val="22"/>
      </w:pPr>
    </w:p>
    <w:p>
      <w:pPr>
        <w:pStyle w:val="22"/>
        <w:ind w:firstLine="560"/>
      </w:pPr>
      <w:r>
        <w:rPr>
          <w:rFonts w:ascii="方正仿宋_GBK" w:hAnsi="方正仿宋_GBK" w:eastAsia="方正仿宋_GBK" w:cs="方正仿宋_GBK"/>
          <w:b/>
          <w:color w:val="000000"/>
          <w:sz w:val="28"/>
        </w:rPr>
        <w:t>8、执法队工作经费绩效目标表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1.环保、人居环境整治、拆违等工作正常开展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保障资金足额拨付，各个方面工作正常开展</w:t>
            </w:r>
          </w:p>
        </w:tc>
        <w:tc>
          <w:tcPr>
            <w:tcW w:w="2835" w:type="dxa"/>
            <w:vAlign w:val="center"/>
          </w:tcPr>
          <w:p>
            <w:pPr>
              <w:pStyle w:val="24"/>
            </w:pPr>
            <w:r>
              <w:t>保障资金足额拨付，各个方面工作正常开展</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各项工作正常开展</w:t>
            </w:r>
          </w:p>
        </w:tc>
        <w:tc>
          <w:tcPr>
            <w:tcW w:w="2835" w:type="dxa"/>
            <w:vAlign w:val="center"/>
          </w:tcPr>
          <w:p>
            <w:pPr>
              <w:pStyle w:val="24"/>
            </w:pPr>
            <w:r>
              <w:t>环保、人居环境整治、拆违等工作正常开展</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按时完成上级安排的各项工作</w:t>
            </w:r>
          </w:p>
        </w:tc>
        <w:tc>
          <w:tcPr>
            <w:tcW w:w="2835" w:type="dxa"/>
            <w:vAlign w:val="center"/>
          </w:tcPr>
          <w:p>
            <w:pPr>
              <w:pStyle w:val="24"/>
            </w:pPr>
            <w:r>
              <w:t>按时完成上级安排的各项工作</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支付标准</w:t>
            </w:r>
          </w:p>
        </w:tc>
        <w:tc>
          <w:tcPr>
            <w:tcW w:w="2835" w:type="dxa"/>
            <w:vAlign w:val="center"/>
          </w:tcPr>
          <w:p>
            <w:pPr>
              <w:pStyle w:val="24"/>
            </w:pPr>
            <w:r>
              <w:t>支付标准</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工作开展情况</w:t>
            </w:r>
          </w:p>
        </w:tc>
        <w:tc>
          <w:tcPr>
            <w:tcW w:w="2835" w:type="dxa"/>
            <w:vAlign w:val="center"/>
          </w:tcPr>
          <w:p>
            <w:pPr>
              <w:pStyle w:val="24"/>
            </w:pPr>
            <w:r>
              <w:t>各项工作多方开展，统筹兼顾，顺利开展</w:t>
            </w:r>
          </w:p>
        </w:tc>
        <w:tc>
          <w:tcPr>
            <w:tcW w:w="2551" w:type="dxa"/>
            <w:vAlign w:val="center"/>
          </w:tcPr>
          <w:p>
            <w:pPr>
              <w:pStyle w:val="24"/>
            </w:pPr>
            <w:r>
              <w:t>≥90%</w:t>
            </w:r>
          </w:p>
        </w:tc>
        <w:tc>
          <w:tcPr>
            <w:tcW w:w="2268" w:type="dxa"/>
            <w:vAlign w:val="center"/>
          </w:tcPr>
          <w:p>
            <w:pPr>
              <w:pStyle w:val="2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服务对象满意度</w:t>
            </w:r>
          </w:p>
        </w:tc>
        <w:tc>
          <w:tcPr>
            <w:tcW w:w="2835" w:type="dxa"/>
            <w:vAlign w:val="center"/>
          </w:tcPr>
          <w:p>
            <w:pPr>
              <w:pStyle w:val="24"/>
            </w:pPr>
            <w:r>
              <w:t>按时完成工作，上级部门满意，服务群众，群众满意。</w:t>
            </w:r>
          </w:p>
        </w:tc>
        <w:tc>
          <w:tcPr>
            <w:tcW w:w="2551" w:type="dxa"/>
            <w:vAlign w:val="center"/>
          </w:tcPr>
          <w:p>
            <w:pPr>
              <w:pStyle w:val="24"/>
            </w:pPr>
            <w:r>
              <w:t>≥90%</w:t>
            </w:r>
          </w:p>
        </w:tc>
        <w:tc>
          <w:tcPr>
            <w:tcW w:w="2268" w:type="dxa"/>
            <w:vAlign w:val="center"/>
          </w:tcPr>
          <w:p>
            <w:pPr>
              <w:pStyle w:val="24"/>
            </w:pPr>
            <w:r>
              <w:t>问卷调查</w:t>
            </w:r>
          </w:p>
        </w:tc>
      </w:tr>
    </w:tbl>
    <w:p>
      <w:pPr>
        <w:pStyle w:val="22"/>
      </w:pPr>
    </w:p>
    <w:p>
      <w:pPr>
        <w:pStyle w:val="22"/>
        <w:ind w:firstLine="560"/>
      </w:pPr>
      <w:r>
        <w:rPr>
          <w:rFonts w:ascii="方正仿宋_GBK" w:hAnsi="方正仿宋_GBK" w:eastAsia="方正仿宋_GBK" w:cs="方正仿宋_GBK"/>
          <w:b/>
          <w:color w:val="000000"/>
          <w:sz w:val="28"/>
        </w:rPr>
        <w:t>9、综合工作经费绩效目标表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1.综合公用经费，包括日常环保治理、土地违建拆除、安全生产、食品安全、信访维稳、等各个涉及工作资金保障。</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保障资金足额拨付，各个方面工作正常开展</w:t>
            </w:r>
          </w:p>
        </w:tc>
        <w:tc>
          <w:tcPr>
            <w:tcW w:w="2835" w:type="dxa"/>
            <w:vAlign w:val="center"/>
          </w:tcPr>
          <w:p>
            <w:pPr>
              <w:pStyle w:val="24"/>
            </w:pPr>
            <w:r>
              <w:t>保障资金足额拨付，各个方面工作正常开展</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各项工作正常开展</w:t>
            </w:r>
          </w:p>
        </w:tc>
        <w:tc>
          <w:tcPr>
            <w:tcW w:w="2835" w:type="dxa"/>
            <w:vAlign w:val="center"/>
          </w:tcPr>
          <w:p>
            <w:pPr>
              <w:pStyle w:val="24"/>
            </w:pPr>
            <w:r>
              <w:t>乡镇所涉及的各个方面工作正常开展</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按时完成上级安排的各项工作</w:t>
            </w:r>
          </w:p>
        </w:tc>
        <w:tc>
          <w:tcPr>
            <w:tcW w:w="2835" w:type="dxa"/>
            <w:vAlign w:val="center"/>
          </w:tcPr>
          <w:p>
            <w:pPr>
              <w:pStyle w:val="24"/>
            </w:pPr>
            <w:r>
              <w:t>按时完成上级安排的各项工作</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支付标准</w:t>
            </w:r>
          </w:p>
        </w:tc>
        <w:tc>
          <w:tcPr>
            <w:tcW w:w="2835" w:type="dxa"/>
            <w:vAlign w:val="center"/>
          </w:tcPr>
          <w:p>
            <w:pPr>
              <w:pStyle w:val="24"/>
            </w:pPr>
            <w:r>
              <w:t>支付标准</w:t>
            </w:r>
          </w:p>
        </w:tc>
        <w:tc>
          <w:tcPr>
            <w:tcW w:w="2551" w:type="dxa"/>
            <w:vAlign w:val="center"/>
          </w:tcPr>
          <w:p>
            <w:pPr>
              <w:pStyle w:val="24"/>
            </w:pPr>
            <w:r>
              <w:t>≥90%</w:t>
            </w:r>
          </w:p>
        </w:tc>
        <w:tc>
          <w:tcPr>
            <w:tcW w:w="2268"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工作开展情况</w:t>
            </w:r>
          </w:p>
        </w:tc>
        <w:tc>
          <w:tcPr>
            <w:tcW w:w="2835" w:type="dxa"/>
            <w:vAlign w:val="center"/>
          </w:tcPr>
          <w:p>
            <w:pPr>
              <w:pStyle w:val="24"/>
            </w:pPr>
            <w:r>
              <w:t>各项工作多方开展，统筹兼顾，顺利开展</w:t>
            </w:r>
          </w:p>
        </w:tc>
        <w:tc>
          <w:tcPr>
            <w:tcW w:w="2551" w:type="dxa"/>
            <w:vAlign w:val="center"/>
          </w:tcPr>
          <w:p>
            <w:pPr>
              <w:pStyle w:val="24"/>
            </w:pPr>
            <w:r>
              <w:t>≥90%</w:t>
            </w:r>
          </w:p>
        </w:tc>
        <w:tc>
          <w:tcPr>
            <w:tcW w:w="2268" w:type="dxa"/>
            <w:vAlign w:val="center"/>
          </w:tcPr>
          <w:p>
            <w:pPr>
              <w:pStyle w:val="2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服务对象满意度</w:t>
            </w:r>
          </w:p>
        </w:tc>
        <w:tc>
          <w:tcPr>
            <w:tcW w:w="2835" w:type="dxa"/>
            <w:vAlign w:val="center"/>
          </w:tcPr>
          <w:p>
            <w:pPr>
              <w:pStyle w:val="24"/>
            </w:pPr>
            <w:r>
              <w:t>按时完成工作，上级部门满意，服务群众，群众满意。</w:t>
            </w:r>
          </w:p>
        </w:tc>
        <w:tc>
          <w:tcPr>
            <w:tcW w:w="2551" w:type="dxa"/>
            <w:vAlign w:val="center"/>
          </w:tcPr>
          <w:p>
            <w:pPr>
              <w:pStyle w:val="24"/>
            </w:pPr>
            <w:r>
              <w:t>≥90%</w:t>
            </w:r>
          </w:p>
        </w:tc>
        <w:tc>
          <w:tcPr>
            <w:tcW w:w="2268" w:type="dxa"/>
            <w:vAlign w:val="center"/>
          </w:tcPr>
          <w:p>
            <w:pPr>
              <w:pStyle w:val="24"/>
            </w:pPr>
            <w:r>
              <w:t>问卷调查</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2022年，石家庄市藁城区西关镇人民政府安排政府采购预算0.00万元。具体内容见下表。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eastAsiaTheme="minorEastAsia"/>
          <w:lang w:eastAsia="zh-CN"/>
        </w:rPr>
      </w:pPr>
      <w:r>
        <w:rPr>
          <w:rFonts w:eastAsia="方正仿宋_GBK"/>
          <w:color w:val="000000"/>
          <w:sz w:val="28"/>
        </w:rPr>
        <w:t>石家庄市藁城区西关镇人民政府（含所属单位）上年末固定资产金额为1757.45万元（详见下表）。本年度拟购置固定资产总额为10.00万元，</w:t>
      </w:r>
      <w:r>
        <w:rPr>
          <w:rFonts w:hint="eastAsia" w:eastAsiaTheme="minorEastAsia"/>
          <w:color w:val="000000"/>
          <w:sz w:val="28"/>
          <w:lang w:eastAsia="zh-CN"/>
        </w:rPr>
        <w:t>主要为购置公车。因未达到政府采购限额，故未列入政府采购预算。</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815石家庄市藁城区西关镇人民政府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1757.45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r>
              <w:t>16376.75</w:t>
            </w:r>
          </w:p>
        </w:tc>
        <w:tc>
          <w:tcPr>
            <w:tcW w:w="2835" w:type="dxa"/>
            <w:vAlign w:val="center"/>
          </w:tcPr>
          <w:p>
            <w:pPr>
              <w:pStyle w:val="11"/>
            </w:pPr>
            <w:r>
              <w:t>1310.95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16376.75</w:t>
            </w:r>
          </w:p>
        </w:tc>
        <w:tc>
          <w:tcPr>
            <w:tcW w:w="2835" w:type="dxa"/>
            <w:vAlign w:val="center"/>
          </w:tcPr>
          <w:p>
            <w:pPr>
              <w:pStyle w:val="11"/>
            </w:pPr>
            <w:r>
              <w:t>1310.95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4</w:t>
            </w:r>
          </w:p>
        </w:tc>
        <w:tc>
          <w:tcPr>
            <w:tcW w:w="2835" w:type="dxa"/>
            <w:vAlign w:val="center"/>
          </w:tcPr>
          <w:p>
            <w:pPr>
              <w:pStyle w:val="11"/>
            </w:pPr>
            <w:r>
              <w:t>31.58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p>
        </w:tc>
        <w:tc>
          <w:tcPr>
            <w:tcW w:w="2835" w:type="dxa"/>
            <w:vAlign w:val="center"/>
          </w:tcPr>
          <w:p>
            <w:pPr>
              <w:pStyle w:val="11"/>
            </w:pPr>
            <w:r>
              <w:t>424.92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区</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56525A8E"/>
    <w:rsid w:val="02080C5A"/>
    <w:rsid w:val="2D2214D9"/>
    <w:rsid w:val="56525A8E"/>
    <w:rsid w:val="6F3657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OC 1"/>
    <w:basedOn w:val="1"/>
    <w:qFormat/>
    <w:uiPriority w:val="0"/>
    <w:pPr>
      <w:spacing w:before="120"/>
      <w:ind w:firstLine="560"/>
    </w:pPr>
    <w:rPr>
      <w:rFonts w:eastAsia="方正仿宋_GBK"/>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d60d91ad-89ab-4487-b4ff-19471cf91bfe"/>
    <w:qFormat/>
    <w:uiPriority w:val="0"/>
    <w:rPr>
      <w:rFonts w:ascii="Times New Roman" w:hAnsi="Times New Roman" w:eastAsia="Times New Roman" w:cs="Times New Roman"/>
      <w:sz w:val="24"/>
      <w:szCs w:val="24"/>
      <w:lang w:val="en-US" w:eastAsia="uk-UA" w:bidi="ar-SA"/>
    </w:rPr>
  </w:style>
  <w:style w:type="paragraph" w:customStyle="1" w:styleId="23">
    <w:name w:val="单元格样式1_46247a53-57cd-4189-8d77-4fb0b6e07cb4"/>
    <w:basedOn w:val="1"/>
    <w:qFormat/>
    <w:uiPriority w:val="0"/>
    <w:pPr>
      <w:jc w:val="center"/>
    </w:pPr>
    <w:rPr>
      <w:rFonts w:ascii="方正书宋_GBK" w:hAnsi="方正书宋_GBK" w:eastAsia="方正书宋_GBK" w:cs="方正书宋_GBK"/>
      <w:b/>
      <w:sz w:val="21"/>
    </w:rPr>
  </w:style>
  <w:style w:type="paragraph" w:customStyle="1" w:styleId="24">
    <w:name w:val="单元格样式2_5c22d598-e802-4a15-a643-5b8467c470ee"/>
    <w:basedOn w:val="1"/>
    <w:qFormat/>
    <w:uiPriority w:val="0"/>
    <w:rPr>
      <w:rFonts w:ascii="方正书宋_GBK" w:hAnsi="方正书宋_GBK" w:eastAsia="方正书宋_GBK" w:cs="方正书宋_GBK"/>
      <w:sz w:val="21"/>
    </w:rPr>
  </w:style>
  <w:style w:type="paragraph" w:customStyle="1" w:styleId="25">
    <w:name w:val="单元格样式3_6b5fa630-a26c-41d5-8025-7b4bef2b728c"/>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2023-09-08T00:51:00Z</dcterms:created>
  <dc:creator>Administrator</dc:creator>
  <cp:lastModifiedBy>笑靥如花</cp:lastModifiedBy>
  <dcterms:modified xsi:type="dcterms:W3CDTF">2024-02-22T10:42:25Z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51E6F41610C249A3A464E41D9381AAA0_11</vt:lpwstr>
  </property>
</Properties>
</file>