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藁城区西关镇人民政府所属单位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黑体" w:hAnsi="黑体" w:eastAsia="黑体" w:cs="黑体"/>
          <w:b/>
          <w:color w:val="000000"/>
          <w:sz w:val="30"/>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3</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3</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8</w:t>
      </w:r>
    </w:p>
    <w:p>
      <w:pPr>
        <w:spacing w:before="0" w:after="0"/>
        <w:ind w:firstLine="0"/>
        <w:jc w:val="center"/>
        <w:outlineLvl w:val="3"/>
      </w:pPr>
      <w:r>
        <w:fldChar w:fldCharType="end"/>
      </w:r>
    </w:p>
    <w:p>
      <w:pPr>
        <w:pStyle w:val="37"/>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一、石家庄市藁城区西关镇人民政府本级收支预算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1346.38</w:t>
            </w:r>
          </w:p>
        </w:tc>
        <w:tc>
          <w:tcPr>
            <w:tcW w:w="4535" w:type="dxa"/>
            <w:vAlign w:val="center"/>
          </w:tcPr>
          <w:p>
            <w:pPr>
              <w:pStyle w:val="13"/>
            </w:pPr>
            <w:r>
              <w:t>一、一般公共服务支出</w:t>
            </w:r>
          </w:p>
        </w:tc>
        <w:tc>
          <w:tcPr>
            <w:tcW w:w="2126" w:type="dxa"/>
            <w:vAlign w:val="center"/>
          </w:tcPr>
          <w:p>
            <w:pPr>
              <w:pStyle w:val="12"/>
            </w:pPr>
            <w:r>
              <w:t>1232.05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1346.38</w:t>
            </w:r>
          </w:p>
        </w:tc>
        <w:tc>
          <w:tcPr>
            <w:tcW w:w="4535" w:type="dxa"/>
            <w:vAlign w:val="center"/>
          </w:tcPr>
          <w:p>
            <w:pPr>
              <w:pStyle w:val="15"/>
            </w:pPr>
            <w:r>
              <w:t>本年支出合计</w:t>
            </w:r>
          </w:p>
        </w:tc>
        <w:tc>
          <w:tcPr>
            <w:tcW w:w="2126" w:type="dxa"/>
            <w:vAlign w:val="center"/>
          </w:tcPr>
          <w:p>
            <w:pPr>
              <w:pStyle w:val="16"/>
            </w:pPr>
            <w:r>
              <w:t>1346.38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1346.38</w:t>
            </w:r>
          </w:p>
        </w:tc>
        <w:tc>
          <w:tcPr>
            <w:tcW w:w="4535" w:type="dxa"/>
            <w:vAlign w:val="center"/>
          </w:tcPr>
          <w:p>
            <w:pPr>
              <w:pStyle w:val="15"/>
            </w:pPr>
            <w:r>
              <w:t>支出总计</w:t>
            </w:r>
          </w:p>
        </w:tc>
        <w:tc>
          <w:tcPr>
            <w:tcW w:w="2126" w:type="dxa"/>
            <w:vAlign w:val="center"/>
          </w:tcPr>
          <w:p>
            <w:pPr>
              <w:pStyle w:val="16"/>
            </w:pPr>
            <w:r>
              <w:t>1346.38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1346.38</w:t>
            </w:r>
          </w:p>
        </w:tc>
        <w:tc>
          <w:tcPr>
            <w:tcW w:w="1134" w:type="dxa"/>
            <w:vAlign w:val="center"/>
          </w:tcPr>
          <w:p>
            <w:pPr>
              <w:pStyle w:val="16"/>
            </w:pPr>
            <w:r>
              <w:t>1346.38</w:t>
            </w:r>
          </w:p>
        </w:tc>
        <w:tc>
          <w:tcPr>
            <w:tcW w:w="1134" w:type="dxa"/>
            <w:vAlign w:val="center"/>
          </w:tcPr>
          <w:p>
            <w:pPr>
              <w:pStyle w:val="16"/>
            </w:pPr>
            <w:r>
              <w:t>1346.38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1232.05</w:t>
            </w:r>
          </w:p>
        </w:tc>
        <w:tc>
          <w:tcPr>
            <w:tcW w:w="1134" w:type="dxa"/>
            <w:vAlign w:val="center"/>
          </w:tcPr>
          <w:p>
            <w:pPr>
              <w:pStyle w:val="12"/>
            </w:pPr>
            <w:r>
              <w:t>1232.05</w:t>
            </w:r>
          </w:p>
        </w:tc>
        <w:tc>
          <w:tcPr>
            <w:tcW w:w="1134" w:type="dxa"/>
            <w:vAlign w:val="center"/>
          </w:tcPr>
          <w:p>
            <w:pPr>
              <w:pStyle w:val="12"/>
            </w:pPr>
            <w:r>
              <w:t>1232.05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1232.05</w:t>
            </w:r>
          </w:p>
        </w:tc>
        <w:tc>
          <w:tcPr>
            <w:tcW w:w="1134" w:type="dxa"/>
            <w:vAlign w:val="center"/>
          </w:tcPr>
          <w:p>
            <w:pPr>
              <w:pStyle w:val="12"/>
            </w:pPr>
            <w:r>
              <w:t>1232.05</w:t>
            </w:r>
          </w:p>
        </w:tc>
        <w:tc>
          <w:tcPr>
            <w:tcW w:w="1134" w:type="dxa"/>
            <w:vAlign w:val="center"/>
          </w:tcPr>
          <w:p>
            <w:pPr>
              <w:pStyle w:val="12"/>
            </w:pPr>
            <w:r>
              <w:t>1232.05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1068.23</w:t>
            </w:r>
          </w:p>
        </w:tc>
        <w:tc>
          <w:tcPr>
            <w:tcW w:w="1134" w:type="dxa"/>
            <w:vAlign w:val="center"/>
          </w:tcPr>
          <w:p>
            <w:pPr>
              <w:pStyle w:val="12"/>
            </w:pPr>
            <w:r>
              <w:t>1068.23</w:t>
            </w:r>
          </w:p>
        </w:tc>
        <w:tc>
          <w:tcPr>
            <w:tcW w:w="1134" w:type="dxa"/>
            <w:vAlign w:val="center"/>
          </w:tcPr>
          <w:p>
            <w:pPr>
              <w:pStyle w:val="12"/>
            </w:pPr>
            <w:r>
              <w:t>1068.23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2010303</w:t>
            </w:r>
          </w:p>
        </w:tc>
        <w:tc>
          <w:tcPr>
            <w:tcW w:w="1559" w:type="dxa"/>
            <w:vAlign w:val="center"/>
          </w:tcPr>
          <w:p>
            <w:pPr>
              <w:pStyle w:val="13"/>
            </w:pPr>
            <w:r>
              <w:t>机关服务</w:t>
            </w:r>
          </w:p>
        </w:tc>
        <w:tc>
          <w:tcPr>
            <w:tcW w:w="1134" w:type="dxa"/>
            <w:vAlign w:val="center"/>
          </w:tcPr>
          <w:p>
            <w:pPr>
              <w:pStyle w:val="12"/>
            </w:pPr>
            <w:r>
              <w:t>163.82</w:t>
            </w:r>
          </w:p>
        </w:tc>
        <w:tc>
          <w:tcPr>
            <w:tcW w:w="1134" w:type="dxa"/>
            <w:vAlign w:val="center"/>
          </w:tcPr>
          <w:p>
            <w:pPr>
              <w:pStyle w:val="12"/>
            </w:pPr>
            <w:r>
              <w:t>163.82</w:t>
            </w:r>
          </w:p>
        </w:tc>
        <w:tc>
          <w:tcPr>
            <w:tcW w:w="1134" w:type="dxa"/>
            <w:vAlign w:val="center"/>
          </w:tcPr>
          <w:p>
            <w:pPr>
              <w:pStyle w:val="12"/>
            </w:pPr>
            <w:r>
              <w:t>163.82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r>
              <w:t>12.79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84.04</w:t>
            </w:r>
          </w:p>
        </w:tc>
        <w:tc>
          <w:tcPr>
            <w:tcW w:w="1134" w:type="dxa"/>
            <w:vAlign w:val="center"/>
          </w:tcPr>
          <w:p>
            <w:pPr>
              <w:pStyle w:val="12"/>
            </w:pPr>
            <w:r>
              <w:t>84.04</w:t>
            </w:r>
          </w:p>
        </w:tc>
        <w:tc>
          <w:tcPr>
            <w:tcW w:w="1134" w:type="dxa"/>
            <w:vAlign w:val="center"/>
          </w:tcPr>
          <w:p>
            <w:pPr>
              <w:pStyle w:val="12"/>
            </w:pPr>
            <w:r>
              <w:t>84.04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84.04</w:t>
            </w:r>
          </w:p>
        </w:tc>
        <w:tc>
          <w:tcPr>
            <w:tcW w:w="1134" w:type="dxa"/>
            <w:vAlign w:val="center"/>
          </w:tcPr>
          <w:p>
            <w:pPr>
              <w:pStyle w:val="12"/>
            </w:pPr>
            <w:r>
              <w:t>84.04</w:t>
            </w:r>
          </w:p>
        </w:tc>
        <w:tc>
          <w:tcPr>
            <w:tcW w:w="1134" w:type="dxa"/>
            <w:vAlign w:val="center"/>
          </w:tcPr>
          <w:p>
            <w:pPr>
              <w:pStyle w:val="12"/>
            </w:pPr>
            <w:r>
              <w:t>84.04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24.04</w:t>
            </w:r>
          </w:p>
        </w:tc>
        <w:tc>
          <w:tcPr>
            <w:tcW w:w="1134" w:type="dxa"/>
            <w:vAlign w:val="center"/>
          </w:tcPr>
          <w:p>
            <w:pPr>
              <w:pStyle w:val="12"/>
            </w:pPr>
            <w:r>
              <w:t>24.04</w:t>
            </w:r>
          </w:p>
        </w:tc>
        <w:tc>
          <w:tcPr>
            <w:tcW w:w="1134" w:type="dxa"/>
            <w:vAlign w:val="center"/>
          </w:tcPr>
          <w:p>
            <w:pPr>
              <w:pStyle w:val="12"/>
            </w:pPr>
            <w:r>
              <w:t>24.04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1346.38</w:t>
            </w:r>
          </w:p>
        </w:tc>
        <w:tc>
          <w:tcPr>
            <w:tcW w:w="1361" w:type="dxa"/>
            <w:vAlign w:val="center"/>
          </w:tcPr>
          <w:p>
            <w:pPr>
              <w:pStyle w:val="16"/>
            </w:pPr>
            <w:r>
              <w:t>1068.23</w:t>
            </w:r>
          </w:p>
        </w:tc>
        <w:tc>
          <w:tcPr>
            <w:tcW w:w="1361" w:type="dxa"/>
            <w:vAlign w:val="center"/>
          </w:tcPr>
          <w:p>
            <w:pPr>
              <w:pStyle w:val="16"/>
            </w:pPr>
            <w:r>
              <w:t>278.15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1232.05</w:t>
            </w:r>
          </w:p>
        </w:tc>
        <w:tc>
          <w:tcPr>
            <w:tcW w:w="1361" w:type="dxa"/>
            <w:vAlign w:val="center"/>
          </w:tcPr>
          <w:p>
            <w:pPr>
              <w:pStyle w:val="12"/>
            </w:pPr>
            <w:r>
              <w:t>1068.23</w:t>
            </w:r>
          </w:p>
        </w:tc>
        <w:tc>
          <w:tcPr>
            <w:tcW w:w="1361" w:type="dxa"/>
            <w:vAlign w:val="center"/>
          </w:tcPr>
          <w:p>
            <w:pPr>
              <w:pStyle w:val="12"/>
            </w:pPr>
            <w:r>
              <w:t>163.82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1232.05</w:t>
            </w:r>
          </w:p>
        </w:tc>
        <w:tc>
          <w:tcPr>
            <w:tcW w:w="1361" w:type="dxa"/>
            <w:vAlign w:val="center"/>
          </w:tcPr>
          <w:p>
            <w:pPr>
              <w:pStyle w:val="12"/>
            </w:pPr>
            <w:r>
              <w:t>1068.23</w:t>
            </w:r>
          </w:p>
        </w:tc>
        <w:tc>
          <w:tcPr>
            <w:tcW w:w="1361" w:type="dxa"/>
            <w:vAlign w:val="center"/>
          </w:tcPr>
          <w:p>
            <w:pPr>
              <w:pStyle w:val="12"/>
            </w:pPr>
            <w:r>
              <w:t>163.82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1068.23</w:t>
            </w:r>
          </w:p>
        </w:tc>
        <w:tc>
          <w:tcPr>
            <w:tcW w:w="1361" w:type="dxa"/>
            <w:vAlign w:val="center"/>
          </w:tcPr>
          <w:p>
            <w:pPr>
              <w:pStyle w:val="12"/>
            </w:pPr>
            <w:r>
              <w:t>1068.23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2010303</w:t>
            </w:r>
          </w:p>
        </w:tc>
        <w:tc>
          <w:tcPr>
            <w:tcW w:w="4535" w:type="dxa"/>
            <w:vAlign w:val="center"/>
          </w:tcPr>
          <w:p>
            <w:pPr>
              <w:pStyle w:val="13"/>
            </w:pPr>
            <w:r>
              <w:t>机关服务</w:t>
            </w:r>
          </w:p>
        </w:tc>
        <w:tc>
          <w:tcPr>
            <w:tcW w:w="1361" w:type="dxa"/>
            <w:vAlign w:val="center"/>
          </w:tcPr>
          <w:p>
            <w:pPr>
              <w:pStyle w:val="12"/>
            </w:pPr>
            <w:r>
              <w:t>163.82</w:t>
            </w:r>
          </w:p>
        </w:tc>
        <w:tc>
          <w:tcPr>
            <w:tcW w:w="1361" w:type="dxa"/>
            <w:vAlign w:val="center"/>
          </w:tcPr>
          <w:p>
            <w:pPr>
              <w:pStyle w:val="12"/>
            </w:pPr>
          </w:p>
        </w:tc>
        <w:tc>
          <w:tcPr>
            <w:tcW w:w="1361" w:type="dxa"/>
            <w:vAlign w:val="center"/>
          </w:tcPr>
          <w:p>
            <w:pPr>
              <w:pStyle w:val="12"/>
            </w:pPr>
            <w:r>
              <w:t>163.82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r>
              <w:t>12.79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84.04</w:t>
            </w:r>
          </w:p>
        </w:tc>
        <w:tc>
          <w:tcPr>
            <w:tcW w:w="1361" w:type="dxa"/>
            <w:vAlign w:val="center"/>
          </w:tcPr>
          <w:p>
            <w:pPr>
              <w:pStyle w:val="12"/>
            </w:pPr>
          </w:p>
        </w:tc>
        <w:tc>
          <w:tcPr>
            <w:tcW w:w="1361" w:type="dxa"/>
            <w:vAlign w:val="center"/>
          </w:tcPr>
          <w:p>
            <w:pPr>
              <w:pStyle w:val="12"/>
            </w:pPr>
            <w:r>
              <w:t>84.04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84.04</w:t>
            </w:r>
          </w:p>
        </w:tc>
        <w:tc>
          <w:tcPr>
            <w:tcW w:w="1361" w:type="dxa"/>
            <w:vAlign w:val="center"/>
          </w:tcPr>
          <w:p>
            <w:pPr>
              <w:pStyle w:val="12"/>
            </w:pPr>
          </w:p>
        </w:tc>
        <w:tc>
          <w:tcPr>
            <w:tcW w:w="1361" w:type="dxa"/>
            <w:vAlign w:val="center"/>
          </w:tcPr>
          <w:p>
            <w:pPr>
              <w:pStyle w:val="12"/>
            </w:pPr>
            <w:r>
              <w:t>84.04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24.04</w:t>
            </w:r>
          </w:p>
        </w:tc>
        <w:tc>
          <w:tcPr>
            <w:tcW w:w="1361" w:type="dxa"/>
            <w:vAlign w:val="center"/>
          </w:tcPr>
          <w:p>
            <w:pPr>
              <w:pStyle w:val="12"/>
            </w:pPr>
          </w:p>
        </w:tc>
        <w:tc>
          <w:tcPr>
            <w:tcW w:w="1361" w:type="dxa"/>
            <w:vAlign w:val="center"/>
          </w:tcPr>
          <w:p>
            <w:pPr>
              <w:pStyle w:val="12"/>
            </w:pPr>
            <w:r>
              <w:t>24.04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1346.38</w:t>
            </w:r>
          </w:p>
        </w:tc>
        <w:tc>
          <w:tcPr>
            <w:tcW w:w="3402" w:type="dxa"/>
            <w:vAlign w:val="center"/>
          </w:tcPr>
          <w:p>
            <w:pPr>
              <w:pStyle w:val="13"/>
            </w:pPr>
            <w:r>
              <w:t>一、一般公共服务支出</w:t>
            </w:r>
          </w:p>
        </w:tc>
        <w:tc>
          <w:tcPr>
            <w:tcW w:w="1474" w:type="dxa"/>
            <w:vAlign w:val="center"/>
          </w:tcPr>
          <w:p>
            <w:pPr>
              <w:pStyle w:val="12"/>
            </w:pPr>
            <w:r>
              <w:t>1232.05</w:t>
            </w:r>
          </w:p>
        </w:tc>
        <w:tc>
          <w:tcPr>
            <w:tcW w:w="1474" w:type="dxa"/>
            <w:vAlign w:val="center"/>
          </w:tcPr>
          <w:p>
            <w:pPr>
              <w:pStyle w:val="12"/>
            </w:pPr>
            <w:r>
              <w:t>1232.05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12.79</w:t>
            </w:r>
          </w:p>
        </w:tc>
        <w:tc>
          <w:tcPr>
            <w:tcW w:w="1474" w:type="dxa"/>
            <w:vAlign w:val="center"/>
          </w:tcPr>
          <w:p>
            <w:pPr>
              <w:pStyle w:val="12"/>
            </w:pPr>
            <w:r>
              <w:t>12.79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14.00</w:t>
            </w:r>
          </w:p>
        </w:tc>
        <w:tc>
          <w:tcPr>
            <w:tcW w:w="1474" w:type="dxa"/>
            <w:vAlign w:val="center"/>
          </w:tcPr>
          <w:p>
            <w:pPr>
              <w:pStyle w:val="12"/>
            </w:pPr>
            <w:r>
              <w:t>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3.50</w:t>
            </w:r>
          </w:p>
        </w:tc>
        <w:tc>
          <w:tcPr>
            <w:tcW w:w="1474" w:type="dxa"/>
            <w:vAlign w:val="center"/>
          </w:tcPr>
          <w:p>
            <w:pPr>
              <w:pStyle w:val="12"/>
            </w:pPr>
            <w:r>
              <w:t>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84.04</w:t>
            </w:r>
          </w:p>
        </w:tc>
        <w:tc>
          <w:tcPr>
            <w:tcW w:w="1474" w:type="dxa"/>
            <w:vAlign w:val="center"/>
          </w:tcPr>
          <w:p>
            <w:pPr>
              <w:pStyle w:val="12"/>
            </w:pPr>
            <w:r>
              <w:t>84.04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1346.38</w:t>
            </w:r>
          </w:p>
        </w:tc>
        <w:tc>
          <w:tcPr>
            <w:tcW w:w="3402" w:type="dxa"/>
            <w:vAlign w:val="center"/>
          </w:tcPr>
          <w:p>
            <w:pPr>
              <w:pStyle w:val="15"/>
            </w:pPr>
            <w:r>
              <w:t>本年支出合计</w:t>
            </w:r>
          </w:p>
        </w:tc>
        <w:tc>
          <w:tcPr>
            <w:tcW w:w="1474" w:type="dxa"/>
            <w:vAlign w:val="center"/>
          </w:tcPr>
          <w:p>
            <w:pPr>
              <w:pStyle w:val="16"/>
            </w:pPr>
            <w:r>
              <w:t>1346.38</w:t>
            </w:r>
          </w:p>
        </w:tc>
        <w:tc>
          <w:tcPr>
            <w:tcW w:w="1474" w:type="dxa"/>
            <w:vAlign w:val="center"/>
          </w:tcPr>
          <w:p>
            <w:pPr>
              <w:pStyle w:val="16"/>
            </w:pPr>
            <w:r>
              <w:t>1346.38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1346.38</w:t>
            </w:r>
          </w:p>
        </w:tc>
        <w:tc>
          <w:tcPr>
            <w:tcW w:w="3402" w:type="dxa"/>
            <w:vAlign w:val="center"/>
          </w:tcPr>
          <w:p>
            <w:pPr>
              <w:pStyle w:val="15"/>
            </w:pPr>
            <w:r>
              <w:t>支出总计</w:t>
            </w:r>
          </w:p>
        </w:tc>
        <w:tc>
          <w:tcPr>
            <w:tcW w:w="1474" w:type="dxa"/>
            <w:vAlign w:val="center"/>
          </w:tcPr>
          <w:p>
            <w:pPr>
              <w:pStyle w:val="16"/>
            </w:pPr>
            <w:r>
              <w:t>1346.38</w:t>
            </w:r>
          </w:p>
        </w:tc>
        <w:tc>
          <w:tcPr>
            <w:tcW w:w="1474" w:type="dxa"/>
            <w:vAlign w:val="center"/>
          </w:tcPr>
          <w:p>
            <w:pPr>
              <w:pStyle w:val="16"/>
            </w:pPr>
            <w:r>
              <w:t>1346.38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1346.38</w:t>
            </w:r>
          </w:p>
        </w:tc>
        <w:tc>
          <w:tcPr>
            <w:tcW w:w="2551" w:type="dxa"/>
            <w:vAlign w:val="center"/>
          </w:tcPr>
          <w:p>
            <w:pPr>
              <w:pStyle w:val="16"/>
            </w:pPr>
            <w:r>
              <w:t>1068.23</w:t>
            </w:r>
          </w:p>
        </w:tc>
        <w:tc>
          <w:tcPr>
            <w:tcW w:w="2551" w:type="dxa"/>
            <w:vAlign w:val="center"/>
          </w:tcPr>
          <w:p>
            <w:pPr>
              <w:pStyle w:val="16"/>
            </w:pPr>
            <w:r>
              <w:t>278.15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1232.05</w:t>
            </w:r>
          </w:p>
        </w:tc>
        <w:tc>
          <w:tcPr>
            <w:tcW w:w="2551" w:type="dxa"/>
            <w:vAlign w:val="center"/>
          </w:tcPr>
          <w:p>
            <w:pPr>
              <w:pStyle w:val="12"/>
            </w:pPr>
            <w:r>
              <w:t>1068.23</w:t>
            </w:r>
          </w:p>
        </w:tc>
        <w:tc>
          <w:tcPr>
            <w:tcW w:w="2551" w:type="dxa"/>
            <w:vAlign w:val="center"/>
          </w:tcPr>
          <w:p>
            <w:pPr>
              <w:pStyle w:val="12"/>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1232.05</w:t>
            </w:r>
          </w:p>
        </w:tc>
        <w:tc>
          <w:tcPr>
            <w:tcW w:w="2551" w:type="dxa"/>
            <w:vAlign w:val="center"/>
          </w:tcPr>
          <w:p>
            <w:pPr>
              <w:pStyle w:val="12"/>
            </w:pPr>
            <w:r>
              <w:t>1068.23</w:t>
            </w:r>
          </w:p>
        </w:tc>
        <w:tc>
          <w:tcPr>
            <w:tcW w:w="2551" w:type="dxa"/>
            <w:vAlign w:val="center"/>
          </w:tcPr>
          <w:p>
            <w:pPr>
              <w:pStyle w:val="12"/>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1068.23</w:t>
            </w:r>
          </w:p>
        </w:tc>
        <w:tc>
          <w:tcPr>
            <w:tcW w:w="2551" w:type="dxa"/>
            <w:vAlign w:val="center"/>
          </w:tcPr>
          <w:p>
            <w:pPr>
              <w:pStyle w:val="12"/>
            </w:pPr>
            <w:r>
              <w:t>1068.23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2010303</w:t>
            </w:r>
          </w:p>
        </w:tc>
        <w:tc>
          <w:tcPr>
            <w:tcW w:w="4535" w:type="dxa"/>
            <w:vAlign w:val="center"/>
          </w:tcPr>
          <w:p>
            <w:pPr>
              <w:pStyle w:val="13"/>
            </w:pPr>
            <w:r>
              <w:t>机关服务</w:t>
            </w:r>
          </w:p>
        </w:tc>
        <w:tc>
          <w:tcPr>
            <w:tcW w:w="2551" w:type="dxa"/>
            <w:vAlign w:val="center"/>
          </w:tcPr>
          <w:p>
            <w:pPr>
              <w:pStyle w:val="12"/>
            </w:pPr>
            <w:r>
              <w:t>163.82</w:t>
            </w:r>
          </w:p>
        </w:tc>
        <w:tc>
          <w:tcPr>
            <w:tcW w:w="2551" w:type="dxa"/>
            <w:vAlign w:val="center"/>
          </w:tcPr>
          <w:p>
            <w:pPr>
              <w:pStyle w:val="12"/>
            </w:pPr>
          </w:p>
        </w:tc>
        <w:tc>
          <w:tcPr>
            <w:tcW w:w="2551" w:type="dxa"/>
            <w:vAlign w:val="center"/>
          </w:tcPr>
          <w:p>
            <w:pPr>
              <w:pStyle w:val="12"/>
            </w:pPr>
            <w:r>
              <w:t>163.82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12.79</w:t>
            </w:r>
          </w:p>
        </w:tc>
        <w:tc>
          <w:tcPr>
            <w:tcW w:w="2551" w:type="dxa"/>
            <w:vAlign w:val="center"/>
          </w:tcPr>
          <w:p>
            <w:pPr>
              <w:pStyle w:val="12"/>
            </w:pPr>
          </w:p>
        </w:tc>
        <w:tc>
          <w:tcPr>
            <w:tcW w:w="2551" w:type="dxa"/>
            <w:vAlign w:val="center"/>
          </w:tcPr>
          <w:p>
            <w:pPr>
              <w:pStyle w:val="12"/>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12.79</w:t>
            </w:r>
          </w:p>
        </w:tc>
        <w:tc>
          <w:tcPr>
            <w:tcW w:w="2551" w:type="dxa"/>
            <w:vAlign w:val="center"/>
          </w:tcPr>
          <w:p>
            <w:pPr>
              <w:pStyle w:val="12"/>
            </w:pPr>
          </w:p>
        </w:tc>
        <w:tc>
          <w:tcPr>
            <w:tcW w:w="2551" w:type="dxa"/>
            <w:vAlign w:val="center"/>
          </w:tcPr>
          <w:p>
            <w:pPr>
              <w:pStyle w:val="12"/>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12.79</w:t>
            </w:r>
          </w:p>
        </w:tc>
        <w:tc>
          <w:tcPr>
            <w:tcW w:w="2551" w:type="dxa"/>
            <w:vAlign w:val="center"/>
          </w:tcPr>
          <w:p>
            <w:pPr>
              <w:pStyle w:val="12"/>
            </w:pPr>
          </w:p>
        </w:tc>
        <w:tc>
          <w:tcPr>
            <w:tcW w:w="2551" w:type="dxa"/>
            <w:vAlign w:val="center"/>
          </w:tcPr>
          <w:p>
            <w:pPr>
              <w:pStyle w:val="12"/>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84.04</w:t>
            </w:r>
          </w:p>
        </w:tc>
        <w:tc>
          <w:tcPr>
            <w:tcW w:w="2551" w:type="dxa"/>
            <w:vAlign w:val="center"/>
          </w:tcPr>
          <w:p>
            <w:pPr>
              <w:pStyle w:val="12"/>
            </w:pPr>
          </w:p>
        </w:tc>
        <w:tc>
          <w:tcPr>
            <w:tcW w:w="2551" w:type="dxa"/>
            <w:vAlign w:val="center"/>
          </w:tcPr>
          <w:p>
            <w:pPr>
              <w:pStyle w:val="12"/>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84.04</w:t>
            </w:r>
          </w:p>
        </w:tc>
        <w:tc>
          <w:tcPr>
            <w:tcW w:w="2551" w:type="dxa"/>
            <w:vAlign w:val="center"/>
          </w:tcPr>
          <w:p>
            <w:pPr>
              <w:pStyle w:val="12"/>
            </w:pPr>
          </w:p>
        </w:tc>
        <w:tc>
          <w:tcPr>
            <w:tcW w:w="2551" w:type="dxa"/>
            <w:vAlign w:val="center"/>
          </w:tcPr>
          <w:p>
            <w:pPr>
              <w:pStyle w:val="12"/>
            </w:pPr>
            <w:r>
              <w:t>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24.04</w:t>
            </w:r>
          </w:p>
        </w:tc>
        <w:tc>
          <w:tcPr>
            <w:tcW w:w="2551" w:type="dxa"/>
            <w:vAlign w:val="center"/>
          </w:tcPr>
          <w:p>
            <w:pPr>
              <w:pStyle w:val="12"/>
            </w:pPr>
          </w:p>
        </w:tc>
        <w:tc>
          <w:tcPr>
            <w:tcW w:w="2551" w:type="dxa"/>
            <w:vAlign w:val="center"/>
          </w:tcPr>
          <w:p>
            <w:pPr>
              <w:pStyle w:val="12"/>
            </w:pPr>
            <w:r>
              <w:t>24.04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1068.23</w:t>
            </w:r>
          </w:p>
        </w:tc>
        <w:tc>
          <w:tcPr>
            <w:tcW w:w="2551" w:type="dxa"/>
            <w:vAlign w:val="center"/>
          </w:tcPr>
          <w:p>
            <w:pPr>
              <w:pStyle w:val="16"/>
            </w:pPr>
            <w:r>
              <w:t>911.15</w:t>
            </w:r>
          </w:p>
        </w:tc>
        <w:tc>
          <w:tcPr>
            <w:tcW w:w="2551" w:type="dxa"/>
            <w:vAlign w:val="center"/>
          </w:tcPr>
          <w:p>
            <w:pPr>
              <w:pStyle w:val="16"/>
            </w:pPr>
            <w:r>
              <w:t>157.08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820.00</w:t>
            </w:r>
          </w:p>
        </w:tc>
        <w:tc>
          <w:tcPr>
            <w:tcW w:w="2551" w:type="dxa"/>
            <w:vAlign w:val="center"/>
          </w:tcPr>
          <w:p>
            <w:pPr>
              <w:pStyle w:val="12"/>
            </w:pPr>
            <w:r>
              <w:t>820.00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163.22</w:t>
            </w:r>
          </w:p>
        </w:tc>
        <w:tc>
          <w:tcPr>
            <w:tcW w:w="2551" w:type="dxa"/>
            <w:vAlign w:val="center"/>
          </w:tcPr>
          <w:p>
            <w:pPr>
              <w:pStyle w:val="12"/>
            </w:pPr>
            <w:r>
              <w:t>163.22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329.79</w:t>
            </w:r>
          </w:p>
        </w:tc>
        <w:tc>
          <w:tcPr>
            <w:tcW w:w="2551" w:type="dxa"/>
            <w:vAlign w:val="center"/>
          </w:tcPr>
          <w:p>
            <w:pPr>
              <w:pStyle w:val="12"/>
            </w:pPr>
            <w:r>
              <w:t>329.79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8.25</w:t>
            </w:r>
          </w:p>
        </w:tc>
        <w:tc>
          <w:tcPr>
            <w:tcW w:w="2551" w:type="dxa"/>
            <w:vAlign w:val="center"/>
          </w:tcPr>
          <w:p>
            <w:pPr>
              <w:pStyle w:val="12"/>
            </w:pPr>
            <w:r>
              <w:t>8.25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63.58</w:t>
            </w:r>
          </w:p>
        </w:tc>
        <w:tc>
          <w:tcPr>
            <w:tcW w:w="2551" w:type="dxa"/>
            <w:vAlign w:val="center"/>
          </w:tcPr>
          <w:p>
            <w:pPr>
              <w:pStyle w:val="12"/>
            </w:pPr>
            <w:r>
              <w:t>63.58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67.55</w:t>
            </w:r>
          </w:p>
        </w:tc>
        <w:tc>
          <w:tcPr>
            <w:tcW w:w="2551" w:type="dxa"/>
            <w:vAlign w:val="center"/>
          </w:tcPr>
          <w:p>
            <w:pPr>
              <w:pStyle w:val="12"/>
            </w:pPr>
            <w:r>
              <w:t>67.55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35.47</w:t>
            </w:r>
          </w:p>
        </w:tc>
        <w:tc>
          <w:tcPr>
            <w:tcW w:w="2551" w:type="dxa"/>
            <w:vAlign w:val="center"/>
          </w:tcPr>
          <w:p>
            <w:pPr>
              <w:pStyle w:val="12"/>
            </w:pPr>
            <w:r>
              <w:t>35.47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27.44</w:t>
            </w:r>
          </w:p>
        </w:tc>
        <w:tc>
          <w:tcPr>
            <w:tcW w:w="2551" w:type="dxa"/>
            <w:vAlign w:val="center"/>
          </w:tcPr>
          <w:p>
            <w:pPr>
              <w:pStyle w:val="12"/>
            </w:pPr>
            <w:r>
              <w:t>27.44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68.67</w:t>
            </w:r>
          </w:p>
        </w:tc>
        <w:tc>
          <w:tcPr>
            <w:tcW w:w="2551" w:type="dxa"/>
            <w:vAlign w:val="center"/>
          </w:tcPr>
          <w:p>
            <w:pPr>
              <w:pStyle w:val="12"/>
            </w:pPr>
            <w:r>
              <w:t>68.67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56.04</w:t>
            </w:r>
          </w:p>
        </w:tc>
        <w:tc>
          <w:tcPr>
            <w:tcW w:w="2551" w:type="dxa"/>
            <w:vAlign w:val="center"/>
          </w:tcPr>
          <w:p>
            <w:pPr>
              <w:pStyle w:val="12"/>
            </w:pPr>
            <w:r>
              <w:t>56.04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156.08</w:t>
            </w:r>
          </w:p>
        </w:tc>
        <w:tc>
          <w:tcPr>
            <w:tcW w:w="2551" w:type="dxa"/>
            <w:vAlign w:val="center"/>
          </w:tcPr>
          <w:p>
            <w:pPr>
              <w:pStyle w:val="12"/>
            </w:pPr>
          </w:p>
        </w:tc>
        <w:tc>
          <w:tcPr>
            <w:tcW w:w="2551" w:type="dxa"/>
            <w:vAlign w:val="center"/>
          </w:tcPr>
          <w:p>
            <w:pPr>
              <w:pStyle w:val="12"/>
            </w:pPr>
            <w:r>
              <w:t>156.08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27.80</w:t>
            </w:r>
          </w:p>
        </w:tc>
        <w:tc>
          <w:tcPr>
            <w:tcW w:w="2551" w:type="dxa"/>
            <w:vAlign w:val="center"/>
          </w:tcPr>
          <w:p>
            <w:pPr>
              <w:pStyle w:val="12"/>
            </w:pPr>
          </w:p>
        </w:tc>
        <w:tc>
          <w:tcPr>
            <w:tcW w:w="2551" w:type="dxa"/>
            <w:vAlign w:val="center"/>
          </w:tcPr>
          <w:p>
            <w:pPr>
              <w:pStyle w:val="12"/>
            </w:pPr>
            <w:r>
              <w:t>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30203</w:t>
            </w:r>
          </w:p>
        </w:tc>
        <w:tc>
          <w:tcPr>
            <w:tcW w:w="4535" w:type="dxa"/>
            <w:vAlign w:val="center"/>
          </w:tcPr>
          <w:p>
            <w:pPr>
              <w:pStyle w:val="13"/>
            </w:pPr>
            <w:r>
              <w:t>咨询费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20.04</w:t>
            </w:r>
          </w:p>
        </w:tc>
        <w:tc>
          <w:tcPr>
            <w:tcW w:w="2551" w:type="dxa"/>
            <w:vAlign w:val="center"/>
          </w:tcPr>
          <w:p>
            <w:pPr>
              <w:pStyle w:val="12"/>
            </w:pPr>
          </w:p>
        </w:tc>
        <w:tc>
          <w:tcPr>
            <w:tcW w:w="2551" w:type="dxa"/>
            <w:vAlign w:val="center"/>
          </w:tcPr>
          <w:p>
            <w:pPr>
              <w:pStyle w:val="12"/>
            </w:pPr>
            <w:r>
              <w:t>20.04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4.08</w:t>
            </w:r>
          </w:p>
        </w:tc>
        <w:tc>
          <w:tcPr>
            <w:tcW w:w="2551" w:type="dxa"/>
            <w:vAlign w:val="center"/>
          </w:tcPr>
          <w:p>
            <w:pPr>
              <w:pStyle w:val="12"/>
            </w:pPr>
          </w:p>
        </w:tc>
        <w:tc>
          <w:tcPr>
            <w:tcW w:w="2551" w:type="dxa"/>
            <w:vAlign w:val="center"/>
          </w:tcPr>
          <w:p>
            <w:pPr>
              <w:pStyle w:val="12"/>
            </w:pPr>
            <w:r>
              <w:t>4.08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28.56</w:t>
            </w:r>
          </w:p>
        </w:tc>
        <w:tc>
          <w:tcPr>
            <w:tcW w:w="2551" w:type="dxa"/>
            <w:vAlign w:val="center"/>
          </w:tcPr>
          <w:p>
            <w:pPr>
              <w:pStyle w:val="12"/>
            </w:pPr>
          </w:p>
        </w:tc>
        <w:tc>
          <w:tcPr>
            <w:tcW w:w="2551" w:type="dxa"/>
            <w:vAlign w:val="center"/>
          </w:tcPr>
          <w:p>
            <w:pPr>
              <w:pStyle w:val="12"/>
            </w:pPr>
            <w:r>
              <w:t>28.56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91.15</w:t>
            </w:r>
          </w:p>
        </w:tc>
        <w:tc>
          <w:tcPr>
            <w:tcW w:w="2551" w:type="dxa"/>
            <w:vAlign w:val="center"/>
          </w:tcPr>
          <w:p>
            <w:pPr>
              <w:pStyle w:val="12"/>
            </w:pPr>
            <w:r>
              <w:t>91.15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60.26</w:t>
            </w:r>
          </w:p>
        </w:tc>
        <w:tc>
          <w:tcPr>
            <w:tcW w:w="2551" w:type="dxa"/>
            <w:vAlign w:val="center"/>
          </w:tcPr>
          <w:p>
            <w:pPr>
              <w:pStyle w:val="12"/>
            </w:pPr>
            <w:r>
              <w:t>60.26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30.88</w:t>
            </w:r>
          </w:p>
        </w:tc>
        <w:tc>
          <w:tcPr>
            <w:tcW w:w="2551" w:type="dxa"/>
            <w:vAlign w:val="center"/>
          </w:tcPr>
          <w:p>
            <w:pPr>
              <w:pStyle w:val="12"/>
            </w:pPr>
            <w:r>
              <w:t>30.88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rPr>
                <w:rFonts w:eastAsiaTheme="minorEastAsia"/>
                <w:lang w:eastAsia="zh-CN"/>
              </w:rPr>
            </w:pPr>
            <w:r>
              <w:rPr>
                <w:rFonts w:hint="eastAsia" w:eastAsiaTheme="minorEastAsia"/>
                <w:lang w:eastAsia="zh-CN"/>
              </w:rPr>
              <w:t>14.4</w:t>
            </w:r>
          </w:p>
        </w:tc>
        <w:tc>
          <w:tcPr>
            <w:tcW w:w="2381" w:type="dxa"/>
            <w:vAlign w:val="center"/>
          </w:tcPr>
          <w:p>
            <w:pPr>
              <w:pStyle w:val="16"/>
              <w:rPr>
                <w:rFonts w:eastAsiaTheme="minorEastAsia"/>
                <w:lang w:eastAsia="zh-CN"/>
              </w:rPr>
            </w:pPr>
            <w:r>
              <w:rPr>
                <w:rFonts w:hint="eastAsia" w:eastAsiaTheme="minorEastAsia"/>
                <w:lang w:eastAsia="zh-CN"/>
              </w:rPr>
              <w:t>14.4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rPr>
                <w:rFonts w:eastAsiaTheme="minorEastAsia"/>
                <w:lang w:eastAsia="zh-CN"/>
              </w:rPr>
            </w:pPr>
            <w:r>
              <w:rPr>
                <w:rFonts w:hint="eastAsia" w:eastAsiaTheme="minorEastAsia"/>
                <w:lang w:eastAsia="zh-CN"/>
              </w:rPr>
              <w:t>14.4</w:t>
            </w:r>
          </w:p>
        </w:tc>
        <w:tc>
          <w:tcPr>
            <w:tcW w:w="2381" w:type="dxa"/>
            <w:vAlign w:val="center"/>
          </w:tcPr>
          <w:p>
            <w:pPr>
              <w:pStyle w:val="12"/>
              <w:rPr>
                <w:rFonts w:eastAsiaTheme="minorEastAsia"/>
                <w:lang w:eastAsia="zh-CN"/>
              </w:rPr>
            </w:pPr>
            <w:r>
              <w:rPr>
                <w:rFonts w:hint="eastAsia" w:eastAsiaTheme="minorEastAsia"/>
                <w:lang w:eastAsia="zh-CN"/>
              </w:rPr>
              <w:t>14.4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rPr>
                <w:rFonts w:eastAsiaTheme="minorEastAsia"/>
                <w:lang w:eastAsia="zh-CN"/>
              </w:rPr>
            </w:pPr>
            <w:r>
              <w:rPr>
                <w:rFonts w:hint="eastAsia" w:eastAsiaTheme="minorEastAsia"/>
                <w:lang w:eastAsia="zh-CN"/>
              </w:rPr>
              <w:t>14.4</w:t>
            </w:r>
          </w:p>
        </w:tc>
        <w:tc>
          <w:tcPr>
            <w:tcW w:w="2381" w:type="dxa"/>
            <w:vAlign w:val="center"/>
          </w:tcPr>
          <w:p>
            <w:pPr>
              <w:pStyle w:val="12"/>
              <w:rPr>
                <w:rFonts w:eastAsiaTheme="minorEastAsia"/>
                <w:lang w:eastAsia="zh-CN"/>
              </w:rPr>
            </w:pPr>
            <w:r>
              <w:rPr>
                <w:rFonts w:hint="eastAsia" w:eastAsiaTheme="minorEastAsia"/>
                <w:lang w:eastAsia="zh-CN"/>
              </w:rPr>
              <w:t>14.4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4.40</w:t>
            </w:r>
          </w:p>
        </w:tc>
        <w:tc>
          <w:tcPr>
            <w:tcW w:w="2381" w:type="dxa"/>
            <w:vAlign w:val="center"/>
          </w:tcPr>
          <w:p>
            <w:pPr>
              <w:pStyle w:val="12"/>
            </w:pPr>
            <w: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石家庄市藁城区西关镇人民政府本级2022年单位预算信息公开情况说明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按照《预算法》、《地方预决算公开操作规程》和《关于进一步推进预算公开工作的实施意见》规定，现将石家庄市藁城区西关镇人民政府本级2022年单位预算公开如下：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0"/>
      </w:pPr>
      <w:r>
        <w:t>职责活动</w:t>
      </w:r>
      <w:r>
        <w:tab/>
      </w:r>
      <w:r>
        <w:t>内容描述</w:t>
      </w:r>
    </w:p>
    <w:p>
      <w:pPr>
        <w:pStyle w:val="30"/>
      </w:pPr>
    </w:p>
    <w:p>
      <w:pPr>
        <w:pStyle w:val="30"/>
      </w:pPr>
      <w:r>
        <w:t>政务管理</w:t>
      </w:r>
      <w:r>
        <w:tab/>
      </w:r>
      <w:r>
        <w:t>处理机关日常事务，保证镇政府值班工作，及时报告重要情况，传达和督 促落实镇党委、政府领导指示。</w:t>
      </w:r>
    </w:p>
    <w:p>
      <w:pPr>
        <w:pStyle w:val="30"/>
      </w:pPr>
      <w:r>
        <w:t>综合业务管理</w:t>
      </w:r>
      <w:r>
        <w:tab/>
      </w:r>
      <w:r>
        <w:t>加强推进党的基层组织建设、纪检监察、党风廉政建设、统一战线、人民武装、精神文明建设、组织人事工作。</w:t>
      </w:r>
    </w:p>
    <w:p>
      <w:pPr>
        <w:pStyle w:val="30"/>
      </w:pPr>
      <w:r>
        <w:t>应急管理</w:t>
      </w:r>
      <w:r>
        <w:tab/>
      </w:r>
      <w:r>
        <w:t>保证镇政府值班工作，及时报告重要情况，传达和督促落实镇政府领导指示。</w:t>
      </w:r>
    </w:p>
    <w:p>
      <w:pPr>
        <w:pStyle w:val="30"/>
      </w:pPr>
      <w:r>
        <w:t>综合事务管理</w:t>
      </w:r>
      <w:r>
        <w:tab/>
      </w:r>
      <w:r>
        <w:t>加强机关事务性管理，开展机关自身能力建设</w:t>
      </w:r>
    </w:p>
    <w:p>
      <w:pPr>
        <w:pStyle w:val="30"/>
      </w:pPr>
      <w:r>
        <w:t>社会治安综合治理</w:t>
      </w:r>
      <w:r>
        <w:tab/>
      </w: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pPr>
        <w:pStyle w:val="30"/>
      </w:pPr>
      <w:r>
        <w:t>协调维护社会治安稳定</w:t>
      </w:r>
      <w:r>
        <w:tab/>
      </w:r>
      <w:r>
        <w:t>做好社会治安综合治理工作，做好司法、宗教工作，打击邪教；做好群众 来信来访、搞好农村矛盾纠纷排查调处；妥善处理突发性、群体性事件，维护社会稳定；打击各类犯罪活动。</w:t>
      </w:r>
    </w:p>
    <w:p>
      <w:pPr>
        <w:pStyle w:val="30"/>
      </w:pPr>
      <w:r>
        <w:t>经济发展</w:t>
      </w:r>
      <w:r>
        <w:tab/>
      </w:r>
      <w:r>
        <w:t>承担经济发展和民生改善</w:t>
      </w:r>
    </w:p>
    <w:p>
      <w:pPr>
        <w:pStyle w:val="30"/>
      </w:pPr>
      <w:r>
        <w:t>经济发展</w:t>
      </w:r>
      <w:r>
        <w:tab/>
      </w:r>
      <w:r>
        <w:t>制定经济发展规划，促进民营企业发展，招商引资，大力发展第二、三产业。</w:t>
      </w:r>
    </w:p>
    <w:p>
      <w:pPr>
        <w:pStyle w:val="30"/>
      </w:pPr>
      <w:r>
        <w:t>民生改善</w:t>
      </w:r>
      <w:r>
        <w:tab/>
      </w:r>
      <w:r>
        <w:t>加强基础设施建设，落实强农惠农措施，搞好技术推广应用。大力发展苗木种植产业化</w:t>
      </w:r>
    </w:p>
    <w:p>
      <w:pPr>
        <w:pStyle w:val="30"/>
      </w:pPr>
      <w:r>
        <w:t>农业生产及农村综合改革</w:t>
      </w:r>
      <w:r>
        <w:tab/>
      </w: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负责村委会和党支部活动经费、村干部补助工资、发展农业生产、农村经济合作社发展、转移支付等。</w:t>
      </w:r>
    </w:p>
    <w:p>
      <w:pPr>
        <w:pStyle w:val="30"/>
      </w:pPr>
      <w:r>
        <w:t>促进土地流转</w:t>
      </w:r>
      <w:r>
        <w:tab/>
      </w:r>
      <w:r>
        <w:t>建设土地流转有形市场。</w:t>
      </w:r>
    </w:p>
    <w:p>
      <w:pPr>
        <w:pStyle w:val="30"/>
      </w:pPr>
      <w:r>
        <w:t>农业技术推广农业教育与技能培训，开展粮食等作物高产创建。</w:t>
      </w:r>
      <w:r>
        <w:tab/>
      </w:r>
      <w:r>
        <w:t>开展农业新技术推广、示范。"通过推广优良品种，辐射带动大面积的平衡增产，提高单产水平。</w:t>
      </w:r>
    </w:p>
    <w:p>
      <w:pPr>
        <w:pStyle w:val="30"/>
      </w:pPr>
      <w:r>
        <w:t>对农村党支部和村委会补助</w:t>
      </w:r>
      <w:r>
        <w:tab/>
      </w:r>
      <w:r>
        <w:t>对农村党支部和村委会补助</w:t>
      </w:r>
    </w:p>
    <w:p>
      <w:pPr>
        <w:pStyle w:val="30"/>
      </w:pPr>
      <w:r>
        <w:t>土地管理</w:t>
      </w:r>
      <w:r>
        <w:tab/>
      </w:r>
      <w:r>
        <w:t>加强规范土地使用</w:t>
      </w:r>
    </w:p>
    <w:p>
      <w:pPr>
        <w:pStyle w:val="30"/>
      </w:pPr>
      <w:r>
        <w:t>农村居民最低生活保障</w:t>
      </w:r>
      <w:r>
        <w:tab/>
      </w:r>
      <w:r>
        <w:t>负责符合条件的农村居民最低生活保障工作</w:t>
      </w:r>
    </w:p>
    <w:p>
      <w:pPr>
        <w:pStyle w:val="30"/>
      </w:pPr>
      <w:r>
        <w:t>农村五保供养</w:t>
      </w:r>
      <w:r>
        <w:tab/>
      </w:r>
      <w:r>
        <w:t>负责农村五保户的分散供养工作</w:t>
      </w:r>
    </w:p>
    <w:p>
      <w:pPr>
        <w:pStyle w:val="30"/>
      </w:pPr>
      <w:r>
        <w:t>临时生活救助</w:t>
      </w:r>
      <w:r>
        <w:tab/>
      </w:r>
      <w:r>
        <w:t>负责符合条件的农村居民的临时生活救助</w:t>
      </w:r>
    </w:p>
    <w:p>
      <w:pPr>
        <w:pStyle w:val="30"/>
      </w:pPr>
      <w:r>
        <w:t>环境保护与治理</w:t>
      </w:r>
      <w:r>
        <w:tab/>
      </w:r>
      <w:r>
        <w:t>承担环境保护和治理环境污染</w:t>
      </w:r>
    </w:p>
    <w:p>
      <w:pPr>
        <w:pStyle w:val="30"/>
      </w:pPr>
      <w:r>
        <w:t>环境管理</w:t>
      </w:r>
      <w:r>
        <w:tab/>
      </w:r>
      <w:r>
        <w:t>强化区域环境管理</w:t>
      </w:r>
    </w:p>
    <w:p>
      <w:pPr>
        <w:pStyle w:val="30"/>
      </w:pPr>
      <w:r>
        <w:t>食品安全</w:t>
      </w:r>
      <w:r>
        <w:tab/>
      </w:r>
      <w:r>
        <w:t>强化食品安全管理</w:t>
      </w:r>
    </w:p>
    <w:p>
      <w:pPr>
        <w:pStyle w:val="30"/>
      </w:pPr>
      <w:r>
        <w:t>安全生产管理</w:t>
      </w:r>
      <w:r>
        <w:tab/>
      </w:r>
      <w:r>
        <w:t>建立安全生产监管台账，打击非法生产企业</w:t>
      </w:r>
    </w:p>
    <w:p>
      <w:pPr>
        <w:pStyle w:val="30"/>
      </w:pPr>
      <w:r>
        <w:t>预算管理、财务管理</w:t>
      </w:r>
      <w:r>
        <w:tab/>
      </w:r>
      <w:r>
        <w:t>负责镇财政预算管理与执行，负责镇机关收支活动，组织实施镇财务核算及监督工作。</w:t>
      </w:r>
    </w:p>
    <w:p>
      <w:pPr>
        <w:pStyle w:val="30"/>
      </w:pPr>
      <w:r>
        <w:t>合理安排预算</w:t>
      </w:r>
      <w:r>
        <w:tab/>
      </w:r>
      <w:r>
        <w:t>按照保工资、保运转的顺序做好预算安排</w:t>
      </w:r>
    </w:p>
    <w:p>
      <w:pPr>
        <w:pStyle w:val="30"/>
      </w:pPr>
      <w:r>
        <w:t>严格票据管理</w:t>
      </w:r>
      <w:r>
        <w:tab/>
      </w:r>
      <w:r>
        <w:t>对不规范的票据一律不报销、不入账</w:t>
      </w:r>
    </w:p>
    <w:p>
      <w:pPr>
        <w:pStyle w:val="30"/>
      </w:pPr>
      <w:r>
        <w:t>村财镇管、涉农资金</w:t>
      </w:r>
      <w:r>
        <w:tab/>
      </w:r>
      <w:r>
        <w:t>负责村级财务核算及监督工作，负责涉农资金的落实，负责管理镇国有资产，实施债权债务监督管理。</w:t>
      </w:r>
    </w:p>
    <w:p>
      <w:pPr>
        <w:pStyle w:val="30"/>
      </w:pPr>
      <w:r>
        <w:t>严格票据管理</w:t>
      </w:r>
      <w:r>
        <w:tab/>
      </w:r>
      <w:r>
        <w:t>对不规范的票据一律不报销、不入账</w:t>
      </w:r>
    </w:p>
    <w:p>
      <w:pPr>
        <w:pStyle w:val="30"/>
      </w:pPr>
      <w:r>
        <w:t>坚持抽查制度、定期核查、以收定支。</w:t>
      </w:r>
      <w:r>
        <w:tab/>
      </w:r>
      <w:r>
        <w:t>不定期进村入户抽查涉农资金落实情况。采用按月进行资产核查。坚持以收定支，杜绝举债行为发生。</w:t>
      </w:r>
    </w:p>
    <w:p>
      <w:pPr>
        <w:pStyle w:val="30"/>
      </w:pPr>
      <w:r>
        <w:t>计划生育</w:t>
      </w:r>
      <w:r>
        <w:tab/>
      </w:r>
      <w:r>
        <w:t>提供各类计划生育技术服务，建立利益导向机制，开展出生人口性别比治理以及流动人口计划生育管理等各项工作。落实计生相关法律法规，业务宣传工作，,落实计划生育一票否决制开展计划生育各种知识宣传和咨询服务。</w:t>
      </w:r>
    </w:p>
    <w:p>
      <w:pPr>
        <w:pStyle w:val="30"/>
      </w:pPr>
      <w:r>
        <w:t>计划生育奖励扶持政策</w:t>
      </w:r>
      <w:r>
        <w:tab/>
      </w:r>
      <w:r>
        <w:t>采取奖励、扶助、社会保障等机制，引导家庭和个人打取计划生育措施，提高计划生育家庭发展能力。</w:t>
      </w:r>
    </w:p>
    <w:p>
      <w:pPr>
        <w:pStyle w:val="30"/>
      </w:pPr>
      <w:r>
        <w:t>计划生育咨询服务、计划生育保健及优生服务</w:t>
      </w:r>
      <w:r>
        <w:tab/>
      </w:r>
      <w:r>
        <w:t>开展计生宣传教育，政策落实等综合业务工作。</w:t>
      </w:r>
    </w:p>
    <w:p>
      <w:pPr>
        <w:pStyle w:val="30"/>
      </w:pPr>
      <w:r>
        <w:t>综合业务管理</w:t>
      </w:r>
      <w:r>
        <w:tab/>
      </w:r>
      <w:r>
        <w:t>负责避孕药具的管理和发放，提高服务质量</w:t>
      </w:r>
    </w:p>
    <w:p>
      <w:pPr>
        <w:pStyle w:val="30"/>
      </w:pPr>
      <w:r>
        <w:t>文教卫生</w:t>
      </w:r>
      <w:r>
        <w:tab/>
      </w:r>
      <w:r>
        <w:t>配合教育、科技、文体、卫生等部门搞好义务教育，普及推广科学技术，丰富农村文化生活，开展全民健身运动，推行和完善新型合作医疗制度，提高参保率，加强农村食品安全监管。</w:t>
      </w:r>
    </w:p>
    <w:p>
      <w:pPr>
        <w:pStyle w:val="30"/>
      </w:pPr>
      <w:r>
        <w:t>提供公共服务</w:t>
      </w:r>
      <w:r>
        <w:tab/>
      </w:r>
      <w:r>
        <w:t>搞好义务教育，新型农村合作医疗、食品药品安全监管。</w:t>
      </w:r>
    </w:p>
    <w:p>
      <w:pPr>
        <w:pStyle w:val="30"/>
      </w:pPr>
      <w:r>
        <w:t>文化艺术发展</w:t>
      </w:r>
      <w:r>
        <w:tab/>
      </w:r>
      <w:r>
        <w:t>运用多种文化艺术手段，组织开展丰富多彩的群众性文化、艺术、体育活动，提高农民基本素质</w:t>
      </w:r>
    </w:p>
    <w:p>
      <w:pPr>
        <w:pStyle w:val="30"/>
      </w:pPr>
      <w:r>
        <w:t>美丽乡村建设</w:t>
      </w:r>
      <w:r>
        <w:tab/>
      </w:r>
      <w:r>
        <w:t>公共基础设施建设、农村面貌提升</w:t>
      </w:r>
    </w:p>
    <w:p>
      <w:pPr>
        <w:pStyle w:val="30"/>
      </w:pPr>
      <w:r>
        <w:t>新农村建设</w:t>
      </w:r>
      <w:r>
        <w:tab/>
      </w:r>
      <w:r>
        <w:t>完成区域内污水处理、垃圾处理、厕所改造、村庄绿化、危房改造、饮水安全、道路硬化基础设施建设和农村卫生长效机制管理。</w:t>
      </w:r>
    </w:p>
    <w:p>
      <w:pPr>
        <w:pStyle w:val="30"/>
      </w:pPr>
      <w:r>
        <w:t>综合事务管理</w:t>
      </w:r>
      <w:r>
        <w:tab/>
      </w:r>
      <w:r>
        <w:t>加强对社会关注关系民生的社会事管理</w:t>
      </w:r>
    </w:p>
    <w:p>
      <w:pPr>
        <w:pStyle w:val="30"/>
      </w:pPr>
      <w:r>
        <w:t>土地管理</w:t>
      </w:r>
      <w:r>
        <w:tab/>
      </w:r>
      <w:r>
        <w:t>加强规范土地使用</w:t>
      </w:r>
    </w:p>
    <w:p>
      <w:pPr>
        <w:pStyle w:val="30"/>
      </w:pPr>
      <w:r>
        <w:t>环境管理</w:t>
      </w:r>
      <w:r>
        <w:tab/>
      </w:r>
      <w:r>
        <w:t>强化区域环境管理</w:t>
      </w:r>
    </w:p>
    <w:p>
      <w:pPr>
        <w:pStyle w:val="30"/>
      </w:pPr>
      <w:r>
        <w:t>食品安全</w:t>
      </w:r>
      <w:r>
        <w:tab/>
      </w:r>
      <w:r>
        <w:t>强化食品安全管理</w:t>
      </w:r>
    </w:p>
    <w:p>
      <w:pPr>
        <w:pStyle w:val="30"/>
      </w:pPr>
      <w:r>
        <w:t>安全生产管理</w:t>
      </w:r>
      <w:r>
        <w:tab/>
      </w:r>
      <w:r>
        <w:t>建立安全生产监管台账，打击非法生产企业</w:t>
      </w:r>
    </w:p>
    <w:p>
      <w:pPr>
        <w:pStyle w:val="30"/>
      </w:pPr>
      <w:r>
        <w:t>社会治安管理</w:t>
      </w:r>
      <w:r>
        <w:tab/>
      </w:r>
      <w:r>
        <w:t>加强对社会治的巡查</w:t>
      </w:r>
    </w:p>
    <w:p>
      <w:pPr>
        <w:pStyle w:val="30"/>
      </w:pPr>
      <w:r>
        <w:t>协护税</w:t>
      </w:r>
      <w:r>
        <w:tab/>
      </w:r>
      <w:r>
        <w:t>综合治税保证财政收入</w:t>
      </w:r>
    </w:p>
    <w:p>
      <w:pPr>
        <w:pStyle w:val="30"/>
      </w:pPr>
      <w:r>
        <w:t>国有资产及债权债务管理</w:t>
      </w:r>
      <w:r>
        <w:tab/>
      </w:r>
      <w:r>
        <w:t>负责管理镇镇国有资产负责管理镇镇国有资产</w:t>
      </w:r>
    </w:p>
    <w:p>
      <w:pPr>
        <w:pStyle w:val="30"/>
      </w:pPr>
      <w:r>
        <w:t>坚持定期核查</w:t>
      </w:r>
      <w:r>
        <w:tab/>
      </w:r>
      <w:r>
        <w:t>采用按月进行资产核查</w:t>
      </w:r>
    </w:p>
    <w:p>
      <w:pPr>
        <w:pStyle w:val="30"/>
      </w:pPr>
      <w:r>
        <w:t>坚持以收定支</w:t>
      </w:r>
      <w:r>
        <w:tab/>
      </w:r>
      <w:r>
        <w:t>坚持以收定支，杜绝举债行为发生。</w:t>
      </w:r>
    </w:p>
    <w:p>
      <w:pPr>
        <w:pStyle w:val="3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石家庄市藁城区西关镇人民政府本级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31"/>
        <w:rPr>
          <w:lang w:eastAsia="zh-CN"/>
        </w:rPr>
      </w:pPr>
      <w:r>
        <w:t>2022年预算人员经费安排数是911.146049万元，日常公用经费安排数是157.082097万元，特定目标类安排数是278.153万元。</w:t>
      </w:r>
    </w:p>
    <w:p>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反映本部门当年全部收入。2022年预算收入</w:t>
      </w:r>
      <w:r>
        <w:rPr>
          <w:rFonts w:eastAsia="仿宋"/>
          <w:sz w:val="32"/>
          <w:szCs w:val="32"/>
        </w:rPr>
        <w:t>1346.38</w:t>
      </w:r>
      <w:r>
        <w:rPr>
          <w:rFonts w:hint="eastAsia" w:eastAsia="仿宋"/>
          <w:sz w:val="32"/>
          <w:szCs w:val="32"/>
        </w:rPr>
        <w:t>万元，其中：一般公共预算收入</w:t>
      </w:r>
      <w:r>
        <w:t>1346.38</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lang w:eastAsia="zh-CN"/>
        </w:rPr>
      </w:pPr>
      <w:r>
        <w:rPr>
          <w:rFonts w:hint="eastAsia" w:eastAsia="仿宋"/>
          <w:sz w:val="32"/>
          <w:szCs w:val="32"/>
        </w:rPr>
        <w:t>2、</w:t>
      </w:r>
      <w:r>
        <w:rPr>
          <w:rFonts w:eastAsia="仿宋"/>
          <w:sz w:val="32"/>
          <w:szCs w:val="32"/>
        </w:rPr>
        <w:t>支出说明</w:t>
      </w:r>
    </w:p>
    <w:p>
      <w:pPr>
        <w:ind w:firstLine="64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t>1346.38</w:t>
      </w:r>
      <w:r>
        <w:rPr>
          <w:rFonts w:hint="eastAsia" w:eastAsia="仿宋"/>
          <w:sz w:val="32"/>
          <w:szCs w:val="32"/>
        </w:rPr>
        <w:t>万元，其中基本支出</w:t>
      </w:r>
      <w:r>
        <w:rPr>
          <w:rFonts w:hint="eastAsia" w:eastAsia="仿宋"/>
          <w:sz w:val="32"/>
          <w:szCs w:val="32"/>
          <w:lang w:eastAsia="zh-CN"/>
        </w:rPr>
        <w:t>1068.23</w:t>
      </w:r>
      <w:r>
        <w:rPr>
          <w:rFonts w:hint="eastAsia" w:eastAsia="仿宋"/>
          <w:sz w:val="32"/>
          <w:szCs w:val="32"/>
        </w:rPr>
        <w:t>万元，包括人员经费</w:t>
      </w:r>
      <w:r>
        <w:rPr>
          <w:rFonts w:hint="eastAsia" w:eastAsia="仿宋"/>
          <w:sz w:val="32"/>
          <w:szCs w:val="32"/>
          <w:lang w:eastAsia="zh-CN"/>
        </w:rPr>
        <w:t>911.15</w:t>
      </w:r>
      <w:r>
        <w:rPr>
          <w:rFonts w:hint="eastAsia" w:eastAsia="仿宋"/>
          <w:sz w:val="32"/>
          <w:szCs w:val="32"/>
        </w:rPr>
        <w:t>万元和日常公用经费</w:t>
      </w:r>
      <w:r>
        <w:rPr>
          <w:rFonts w:hint="eastAsia" w:eastAsia="仿宋"/>
          <w:sz w:val="32"/>
          <w:szCs w:val="32"/>
          <w:lang w:eastAsia="zh-CN"/>
        </w:rPr>
        <w:t>157.08</w:t>
      </w:r>
      <w:r>
        <w:rPr>
          <w:rFonts w:hint="eastAsia" w:eastAsia="仿宋"/>
          <w:sz w:val="32"/>
          <w:szCs w:val="32"/>
        </w:rPr>
        <w:t>万元；项目支出</w:t>
      </w:r>
      <w:r>
        <w:rPr>
          <w:rFonts w:hint="eastAsia" w:eastAsia="仿宋"/>
          <w:sz w:val="32"/>
          <w:szCs w:val="32"/>
          <w:lang w:eastAsia="zh-CN"/>
        </w:rPr>
        <w:t>278.15</w:t>
      </w:r>
      <w:r>
        <w:rPr>
          <w:rFonts w:hint="eastAsia" w:eastAsia="仿宋"/>
          <w:sz w:val="32"/>
          <w:szCs w:val="32"/>
        </w:rPr>
        <w:t>万元，主要</w:t>
      </w:r>
      <w:bookmarkStart w:id="1" w:name="_GoBack"/>
      <w:bookmarkEnd w:id="1"/>
      <w:r>
        <w:rPr>
          <w:rFonts w:hint="eastAsia" w:eastAsia="仿宋"/>
          <w:sz w:val="32"/>
          <w:szCs w:val="32"/>
        </w:rPr>
        <w:t>为</w:t>
      </w:r>
      <w:r>
        <w:rPr>
          <w:rFonts w:hint="eastAsia" w:eastAsia="仿宋"/>
          <w:sz w:val="32"/>
          <w:szCs w:val="32"/>
          <w:lang w:eastAsia="zh-CN"/>
        </w:rPr>
        <w:t>综合经费55.4</w:t>
      </w:r>
      <w:r>
        <w:rPr>
          <w:rFonts w:hint="eastAsia" w:eastAsia="仿宋"/>
          <w:sz w:val="32"/>
          <w:szCs w:val="32"/>
        </w:rPr>
        <w:t>万元，</w:t>
      </w:r>
      <w:r>
        <w:rPr>
          <w:rFonts w:hint="eastAsia" w:eastAsia="仿宋"/>
          <w:sz w:val="32"/>
          <w:szCs w:val="32"/>
          <w:lang w:eastAsia="zh-CN"/>
        </w:rPr>
        <w:t>政府工会费2.92</w:t>
      </w:r>
      <w:r>
        <w:rPr>
          <w:rFonts w:hint="eastAsia" w:eastAsia="仿宋"/>
          <w:sz w:val="32"/>
          <w:szCs w:val="32"/>
        </w:rPr>
        <w:t>万元，</w:t>
      </w:r>
      <w:r>
        <w:rPr>
          <w:rFonts w:hint="eastAsia" w:eastAsia="仿宋"/>
          <w:sz w:val="32"/>
          <w:szCs w:val="32"/>
          <w:lang w:eastAsia="zh-CN"/>
        </w:rPr>
        <w:t>联防队员工资40</w:t>
      </w:r>
      <w:r>
        <w:rPr>
          <w:rFonts w:hint="eastAsia" w:eastAsia="仿宋"/>
          <w:sz w:val="32"/>
          <w:szCs w:val="32"/>
        </w:rPr>
        <w:t>万元，</w:t>
      </w:r>
      <w:r>
        <w:rPr>
          <w:rFonts w:hint="eastAsia" w:eastAsia="仿宋"/>
          <w:sz w:val="32"/>
          <w:szCs w:val="32"/>
          <w:lang w:eastAsia="zh-CN"/>
        </w:rPr>
        <w:t>学区工会费12.79</w:t>
      </w:r>
      <w:r>
        <w:rPr>
          <w:rFonts w:hint="eastAsia" w:eastAsia="仿宋"/>
          <w:sz w:val="32"/>
          <w:szCs w:val="32"/>
        </w:rPr>
        <w:t>万元</w:t>
      </w:r>
      <w:r>
        <w:rPr>
          <w:rFonts w:hint="eastAsia" w:eastAsia="仿宋"/>
          <w:sz w:val="32"/>
          <w:szCs w:val="32"/>
          <w:lang w:eastAsia="zh-CN"/>
        </w:rPr>
        <w:t>，金五线拓宽、增西路占地补偿24.04万元，独生子女费3.5万元，执法队工作经费65.503万元，</w:t>
      </w:r>
      <w:r>
        <w:rPr>
          <w:rFonts w:eastAsia="仿宋"/>
          <w:sz w:val="32"/>
          <w:szCs w:val="32"/>
        </w:rPr>
        <w:t>农村文化建设资金</w:t>
      </w:r>
      <w:r>
        <w:rPr>
          <w:rFonts w:hint="eastAsia" w:eastAsia="仿宋"/>
          <w:sz w:val="32"/>
          <w:szCs w:val="32"/>
        </w:rPr>
        <w:t xml:space="preserve"> 14万元，</w:t>
      </w:r>
      <w:r>
        <w:rPr>
          <w:rFonts w:eastAsia="仿宋"/>
          <w:sz w:val="32"/>
          <w:szCs w:val="32"/>
        </w:rPr>
        <w:t>石财农【2021】101号关于提前下达2022年省级农村综合改革转移支付</w:t>
      </w:r>
      <w:r>
        <w:rPr>
          <w:rFonts w:hint="eastAsia" w:eastAsia="仿宋"/>
          <w:sz w:val="32"/>
          <w:szCs w:val="32"/>
        </w:rPr>
        <w:t>60万元，其他支出0万元。</w:t>
      </w:r>
    </w:p>
    <w:p>
      <w:pPr>
        <w:spacing w:line="460" w:lineRule="exact"/>
        <w:ind w:firstLine="640"/>
        <w:rPr>
          <w:rFonts w:eastAsia="仿宋"/>
          <w:sz w:val="32"/>
          <w:szCs w:val="32"/>
          <w:lang w:eastAsia="zh-CN"/>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2022年部门预算收支安排</w:t>
      </w:r>
      <w:r>
        <w:rPr>
          <w:rFonts w:hint="eastAsia" w:eastAsia="仿宋"/>
          <w:sz w:val="32"/>
          <w:szCs w:val="32"/>
          <w:lang w:eastAsia="zh-CN"/>
        </w:rPr>
        <w:t>1346.38</w:t>
      </w:r>
      <w:r>
        <w:rPr>
          <w:rFonts w:hint="eastAsia" w:eastAsia="仿宋"/>
          <w:color w:val="000000"/>
          <w:sz w:val="32"/>
          <w:szCs w:val="32"/>
        </w:rPr>
        <w:t>万元，</w:t>
      </w:r>
      <w:r>
        <w:rPr>
          <w:rFonts w:hint="eastAsia" w:eastAsia="仿宋"/>
          <w:sz w:val="32"/>
          <w:szCs w:val="32"/>
        </w:rPr>
        <w:t>较2021年</w:t>
      </w:r>
      <w:r>
        <w:rPr>
          <w:rFonts w:hint="eastAsia" w:eastAsia="仿宋"/>
          <w:sz w:val="32"/>
          <w:szCs w:val="32"/>
          <w:lang w:eastAsia="zh-CN"/>
        </w:rPr>
        <w:t>增加183.7</w:t>
      </w:r>
      <w:r>
        <w:rPr>
          <w:rFonts w:hint="eastAsia" w:eastAsia="仿宋"/>
          <w:sz w:val="32"/>
          <w:szCs w:val="32"/>
        </w:rPr>
        <w:t>万元，其中：基本支出</w:t>
      </w:r>
      <w:r>
        <w:rPr>
          <w:rFonts w:hint="eastAsia" w:eastAsia="仿宋"/>
          <w:sz w:val="32"/>
          <w:szCs w:val="32"/>
          <w:lang w:eastAsia="zh-CN"/>
        </w:rPr>
        <w:t>增加63.95</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w:t>
      </w:r>
      <w:r>
        <w:rPr>
          <w:rFonts w:hint="eastAsia" w:eastAsia="仿宋"/>
          <w:sz w:val="32"/>
          <w:szCs w:val="32"/>
          <w:lang w:eastAsia="zh-CN"/>
        </w:rPr>
        <w:t>119.75</w:t>
      </w:r>
      <w:r>
        <w:rPr>
          <w:rFonts w:hint="eastAsia" w:eastAsia="仿宋"/>
          <w:sz w:val="32"/>
          <w:szCs w:val="32"/>
        </w:rPr>
        <w:t>万元，主要是增加</w:t>
      </w:r>
      <w:r>
        <w:rPr>
          <w:rFonts w:hint="eastAsia" w:eastAsia="仿宋"/>
          <w:sz w:val="32"/>
          <w:szCs w:val="32"/>
          <w:lang w:eastAsia="zh-CN"/>
        </w:rPr>
        <w:t>独生子女费、执法队工作经费、农村文化建设资金、</w:t>
      </w:r>
      <w:r>
        <w:rPr>
          <w:rFonts w:eastAsia="仿宋"/>
          <w:sz w:val="32"/>
          <w:szCs w:val="32"/>
        </w:rPr>
        <w:t>石财农【2021】101号关于提前下达2022年省级农村综合改革转移支付</w:t>
      </w:r>
      <w:r>
        <w:rPr>
          <w:rFonts w:hint="eastAsia" w:eastAsia="仿宋"/>
          <w:sz w:val="32"/>
          <w:szCs w:val="32"/>
        </w:rPr>
        <w:t>资金；减少服务群众专项经费、离任干部补贴</w:t>
      </w:r>
      <w:r>
        <w:rPr>
          <w:rFonts w:hint="eastAsia" w:eastAsia="仿宋"/>
          <w:sz w:val="32"/>
          <w:szCs w:val="32"/>
          <w:lang w:eastAsia="zh-CN"/>
        </w:rPr>
        <w:t>；</w:t>
      </w:r>
      <w:r>
        <w:rPr>
          <w:rFonts w:hint="eastAsia" w:eastAsia="仿宋"/>
          <w:sz w:val="32"/>
          <w:szCs w:val="32"/>
        </w:rPr>
        <w:t>其他支出无增减变化。</w:t>
      </w:r>
    </w:p>
    <w:p>
      <w:pPr>
        <w:pStyle w:val="31"/>
        <w:rPr>
          <w:rFonts w:eastAsia="仿宋"/>
          <w:sz w:val="32"/>
          <w:szCs w:val="32"/>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spacing w:line="460" w:lineRule="exact"/>
        <w:ind w:firstLine="640" w:firstLineChars="200"/>
        <w:rPr>
          <w:rFonts w:ascii="仿宋" w:hAnsi="仿宋" w:eastAsia="仿宋"/>
          <w:sz w:val="32"/>
          <w:szCs w:val="32"/>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157.08</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rPr>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3"/>
        <w:rPr>
          <w:lang w:eastAsia="zh-CN"/>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14.4</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14.4</w:t>
      </w:r>
      <w:r>
        <w:rPr>
          <w:rFonts w:hint="eastAsia" w:eastAsia="仿宋"/>
          <w:sz w:val="32"/>
          <w:szCs w:val="32"/>
        </w:rPr>
        <w:t>万元（其中：公务用车购置费</w:t>
      </w:r>
      <w:r>
        <w:rPr>
          <w:rFonts w:hint="eastAsia" w:eastAsia="仿宋"/>
          <w:sz w:val="32"/>
          <w:szCs w:val="32"/>
          <w:lang w:eastAsia="zh-CN"/>
        </w:rPr>
        <w:t>1</w:t>
      </w:r>
      <w:r>
        <w:rPr>
          <w:rFonts w:hint="eastAsia" w:eastAsia="仿宋"/>
          <w:sz w:val="32"/>
          <w:szCs w:val="32"/>
        </w:rPr>
        <w:t>0万元，公务用车运行维护费</w:t>
      </w:r>
      <w:r>
        <w:rPr>
          <w:rFonts w:hint="eastAsia" w:eastAsia="仿宋"/>
          <w:sz w:val="32"/>
          <w:szCs w:val="32"/>
          <w:lang w:eastAsia="zh-CN"/>
        </w:rPr>
        <w:t>4.4</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w:t>
      </w:r>
      <w:r>
        <w:rPr>
          <w:rFonts w:hint="eastAsia" w:eastAsia="仿宋"/>
          <w:sz w:val="32"/>
          <w:szCs w:val="32"/>
          <w:lang w:eastAsia="zh-CN"/>
        </w:rPr>
        <w:t>增加10万元</w:t>
      </w:r>
      <w:r>
        <w:rPr>
          <w:rFonts w:hint="eastAsia" w:eastAsia="仿宋"/>
          <w:sz w:val="32"/>
          <w:szCs w:val="32"/>
        </w:rPr>
        <w:t>，</w:t>
      </w:r>
      <w:r>
        <w:rPr>
          <w:rFonts w:hint="eastAsia" w:eastAsia="仿宋"/>
          <w:sz w:val="32"/>
          <w:szCs w:val="32"/>
          <w:lang w:eastAsia="zh-CN"/>
        </w:rPr>
        <w:t>主要是增加公车购置费</w:t>
      </w:r>
      <w:r>
        <w:rPr>
          <w:rFonts w:hint="eastAsia" w:eastAsia="仿宋"/>
          <w:sz w:val="32"/>
          <w:szCs w:val="32"/>
        </w:rPr>
        <w:t>。</w:t>
      </w:r>
    </w:p>
    <w:p>
      <w:pPr>
        <w:spacing w:before="10" w:after="10"/>
        <w:ind w:firstLine="640"/>
        <w:outlineLvl w:val="5"/>
      </w:pPr>
      <w:r>
        <w:rPr>
          <w:rFonts w:ascii="黑体" w:hAnsi="黑体" w:eastAsia="黑体" w:cs="黑体"/>
          <w:color w:val="000000"/>
          <w:sz w:val="32"/>
        </w:rPr>
        <w:t>五、预算绩效信息</w:t>
      </w:r>
    </w:p>
    <w:p>
      <w:pPr>
        <w:pStyle w:val="25"/>
        <w:ind w:firstLine="560"/>
      </w:pPr>
      <w:r>
        <w:rPr>
          <w:rFonts w:ascii="方正仿宋_GBK" w:hAnsi="方正仿宋_GBK" w:eastAsia="方正仿宋_GBK" w:cs="方正仿宋_GBK"/>
          <w:b/>
          <w:color w:val="000000"/>
          <w:sz w:val="28"/>
        </w:rPr>
        <w:t>1、金五线拓宽、增西路占地补偿绩效目标表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1.及时拨付金五线拓宽、增西路占地补偿</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拨付占地补偿农户比例</w:t>
            </w:r>
          </w:p>
        </w:tc>
        <w:tc>
          <w:tcPr>
            <w:tcW w:w="2835" w:type="dxa"/>
            <w:vAlign w:val="center"/>
          </w:tcPr>
          <w:p>
            <w:pPr>
              <w:pStyle w:val="27"/>
            </w:pPr>
            <w:r>
              <w:t>拨付占地补偿农户户数占应发放补贴总户数</w:t>
            </w:r>
          </w:p>
        </w:tc>
        <w:tc>
          <w:tcPr>
            <w:tcW w:w="2551" w:type="dxa"/>
            <w:vAlign w:val="center"/>
          </w:tcPr>
          <w:p>
            <w:pPr>
              <w:pStyle w:val="27"/>
            </w:pPr>
            <w:r>
              <w:t>≥100%</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完成率</w:t>
            </w:r>
          </w:p>
        </w:tc>
        <w:tc>
          <w:tcPr>
            <w:tcW w:w="2835" w:type="dxa"/>
            <w:vAlign w:val="center"/>
          </w:tcPr>
          <w:p>
            <w:pPr>
              <w:pStyle w:val="27"/>
            </w:pPr>
            <w:r>
              <w:t>当年镇政府各项工作完成进度</w:t>
            </w:r>
          </w:p>
        </w:tc>
        <w:tc>
          <w:tcPr>
            <w:tcW w:w="2551" w:type="dxa"/>
            <w:vAlign w:val="center"/>
          </w:tcPr>
          <w:p>
            <w:pPr>
              <w:pStyle w:val="27"/>
            </w:pPr>
            <w:r>
              <w:t>≥90%</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拨付及时率</w:t>
            </w:r>
          </w:p>
        </w:tc>
        <w:tc>
          <w:tcPr>
            <w:tcW w:w="2835" w:type="dxa"/>
            <w:vAlign w:val="center"/>
          </w:tcPr>
          <w:p>
            <w:pPr>
              <w:pStyle w:val="27"/>
            </w:pPr>
            <w:r>
              <w:t>及时拨付农户</w:t>
            </w:r>
          </w:p>
        </w:tc>
        <w:tc>
          <w:tcPr>
            <w:tcW w:w="2551" w:type="dxa"/>
            <w:vAlign w:val="center"/>
          </w:tcPr>
          <w:p>
            <w:pPr>
              <w:pStyle w:val="27"/>
            </w:pPr>
            <w:r>
              <w:t>≥95%</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补偿标准</w:t>
            </w:r>
          </w:p>
        </w:tc>
        <w:tc>
          <w:tcPr>
            <w:tcW w:w="2835" w:type="dxa"/>
            <w:vAlign w:val="center"/>
          </w:tcPr>
          <w:p>
            <w:pPr>
              <w:pStyle w:val="27"/>
            </w:pPr>
            <w:r>
              <w:t>是否按照标准进行补偿</w:t>
            </w:r>
          </w:p>
        </w:tc>
        <w:tc>
          <w:tcPr>
            <w:tcW w:w="2551" w:type="dxa"/>
            <w:vAlign w:val="center"/>
          </w:tcPr>
          <w:p>
            <w:pPr>
              <w:pStyle w:val="27"/>
            </w:pPr>
            <w:r>
              <w:t>≥700元/亩</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社会影响力</w:t>
            </w:r>
          </w:p>
        </w:tc>
        <w:tc>
          <w:tcPr>
            <w:tcW w:w="2835" w:type="dxa"/>
            <w:vAlign w:val="center"/>
          </w:tcPr>
          <w:p>
            <w:pPr>
              <w:pStyle w:val="27"/>
            </w:pPr>
            <w:r>
              <w:t>拨付工作在全镇形成的重要影响得到广大群众的认可</w:t>
            </w:r>
          </w:p>
        </w:tc>
        <w:tc>
          <w:tcPr>
            <w:tcW w:w="2551" w:type="dxa"/>
            <w:vAlign w:val="center"/>
          </w:tcPr>
          <w:p>
            <w:pPr>
              <w:pStyle w:val="27"/>
            </w:pPr>
            <w:r>
              <w:t>≥90%</w:t>
            </w:r>
          </w:p>
        </w:tc>
        <w:tc>
          <w:tcPr>
            <w:tcW w:w="2268"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群众对当年工作的满意度</w:t>
            </w:r>
          </w:p>
        </w:tc>
        <w:tc>
          <w:tcPr>
            <w:tcW w:w="2551" w:type="dxa"/>
            <w:vAlign w:val="center"/>
          </w:tcPr>
          <w:p>
            <w:pPr>
              <w:pStyle w:val="27"/>
            </w:pPr>
            <w:r>
              <w:t>≥90%</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2、联防队员工资(综合工作经费）绩效目标表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1.用于2022年联防队员及劳务派遣人员工资</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联防队员等人数</w:t>
            </w:r>
          </w:p>
        </w:tc>
        <w:tc>
          <w:tcPr>
            <w:tcW w:w="2835" w:type="dxa"/>
            <w:vAlign w:val="center"/>
          </w:tcPr>
          <w:p>
            <w:pPr>
              <w:pStyle w:val="27"/>
            </w:pPr>
            <w:r>
              <w:t>对联防队员等17人支付工资</w:t>
            </w:r>
          </w:p>
        </w:tc>
        <w:tc>
          <w:tcPr>
            <w:tcW w:w="2551" w:type="dxa"/>
            <w:vAlign w:val="center"/>
          </w:tcPr>
          <w:p>
            <w:pPr>
              <w:pStyle w:val="27"/>
            </w:pPr>
            <w:r>
              <w:t>≥17人</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资金到位率</w:t>
            </w:r>
          </w:p>
        </w:tc>
        <w:tc>
          <w:tcPr>
            <w:tcW w:w="2835" w:type="dxa"/>
            <w:vAlign w:val="center"/>
          </w:tcPr>
          <w:p>
            <w:pPr>
              <w:pStyle w:val="27"/>
            </w:pPr>
            <w:r>
              <w:t>资金到位率</w:t>
            </w:r>
          </w:p>
        </w:tc>
        <w:tc>
          <w:tcPr>
            <w:tcW w:w="2551" w:type="dxa"/>
            <w:vAlign w:val="center"/>
          </w:tcPr>
          <w:p>
            <w:pPr>
              <w:pStyle w:val="27"/>
            </w:pPr>
            <w:r>
              <w:t>≥95%</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发放率</w:t>
            </w:r>
          </w:p>
        </w:tc>
        <w:tc>
          <w:tcPr>
            <w:tcW w:w="2835" w:type="dxa"/>
            <w:vAlign w:val="center"/>
          </w:tcPr>
          <w:p>
            <w:pPr>
              <w:pStyle w:val="27"/>
            </w:pPr>
            <w:r>
              <w:t>发放率</w:t>
            </w:r>
          </w:p>
        </w:tc>
        <w:tc>
          <w:tcPr>
            <w:tcW w:w="2551" w:type="dxa"/>
            <w:vAlign w:val="center"/>
          </w:tcPr>
          <w:p>
            <w:pPr>
              <w:pStyle w:val="27"/>
            </w:pPr>
            <w:r>
              <w:t>≥98%</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人均发放水平</w:t>
            </w:r>
          </w:p>
        </w:tc>
        <w:tc>
          <w:tcPr>
            <w:tcW w:w="2835" w:type="dxa"/>
            <w:vAlign w:val="center"/>
          </w:tcPr>
          <w:p>
            <w:pPr>
              <w:pStyle w:val="27"/>
            </w:pPr>
            <w:r>
              <w:t>人均发放水平</w:t>
            </w:r>
          </w:p>
        </w:tc>
        <w:tc>
          <w:tcPr>
            <w:tcW w:w="2551" w:type="dxa"/>
            <w:vAlign w:val="center"/>
          </w:tcPr>
          <w:p>
            <w:pPr>
              <w:pStyle w:val="27"/>
            </w:pPr>
            <w:r>
              <w:t>≥1800元/月</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可持续影响指标</w:t>
            </w:r>
          </w:p>
        </w:tc>
        <w:tc>
          <w:tcPr>
            <w:tcW w:w="2835" w:type="dxa"/>
            <w:vAlign w:val="center"/>
          </w:tcPr>
          <w:p>
            <w:pPr>
              <w:pStyle w:val="27"/>
            </w:pPr>
            <w:r>
              <w:t>基本公共服务水平</w:t>
            </w:r>
          </w:p>
        </w:tc>
        <w:tc>
          <w:tcPr>
            <w:tcW w:w="2835" w:type="dxa"/>
            <w:vAlign w:val="center"/>
          </w:tcPr>
          <w:p>
            <w:pPr>
              <w:pStyle w:val="27"/>
            </w:pPr>
            <w:r>
              <w:t>基本公共服务水平</w:t>
            </w:r>
          </w:p>
        </w:tc>
        <w:tc>
          <w:tcPr>
            <w:tcW w:w="2551" w:type="dxa"/>
            <w:vAlign w:val="center"/>
          </w:tcPr>
          <w:p>
            <w:pPr>
              <w:pStyle w:val="27"/>
            </w:pPr>
            <w:r>
              <w:t>≥95%</w:t>
            </w:r>
          </w:p>
        </w:tc>
        <w:tc>
          <w:tcPr>
            <w:tcW w:w="2268"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群众满意度</w:t>
            </w:r>
          </w:p>
        </w:tc>
        <w:tc>
          <w:tcPr>
            <w:tcW w:w="2551" w:type="dxa"/>
            <w:vAlign w:val="center"/>
          </w:tcPr>
          <w:p>
            <w:pPr>
              <w:pStyle w:val="27"/>
            </w:pPr>
            <w:r>
              <w:t>≥90%</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3、农村独生子女费绩效目标表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1.对全镇独生子女户进行奖励</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全镇14村</w:t>
            </w:r>
          </w:p>
        </w:tc>
        <w:tc>
          <w:tcPr>
            <w:tcW w:w="2835" w:type="dxa"/>
            <w:vAlign w:val="center"/>
          </w:tcPr>
          <w:p>
            <w:pPr>
              <w:pStyle w:val="27"/>
            </w:pPr>
            <w:r>
              <w:t>对全镇14村独生子女户进行奖励</w:t>
            </w:r>
          </w:p>
        </w:tc>
        <w:tc>
          <w:tcPr>
            <w:tcW w:w="2551" w:type="dxa"/>
            <w:vAlign w:val="center"/>
          </w:tcPr>
          <w:p>
            <w:pPr>
              <w:pStyle w:val="27"/>
            </w:pPr>
            <w:r>
              <w:t>14个</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及时足额发放</w:t>
            </w:r>
          </w:p>
        </w:tc>
        <w:tc>
          <w:tcPr>
            <w:tcW w:w="2835" w:type="dxa"/>
            <w:vAlign w:val="center"/>
          </w:tcPr>
          <w:p>
            <w:pPr>
              <w:pStyle w:val="27"/>
            </w:pPr>
            <w:r>
              <w:t>对全部独生子女户及时足额发放</w:t>
            </w:r>
          </w:p>
        </w:tc>
        <w:tc>
          <w:tcPr>
            <w:tcW w:w="2551" w:type="dxa"/>
            <w:vAlign w:val="center"/>
          </w:tcPr>
          <w:p>
            <w:pPr>
              <w:pStyle w:val="27"/>
            </w:pPr>
            <w:r>
              <w:t>≥95%</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及时发放</w:t>
            </w:r>
          </w:p>
        </w:tc>
        <w:tc>
          <w:tcPr>
            <w:tcW w:w="2835" w:type="dxa"/>
            <w:vAlign w:val="center"/>
          </w:tcPr>
          <w:p>
            <w:pPr>
              <w:pStyle w:val="27"/>
            </w:pPr>
            <w:r>
              <w:t>按季及时发放</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人均发放水平</w:t>
            </w:r>
          </w:p>
        </w:tc>
        <w:tc>
          <w:tcPr>
            <w:tcW w:w="2835" w:type="dxa"/>
            <w:vAlign w:val="center"/>
          </w:tcPr>
          <w:p>
            <w:pPr>
              <w:pStyle w:val="27"/>
            </w:pPr>
            <w:r>
              <w:t>人均发放水平</w:t>
            </w:r>
          </w:p>
        </w:tc>
        <w:tc>
          <w:tcPr>
            <w:tcW w:w="2551" w:type="dxa"/>
            <w:vAlign w:val="center"/>
          </w:tcPr>
          <w:p>
            <w:pPr>
              <w:pStyle w:val="27"/>
            </w:pPr>
            <w:r>
              <w:t>≥10元</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受益总人数</w:t>
            </w:r>
          </w:p>
        </w:tc>
        <w:tc>
          <w:tcPr>
            <w:tcW w:w="2835" w:type="dxa"/>
            <w:vAlign w:val="center"/>
          </w:tcPr>
          <w:p>
            <w:pPr>
              <w:pStyle w:val="27"/>
            </w:pPr>
            <w:r>
              <w:t>受益总人数</w:t>
            </w:r>
          </w:p>
        </w:tc>
        <w:tc>
          <w:tcPr>
            <w:tcW w:w="2551" w:type="dxa"/>
            <w:vAlign w:val="center"/>
          </w:tcPr>
          <w:p>
            <w:pPr>
              <w:pStyle w:val="27"/>
            </w:pPr>
            <w:r>
              <w:t>≥98%</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独生子女户满意度</w:t>
            </w:r>
          </w:p>
        </w:tc>
        <w:tc>
          <w:tcPr>
            <w:tcW w:w="2835" w:type="dxa"/>
            <w:vAlign w:val="center"/>
          </w:tcPr>
          <w:p>
            <w:pPr>
              <w:pStyle w:val="27"/>
            </w:pPr>
            <w:r>
              <w:t>独生子女对奖励发放的满意程度</w:t>
            </w:r>
          </w:p>
        </w:tc>
        <w:tc>
          <w:tcPr>
            <w:tcW w:w="2551" w:type="dxa"/>
            <w:vAlign w:val="center"/>
          </w:tcPr>
          <w:p>
            <w:pPr>
              <w:pStyle w:val="27"/>
            </w:pPr>
            <w:r>
              <w:t>≥90%</w:t>
            </w:r>
          </w:p>
        </w:tc>
        <w:tc>
          <w:tcPr>
            <w:tcW w:w="2268" w:type="dxa"/>
            <w:vAlign w:val="center"/>
          </w:tcPr>
          <w:p>
            <w:pPr>
              <w:pStyle w:val="27"/>
            </w:pPr>
            <w:r>
              <w:t>调查问卷</w:t>
            </w:r>
          </w:p>
        </w:tc>
      </w:tr>
    </w:tbl>
    <w:p>
      <w:pPr>
        <w:pStyle w:val="25"/>
      </w:pPr>
    </w:p>
    <w:p>
      <w:pPr>
        <w:pStyle w:val="25"/>
        <w:ind w:firstLine="560"/>
      </w:pPr>
      <w:r>
        <w:rPr>
          <w:rFonts w:ascii="方正仿宋_GBK" w:hAnsi="方正仿宋_GBK" w:eastAsia="方正仿宋_GBK" w:cs="方正仿宋_GBK"/>
          <w:b/>
          <w:color w:val="000000"/>
          <w:sz w:val="28"/>
        </w:rPr>
        <w:t>4、农村文化建设资金绩效目标表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1.用于各村文化建设方面的支出</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辖区内所有村</w:t>
            </w:r>
          </w:p>
        </w:tc>
        <w:tc>
          <w:tcPr>
            <w:tcW w:w="2835" w:type="dxa"/>
            <w:vAlign w:val="center"/>
          </w:tcPr>
          <w:p>
            <w:pPr>
              <w:pStyle w:val="27"/>
            </w:pPr>
            <w:r>
              <w:t>资金拨付覆盖辖区内14个村</w:t>
            </w:r>
          </w:p>
        </w:tc>
        <w:tc>
          <w:tcPr>
            <w:tcW w:w="2551" w:type="dxa"/>
            <w:vAlign w:val="center"/>
          </w:tcPr>
          <w:p>
            <w:pPr>
              <w:pStyle w:val="27"/>
            </w:pPr>
            <w:r>
              <w:t>≤14个村</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每村拨付数量</w:t>
            </w:r>
          </w:p>
        </w:tc>
        <w:tc>
          <w:tcPr>
            <w:tcW w:w="2835" w:type="dxa"/>
            <w:vAlign w:val="center"/>
          </w:tcPr>
          <w:p>
            <w:pPr>
              <w:pStyle w:val="27"/>
            </w:pPr>
            <w:r>
              <w:t>各村拨付资金数额</w:t>
            </w:r>
          </w:p>
        </w:tc>
        <w:tc>
          <w:tcPr>
            <w:tcW w:w="2551" w:type="dxa"/>
            <w:vAlign w:val="center"/>
          </w:tcPr>
          <w:p>
            <w:pPr>
              <w:pStyle w:val="27"/>
            </w:pPr>
            <w:r>
              <w:t>1万元</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资金拨付及时率</w:t>
            </w:r>
          </w:p>
        </w:tc>
        <w:tc>
          <w:tcPr>
            <w:tcW w:w="2835" w:type="dxa"/>
            <w:vAlign w:val="center"/>
          </w:tcPr>
          <w:p>
            <w:pPr>
              <w:pStyle w:val="27"/>
            </w:pPr>
            <w:r>
              <w:t>资金及时足额拨付各村</w:t>
            </w:r>
          </w:p>
        </w:tc>
        <w:tc>
          <w:tcPr>
            <w:tcW w:w="2551" w:type="dxa"/>
            <w:vAlign w:val="center"/>
          </w:tcPr>
          <w:p>
            <w:pPr>
              <w:pStyle w:val="27"/>
            </w:pPr>
            <w:r>
              <w:t>≥90%</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成本指标</w:t>
            </w:r>
          </w:p>
        </w:tc>
        <w:tc>
          <w:tcPr>
            <w:tcW w:w="2835" w:type="dxa"/>
            <w:vAlign w:val="center"/>
          </w:tcPr>
          <w:p>
            <w:pPr>
              <w:pStyle w:val="27"/>
            </w:pPr>
            <w:r>
              <w:t>成本指标</w:t>
            </w:r>
          </w:p>
        </w:tc>
        <w:tc>
          <w:tcPr>
            <w:tcW w:w="2551" w:type="dxa"/>
            <w:vAlign w:val="center"/>
          </w:tcPr>
          <w:p>
            <w:pPr>
              <w:pStyle w:val="27"/>
            </w:pPr>
            <w:r>
              <w:t>≥90%</w:t>
            </w:r>
          </w:p>
        </w:tc>
        <w:tc>
          <w:tcPr>
            <w:tcW w:w="2268" w:type="dxa"/>
            <w:vAlign w:val="center"/>
          </w:tcPr>
          <w:p>
            <w:pPr>
              <w:pStyle w:val="27"/>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社会影响力</w:t>
            </w:r>
          </w:p>
        </w:tc>
        <w:tc>
          <w:tcPr>
            <w:tcW w:w="2835" w:type="dxa"/>
            <w:vAlign w:val="center"/>
          </w:tcPr>
          <w:p>
            <w:pPr>
              <w:pStyle w:val="27"/>
            </w:pPr>
            <w:r>
              <w:t>社会影响力</w:t>
            </w:r>
          </w:p>
        </w:tc>
        <w:tc>
          <w:tcPr>
            <w:tcW w:w="2551" w:type="dxa"/>
            <w:vAlign w:val="center"/>
          </w:tcPr>
          <w:p>
            <w:pPr>
              <w:pStyle w:val="27"/>
            </w:pPr>
            <w:r>
              <w:t>≥90%</w:t>
            </w:r>
          </w:p>
        </w:tc>
        <w:tc>
          <w:tcPr>
            <w:tcW w:w="2268"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群众满意度</w:t>
            </w:r>
          </w:p>
        </w:tc>
        <w:tc>
          <w:tcPr>
            <w:tcW w:w="2551" w:type="dxa"/>
            <w:vAlign w:val="center"/>
          </w:tcPr>
          <w:p>
            <w:pPr>
              <w:pStyle w:val="27"/>
            </w:pPr>
            <w:r>
              <w:t>≥90%</w:t>
            </w:r>
          </w:p>
        </w:tc>
        <w:tc>
          <w:tcPr>
            <w:tcW w:w="2268" w:type="dxa"/>
            <w:vAlign w:val="center"/>
          </w:tcPr>
          <w:p>
            <w:pPr>
              <w:pStyle w:val="27"/>
            </w:pPr>
            <w:r>
              <w:t>走访调查</w:t>
            </w:r>
          </w:p>
        </w:tc>
      </w:tr>
    </w:tbl>
    <w:p>
      <w:pPr>
        <w:pStyle w:val="25"/>
      </w:pPr>
    </w:p>
    <w:p>
      <w:pPr>
        <w:pStyle w:val="25"/>
        <w:ind w:firstLine="560"/>
      </w:pPr>
      <w:r>
        <w:rPr>
          <w:rFonts w:ascii="方正仿宋_GBK" w:hAnsi="方正仿宋_GBK" w:eastAsia="方正仿宋_GBK" w:cs="方正仿宋_GBK"/>
          <w:b/>
          <w:color w:val="000000"/>
          <w:sz w:val="28"/>
        </w:rPr>
        <w:t>5、石财农【2021】101号关于提前下达2022年省级农村综合改革转移支付预算的通知绩效目标表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1.加强村基础设施建设，改善农村环境</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村级个数</w:t>
            </w:r>
          </w:p>
        </w:tc>
        <w:tc>
          <w:tcPr>
            <w:tcW w:w="2835" w:type="dxa"/>
            <w:vAlign w:val="center"/>
          </w:tcPr>
          <w:p>
            <w:pPr>
              <w:pStyle w:val="27"/>
            </w:pPr>
            <w:r>
              <w:t>建设村级公益事业村个数</w:t>
            </w:r>
          </w:p>
        </w:tc>
        <w:tc>
          <w:tcPr>
            <w:tcW w:w="2551" w:type="dxa"/>
            <w:vAlign w:val="center"/>
          </w:tcPr>
          <w:p>
            <w:pPr>
              <w:pStyle w:val="27"/>
            </w:pPr>
            <w:r>
              <w:t>≥1个</w:t>
            </w:r>
          </w:p>
        </w:tc>
        <w:tc>
          <w:tcPr>
            <w:tcW w:w="2268"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工程验收合格率</w:t>
            </w:r>
          </w:p>
        </w:tc>
        <w:tc>
          <w:tcPr>
            <w:tcW w:w="2835" w:type="dxa"/>
            <w:vAlign w:val="center"/>
          </w:tcPr>
          <w:p>
            <w:pPr>
              <w:pStyle w:val="27"/>
            </w:pPr>
            <w:r>
              <w:t>全部工程完工后验收符合行业标准质量要求比率</w:t>
            </w:r>
          </w:p>
        </w:tc>
        <w:tc>
          <w:tcPr>
            <w:tcW w:w="2551" w:type="dxa"/>
            <w:vAlign w:val="center"/>
          </w:tcPr>
          <w:p>
            <w:pPr>
              <w:pStyle w:val="27"/>
            </w:pPr>
            <w:r>
              <w:t>≥95%</w:t>
            </w:r>
          </w:p>
        </w:tc>
        <w:tc>
          <w:tcPr>
            <w:tcW w:w="2268"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资金拨付及时率</w:t>
            </w:r>
          </w:p>
        </w:tc>
        <w:tc>
          <w:tcPr>
            <w:tcW w:w="2835" w:type="dxa"/>
            <w:vAlign w:val="center"/>
          </w:tcPr>
          <w:p>
            <w:pPr>
              <w:pStyle w:val="27"/>
            </w:pPr>
            <w:r>
              <w:t>按照年初预算标准合理分配及时拨付</w:t>
            </w:r>
          </w:p>
        </w:tc>
        <w:tc>
          <w:tcPr>
            <w:tcW w:w="2551" w:type="dxa"/>
            <w:vAlign w:val="center"/>
          </w:tcPr>
          <w:p>
            <w:pPr>
              <w:pStyle w:val="27"/>
            </w:pPr>
            <w:r>
              <w:t>≥95%</w:t>
            </w:r>
          </w:p>
        </w:tc>
        <w:tc>
          <w:tcPr>
            <w:tcW w:w="2268"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预算成本</w:t>
            </w:r>
          </w:p>
        </w:tc>
        <w:tc>
          <w:tcPr>
            <w:tcW w:w="2835" w:type="dxa"/>
            <w:vAlign w:val="center"/>
          </w:tcPr>
          <w:p>
            <w:pPr>
              <w:pStyle w:val="27"/>
            </w:pPr>
            <w:r>
              <w:t>按照预算项目执行</w:t>
            </w:r>
          </w:p>
        </w:tc>
        <w:tc>
          <w:tcPr>
            <w:tcW w:w="2551" w:type="dxa"/>
            <w:vAlign w:val="center"/>
          </w:tcPr>
          <w:p>
            <w:pPr>
              <w:pStyle w:val="27"/>
            </w:pPr>
            <w:r>
              <w:t>元/项</w:t>
            </w:r>
          </w:p>
        </w:tc>
        <w:tc>
          <w:tcPr>
            <w:tcW w:w="2268"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农村环境得到改善</w:t>
            </w:r>
          </w:p>
        </w:tc>
        <w:tc>
          <w:tcPr>
            <w:tcW w:w="2835" w:type="dxa"/>
            <w:vAlign w:val="center"/>
          </w:tcPr>
          <w:p>
            <w:pPr>
              <w:pStyle w:val="27"/>
            </w:pPr>
            <w:r>
              <w:t>农村环境有所提升也得到了有效改善</w:t>
            </w:r>
          </w:p>
        </w:tc>
        <w:tc>
          <w:tcPr>
            <w:tcW w:w="2551" w:type="dxa"/>
            <w:vAlign w:val="center"/>
          </w:tcPr>
          <w:p>
            <w:pPr>
              <w:pStyle w:val="27"/>
            </w:pPr>
            <w:r>
              <w:t>≥95%</w:t>
            </w:r>
          </w:p>
        </w:tc>
        <w:tc>
          <w:tcPr>
            <w:tcW w:w="2268"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群众对当年农村公益事业建设的整体满意度</w:t>
            </w:r>
          </w:p>
        </w:tc>
        <w:tc>
          <w:tcPr>
            <w:tcW w:w="2551" w:type="dxa"/>
            <w:vAlign w:val="center"/>
          </w:tcPr>
          <w:p>
            <w:pPr>
              <w:pStyle w:val="27"/>
            </w:pPr>
            <w:r>
              <w:t>≥95%</w:t>
            </w:r>
          </w:p>
        </w:tc>
        <w:tc>
          <w:tcPr>
            <w:tcW w:w="2268" w:type="dxa"/>
            <w:vAlign w:val="center"/>
          </w:tcPr>
          <w:p>
            <w:pPr>
              <w:pStyle w:val="27"/>
            </w:pPr>
            <w:r>
              <w:t>问卷调查</w:t>
            </w:r>
          </w:p>
        </w:tc>
      </w:tr>
    </w:tbl>
    <w:p>
      <w:pPr>
        <w:pStyle w:val="25"/>
      </w:pPr>
    </w:p>
    <w:p>
      <w:pPr>
        <w:pStyle w:val="25"/>
        <w:ind w:firstLine="560"/>
      </w:pPr>
      <w:r>
        <w:rPr>
          <w:rFonts w:ascii="方正仿宋_GBK" w:hAnsi="方正仿宋_GBK" w:eastAsia="方正仿宋_GBK" w:cs="方正仿宋_GBK"/>
          <w:b/>
          <w:color w:val="000000"/>
          <w:sz w:val="28"/>
        </w:rPr>
        <w:t>6、学区工会费绩效目标表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1.及时足额上缴工会费，保障工会工作的正常运转</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覆盖率</w:t>
            </w:r>
          </w:p>
        </w:tc>
        <w:tc>
          <w:tcPr>
            <w:tcW w:w="2835" w:type="dxa"/>
            <w:vAlign w:val="center"/>
          </w:tcPr>
          <w:p>
            <w:pPr>
              <w:pStyle w:val="27"/>
            </w:pPr>
            <w:r>
              <w:t>覆盖率达到工会要求</w:t>
            </w:r>
          </w:p>
        </w:tc>
        <w:tc>
          <w:tcPr>
            <w:tcW w:w="2551" w:type="dxa"/>
            <w:vAlign w:val="center"/>
          </w:tcPr>
          <w:p>
            <w:pPr>
              <w:pStyle w:val="27"/>
            </w:pPr>
            <w:r>
              <w:t>≥90%</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上缴资金完成率</w:t>
            </w:r>
          </w:p>
        </w:tc>
        <w:tc>
          <w:tcPr>
            <w:tcW w:w="2835" w:type="dxa"/>
            <w:vAlign w:val="center"/>
          </w:tcPr>
          <w:p>
            <w:pPr>
              <w:pStyle w:val="27"/>
            </w:pPr>
            <w:r>
              <w:t>按照工会安排资金数量上缴工会费</w:t>
            </w:r>
          </w:p>
        </w:tc>
        <w:tc>
          <w:tcPr>
            <w:tcW w:w="2551" w:type="dxa"/>
            <w:vAlign w:val="center"/>
          </w:tcPr>
          <w:p>
            <w:pPr>
              <w:pStyle w:val="27"/>
            </w:pPr>
            <w:r>
              <w:t>≥90%</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上缴资金及时率</w:t>
            </w:r>
          </w:p>
        </w:tc>
        <w:tc>
          <w:tcPr>
            <w:tcW w:w="2835" w:type="dxa"/>
            <w:vAlign w:val="center"/>
          </w:tcPr>
          <w:p>
            <w:pPr>
              <w:pStyle w:val="27"/>
            </w:pPr>
            <w:r>
              <w:t>按照区工会安排时间进度上缴工会费</w:t>
            </w:r>
          </w:p>
        </w:tc>
        <w:tc>
          <w:tcPr>
            <w:tcW w:w="2551" w:type="dxa"/>
            <w:vAlign w:val="center"/>
          </w:tcPr>
          <w:p>
            <w:pPr>
              <w:pStyle w:val="27"/>
            </w:pPr>
            <w:r>
              <w:t>≥90%</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财政投入</w:t>
            </w:r>
          </w:p>
        </w:tc>
        <w:tc>
          <w:tcPr>
            <w:tcW w:w="2835" w:type="dxa"/>
            <w:vAlign w:val="center"/>
          </w:tcPr>
          <w:p>
            <w:pPr>
              <w:pStyle w:val="27"/>
            </w:pPr>
            <w:r>
              <w:t>财政投入</w:t>
            </w:r>
          </w:p>
        </w:tc>
        <w:tc>
          <w:tcPr>
            <w:tcW w:w="2551" w:type="dxa"/>
            <w:vAlign w:val="center"/>
          </w:tcPr>
          <w:p>
            <w:pPr>
              <w:pStyle w:val="27"/>
            </w:pPr>
            <w:r>
              <w:t>按照上解比例安排预算资金</w:t>
            </w:r>
          </w:p>
        </w:tc>
        <w:tc>
          <w:tcPr>
            <w:tcW w:w="2268" w:type="dxa"/>
            <w:vAlign w:val="center"/>
          </w:tcPr>
          <w:p>
            <w:pPr>
              <w:pStyle w:val="27"/>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社会影响力</w:t>
            </w:r>
          </w:p>
        </w:tc>
        <w:tc>
          <w:tcPr>
            <w:tcW w:w="2835" w:type="dxa"/>
            <w:vAlign w:val="center"/>
          </w:tcPr>
          <w:p>
            <w:pPr>
              <w:pStyle w:val="27"/>
            </w:pPr>
            <w:r>
              <w:t>工会工作在全镇形成的重要影响得到认可</w:t>
            </w:r>
          </w:p>
        </w:tc>
        <w:tc>
          <w:tcPr>
            <w:tcW w:w="2551" w:type="dxa"/>
            <w:vAlign w:val="center"/>
          </w:tcPr>
          <w:p>
            <w:pPr>
              <w:pStyle w:val="27"/>
            </w:pPr>
            <w:r>
              <w:t>≥90%</w:t>
            </w:r>
          </w:p>
        </w:tc>
        <w:tc>
          <w:tcPr>
            <w:tcW w:w="2268" w:type="dxa"/>
            <w:vAlign w:val="center"/>
          </w:tcPr>
          <w:p>
            <w:pPr>
              <w:pStyle w:val="27"/>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对政府供给工作的满意度</w:t>
            </w:r>
          </w:p>
        </w:tc>
        <w:tc>
          <w:tcPr>
            <w:tcW w:w="2551" w:type="dxa"/>
            <w:vAlign w:val="center"/>
          </w:tcPr>
          <w:p>
            <w:pPr>
              <w:pStyle w:val="27"/>
            </w:pPr>
            <w:r>
              <w:t>≥90%</w:t>
            </w:r>
          </w:p>
        </w:tc>
        <w:tc>
          <w:tcPr>
            <w:tcW w:w="2268" w:type="dxa"/>
            <w:vAlign w:val="center"/>
          </w:tcPr>
          <w:p>
            <w:pPr>
              <w:pStyle w:val="27"/>
            </w:pPr>
            <w:r>
              <w:t>考核结果</w:t>
            </w:r>
          </w:p>
        </w:tc>
      </w:tr>
    </w:tbl>
    <w:p>
      <w:pPr>
        <w:pStyle w:val="25"/>
      </w:pPr>
    </w:p>
    <w:p>
      <w:pPr>
        <w:pStyle w:val="25"/>
        <w:ind w:firstLine="560"/>
      </w:pPr>
      <w:r>
        <w:rPr>
          <w:rFonts w:ascii="方正仿宋_GBK" w:hAnsi="方正仿宋_GBK" w:eastAsia="方正仿宋_GBK" w:cs="方正仿宋_GBK"/>
          <w:b/>
          <w:color w:val="000000"/>
          <w:sz w:val="28"/>
        </w:rPr>
        <w:t>7、政府工会费绩效目标表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1.及时足额上缴工会费，保障工会工作正常开展</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覆盖率</w:t>
            </w:r>
          </w:p>
        </w:tc>
        <w:tc>
          <w:tcPr>
            <w:tcW w:w="2835" w:type="dxa"/>
            <w:vAlign w:val="center"/>
          </w:tcPr>
          <w:p>
            <w:pPr>
              <w:pStyle w:val="27"/>
            </w:pPr>
            <w:r>
              <w:t>覆盖率达到工会要求</w:t>
            </w:r>
          </w:p>
        </w:tc>
        <w:tc>
          <w:tcPr>
            <w:tcW w:w="2551" w:type="dxa"/>
            <w:vAlign w:val="center"/>
          </w:tcPr>
          <w:p>
            <w:pPr>
              <w:pStyle w:val="27"/>
            </w:pPr>
            <w:r>
              <w:t>≥90百分比</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上缴资金完成率</w:t>
            </w:r>
          </w:p>
        </w:tc>
        <w:tc>
          <w:tcPr>
            <w:tcW w:w="2835" w:type="dxa"/>
            <w:vAlign w:val="center"/>
          </w:tcPr>
          <w:p>
            <w:pPr>
              <w:pStyle w:val="27"/>
            </w:pPr>
            <w:r>
              <w:t>按照工会安排资金数量上缴工会费</w:t>
            </w:r>
          </w:p>
        </w:tc>
        <w:tc>
          <w:tcPr>
            <w:tcW w:w="2551" w:type="dxa"/>
            <w:vAlign w:val="center"/>
          </w:tcPr>
          <w:p>
            <w:pPr>
              <w:pStyle w:val="27"/>
            </w:pPr>
            <w:r>
              <w:t>≥90百分比</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上缴资金及时率</w:t>
            </w:r>
          </w:p>
        </w:tc>
        <w:tc>
          <w:tcPr>
            <w:tcW w:w="2835" w:type="dxa"/>
            <w:vAlign w:val="center"/>
          </w:tcPr>
          <w:p>
            <w:pPr>
              <w:pStyle w:val="27"/>
            </w:pPr>
            <w:r>
              <w:t>按照区工会安排时间进度上缴工会费</w:t>
            </w:r>
          </w:p>
        </w:tc>
        <w:tc>
          <w:tcPr>
            <w:tcW w:w="2551" w:type="dxa"/>
            <w:vAlign w:val="center"/>
          </w:tcPr>
          <w:p>
            <w:pPr>
              <w:pStyle w:val="27"/>
            </w:pPr>
            <w:r>
              <w:t>≥90百分比</w:t>
            </w:r>
          </w:p>
        </w:tc>
        <w:tc>
          <w:tcPr>
            <w:tcW w:w="2268" w:type="dxa"/>
            <w:vAlign w:val="center"/>
          </w:tcPr>
          <w:p>
            <w:pPr>
              <w:pStyle w:val="27"/>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财政投入</w:t>
            </w:r>
          </w:p>
        </w:tc>
        <w:tc>
          <w:tcPr>
            <w:tcW w:w="2835" w:type="dxa"/>
            <w:vAlign w:val="center"/>
          </w:tcPr>
          <w:p>
            <w:pPr>
              <w:pStyle w:val="27"/>
            </w:pPr>
            <w:r>
              <w:t>财政投入</w:t>
            </w:r>
          </w:p>
        </w:tc>
        <w:tc>
          <w:tcPr>
            <w:tcW w:w="2551" w:type="dxa"/>
            <w:vAlign w:val="center"/>
          </w:tcPr>
          <w:p>
            <w:pPr>
              <w:pStyle w:val="27"/>
            </w:pPr>
            <w:r>
              <w:t>按照上解比例安排预算资金</w:t>
            </w:r>
          </w:p>
        </w:tc>
        <w:tc>
          <w:tcPr>
            <w:tcW w:w="2268" w:type="dxa"/>
            <w:vAlign w:val="center"/>
          </w:tcPr>
          <w:p>
            <w:pPr>
              <w:pStyle w:val="27"/>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社会影响力</w:t>
            </w:r>
          </w:p>
        </w:tc>
        <w:tc>
          <w:tcPr>
            <w:tcW w:w="2835" w:type="dxa"/>
            <w:vAlign w:val="center"/>
          </w:tcPr>
          <w:p>
            <w:pPr>
              <w:pStyle w:val="27"/>
            </w:pPr>
            <w:r>
              <w:t>工会工作在全镇形成的重要影响得到认可</w:t>
            </w:r>
          </w:p>
        </w:tc>
        <w:tc>
          <w:tcPr>
            <w:tcW w:w="2551" w:type="dxa"/>
            <w:vAlign w:val="center"/>
          </w:tcPr>
          <w:p>
            <w:pPr>
              <w:pStyle w:val="27"/>
            </w:pPr>
            <w:r>
              <w:t>≥85百分比</w:t>
            </w:r>
          </w:p>
        </w:tc>
        <w:tc>
          <w:tcPr>
            <w:tcW w:w="2268" w:type="dxa"/>
            <w:vAlign w:val="center"/>
          </w:tcPr>
          <w:p>
            <w:pPr>
              <w:pStyle w:val="27"/>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群众对当年工作的满意数量占总数的比例</w:t>
            </w:r>
          </w:p>
        </w:tc>
        <w:tc>
          <w:tcPr>
            <w:tcW w:w="2551" w:type="dxa"/>
            <w:vAlign w:val="center"/>
          </w:tcPr>
          <w:p>
            <w:pPr>
              <w:pStyle w:val="27"/>
            </w:pPr>
            <w:r>
              <w:t>≥90百分比</w:t>
            </w:r>
          </w:p>
        </w:tc>
        <w:tc>
          <w:tcPr>
            <w:tcW w:w="2268" w:type="dxa"/>
            <w:vAlign w:val="center"/>
          </w:tcPr>
          <w:p>
            <w:pPr>
              <w:pStyle w:val="27"/>
            </w:pPr>
            <w:r>
              <w:t>随机走访</w:t>
            </w:r>
          </w:p>
        </w:tc>
      </w:tr>
    </w:tbl>
    <w:p>
      <w:pPr>
        <w:pStyle w:val="25"/>
      </w:pPr>
    </w:p>
    <w:p>
      <w:pPr>
        <w:pStyle w:val="25"/>
        <w:ind w:firstLine="560"/>
      </w:pPr>
      <w:r>
        <w:rPr>
          <w:rFonts w:ascii="方正仿宋_GBK" w:hAnsi="方正仿宋_GBK" w:eastAsia="方正仿宋_GBK" w:cs="方正仿宋_GBK"/>
          <w:b/>
          <w:color w:val="000000"/>
          <w:sz w:val="28"/>
        </w:rPr>
        <w:t>8、执法队工作经费绩效目标表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1.环保、人居环境整治、拆违等工作正常开展</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保障资金足额拨付，各个方面工作正常开展</w:t>
            </w:r>
          </w:p>
        </w:tc>
        <w:tc>
          <w:tcPr>
            <w:tcW w:w="2835" w:type="dxa"/>
            <w:vAlign w:val="center"/>
          </w:tcPr>
          <w:p>
            <w:pPr>
              <w:pStyle w:val="27"/>
            </w:pPr>
            <w:r>
              <w:t>保障资金足额拨付，各个方面工作正常开展</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各项工作正常开展</w:t>
            </w:r>
          </w:p>
        </w:tc>
        <w:tc>
          <w:tcPr>
            <w:tcW w:w="2835" w:type="dxa"/>
            <w:vAlign w:val="center"/>
          </w:tcPr>
          <w:p>
            <w:pPr>
              <w:pStyle w:val="27"/>
            </w:pPr>
            <w:r>
              <w:t>环保、人居环境整治、拆违等工作正常开展</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按时完成上级安排的各项工作</w:t>
            </w:r>
          </w:p>
        </w:tc>
        <w:tc>
          <w:tcPr>
            <w:tcW w:w="2835" w:type="dxa"/>
            <w:vAlign w:val="center"/>
          </w:tcPr>
          <w:p>
            <w:pPr>
              <w:pStyle w:val="27"/>
            </w:pPr>
            <w:r>
              <w:t>按时完成上级安排的各项工作</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支付标准</w:t>
            </w:r>
          </w:p>
        </w:tc>
        <w:tc>
          <w:tcPr>
            <w:tcW w:w="2835" w:type="dxa"/>
            <w:vAlign w:val="center"/>
          </w:tcPr>
          <w:p>
            <w:pPr>
              <w:pStyle w:val="27"/>
            </w:pPr>
            <w:r>
              <w:t>支付标准</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工作开展情况</w:t>
            </w:r>
          </w:p>
        </w:tc>
        <w:tc>
          <w:tcPr>
            <w:tcW w:w="2835" w:type="dxa"/>
            <w:vAlign w:val="center"/>
          </w:tcPr>
          <w:p>
            <w:pPr>
              <w:pStyle w:val="27"/>
            </w:pPr>
            <w:r>
              <w:t>各项工作多方开展，统筹兼顾，顺利开展</w:t>
            </w:r>
          </w:p>
        </w:tc>
        <w:tc>
          <w:tcPr>
            <w:tcW w:w="2551" w:type="dxa"/>
            <w:vAlign w:val="center"/>
          </w:tcPr>
          <w:p>
            <w:pPr>
              <w:pStyle w:val="27"/>
            </w:pPr>
            <w:r>
              <w:t>≥90%</w:t>
            </w:r>
          </w:p>
        </w:tc>
        <w:tc>
          <w:tcPr>
            <w:tcW w:w="2268"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按时完成工作，上级部门满意，服务群众，群众满意。</w:t>
            </w:r>
          </w:p>
        </w:tc>
        <w:tc>
          <w:tcPr>
            <w:tcW w:w="2551" w:type="dxa"/>
            <w:vAlign w:val="center"/>
          </w:tcPr>
          <w:p>
            <w:pPr>
              <w:pStyle w:val="27"/>
            </w:pPr>
            <w:r>
              <w:t>≥90%</w:t>
            </w:r>
          </w:p>
        </w:tc>
        <w:tc>
          <w:tcPr>
            <w:tcW w:w="2268" w:type="dxa"/>
            <w:vAlign w:val="center"/>
          </w:tcPr>
          <w:p>
            <w:pPr>
              <w:pStyle w:val="27"/>
            </w:pPr>
            <w:r>
              <w:t>问卷调查</w:t>
            </w:r>
          </w:p>
        </w:tc>
      </w:tr>
    </w:tbl>
    <w:p>
      <w:pPr>
        <w:pStyle w:val="25"/>
      </w:pPr>
    </w:p>
    <w:p>
      <w:pPr>
        <w:pStyle w:val="25"/>
        <w:ind w:firstLine="560"/>
      </w:pPr>
      <w:r>
        <w:rPr>
          <w:rFonts w:ascii="方正仿宋_GBK" w:hAnsi="方正仿宋_GBK" w:eastAsia="方正仿宋_GBK" w:cs="方正仿宋_GBK"/>
          <w:b/>
          <w:color w:val="000000"/>
          <w:sz w:val="28"/>
        </w:rPr>
        <w:t>9、综合工作经费绩效目标表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1.综合公用经费，包括日常环保治理、土地违建拆除、安全生产、食品安全、信访维稳、等各个涉及工作资金保障。</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保障资金足额拨付，各个方面工作正常开展</w:t>
            </w:r>
          </w:p>
        </w:tc>
        <w:tc>
          <w:tcPr>
            <w:tcW w:w="2835" w:type="dxa"/>
            <w:vAlign w:val="center"/>
          </w:tcPr>
          <w:p>
            <w:pPr>
              <w:pStyle w:val="27"/>
            </w:pPr>
            <w:r>
              <w:t>保障资金足额拨付，各个方面工作正常开展</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各项工作正常开展</w:t>
            </w:r>
          </w:p>
        </w:tc>
        <w:tc>
          <w:tcPr>
            <w:tcW w:w="2835" w:type="dxa"/>
            <w:vAlign w:val="center"/>
          </w:tcPr>
          <w:p>
            <w:pPr>
              <w:pStyle w:val="27"/>
            </w:pPr>
            <w:r>
              <w:t>乡镇所涉及的各个方面工作正常开展</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按时完成上级安排的各项工作</w:t>
            </w:r>
          </w:p>
        </w:tc>
        <w:tc>
          <w:tcPr>
            <w:tcW w:w="2835" w:type="dxa"/>
            <w:vAlign w:val="center"/>
          </w:tcPr>
          <w:p>
            <w:pPr>
              <w:pStyle w:val="27"/>
            </w:pPr>
            <w:r>
              <w:t>按时完成上级安排的各项工作</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支付标准</w:t>
            </w:r>
          </w:p>
        </w:tc>
        <w:tc>
          <w:tcPr>
            <w:tcW w:w="2835" w:type="dxa"/>
            <w:vAlign w:val="center"/>
          </w:tcPr>
          <w:p>
            <w:pPr>
              <w:pStyle w:val="27"/>
            </w:pPr>
            <w:r>
              <w:t>支付标准</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工作开展情况</w:t>
            </w:r>
          </w:p>
        </w:tc>
        <w:tc>
          <w:tcPr>
            <w:tcW w:w="2835" w:type="dxa"/>
            <w:vAlign w:val="center"/>
          </w:tcPr>
          <w:p>
            <w:pPr>
              <w:pStyle w:val="27"/>
            </w:pPr>
            <w:r>
              <w:t>各项工作多方开展，统筹兼顾，顺利开展</w:t>
            </w:r>
          </w:p>
        </w:tc>
        <w:tc>
          <w:tcPr>
            <w:tcW w:w="2551" w:type="dxa"/>
            <w:vAlign w:val="center"/>
          </w:tcPr>
          <w:p>
            <w:pPr>
              <w:pStyle w:val="27"/>
            </w:pPr>
            <w:r>
              <w:t>≥90%</w:t>
            </w:r>
          </w:p>
        </w:tc>
        <w:tc>
          <w:tcPr>
            <w:tcW w:w="2268" w:type="dxa"/>
            <w:vAlign w:val="center"/>
          </w:tcPr>
          <w:p>
            <w:pPr>
              <w:pStyle w:val="27"/>
            </w:pPr>
            <w:r>
              <w:t>调查问卷</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按时完成工作，上级部门满意，服务群众，群众满意。</w:t>
            </w:r>
          </w:p>
        </w:tc>
        <w:tc>
          <w:tcPr>
            <w:tcW w:w="2551" w:type="dxa"/>
            <w:vAlign w:val="center"/>
          </w:tcPr>
          <w:p>
            <w:pPr>
              <w:pStyle w:val="27"/>
            </w:pPr>
            <w:r>
              <w:t>≥90%</w:t>
            </w:r>
          </w:p>
        </w:tc>
        <w:tc>
          <w:tcPr>
            <w:tcW w:w="2268" w:type="dxa"/>
            <w:vAlign w:val="center"/>
          </w:tcPr>
          <w:p>
            <w:pPr>
              <w:pStyle w:val="27"/>
            </w:pPr>
            <w:r>
              <w:t>问卷调查</w:t>
            </w:r>
          </w:p>
        </w:tc>
      </w:tr>
    </w:tbl>
    <w:p>
      <w:pPr>
        <w:pStyle w:val="25"/>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2022年，石家庄市藁城区西关镇人民政府本级安排政府采购预算0.00万元。具体内容见下表。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Theme="minorEastAsia"/>
          <w:lang w:eastAsia="zh-CN"/>
        </w:rPr>
      </w:pPr>
      <w:r>
        <w:rPr>
          <w:rFonts w:eastAsia="方正仿宋_GBK"/>
          <w:color w:val="000000"/>
          <w:sz w:val="28"/>
        </w:rPr>
        <w:t>石家庄市藁城区西关镇人民政府本级上年末固定资产金额为1757.45万元（详见下表）。本年度拟购置固定资产总额为10.00万元，</w:t>
      </w:r>
      <w:r>
        <w:rPr>
          <w:rFonts w:hint="eastAsia" w:eastAsiaTheme="minorEastAsia"/>
          <w:color w:val="000000"/>
          <w:sz w:val="28"/>
          <w:lang w:eastAsia="zh-CN"/>
        </w:rPr>
        <w:t>主要为购置公车。因未达到政府采购限额，故未列入政府采购预算。</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815001石家庄市藁城区西关镇人民政府本级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1757.45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16376.75</w:t>
            </w:r>
          </w:p>
        </w:tc>
        <w:tc>
          <w:tcPr>
            <w:tcW w:w="2835" w:type="dxa"/>
            <w:vAlign w:val="center"/>
          </w:tcPr>
          <w:p>
            <w:pPr>
              <w:pStyle w:val="12"/>
            </w:pPr>
            <w:r>
              <w:t>1310.95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16376.75</w:t>
            </w:r>
          </w:p>
        </w:tc>
        <w:tc>
          <w:tcPr>
            <w:tcW w:w="2835" w:type="dxa"/>
            <w:vAlign w:val="center"/>
          </w:tcPr>
          <w:p>
            <w:pPr>
              <w:pStyle w:val="12"/>
            </w:pPr>
            <w:r>
              <w:t>1310.95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31.58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424.92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Theme="minorEastAsia"/>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outlineLvl w:val="3"/>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EwNTM5NzYwMDRjMzkwZTVkZjY2ODkwMGIxNGU0OTUifQ=="/>
  </w:docVars>
  <w:rsids>
    <w:rsidRoot w:val="00D0278C"/>
    <w:rsid w:val="000024D1"/>
    <w:rsid w:val="00013856"/>
    <w:rsid w:val="000432E9"/>
    <w:rsid w:val="000A5C7A"/>
    <w:rsid w:val="001570D7"/>
    <w:rsid w:val="0022653F"/>
    <w:rsid w:val="002F3337"/>
    <w:rsid w:val="00327A8C"/>
    <w:rsid w:val="00377473"/>
    <w:rsid w:val="003A46B0"/>
    <w:rsid w:val="003B0AF7"/>
    <w:rsid w:val="003F5903"/>
    <w:rsid w:val="004228CC"/>
    <w:rsid w:val="00480BC4"/>
    <w:rsid w:val="00486DF9"/>
    <w:rsid w:val="004A05C8"/>
    <w:rsid w:val="004C0150"/>
    <w:rsid w:val="005205F6"/>
    <w:rsid w:val="006C12AC"/>
    <w:rsid w:val="006D25E3"/>
    <w:rsid w:val="006E2FEA"/>
    <w:rsid w:val="006E5800"/>
    <w:rsid w:val="007113FA"/>
    <w:rsid w:val="00753C9E"/>
    <w:rsid w:val="007723EC"/>
    <w:rsid w:val="00793C47"/>
    <w:rsid w:val="0081222E"/>
    <w:rsid w:val="0083477F"/>
    <w:rsid w:val="00864829"/>
    <w:rsid w:val="008679D9"/>
    <w:rsid w:val="00881E78"/>
    <w:rsid w:val="008C41D4"/>
    <w:rsid w:val="009427A5"/>
    <w:rsid w:val="00963C75"/>
    <w:rsid w:val="00A34C5B"/>
    <w:rsid w:val="00A76A8F"/>
    <w:rsid w:val="00AD2D41"/>
    <w:rsid w:val="00B661CD"/>
    <w:rsid w:val="00BF73E5"/>
    <w:rsid w:val="00C72E88"/>
    <w:rsid w:val="00CC0050"/>
    <w:rsid w:val="00D0278C"/>
    <w:rsid w:val="00D276E1"/>
    <w:rsid w:val="00DA2B0D"/>
    <w:rsid w:val="00E36565"/>
    <w:rsid w:val="00EA6F28"/>
    <w:rsid w:val="00F506F7"/>
    <w:rsid w:val="00FB2516"/>
    <w:rsid w:val="04D15473"/>
    <w:rsid w:val="15932377"/>
    <w:rsid w:val="1776002C"/>
    <w:rsid w:val="32B74846"/>
    <w:rsid w:val="3B917402"/>
    <w:rsid w:val="49E86749"/>
    <w:rsid w:val="4C5244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9"/>
    <w:semiHidden/>
    <w:unhideWhenUsed/>
    <w:qFormat/>
    <w:uiPriority w:val="99"/>
    <w:pPr>
      <w:tabs>
        <w:tab w:val="center" w:pos="4153"/>
        <w:tab w:val="right" w:pos="8306"/>
      </w:tabs>
      <w:snapToGrid w:val="0"/>
    </w:pPr>
    <w:rPr>
      <w:sz w:val="18"/>
      <w:szCs w:val="18"/>
    </w:rPr>
  </w:style>
  <w:style w:type="paragraph" w:styleId="3">
    <w:name w:val="header"/>
    <w:basedOn w:val="1"/>
    <w:link w:val="3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插入文本样式-插入总体目标文件"/>
    <w:basedOn w:val="1"/>
    <w:autoRedefine/>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5">
    <w:name w:val="Normal_d60d91ad-89ab-4487-b4ff-19471cf91bfe"/>
    <w:autoRedefine/>
    <w:qFormat/>
    <w:uiPriority w:val="0"/>
    <w:rPr>
      <w:rFonts w:ascii="Times New Roman" w:hAnsi="Times New Roman" w:eastAsia="Times New Roman" w:cs="Times New Roman"/>
      <w:sz w:val="24"/>
      <w:szCs w:val="24"/>
      <w:lang w:val="en-US" w:eastAsia="uk-UA" w:bidi="ar-SA"/>
    </w:rPr>
  </w:style>
  <w:style w:type="paragraph" w:customStyle="1" w:styleId="26">
    <w:name w:val="单元格样式1_46247a53-57cd-4189-8d77-4fb0b6e07cb4"/>
    <w:basedOn w:val="1"/>
    <w:autoRedefine/>
    <w:qFormat/>
    <w:uiPriority w:val="0"/>
    <w:pPr>
      <w:jc w:val="center"/>
    </w:pPr>
    <w:rPr>
      <w:rFonts w:ascii="方正书宋_GBK" w:hAnsi="方正书宋_GBK" w:eastAsia="方正书宋_GBK" w:cs="方正书宋_GBK"/>
      <w:b/>
      <w:sz w:val="21"/>
    </w:rPr>
  </w:style>
  <w:style w:type="paragraph" w:customStyle="1" w:styleId="27">
    <w:name w:val="单元格样式2_5c22d598-e802-4a15-a643-5b8467c470ee"/>
    <w:basedOn w:val="1"/>
    <w:autoRedefine/>
    <w:qFormat/>
    <w:uiPriority w:val="0"/>
    <w:rPr>
      <w:rFonts w:ascii="方正书宋_GBK" w:hAnsi="方正书宋_GBK" w:eastAsia="方正书宋_GBK" w:cs="方正书宋_GBK"/>
      <w:sz w:val="21"/>
    </w:rPr>
  </w:style>
  <w:style w:type="paragraph" w:customStyle="1" w:styleId="28">
    <w:name w:val="单元格样式3_6b5fa630-a26c-41d5-8025-7b4bef2b728c"/>
    <w:basedOn w:val="1"/>
    <w:autoRedefine/>
    <w:qFormat/>
    <w:uiPriority w:val="0"/>
    <w:pPr>
      <w:jc w:val="center"/>
    </w:pPr>
    <w:rPr>
      <w:rFonts w:ascii="方正书宋_GBK" w:hAnsi="方正书宋_GBK" w:eastAsia="方正书宋_GBK" w:cs="方正书宋_GBK"/>
      <w:sz w:val="21"/>
    </w:rPr>
  </w:style>
  <w:style w:type="paragraph" w:customStyle="1" w:styleId="29">
    <w:name w:val="单元格样式23"/>
    <w:basedOn w:val="1"/>
    <w:autoRedefine/>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4">
    <w:name w:val="TOC 2"/>
    <w:basedOn w:val="1"/>
    <w:autoRedefine/>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ind w:firstLine="560"/>
    </w:pPr>
    <w:rPr>
      <w:rFonts w:eastAsia="方正仿宋_GBK"/>
      <w:color w:val="000000"/>
      <w:sz w:val="28"/>
    </w:rPr>
  </w:style>
  <w:style w:type="character" w:customStyle="1" w:styleId="38">
    <w:name w:val="页眉 Char"/>
    <w:basedOn w:val="7"/>
    <w:link w:val="3"/>
    <w:autoRedefine/>
    <w:semiHidden/>
    <w:qFormat/>
    <w:uiPriority w:val="99"/>
    <w:rPr>
      <w:rFonts w:eastAsia="Times New Roman"/>
      <w:sz w:val="18"/>
      <w:szCs w:val="18"/>
      <w:lang w:eastAsia="uk-UA"/>
    </w:rPr>
  </w:style>
  <w:style w:type="character" w:customStyle="1" w:styleId="39">
    <w:name w:val="页脚 Char"/>
    <w:basedOn w:val="7"/>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2022-02-14T17:57:08Z</dcterms:created>
  <dcterms:modified xsi:type="dcterms:W3CDTF">2022-02-14T09:57:08Z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2022-02-14T17:57:02Z</dcterms:created>
  <dcterms:modified xsi:type="dcterms:W3CDTF">2022-02-14T09:57:02Z</dcterms:modified>
</cp:coreProperties>
</file>

<file path=customXml/item13.xml><?xml version="1.0" encoding="utf-8"?>
<b:Sources xmlns:b="http://schemas.openxmlformats.org/officeDocument/2006/bibliography" xmlns="http://schemas.openxmlformats.org/officeDocument/2006/bibliography" SelectedStyle="\APA.XSL" StyleName="APA Fifth Edition"/>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2022-02-14T17:56:58Z</dcterms:created>
  <dcterms:modified xsi:type="dcterms:W3CDTF">2022-02-14T09:56:58Z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2022-02-14T17:56:49Z</dcterms:created>
  <dcterms:modified xsi:type="dcterms:W3CDTF">2022-02-14T09:56:49Z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2022-02-14T17:56:45Z</dcterms:created>
  <dcterms:modified xsi:type="dcterms:W3CDTF">2022-02-14T09:56:45Z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2022-02-14T17:57:07Z</dcterms:created>
  <dcterms:modified xsi:type="dcterms:W3CDTF">2022-02-14T09:57:07Z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2022-02-14T17:57:03Z</dcterms:created>
  <dcterms:modified xsi:type="dcterms:W3CDTF">2022-02-14T09:57:03Z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2022-02-14T17:56:54Z</dcterms:created>
  <dcterms:modified xsi:type="dcterms:W3CDTF">2022-02-14T09:56:54Z</dcterms:modified>
</cp:coreProperties>
</file>

<file path=customXml/itemProps1.xml><?xml version="1.0" encoding="utf-8"?>
<ds:datastoreItem xmlns:ds="http://schemas.openxmlformats.org/officeDocument/2006/customXml" ds:itemID="{3F139C82-FBFF-4CD2-BAD8-4FE83F14DFC4}">
  <ds:schemaRefs/>
</ds:datastoreItem>
</file>

<file path=customXml/itemProps10.xml><?xml version="1.0" encoding="utf-8"?>
<ds:datastoreItem xmlns:ds="http://schemas.openxmlformats.org/officeDocument/2006/customXml" ds:itemID="{F2FEBD30-81D8-4576-8DA3-CA5B1BA2C7A1}">
  <ds:schemaRefs/>
</ds:datastoreItem>
</file>

<file path=customXml/itemProps11.xml><?xml version="1.0" encoding="utf-8"?>
<ds:datastoreItem xmlns:ds="http://schemas.openxmlformats.org/officeDocument/2006/customXml" ds:itemID="{6E39B225-EC1F-4DF5-A7C1-DB817ECBD217}">
  <ds:schemaRefs/>
</ds:datastoreItem>
</file>

<file path=customXml/itemProps12.xml><?xml version="1.0" encoding="utf-8"?>
<ds:datastoreItem xmlns:ds="http://schemas.openxmlformats.org/officeDocument/2006/customXml" ds:itemID="{DBA18B7E-DE31-4957-8371-1BE872FC9B3D}">
  <ds:schemaRefs/>
</ds:datastoreItem>
</file>

<file path=customXml/itemProps13.xml><?xml version="1.0" encoding="utf-8"?>
<ds:datastoreItem xmlns:ds="http://schemas.openxmlformats.org/officeDocument/2006/customXml" ds:itemID="{669D52E1-B0B3-4303-BEFB-73F1B1E8D9AA}">
  <ds:schemaRefs/>
</ds:datastoreItem>
</file>

<file path=customXml/itemProps14.xml><?xml version="1.0" encoding="utf-8"?>
<ds:datastoreItem xmlns:ds="http://schemas.openxmlformats.org/officeDocument/2006/customXml" ds:itemID="{9F128701-CEE2-439E-9780-A7600DFB7257}">
  <ds:schemaRefs/>
</ds:datastoreItem>
</file>

<file path=customXml/itemProps15.xml><?xml version="1.0" encoding="utf-8"?>
<ds:datastoreItem xmlns:ds="http://schemas.openxmlformats.org/officeDocument/2006/customXml" ds:itemID="{9940547F-9C9A-4916-B39C-1287095E62DB}">
  <ds:schemaRefs/>
</ds:datastoreItem>
</file>

<file path=customXml/itemProps16.xml><?xml version="1.0" encoding="utf-8"?>
<ds:datastoreItem xmlns:ds="http://schemas.openxmlformats.org/officeDocument/2006/customXml" ds:itemID="{E023CB8F-7327-4766-AAB5-02DEE9CC4CAF}">
  <ds:schemaRefs/>
</ds:datastoreItem>
</file>

<file path=customXml/itemProps17.xml><?xml version="1.0" encoding="utf-8"?>
<ds:datastoreItem xmlns:ds="http://schemas.openxmlformats.org/officeDocument/2006/customXml" ds:itemID="{9DA779CA-182C-4A56-B51C-A79E4415A705}">
  <ds:schemaRefs/>
</ds:datastoreItem>
</file>

<file path=customXml/itemProps2.xml><?xml version="1.0" encoding="utf-8"?>
<ds:datastoreItem xmlns:ds="http://schemas.openxmlformats.org/officeDocument/2006/customXml" ds:itemID="{711CB89C-AD5C-4B22-AB56-83B17E268D73}">
  <ds:schemaRefs/>
</ds:datastoreItem>
</file>

<file path=customXml/itemProps3.xml><?xml version="1.0" encoding="utf-8"?>
<ds:datastoreItem xmlns:ds="http://schemas.openxmlformats.org/officeDocument/2006/customXml" ds:itemID="{EBAF5B37-A87A-45D7-9435-E09FCB0DEF84}">
  <ds:schemaRefs/>
</ds:datastoreItem>
</file>

<file path=customXml/itemProps4.xml><?xml version="1.0" encoding="utf-8"?>
<ds:datastoreItem xmlns:ds="http://schemas.openxmlformats.org/officeDocument/2006/customXml" ds:itemID="{95B4FDF6-14FE-40ED-9E8D-223EBDF92FFF}">
  <ds:schemaRefs/>
</ds:datastoreItem>
</file>

<file path=customXml/itemProps5.xml><?xml version="1.0" encoding="utf-8"?>
<ds:datastoreItem xmlns:ds="http://schemas.openxmlformats.org/officeDocument/2006/customXml" ds:itemID="{C8D50E54-C7AF-4D8B-ADF0-D9A4F6E1BD3C}">
  <ds:schemaRefs/>
</ds:datastoreItem>
</file>

<file path=customXml/itemProps6.xml><?xml version="1.0" encoding="utf-8"?>
<ds:datastoreItem xmlns:ds="http://schemas.openxmlformats.org/officeDocument/2006/customXml" ds:itemID="{650F51F3-1AD7-4F70-95A5-C6AFA38FC1BB}">
  <ds:schemaRefs/>
</ds:datastoreItem>
</file>

<file path=customXml/itemProps7.xml><?xml version="1.0" encoding="utf-8"?>
<ds:datastoreItem xmlns:ds="http://schemas.openxmlformats.org/officeDocument/2006/customXml" ds:itemID="{EE4AF50F-6F1E-436C-9BBF-AE15A479D746}">
  <ds:schemaRefs/>
</ds:datastoreItem>
</file>

<file path=customXml/itemProps8.xml><?xml version="1.0" encoding="utf-8"?>
<ds:datastoreItem xmlns:ds="http://schemas.openxmlformats.org/officeDocument/2006/customXml" ds:itemID="{EFCB8B83-B57C-4EDE-99C9-D104069351D1}">
  <ds:schemaRefs/>
</ds:datastoreItem>
</file>

<file path=customXml/itemProps9.xml><?xml version="1.0" encoding="utf-8"?>
<ds:datastoreItem xmlns:ds="http://schemas.openxmlformats.org/officeDocument/2006/customXml" ds:itemID="{A75EDE37-E70C-4761-8A37-B93141AF22A6}">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69</Pages>
  <Words>4550</Words>
  <Characters>25937</Characters>
  <Lines>216</Lines>
  <Paragraphs>60</Paragraphs>
  <TotalTime>0</TotalTime>
  <ScaleCrop>false</ScaleCrop>
  <LinksUpToDate>false</LinksUpToDate>
  <CharactersWithSpaces>30427</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2022-02-14T17:57:00Z</dcterms:created>
  <dc:creator>Administrator</dc:creator>
  <cp:lastModifiedBy>笑靥如花</cp:lastModifiedBy>
  <cp:lastPrinted>2022-07-14T08:20:00Z</cp:lastPrinted>
  <dcterms:modified xsi:type="dcterms:W3CDTF">2024-02-22T10:42:59Z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97E4ACD1153B4BDBAD2C1BE5EDEAEF2C_12</vt:lpwstr>
  </property>
</Properties>
</file>