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BD3FC3">
      <w:pPr>
        <w:keepNext w:val="0"/>
        <w:keepLines w:val="0"/>
        <w:pageBreakBefore w:val="0"/>
        <w:widowControl w:val="0"/>
        <w:kinsoku/>
        <w:wordWrap/>
        <w:overflowPunct/>
        <w:topLinePunct/>
        <w:autoSpaceDE/>
        <w:autoSpaceDN/>
        <w:bidi w:val="0"/>
        <w:adjustRightInd/>
        <w:snapToGrid/>
        <w:spacing w:line="620" w:lineRule="exact"/>
        <w:jc w:val="center"/>
        <w:textAlignment w:val="baseline"/>
        <w:rPr>
          <w:rFonts w:hint="eastAsia" w:ascii="方正小标宋简体" w:hAnsi="方正小标宋简体" w:eastAsia="方正小标宋简体" w:cs="方正小标宋简体"/>
          <w:color w:val="000000" w:themeColor="text1"/>
          <w:sz w:val="42"/>
          <w:szCs w:val="42"/>
          <w:highlight w:val="none"/>
          <w14:textFill>
            <w14:solidFill>
              <w14:schemeClr w14:val="tx1"/>
            </w14:solidFill>
          </w14:textFill>
        </w:rPr>
      </w:pPr>
      <w:bookmarkStart w:id="0" w:name="_GoBack"/>
      <w:bookmarkEnd w:id="0"/>
    </w:p>
    <w:p w14:paraId="450C35AB">
      <w:pPr>
        <w:keepNext w:val="0"/>
        <w:keepLines w:val="0"/>
        <w:pageBreakBefore w:val="0"/>
        <w:widowControl w:val="0"/>
        <w:kinsoku/>
        <w:wordWrap/>
        <w:overflowPunct/>
        <w:topLinePunct/>
        <w:autoSpaceDE/>
        <w:autoSpaceDN/>
        <w:bidi w:val="0"/>
        <w:adjustRightInd/>
        <w:snapToGrid/>
        <w:spacing w:line="620" w:lineRule="exact"/>
        <w:jc w:val="center"/>
        <w:textAlignment w:val="baseline"/>
        <w:rPr>
          <w:rFonts w:hint="eastAsia" w:ascii="方正小标宋简体" w:hAnsi="方正小标宋简体" w:eastAsia="方正小标宋简体" w:cs="方正小标宋简体"/>
          <w:color w:val="000000" w:themeColor="text1"/>
          <w:sz w:val="42"/>
          <w:szCs w:val="42"/>
          <w:highlight w:val="none"/>
          <w14:textFill>
            <w14:solidFill>
              <w14:schemeClr w14:val="tx1"/>
            </w14:solidFill>
          </w14:textFill>
        </w:rPr>
      </w:pPr>
    </w:p>
    <w:p w14:paraId="31D7F3B5">
      <w:pPr>
        <w:keepNext w:val="0"/>
        <w:keepLines w:val="0"/>
        <w:pageBreakBefore w:val="0"/>
        <w:widowControl w:val="0"/>
        <w:kinsoku/>
        <w:wordWrap/>
        <w:overflowPunct/>
        <w:topLinePunct/>
        <w:autoSpaceDE/>
        <w:autoSpaceDN/>
        <w:bidi w:val="0"/>
        <w:adjustRightInd/>
        <w:snapToGrid/>
        <w:spacing w:line="620" w:lineRule="exact"/>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关于石家庄市藁城区2023年预算执行情况</w:t>
      </w:r>
    </w:p>
    <w:p w14:paraId="23C8FB51">
      <w:pPr>
        <w:keepNext w:val="0"/>
        <w:keepLines w:val="0"/>
        <w:pageBreakBefore w:val="0"/>
        <w:widowControl w:val="0"/>
        <w:kinsoku/>
        <w:wordWrap/>
        <w:overflowPunct/>
        <w:topLinePunct/>
        <w:autoSpaceDE/>
        <w:autoSpaceDN/>
        <w:bidi w:val="0"/>
        <w:adjustRightInd/>
        <w:snapToGrid/>
        <w:spacing w:line="620" w:lineRule="exact"/>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和2024年预算草案的报告</w:t>
      </w:r>
    </w:p>
    <w:p w14:paraId="21088496">
      <w:pPr>
        <w:keepNext w:val="0"/>
        <w:keepLines w:val="0"/>
        <w:pageBreakBefore w:val="0"/>
        <w:widowControl w:val="0"/>
        <w:kinsoku/>
        <w:wordWrap/>
        <w:overflowPunct/>
        <w:topLinePunct w:val="0"/>
        <w:autoSpaceDE/>
        <w:autoSpaceDN/>
        <w:bidi w:val="0"/>
        <w:adjustRightInd/>
        <w:snapToGrid/>
        <w:spacing w:line="620" w:lineRule="exact"/>
        <w:jc w:val="center"/>
        <w:textAlignment w:val="baseline"/>
        <w:rPr>
          <w:rFonts w:hint="eastAsia" w:ascii="楷体_GB2312" w:hAnsi="楷体_GB2312" w:eastAsia="楷体_GB2312" w:cs="楷体_GB2312"/>
          <w:color w:val="000000" w:themeColor="text1"/>
          <w:sz w:val="32"/>
          <w:szCs w:val="32"/>
          <w:highlight w:val="none"/>
          <w14:textFill>
            <w14:solidFill>
              <w14:schemeClr w14:val="tx1"/>
            </w14:solidFill>
          </w14:textFill>
        </w:rPr>
      </w:pPr>
      <w:r>
        <w:rPr>
          <w:rFonts w:hint="eastAsia" w:ascii="楷体_GB2312" w:hAnsi="楷体_GB2312" w:eastAsia="楷体_GB2312" w:cs="楷体_GB2312"/>
          <w:color w:val="000000" w:themeColor="text1"/>
          <w:sz w:val="32"/>
          <w:szCs w:val="32"/>
          <w:highlight w:val="none"/>
          <w14:textFill>
            <w14:solidFill>
              <w14:schemeClr w14:val="tx1"/>
            </w14:solidFill>
          </w14:textFill>
        </w:rPr>
        <w:t>——2024年1月31日在石家庄市藁城区第三届</w:t>
      </w:r>
    </w:p>
    <w:p w14:paraId="629E7C01">
      <w:pPr>
        <w:keepNext w:val="0"/>
        <w:keepLines w:val="0"/>
        <w:pageBreakBefore w:val="0"/>
        <w:widowControl w:val="0"/>
        <w:kinsoku/>
        <w:wordWrap/>
        <w:overflowPunct/>
        <w:topLinePunct w:val="0"/>
        <w:autoSpaceDE/>
        <w:autoSpaceDN/>
        <w:bidi w:val="0"/>
        <w:adjustRightInd/>
        <w:snapToGrid/>
        <w:spacing w:line="620" w:lineRule="exact"/>
        <w:jc w:val="center"/>
        <w:textAlignment w:val="baseline"/>
        <w:rPr>
          <w:rFonts w:hint="eastAsia" w:ascii="楷体_GB2312" w:hAnsi="楷体_GB2312" w:eastAsia="楷体_GB2312" w:cs="楷体_GB2312"/>
          <w:color w:val="000000" w:themeColor="text1"/>
          <w:sz w:val="32"/>
          <w:szCs w:val="32"/>
          <w:highlight w:val="none"/>
          <w14:textFill>
            <w14:solidFill>
              <w14:schemeClr w14:val="tx1"/>
            </w14:solidFill>
          </w14:textFill>
        </w:rPr>
      </w:pPr>
      <w:r>
        <w:rPr>
          <w:rFonts w:hint="eastAsia" w:ascii="楷体_GB2312" w:hAnsi="楷体_GB2312" w:eastAsia="楷体_GB2312" w:cs="楷体_GB2312"/>
          <w:color w:val="000000" w:themeColor="text1"/>
          <w:sz w:val="32"/>
          <w:szCs w:val="32"/>
          <w:highlight w:val="none"/>
          <w14:textFill>
            <w14:solidFill>
              <w14:schemeClr w14:val="tx1"/>
            </w14:solidFill>
          </w14:textFill>
        </w:rPr>
        <w:t>人民代表大会第四次会议上</w:t>
      </w:r>
    </w:p>
    <w:p w14:paraId="28BB32F9">
      <w:pPr>
        <w:keepNext w:val="0"/>
        <w:keepLines w:val="0"/>
        <w:pageBreakBefore w:val="0"/>
        <w:widowControl w:val="0"/>
        <w:kinsoku/>
        <w:wordWrap/>
        <w:overflowPunct/>
        <w:topLinePunct w:val="0"/>
        <w:autoSpaceDE/>
        <w:autoSpaceDN/>
        <w:bidi w:val="0"/>
        <w:adjustRightInd/>
        <w:snapToGrid/>
        <w:spacing w:after="226" w:afterLines="50" w:line="620" w:lineRule="exact"/>
        <w:jc w:val="center"/>
        <w:textAlignment w:val="baseline"/>
        <w:rPr>
          <w:rFonts w:hint="eastAsia" w:ascii="楷体_GB2312" w:hAnsi="楷体_GB2312" w:eastAsia="楷体_GB2312" w:cs="楷体_GB2312"/>
          <w:color w:val="000000" w:themeColor="text1"/>
          <w:sz w:val="32"/>
          <w:szCs w:val="32"/>
          <w:highlight w:val="none"/>
          <w14:textFill>
            <w14:solidFill>
              <w14:schemeClr w14:val="tx1"/>
            </w14:solidFill>
          </w14:textFill>
        </w:rPr>
      </w:pPr>
      <w:r>
        <w:rPr>
          <w:rFonts w:hint="eastAsia" w:ascii="楷体_GB2312" w:hAnsi="楷体_GB2312" w:eastAsia="楷体_GB2312" w:cs="楷体_GB2312"/>
          <w:color w:val="000000" w:themeColor="text1"/>
          <w:sz w:val="32"/>
          <w:szCs w:val="32"/>
          <w:highlight w:val="none"/>
          <w14:textFill>
            <w14:solidFill>
              <w14:schemeClr w14:val="tx1"/>
            </w14:solidFill>
          </w14:textFill>
        </w:rPr>
        <w:t>石家庄市藁城区财政局局长</w:t>
      </w:r>
      <w:r>
        <w:rPr>
          <w:rFonts w:hint="eastAsia" w:ascii="楷体_GB2312" w:hAnsi="楷体_GB2312" w:eastAsia="楷体_GB2312" w:cs="楷体_GB2312"/>
          <w:color w:val="000000" w:themeColor="text1"/>
          <w:sz w:val="32"/>
          <w:szCs w:val="32"/>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32"/>
          <w:szCs w:val="32"/>
          <w:highlight w:val="none"/>
          <w14:textFill>
            <w14:solidFill>
              <w14:schemeClr w14:val="tx1"/>
            </w14:solidFill>
          </w14:textFill>
        </w:rPr>
        <w:t>李</w:t>
      </w:r>
      <w:r>
        <w:rPr>
          <w:rFonts w:hint="eastAsia" w:ascii="楷体_GB2312" w:hAnsi="楷体_GB2312" w:eastAsia="楷体_GB2312" w:cs="楷体_GB2312"/>
          <w:color w:val="000000" w:themeColor="text1"/>
          <w:sz w:val="32"/>
          <w:szCs w:val="32"/>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32"/>
          <w:szCs w:val="32"/>
          <w:highlight w:val="none"/>
          <w14:textFill>
            <w14:solidFill>
              <w14:schemeClr w14:val="tx1"/>
            </w14:solidFill>
          </w14:textFill>
        </w:rPr>
        <w:t>辉</w:t>
      </w:r>
    </w:p>
    <w:p w14:paraId="58E04C94">
      <w:pPr>
        <w:keepNext w:val="0"/>
        <w:keepLines w:val="0"/>
        <w:pageBreakBefore w:val="0"/>
        <w:widowControl w:val="0"/>
        <w:kinsoku/>
        <w:wordWrap/>
        <w:overflowPunct/>
        <w:autoSpaceDE/>
        <w:autoSpaceDN/>
        <w:bidi w:val="0"/>
        <w:spacing w:line="620" w:lineRule="exact"/>
        <w:jc w:val="both"/>
        <w:rPr>
          <w:rFonts w:ascii="仿宋_GB2312" w:hAnsi="仿宋_GB2312" w:eastAsia="仿宋_GB2312"/>
          <w:color w:val="000000" w:themeColor="text1"/>
          <w:sz w:val="32"/>
          <w:szCs w:val="32"/>
          <w14:textFill>
            <w14:solidFill>
              <w14:schemeClr w14:val="tx1"/>
            </w14:solidFill>
          </w14:textFill>
        </w:rPr>
      </w:pPr>
      <w:r>
        <w:rPr>
          <w:rFonts w:hint="eastAsia" w:ascii="仿宋_GB2312" w:hAnsi="仿宋_GB2312" w:eastAsia="仿宋_GB2312"/>
          <w:color w:val="000000" w:themeColor="text1"/>
          <w:sz w:val="32"/>
          <w:szCs w:val="32"/>
          <w14:textFill>
            <w14:solidFill>
              <w14:schemeClr w14:val="tx1"/>
            </w14:solidFill>
          </w14:textFill>
        </w:rPr>
        <w:t>各位代表：</w:t>
      </w:r>
    </w:p>
    <w:p w14:paraId="7C4DF2E3">
      <w:pPr>
        <w:keepNext w:val="0"/>
        <w:keepLines w:val="0"/>
        <w:pageBreakBefore w:val="0"/>
        <w:widowControl w:val="0"/>
        <w:kinsoku/>
        <w:wordWrap/>
        <w:overflowPunct/>
        <w:topLinePunct/>
        <w:autoSpaceDE/>
        <w:autoSpaceDN/>
        <w:bidi w:val="0"/>
        <w:spacing w:line="620" w:lineRule="exact"/>
        <w:ind w:firstLine="640" w:firstLineChars="200"/>
        <w:jc w:val="both"/>
        <w:textAlignment w:val="baseline"/>
        <w:rPr>
          <w:rFonts w:ascii="仿宋_GB2312" w:hAnsi="仿宋_GB2312" w:eastAsia="仿宋_GB2312"/>
          <w:color w:val="000000" w:themeColor="text1"/>
          <w:sz w:val="32"/>
          <w:szCs w:val="32"/>
          <w14:textFill>
            <w14:solidFill>
              <w14:schemeClr w14:val="tx1"/>
            </w14:solidFill>
          </w14:textFill>
        </w:rPr>
      </w:pPr>
      <w:r>
        <w:rPr>
          <w:rFonts w:hint="eastAsia" w:ascii="仿宋_GB2312" w:hAnsi="仿宋_GB2312" w:eastAsia="仿宋_GB2312"/>
          <w:color w:val="000000" w:themeColor="text1"/>
          <w:sz w:val="32"/>
          <w:szCs w:val="32"/>
          <w14:textFill>
            <w14:solidFill>
              <w14:schemeClr w14:val="tx1"/>
            </w14:solidFill>
          </w14:textFill>
        </w:rPr>
        <w:t>受区政府委托，我向大会报告2023年预算执行情况和2024年预算草案，请予审议，并请区政协委员和列席会议的同志提出意见。</w:t>
      </w:r>
    </w:p>
    <w:p w14:paraId="6081AFCB">
      <w:pPr>
        <w:keepNext w:val="0"/>
        <w:keepLines w:val="0"/>
        <w:pageBreakBefore w:val="0"/>
        <w:widowControl w:val="0"/>
        <w:kinsoku/>
        <w:wordWrap/>
        <w:overflowPunct/>
        <w:autoSpaceDE/>
        <w:autoSpaceDN/>
        <w:bidi w:val="0"/>
        <w:spacing w:line="620" w:lineRule="exact"/>
        <w:ind w:firstLine="640" w:firstLineChars="200"/>
        <w:jc w:val="both"/>
        <w:rPr>
          <w:rFonts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一、2023年预算执行情况</w:t>
      </w:r>
    </w:p>
    <w:p w14:paraId="37164801">
      <w:pPr>
        <w:keepNext w:val="0"/>
        <w:keepLines w:val="0"/>
        <w:pageBreakBefore w:val="0"/>
        <w:widowControl w:val="0"/>
        <w:kinsoku/>
        <w:wordWrap/>
        <w:overflowPunct/>
        <w:autoSpaceDE/>
        <w:autoSpaceDN/>
        <w:bidi w:val="0"/>
        <w:spacing w:line="620" w:lineRule="exact"/>
        <w:ind w:firstLine="640" w:firstLineChars="200"/>
        <w:jc w:val="both"/>
        <w:rPr>
          <w:rFonts w:ascii="仿宋_GB2312" w:hAnsi="仿宋_GB2312" w:eastAsia="仿宋_GB2312" w:cs="仿宋_GB2312"/>
          <w:color w:val="000000" w:themeColor="text1"/>
          <w:sz w:val="32"/>
          <w:szCs w:val="32"/>
          <w:shd w:val="clear" w:color="auto" w:fill="FFFFFF"/>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t>2023年，面对落实党的二十大精神开局之年和实施“十四五”规划承上启下关键之年的繁重任务，面对严峻复杂的经济形势和艰巨繁重的改革发展任务，全区财政工作全面贯彻落实习近平新时代中国特色社会主义思想和党的二十大精神，坚持稳中求进工作总基调，着力优化财政收支管理，扎实推进稳经济一揽子政策，兜住兜牢“三保”底线，有效防范化解财政风险，全力保障了财政平稳运行，实现了经济社会持续平稳健康发展。</w:t>
      </w:r>
    </w:p>
    <w:p w14:paraId="4AF22322">
      <w:pPr>
        <w:keepNext w:val="0"/>
        <w:keepLines w:val="0"/>
        <w:pageBreakBefore w:val="0"/>
        <w:widowControl w:val="0"/>
        <w:kinsoku/>
        <w:wordWrap/>
        <w:overflowPunct/>
        <w:autoSpaceDE/>
        <w:autoSpaceDN/>
        <w:bidi w:val="0"/>
        <w:spacing w:line="620" w:lineRule="exact"/>
        <w:ind w:firstLine="640" w:firstLineChars="200"/>
        <w:jc w:val="both"/>
        <w:rPr>
          <w:rFonts w:hint="eastAsia"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——一般公共预算执行情况</w:t>
      </w:r>
    </w:p>
    <w:p w14:paraId="28DADA30">
      <w:pPr>
        <w:keepNext w:val="0"/>
        <w:keepLines w:val="0"/>
        <w:pageBreakBefore w:val="0"/>
        <w:widowControl w:val="0"/>
        <w:kinsoku/>
        <w:wordWrap/>
        <w:overflowPunct/>
        <w:autoSpaceDE/>
        <w:autoSpaceDN/>
        <w:bidi w:val="0"/>
        <w:spacing w:line="620" w:lineRule="exact"/>
        <w:ind w:firstLine="627" w:firstLineChars="200"/>
        <w:jc w:val="both"/>
        <w:rPr>
          <w:rFonts w:hint="eastAsia" w:ascii="仿宋_GB2312" w:hAnsi="仿宋_GB2312" w:eastAsia="仿宋_GB2312" w:cs="仿宋_GB2312"/>
          <w:b/>
          <w:bCs/>
          <w:color w:val="000000" w:themeColor="text1"/>
          <w:spacing w:val="-4"/>
          <w:kern w:val="0"/>
          <w:sz w:val="32"/>
          <w:szCs w:val="32"/>
          <w14:textFill>
            <w14:solidFill>
              <w14:schemeClr w14:val="tx1"/>
            </w14:solidFill>
          </w14:textFill>
        </w:rPr>
      </w:pPr>
      <w:r>
        <w:rPr>
          <w:rFonts w:hint="eastAsia" w:ascii="仿宋_GB2312" w:hAnsi="仿宋_GB2312" w:eastAsia="仿宋_GB2312" w:cs="仿宋_GB2312"/>
          <w:b/>
          <w:bCs/>
          <w:color w:val="000000" w:themeColor="text1"/>
          <w:spacing w:val="-4"/>
          <w:kern w:val="0"/>
          <w:sz w:val="32"/>
          <w:szCs w:val="32"/>
          <w14:textFill>
            <w14:solidFill>
              <w14:schemeClr w14:val="tx1"/>
            </w14:solidFill>
          </w14:textFill>
        </w:rPr>
        <w:t>一般公共预算收入执行情况</w:t>
      </w:r>
    </w:p>
    <w:p w14:paraId="24AFF78C">
      <w:pPr>
        <w:keepNext w:val="0"/>
        <w:keepLines w:val="0"/>
        <w:pageBreakBefore w:val="0"/>
        <w:widowControl w:val="0"/>
        <w:kinsoku/>
        <w:wordWrap/>
        <w:overflowPunct/>
        <w:autoSpaceDE/>
        <w:autoSpaceDN/>
        <w:bidi w:val="0"/>
        <w:spacing w:line="620" w:lineRule="exact"/>
        <w:ind w:firstLine="624" w:firstLineChars="200"/>
        <w:jc w:val="both"/>
        <w:rPr>
          <w:rFonts w:hint="eastAsia"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2023年，全区一般公共预算收入年初安排47.56亿元，实际完成48.6亿元，占年初预算的102.2%，比上年同期</w:t>
      </w:r>
      <w:r>
        <w:rPr>
          <w:rFonts w:hint="eastAsia" w:ascii="仿宋_GB2312" w:hAnsi="仿宋_GB2312" w:eastAsia="仿宋_GB2312" w:cs="仿宋_GB2312"/>
          <w:color w:val="000000" w:themeColor="text1"/>
          <w:spacing w:val="-4"/>
          <w:sz w:val="32"/>
          <w:szCs w:val="32"/>
          <w:lang w:val="en-US" w:eastAsia="zh-CN"/>
          <w14:textFill>
            <w14:solidFill>
              <w14:schemeClr w14:val="tx1"/>
            </w14:solidFill>
          </w14:textFill>
        </w:rPr>
        <w:t>可比</w:t>
      </w:r>
      <w:r>
        <w:rPr>
          <w:rFonts w:hint="eastAsia" w:ascii="仿宋_GB2312" w:hAnsi="仿宋_GB2312" w:eastAsia="仿宋_GB2312" w:cs="仿宋_GB2312"/>
          <w:color w:val="000000" w:themeColor="text1"/>
          <w:spacing w:val="-4"/>
          <w:sz w:val="32"/>
          <w:szCs w:val="32"/>
          <w14:textFill>
            <w14:solidFill>
              <w14:schemeClr w14:val="tx1"/>
            </w14:solidFill>
          </w14:textFill>
        </w:rPr>
        <w:t>增长（以下简称增长）11.4%。经开区财政体制调整后，全区（不含经开区，下同）一般公共预算收入调整为19.33亿元，实际完成19.78亿元，占调整预算的102.3%，可比增长8.7%。</w:t>
      </w:r>
    </w:p>
    <w:p w14:paraId="587AF3C8">
      <w:pPr>
        <w:keepNext w:val="0"/>
        <w:keepLines w:val="0"/>
        <w:pageBreakBefore w:val="0"/>
        <w:widowControl w:val="0"/>
        <w:kinsoku/>
        <w:wordWrap/>
        <w:overflowPunct/>
        <w:autoSpaceDE/>
        <w:autoSpaceDN/>
        <w:bidi w:val="0"/>
        <w:spacing w:line="620" w:lineRule="exact"/>
        <w:ind w:firstLine="627" w:firstLineChars="200"/>
        <w:jc w:val="both"/>
        <w:rPr>
          <w:rFonts w:ascii="仿宋_GB2312" w:hAnsi="仿宋_GB2312" w:eastAsia="仿宋_GB2312" w:cs="仿宋_GB2312"/>
          <w:b/>
          <w:color w:val="000000" w:themeColor="text1"/>
          <w:spacing w:val="-4"/>
          <w:sz w:val="32"/>
          <w:szCs w:val="32"/>
          <w14:textFill>
            <w14:solidFill>
              <w14:schemeClr w14:val="tx1"/>
            </w14:solidFill>
          </w14:textFill>
        </w:rPr>
      </w:pPr>
      <w:r>
        <w:rPr>
          <w:rFonts w:hint="eastAsia" w:ascii="仿宋_GB2312" w:hAnsi="仿宋_GB2312" w:eastAsia="仿宋_GB2312" w:cs="仿宋_GB2312"/>
          <w:b/>
          <w:color w:val="000000" w:themeColor="text1"/>
          <w:spacing w:val="-4"/>
          <w:kern w:val="0"/>
          <w:sz w:val="32"/>
          <w:szCs w:val="32"/>
          <w14:textFill>
            <w14:solidFill>
              <w14:schemeClr w14:val="tx1"/>
            </w14:solidFill>
          </w14:textFill>
        </w:rPr>
        <w:t>一般公共预算支出执行情况</w:t>
      </w:r>
    </w:p>
    <w:p w14:paraId="026F2430">
      <w:pPr>
        <w:keepNext w:val="0"/>
        <w:keepLines w:val="0"/>
        <w:pageBreakBefore w:val="0"/>
        <w:widowControl w:val="0"/>
        <w:kinsoku/>
        <w:wordWrap/>
        <w:overflowPunct/>
        <w:autoSpaceDE/>
        <w:autoSpaceDN/>
        <w:bidi w:val="0"/>
        <w:spacing w:line="620" w:lineRule="exact"/>
        <w:ind w:firstLine="624" w:firstLineChars="200"/>
        <w:jc w:val="both"/>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2023年，全区一般公共预算支出完成52.6亿元，占调整预算的88.7%，增长1.4%。全年重点支出完成情况如下：</w:t>
      </w:r>
    </w:p>
    <w:p w14:paraId="5990FBB2">
      <w:pPr>
        <w:keepNext w:val="0"/>
        <w:keepLines w:val="0"/>
        <w:pageBreakBefore w:val="0"/>
        <w:widowControl w:val="0"/>
        <w:kinsoku/>
        <w:wordWrap/>
        <w:overflowPunct/>
        <w:autoSpaceDE/>
        <w:autoSpaceDN/>
        <w:bidi w:val="0"/>
        <w:spacing w:line="620" w:lineRule="exact"/>
        <w:ind w:firstLine="624" w:firstLineChars="200"/>
        <w:jc w:val="both"/>
        <w:rPr>
          <w:rFonts w:hint="eastAsia"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一般公共服务支出完成5.23亿元，占调整预算的95.4%，减少2.7%，因财力紧张压减各单位支出；</w:t>
      </w:r>
    </w:p>
    <w:p w14:paraId="7B66BCE4">
      <w:pPr>
        <w:keepNext w:val="0"/>
        <w:keepLines w:val="0"/>
        <w:pageBreakBefore w:val="0"/>
        <w:widowControl w:val="0"/>
        <w:kinsoku/>
        <w:wordWrap/>
        <w:overflowPunct/>
        <w:autoSpaceDE/>
        <w:autoSpaceDN/>
        <w:bidi w:val="0"/>
        <w:spacing w:line="620" w:lineRule="exact"/>
        <w:ind w:firstLine="624" w:firstLineChars="200"/>
        <w:jc w:val="both"/>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公共安全支出完成0.64亿元，占调整预算的90.8%，减少56.4%，主要原因为公检法上划；</w:t>
      </w:r>
    </w:p>
    <w:p w14:paraId="7028257C">
      <w:pPr>
        <w:keepNext w:val="0"/>
        <w:keepLines w:val="0"/>
        <w:pageBreakBefore w:val="0"/>
        <w:widowControl w:val="0"/>
        <w:kinsoku/>
        <w:wordWrap/>
        <w:overflowPunct/>
        <w:autoSpaceDE/>
        <w:autoSpaceDN/>
        <w:bidi w:val="0"/>
        <w:spacing w:line="620" w:lineRule="exact"/>
        <w:ind w:firstLine="624" w:firstLineChars="200"/>
        <w:jc w:val="both"/>
        <w:rPr>
          <w:rFonts w:hint="eastAsia"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教育支出完成15.08亿元，占调整预算的91.9%，增长2.7%；</w:t>
      </w:r>
    </w:p>
    <w:p w14:paraId="5DA709CC">
      <w:pPr>
        <w:keepNext w:val="0"/>
        <w:keepLines w:val="0"/>
        <w:pageBreakBefore w:val="0"/>
        <w:widowControl w:val="0"/>
        <w:kinsoku/>
        <w:wordWrap/>
        <w:overflowPunct/>
        <w:autoSpaceDE/>
        <w:autoSpaceDN/>
        <w:bidi w:val="0"/>
        <w:spacing w:line="620" w:lineRule="exact"/>
        <w:ind w:firstLine="624" w:firstLineChars="200"/>
        <w:jc w:val="both"/>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社会保障和就业支出完成8.52亿元，占调整预算的93.8%，减少17.6%，主要原因为社保代发退休人员生活补贴调整至各预算单位支出，本科目支出减少；</w:t>
      </w:r>
    </w:p>
    <w:p w14:paraId="4E79447B">
      <w:pPr>
        <w:keepNext w:val="0"/>
        <w:keepLines w:val="0"/>
        <w:pageBreakBefore w:val="0"/>
        <w:widowControl w:val="0"/>
        <w:kinsoku/>
        <w:wordWrap/>
        <w:overflowPunct/>
        <w:autoSpaceDE/>
        <w:autoSpaceDN/>
        <w:bidi w:val="0"/>
        <w:spacing w:line="620" w:lineRule="exact"/>
        <w:ind w:firstLine="624" w:firstLineChars="200"/>
        <w:jc w:val="both"/>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卫生健康支出完成4.97亿元，占调整预算的95.3%，减少18.9%，主要原因为疫情防控资金支出较上年减少；</w:t>
      </w:r>
    </w:p>
    <w:p w14:paraId="7BE9D904">
      <w:pPr>
        <w:keepNext w:val="0"/>
        <w:keepLines w:val="0"/>
        <w:pageBreakBefore w:val="0"/>
        <w:widowControl w:val="0"/>
        <w:kinsoku/>
        <w:wordWrap/>
        <w:overflowPunct/>
        <w:autoSpaceDE/>
        <w:autoSpaceDN/>
        <w:bidi w:val="0"/>
        <w:spacing w:line="620" w:lineRule="exact"/>
        <w:ind w:firstLine="624" w:firstLineChars="200"/>
        <w:jc w:val="both"/>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节能环保支出完成1.6亿元，占调整预算的94.9%，增长20%，主要原因为上级转移支付增加；</w:t>
      </w:r>
    </w:p>
    <w:p w14:paraId="40C65D38">
      <w:pPr>
        <w:keepNext w:val="0"/>
        <w:keepLines w:val="0"/>
        <w:pageBreakBefore w:val="0"/>
        <w:widowControl w:val="0"/>
        <w:kinsoku/>
        <w:wordWrap/>
        <w:overflowPunct/>
        <w:autoSpaceDE/>
        <w:autoSpaceDN/>
        <w:bidi w:val="0"/>
        <w:spacing w:line="620" w:lineRule="exact"/>
        <w:ind w:firstLine="624" w:firstLineChars="200"/>
        <w:jc w:val="both"/>
        <w:rPr>
          <w:rFonts w:hint="eastAsia"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城乡社区支出完成7.52亿元，占调整预算的89.7%，增长49.5%，主要增长原因为消化暂付款；</w:t>
      </w:r>
    </w:p>
    <w:p w14:paraId="74FE0ABF">
      <w:pPr>
        <w:keepNext w:val="0"/>
        <w:keepLines w:val="0"/>
        <w:pageBreakBefore w:val="0"/>
        <w:widowControl w:val="0"/>
        <w:kinsoku/>
        <w:wordWrap/>
        <w:overflowPunct/>
        <w:autoSpaceDE/>
        <w:autoSpaceDN/>
        <w:bidi w:val="0"/>
        <w:spacing w:line="620" w:lineRule="exact"/>
        <w:ind w:firstLine="624" w:firstLineChars="200"/>
        <w:jc w:val="both"/>
        <w:textAlignment w:val="baseline"/>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农林水支出完成4.5亿元，占调整预算的59.5%，增长6.8%</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w:t>
      </w:r>
    </w:p>
    <w:p w14:paraId="56D180C1">
      <w:pPr>
        <w:keepNext w:val="0"/>
        <w:keepLines w:val="0"/>
        <w:pageBreakBefore w:val="0"/>
        <w:widowControl w:val="0"/>
        <w:kinsoku/>
        <w:wordWrap/>
        <w:overflowPunct/>
        <w:autoSpaceDE/>
        <w:autoSpaceDN/>
        <w:bidi w:val="0"/>
        <w:spacing w:line="620" w:lineRule="exact"/>
        <w:ind w:firstLine="627" w:firstLineChars="200"/>
        <w:jc w:val="both"/>
        <w:rPr>
          <w:rFonts w:ascii="仿宋_GB2312" w:hAnsi="仿宋_GB2312" w:eastAsia="仿宋_GB2312" w:cs="仿宋_GB2312"/>
          <w:b/>
          <w:color w:val="000000" w:themeColor="text1"/>
          <w:spacing w:val="-4"/>
          <w:sz w:val="32"/>
          <w:szCs w:val="32"/>
          <w14:textFill>
            <w14:solidFill>
              <w14:schemeClr w14:val="tx1"/>
            </w14:solidFill>
          </w14:textFill>
        </w:rPr>
      </w:pPr>
      <w:r>
        <w:rPr>
          <w:rFonts w:hint="eastAsia" w:ascii="仿宋_GB2312" w:hAnsi="仿宋_GB2312" w:eastAsia="仿宋_GB2312" w:cs="仿宋_GB2312"/>
          <w:b/>
          <w:color w:val="000000" w:themeColor="text1"/>
          <w:spacing w:val="-4"/>
          <w:kern w:val="0"/>
          <w:sz w:val="32"/>
          <w:szCs w:val="32"/>
          <w14:textFill>
            <w14:solidFill>
              <w14:schemeClr w14:val="tx1"/>
            </w14:solidFill>
          </w14:textFill>
        </w:rPr>
        <w:t>一般公共预算收支平衡情况</w:t>
      </w:r>
    </w:p>
    <w:p w14:paraId="555EBA58">
      <w:pPr>
        <w:keepNext w:val="0"/>
        <w:keepLines w:val="0"/>
        <w:pageBreakBefore w:val="0"/>
        <w:widowControl w:val="0"/>
        <w:kinsoku/>
        <w:wordWrap/>
        <w:overflowPunct/>
        <w:autoSpaceDE/>
        <w:autoSpaceDN/>
        <w:bidi w:val="0"/>
        <w:spacing w:line="620" w:lineRule="exact"/>
        <w:ind w:firstLine="624" w:firstLineChars="200"/>
        <w:jc w:val="both"/>
        <w:rPr>
          <w:rFonts w:hint="eastAsia"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2023年，全区一般公共预算收入19.78亿元，加上级补助收入18.77亿元、调入预算稳定调节基金8.38亿元、调入资金5.41亿元、上年结转4.2亿元、一般债务转贷收入1.7亿元，收入总计为58.24亿元。一般公共预算支出52.6亿元（含经开区财力基数13.24亿元），加上解上级支出-8.12亿元、调出资金5.65亿元、补充预算稳定调节基金2.99亿元、一般债务还本支出0.28亿元、结转下年4.84亿元，支出总计为58.24亿元。收支相抵，当年一般公共预算收支平衡。</w:t>
      </w:r>
    </w:p>
    <w:p w14:paraId="1879D641">
      <w:pPr>
        <w:keepNext w:val="0"/>
        <w:keepLines w:val="0"/>
        <w:pageBreakBefore w:val="0"/>
        <w:widowControl w:val="0"/>
        <w:kinsoku/>
        <w:wordWrap/>
        <w:overflowPunct/>
        <w:autoSpaceDE/>
        <w:autoSpaceDN/>
        <w:bidi w:val="0"/>
        <w:spacing w:line="620" w:lineRule="exact"/>
        <w:ind w:firstLine="640" w:firstLineChars="200"/>
        <w:jc w:val="both"/>
        <w:rPr>
          <w:rFonts w:hint="eastAsia"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——政府性基金预算执行情况</w:t>
      </w:r>
    </w:p>
    <w:p w14:paraId="23931B6F">
      <w:pPr>
        <w:keepNext w:val="0"/>
        <w:keepLines w:val="0"/>
        <w:pageBreakBefore w:val="0"/>
        <w:widowControl w:val="0"/>
        <w:kinsoku/>
        <w:wordWrap/>
        <w:overflowPunct/>
        <w:autoSpaceDE/>
        <w:autoSpaceDN/>
        <w:bidi w:val="0"/>
        <w:spacing w:line="620" w:lineRule="exact"/>
        <w:ind w:firstLine="624"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2023年，全区政府性基金预算收入完成10.98亿元（其中国有土地使用权出让收入9.79亿元，城市基础设施配套费收入9474万元，污水处理费收入2161万元），占调整预算的100.6%，增长175.9%。加上级补助收入1.48亿元、债务转贷收入33.6亿元、上年结转7.62亿元、调入资金5.65亿元，收入总计59.33亿元。全年支出完成43.42亿元，占调整预算的85.1%，增长60.5%。加置换债支出2.8亿元、上解收入-809万元</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4"/>
          <w:sz w:val="32"/>
          <w:szCs w:val="32"/>
          <w14:textFill>
            <w14:solidFill>
              <w14:schemeClr w14:val="tx1"/>
            </w14:solidFill>
          </w14:textFill>
        </w:rPr>
        <w:t>结转下年8.25亿元、调出资金4.94亿元，支出总计为59.33亿元。收支相抵，当年基金预算收支平衡。</w:t>
      </w:r>
    </w:p>
    <w:p w14:paraId="50D66219">
      <w:pPr>
        <w:keepNext w:val="0"/>
        <w:keepLines w:val="0"/>
        <w:pageBreakBefore w:val="0"/>
        <w:widowControl w:val="0"/>
        <w:kinsoku/>
        <w:wordWrap/>
        <w:overflowPunct/>
        <w:autoSpaceDE/>
        <w:autoSpaceDN/>
        <w:bidi w:val="0"/>
        <w:spacing w:line="620" w:lineRule="exact"/>
        <w:ind w:firstLine="640" w:firstLineChars="200"/>
        <w:jc w:val="both"/>
        <w:rPr>
          <w:rFonts w:hint="eastAsia"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——社会保险基金预算执行情况</w:t>
      </w:r>
    </w:p>
    <w:p w14:paraId="14D8EAA1">
      <w:pPr>
        <w:keepNext w:val="0"/>
        <w:keepLines w:val="0"/>
        <w:pageBreakBefore w:val="0"/>
        <w:widowControl w:val="0"/>
        <w:kinsoku/>
        <w:wordWrap/>
        <w:overflowPunct/>
        <w:autoSpaceDE/>
        <w:autoSpaceDN/>
        <w:bidi w:val="0"/>
        <w:spacing w:line="620" w:lineRule="exact"/>
        <w:ind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2023年，全区</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社会保险基金预算收入完成</w:t>
      </w:r>
      <w:r>
        <w:rPr>
          <w:rFonts w:hint="eastAsia" w:ascii="仿宋_GB2312" w:hAnsi="仿宋_GB2312" w:eastAsia="仿宋_GB2312" w:cs="仿宋_GB2312"/>
          <w:color w:val="000000" w:themeColor="text1"/>
          <w:sz w:val="32"/>
          <w:szCs w:val="32"/>
          <w14:textFill>
            <w14:solidFill>
              <w14:schemeClr w14:val="tx1"/>
            </w14:solidFill>
          </w14:textFill>
        </w:rPr>
        <w:t>8.24亿</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元，</w:t>
      </w:r>
      <w:r>
        <w:rPr>
          <w:rFonts w:hint="eastAsia" w:ascii="仿宋_GB2312" w:hAnsi="仿宋_GB2312" w:eastAsia="仿宋_GB2312" w:cs="仿宋_GB2312"/>
          <w:color w:val="000000" w:themeColor="text1"/>
          <w:spacing w:val="-4"/>
          <w:sz w:val="32"/>
          <w:szCs w:val="32"/>
          <w14:textFill>
            <w14:solidFill>
              <w14:schemeClr w14:val="tx1"/>
            </w14:solidFill>
          </w14:textFill>
        </w:rPr>
        <w:t>占调整预算的101.5%，</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其中</w:t>
      </w:r>
      <w:r>
        <w:rPr>
          <w:rFonts w:hint="eastAsia" w:ascii="仿宋_GB2312" w:hAnsi="仿宋_GB2312" w:eastAsia="仿宋_GB2312" w:cs="仿宋_GB2312"/>
          <w:color w:val="000000" w:themeColor="text1"/>
          <w:sz w:val="32"/>
          <w:szCs w:val="32"/>
          <w14:textFill>
            <w14:solidFill>
              <w14:schemeClr w14:val="tx1"/>
            </w14:solidFill>
          </w14:textFill>
        </w:rPr>
        <w:t>机关事业单位基本养老保险基金收入4.07亿元，城乡居民基本养老保险基金收入4.17亿元。</w:t>
      </w:r>
    </w:p>
    <w:p w14:paraId="1126D0C9">
      <w:pPr>
        <w:keepNext w:val="0"/>
        <w:keepLines w:val="0"/>
        <w:pageBreakBefore w:val="0"/>
        <w:widowControl w:val="0"/>
        <w:kinsoku/>
        <w:wordWrap/>
        <w:overflowPunct/>
        <w:autoSpaceDE/>
        <w:autoSpaceDN/>
        <w:bidi w:val="0"/>
        <w:spacing w:line="620" w:lineRule="exact"/>
        <w:ind w:firstLine="640" w:firstLineChars="200"/>
        <w:jc w:val="both"/>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2023年，全区</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社会保险基金预算</w:t>
      </w:r>
      <w:r>
        <w:rPr>
          <w:rFonts w:hint="eastAsia" w:ascii="仿宋_GB2312" w:hAnsi="仿宋_GB2312" w:eastAsia="仿宋_GB2312" w:cs="仿宋_GB2312"/>
          <w:color w:val="000000" w:themeColor="text1"/>
          <w:sz w:val="32"/>
          <w:szCs w:val="32"/>
          <w14:textFill>
            <w14:solidFill>
              <w14:schemeClr w14:val="tx1"/>
            </w14:solidFill>
          </w14:textFill>
        </w:rPr>
        <w:t>支出</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完成7.75亿</w:t>
      </w:r>
      <w:r>
        <w:rPr>
          <w:rFonts w:hint="eastAsia" w:ascii="仿宋_GB2312" w:hAnsi="仿宋_GB2312" w:eastAsia="仿宋_GB2312" w:cs="仿宋_GB2312"/>
          <w:color w:val="000000" w:themeColor="text1"/>
          <w:sz w:val="32"/>
          <w:szCs w:val="32"/>
          <w14:textFill>
            <w14:solidFill>
              <w14:schemeClr w14:val="tx1"/>
            </w14:solidFill>
          </w14:textFill>
        </w:rPr>
        <w:t>元，</w:t>
      </w:r>
      <w:r>
        <w:rPr>
          <w:rFonts w:hint="eastAsia" w:ascii="仿宋_GB2312" w:hAnsi="仿宋_GB2312" w:eastAsia="仿宋_GB2312" w:cs="仿宋_GB2312"/>
          <w:color w:val="000000" w:themeColor="text1"/>
          <w:spacing w:val="-4"/>
          <w:sz w:val="32"/>
          <w:szCs w:val="32"/>
          <w14:textFill>
            <w14:solidFill>
              <w14:schemeClr w14:val="tx1"/>
            </w14:solidFill>
          </w14:textFill>
        </w:rPr>
        <w:t>占调整预算的98.3%，</w:t>
      </w:r>
      <w:r>
        <w:rPr>
          <w:rFonts w:hint="eastAsia" w:ascii="仿宋_GB2312" w:hAnsi="仿宋_GB2312" w:eastAsia="仿宋_GB2312" w:cs="仿宋_GB2312"/>
          <w:color w:val="000000" w:themeColor="text1"/>
          <w:spacing w:val="-4"/>
          <w:kern w:val="0"/>
          <w:sz w:val="32"/>
          <w:szCs w:val="32"/>
          <w14:textFill>
            <w14:solidFill>
              <w14:schemeClr w14:val="tx1"/>
            </w14:solidFill>
          </w14:textFill>
        </w:rPr>
        <w:t>其中</w:t>
      </w:r>
      <w:r>
        <w:rPr>
          <w:rFonts w:hint="eastAsia" w:ascii="仿宋_GB2312" w:hAnsi="仿宋_GB2312" w:eastAsia="仿宋_GB2312" w:cs="仿宋_GB2312"/>
          <w:color w:val="000000" w:themeColor="text1"/>
          <w:sz w:val="32"/>
          <w:szCs w:val="32"/>
          <w14:textFill>
            <w14:solidFill>
              <w14:schemeClr w14:val="tx1"/>
            </w14:solidFill>
          </w14:textFill>
        </w:rPr>
        <w:t>机关事业单位基本养老保险基金支出4.49亿元，城乡居民基本养老保险基金支出3.26亿元。</w:t>
      </w:r>
    </w:p>
    <w:p w14:paraId="05D2A838">
      <w:pPr>
        <w:keepNext w:val="0"/>
        <w:keepLines w:val="0"/>
        <w:pageBreakBefore w:val="0"/>
        <w:widowControl w:val="0"/>
        <w:kinsoku/>
        <w:wordWrap/>
        <w:overflowPunct/>
        <w:autoSpaceDE/>
        <w:autoSpaceDN/>
        <w:bidi w:val="0"/>
        <w:spacing w:line="620" w:lineRule="exact"/>
        <w:ind w:firstLine="640" w:firstLineChars="200"/>
        <w:jc w:val="both"/>
        <w:rPr>
          <w:rFonts w:hint="eastAsia"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——国有资本经营预算执行情况</w:t>
      </w:r>
    </w:p>
    <w:p w14:paraId="60085665">
      <w:pPr>
        <w:keepNext w:val="0"/>
        <w:keepLines w:val="0"/>
        <w:pageBreakBefore w:val="0"/>
        <w:widowControl w:val="0"/>
        <w:kinsoku/>
        <w:wordWrap/>
        <w:overflowPunct/>
        <w:autoSpaceDE/>
        <w:autoSpaceDN/>
        <w:bidi w:val="0"/>
        <w:spacing w:line="620" w:lineRule="exact"/>
        <w:ind w:firstLine="624" w:firstLineChars="200"/>
        <w:jc w:val="both"/>
        <w:rPr>
          <w:rFonts w:hint="eastAsia" w:ascii="仿宋_GB2312" w:hAnsi="仿宋_GB2312" w:eastAsia="仿宋_GB2312" w:cs="仿宋_GB2312"/>
          <w:color w:val="000000" w:themeColor="text1"/>
          <w:spacing w:val="-4"/>
          <w:kern w:val="0"/>
          <w:sz w:val="32"/>
          <w:szCs w:val="32"/>
          <w14:textFill>
            <w14:solidFill>
              <w14:schemeClr w14:val="tx1"/>
            </w14:solidFill>
          </w14:textFill>
        </w:rPr>
      </w:pPr>
      <w:r>
        <w:rPr>
          <w:rFonts w:hint="eastAsia" w:ascii="仿宋_GB2312" w:hAnsi="仿宋_GB2312" w:eastAsia="仿宋_GB2312" w:cs="仿宋_GB2312"/>
          <w:color w:val="000000" w:themeColor="text1"/>
          <w:spacing w:val="-4"/>
          <w:kern w:val="0"/>
          <w:sz w:val="32"/>
          <w:szCs w:val="32"/>
          <w14:textFill>
            <w14:solidFill>
              <w14:schemeClr w14:val="tx1"/>
            </w14:solidFill>
          </w14:textFill>
        </w:rPr>
        <w:t>2023年，全区国有资本经营预算收入为0，上级补助收入20万元，收入总计20万元。支出20万元，为解决历史遗留问题及改革成本支出。收支相抵，当年国有资本经营预算收支平衡。</w:t>
      </w:r>
    </w:p>
    <w:p w14:paraId="2DFFC460">
      <w:pPr>
        <w:keepNext w:val="0"/>
        <w:keepLines w:val="0"/>
        <w:pageBreakBefore w:val="0"/>
        <w:widowControl w:val="0"/>
        <w:kinsoku/>
        <w:wordWrap/>
        <w:overflowPunct/>
        <w:autoSpaceDE/>
        <w:autoSpaceDN/>
        <w:bidi w:val="0"/>
        <w:spacing w:line="620" w:lineRule="exact"/>
        <w:ind w:firstLine="640" w:firstLineChars="200"/>
        <w:jc w:val="both"/>
        <w:rPr>
          <w:rFonts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——地方政府债券使用情况</w:t>
      </w:r>
    </w:p>
    <w:p w14:paraId="44163616">
      <w:pPr>
        <w:keepNext w:val="0"/>
        <w:keepLines w:val="0"/>
        <w:pageBreakBefore w:val="0"/>
        <w:widowControl w:val="0"/>
        <w:kinsoku/>
        <w:wordWrap/>
        <w:overflowPunct/>
        <w:autoSpaceDE/>
        <w:autoSpaceDN/>
        <w:bidi w:val="0"/>
        <w:spacing w:line="620" w:lineRule="exact"/>
        <w:ind w:firstLine="640" w:firstLineChars="200"/>
        <w:jc w:val="both"/>
        <w:rPr>
          <w:rFonts w:hint="eastAsia" w:ascii="仿宋_GB2312" w:hAnsi="仿宋_GB2312" w:eastAsia="仿宋_GB2312" w:cs="仿宋_GB2312"/>
          <w:bCs/>
          <w:color w:val="000000" w:themeColor="text1"/>
          <w:sz w:val="32"/>
          <w:szCs w:val="32"/>
          <w14:textFill>
            <w14:solidFill>
              <w14:schemeClr w14:val="tx1"/>
            </w14:solidFill>
          </w14:textFill>
        </w:rPr>
      </w:pPr>
      <w:r>
        <w:rPr>
          <w:rFonts w:hint="eastAsia" w:ascii="仿宋_GB2312" w:hAnsi="仿宋_GB2312" w:eastAsia="仿宋_GB2312" w:cs="仿宋_GB2312"/>
          <w:bCs/>
          <w:color w:val="000000" w:themeColor="text1"/>
          <w:sz w:val="32"/>
          <w:szCs w:val="32"/>
          <w14:textFill>
            <w14:solidFill>
              <w14:schemeClr w14:val="tx1"/>
            </w14:solidFill>
          </w14:textFill>
        </w:rPr>
        <w:t>2023年，全区争引新增政府债券32.5亿元（含经开区13.67亿元），其中新增一般债务转贷收入1.7亿元，新增专项债券收入30.8亿元，主要用于</w:t>
      </w:r>
      <w:r>
        <w:rPr>
          <w:rFonts w:hint="eastAsia" w:ascii="仿宋_GB2312" w:hAnsi="仿宋_GB2312" w:eastAsia="仿宋_GB2312" w:cs="仿宋_GB2312"/>
          <w:color w:val="000000" w:themeColor="text1"/>
          <w:sz w:val="32"/>
          <w:szCs w:val="32"/>
          <w14:textFill>
            <w14:solidFill>
              <w14:schemeClr w14:val="tx1"/>
            </w14:solidFill>
          </w14:textFill>
        </w:rPr>
        <w:t>城建、卫生、教育、中小银行资本金补充等项目。</w:t>
      </w:r>
    </w:p>
    <w:p w14:paraId="5DCFB299">
      <w:pPr>
        <w:keepNext w:val="0"/>
        <w:keepLines w:val="0"/>
        <w:pageBreakBefore w:val="0"/>
        <w:widowControl w:val="0"/>
        <w:kinsoku/>
        <w:wordWrap/>
        <w:overflowPunct/>
        <w:autoSpaceDE/>
        <w:autoSpaceDN/>
        <w:bidi w:val="0"/>
        <w:spacing w:line="620" w:lineRule="exact"/>
        <w:ind w:firstLine="640" w:firstLineChars="200"/>
        <w:jc w:val="both"/>
        <w:rPr>
          <w:rFonts w:hint="eastAsia" w:ascii="仿宋_GB2312" w:hAnsi="仿宋_GB2312" w:eastAsia="仿宋_GB2312"/>
          <w:color w:val="000000" w:themeColor="text1"/>
          <w:sz w:val="32"/>
          <w:szCs w:val="32"/>
          <w14:textFill>
            <w14:solidFill>
              <w14:schemeClr w14:val="tx1"/>
            </w14:solidFill>
          </w14:textFill>
        </w:rPr>
      </w:pPr>
      <w:r>
        <w:rPr>
          <w:rFonts w:hint="eastAsia" w:ascii="仿宋_GB2312" w:hAnsi="宋体" w:eastAsia="仿宋_GB2312" w:cs="宋体"/>
          <w:color w:val="000000" w:themeColor="text1"/>
          <w:sz w:val="32"/>
          <w:szCs w:val="32"/>
          <w14:textFill>
            <w14:solidFill>
              <w14:schemeClr w14:val="tx1"/>
            </w14:solidFill>
          </w14:textFill>
        </w:rPr>
        <w:t>需要说明的是，上述预算执行情况均为快报数，</w:t>
      </w:r>
      <w:r>
        <w:rPr>
          <w:rFonts w:hint="eastAsia" w:ascii="仿宋_GB2312" w:hAnsi="仿宋_GB2312" w:eastAsia="仿宋_GB2312"/>
          <w:color w:val="000000" w:themeColor="text1"/>
          <w:sz w:val="32"/>
          <w:szCs w:val="32"/>
          <w14:textFill>
            <w14:solidFill>
              <w14:schemeClr w14:val="tx1"/>
            </w14:solidFill>
          </w14:textFill>
        </w:rPr>
        <w:t>待上级批复决算事项后，再向区人大常委会报告。</w:t>
      </w:r>
    </w:p>
    <w:p w14:paraId="6C5D8647">
      <w:pPr>
        <w:pStyle w:val="13"/>
        <w:keepNext w:val="0"/>
        <w:keepLines w:val="0"/>
        <w:pageBreakBefore w:val="0"/>
        <w:widowControl w:val="0"/>
        <w:kinsoku/>
        <w:wordWrap/>
        <w:overflowPunct/>
        <w:autoSpaceDE/>
        <w:autoSpaceDN/>
        <w:bidi w:val="0"/>
        <w:spacing w:line="620" w:lineRule="exact"/>
        <w:ind w:left="0" w:leftChars="0"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2023年，我们认真执行区三届人民代表大会第三次会议有关决议和区人大常委会要求，坚持以人民为中心，牢固树立“过紧日子”思想，坚决兜牢“三保”底线，强化政策落实和预算约束，在财政运行安全的基础上，提高财政保障能力，齐心协力服务全区经济社会高质量发展。</w:t>
      </w:r>
    </w:p>
    <w:p w14:paraId="6FFAADE7">
      <w:pPr>
        <w:keepNext w:val="0"/>
        <w:keepLines w:val="0"/>
        <w:pageBreakBefore w:val="0"/>
        <w:widowControl w:val="0"/>
        <w:kinsoku/>
        <w:wordWrap/>
        <w:overflowPunct/>
        <w:autoSpaceDE/>
        <w:autoSpaceDN/>
        <w:bidi w:val="0"/>
        <w:spacing w:line="620" w:lineRule="exact"/>
        <w:ind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（一）做好组织收入，着力增强财政保障能力</w:t>
      </w:r>
      <w:r>
        <w:rPr>
          <w:rFonts w:hint="eastAsia" w:ascii="仿宋_GB2312" w:hAnsi="仿宋_GB2312" w:eastAsia="仿宋_GB2312" w:cs="仿宋_GB2312"/>
          <w:color w:val="000000" w:themeColor="text1"/>
          <w:sz w:val="32"/>
          <w:szCs w:val="32"/>
          <w14:textFill>
            <w14:solidFill>
              <w14:schemeClr w14:val="tx1"/>
            </w14:solidFill>
          </w14:textFill>
        </w:rPr>
        <w:t>。面对经济下行压力和经开区财政体制调整带来的巨大冲击，财税部门攻坚克难、担当作为，为经济平稳健康发展做出积极贡献。</w:t>
      </w: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14:textFill>
            <w14:solidFill>
              <w14:schemeClr w14:val="tx1"/>
            </w14:solidFill>
          </w14:textFill>
        </w:rPr>
        <w:t>强化收入征管，深挖财政收入潜力，发挥好财政牵头作用，配合各执收单位抓好税源培植、资产盘活、土地出让等工作，确保财政收入应收尽收，应缴尽缴，税收收入同比增长11.2%，非税收入可比增长7%。</w:t>
      </w:r>
      <w:r>
        <w:rPr>
          <w:rFonts w:hint="eastAsia" w:ascii="仿宋_GB2312" w:hAnsi="仿宋_GB2312" w:eastAsia="仿宋_GB2312" w:cs="仿宋_GB2312"/>
          <w:b/>
          <w:bCs/>
          <w:color w:val="000000" w:themeColor="text1"/>
          <w:sz w:val="32"/>
          <w:szCs w:val="32"/>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积极向上级争取资金，加强与上级部门沟通协调，为重大项目建设提供资金保障。全年共争取上级转移支付资金17.48亿元，一般债券和专项债券资金32.5亿元，有力地支持了全区各项社会事业发展。</w:t>
      </w:r>
      <w:r>
        <w:rPr>
          <w:rFonts w:hint="eastAsia" w:ascii="仿宋_GB2312" w:hAnsi="仿宋_GB2312" w:eastAsia="仿宋_GB2312" w:cs="仿宋_GB2312"/>
          <w:b/>
          <w:bCs/>
          <w:color w:val="000000" w:themeColor="text1"/>
          <w:sz w:val="32"/>
          <w:szCs w:val="32"/>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高效盘活存量资产，成立投融资工作专班，</w:t>
      </w:r>
      <w:r>
        <w:rPr>
          <w:rFonts w:hint="eastAsia" w:ascii="仿宋_GB2312" w:hAnsi="仿宋_GB2312" w:eastAsia="仿宋_GB2312" w:cs="仿宋_GB2312"/>
          <w:bCs/>
          <w:color w:val="000000" w:themeColor="text1"/>
          <w:sz w:val="32"/>
          <w:szCs w:val="32"/>
          <w14:textFill>
            <w14:solidFill>
              <w14:schemeClr w14:val="tx1"/>
            </w14:solidFill>
          </w14:textFill>
        </w:rPr>
        <w:t>聘请专业咨询团队，采用多种方式对停车位、农田灌溉等资产进行整合，实现财政收入5.2亿元，</w:t>
      </w:r>
      <w:r>
        <w:rPr>
          <w:rFonts w:hint="eastAsia" w:ascii="仿宋_GB2312" w:hAnsi="仿宋_GB2312" w:eastAsia="仿宋_GB2312" w:cs="仿宋_GB2312"/>
          <w:color w:val="000000" w:themeColor="text1"/>
          <w:sz w:val="32"/>
          <w:szCs w:val="32"/>
          <w14:textFill>
            <w14:solidFill>
              <w14:schemeClr w14:val="tx1"/>
            </w14:solidFill>
          </w14:textFill>
        </w:rPr>
        <w:t>破解财政增收难题。</w:t>
      </w:r>
    </w:p>
    <w:p w14:paraId="45862483">
      <w:pPr>
        <w:keepNext w:val="0"/>
        <w:keepLines w:val="0"/>
        <w:pageBreakBefore w:val="0"/>
        <w:widowControl w:val="0"/>
        <w:kinsoku/>
        <w:wordWrap/>
        <w:overflowPunct/>
        <w:autoSpaceDE/>
        <w:autoSpaceDN/>
        <w:bidi w:val="0"/>
        <w:spacing w:line="620" w:lineRule="exact"/>
        <w:ind w:firstLine="640" w:firstLineChars="200"/>
        <w:jc w:val="both"/>
        <w:rPr>
          <w:rFonts w:ascii="仿宋" w:hAnsi="仿宋" w:eastAsia="仿宋_GB2312"/>
          <w:b/>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shd w:val="clear" w:color="auto" w:fill="FFFFFF"/>
          <w14:textFill>
            <w14:solidFill>
              <w14:schemeClr w14:val="tx1"/>
            </w14:solidFill>
          </w14:textFill>
        </w:rPr>
        <w:t>（二）做实“三保”支出，着力兜牢基本民生底线。</w:t>
      </w:r>
      <w:r>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t>牢固树立“过紧日子”思想，调整优化支出结构，大力压缩非必要开支，充分调度各项资金安排，聚焦保障“三保”及重点项目支出。</w:t>
      </w:r>
      <w:r>
        <w:rPr>
          <w:rFonts w:hint="eastAsia" w:ascii="仿宋_GB2312" w:hAnsi="仿宋_GB2312" w:eastAsia="仿宋_GB2312" w:cs="仿宋_GB2312"/>
          <w:b/>
          <w:bCs/>
          <w:color w:val="000000" w:themeColor="text1"/>
          <w:sz w:val="32"/>
          <w:szCs w:val="32"/>
          <w:shd w:val="clear" w:color="auto" w:fill="FFFFFF"/>
          <w14:textFill>
            <w14:solidFill>
              <w14:schemeClr w14:val="tx1"/>
            </w14:solidFill>
          </w14:textFill>
        </w:rPr>
        <w:t>一是</w:t>
      </w:r>
      <w:r>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t>坚持“三保”优先原则，</w:t>
      </w:r>
      <w:r>
        <w:rPr>
          <w:rFonts w:hint="eastAsia" w:ascii="仿宋_GB2312" w:hAnsi="仿宋_GB2312" w:eastAsia="仿宋_GB2312" w:cs="仿宋_GB2312"/>
          <w:color w:val="000000" w:themeColor="text1"/>
          <w:kern w:val="0"/>
          <w:sz w:val="32"/>
          <w:szCs w:val="32"/>
          <w14:textFill>
            <w14:solidFill>
              <w14:schemeClr w14:val="tx1"/>
            </w14:solidFill>
          </w14:textFill>
        </w:rPr>
        <w:t>确保“三保”资金按时足额保障到位，</w:t>
      </w:r>
      <w:r>
        <w:rPr>
          <w:rFonts w:hint="eastAsia" w:ascii="仿宋_GB2312" w:hAnsi="仿宋_GB2312" w:eastAsia="仿宋_GB2312" w:cs="仿宋_GB2312"/>
          <w:color w:val="000000" w:themeColor="text1"/>
          <w:sz w:val="32"/>
          <w:szCs w:val="32"/>
          <w14:textFill>
            <w14:solidFill>
              <w14:schemeClr w14:val="tx1"/>
            </w14:solidFill>
          </w14:textFill>
        </w:rPr>
        <w:t>全区全年“三保”支出24.4亿元</w:t>
      </w:r>
      <w:r>
        <w:rPr>
          <w:rFonts w:hint="eastAsia" w:ascii="仿宋_GB2312" w:hAnsi="仿宋_GB2312" w:eastAsia="仿宋_GB2312" w:cs="仿宋_GB2312"/>
          <w:color w:val="000000" w:themeColor="text1"/>
          <w:kern w:val="0"/>
          <w:sz w:val="32"/>
          <w:szCs w:val="32"/>
          <w14:textFill>
            <w14:solidFill>
              <w14:schemeClr w14:val="tx1"/>
            </w14:solidFill>
          </w14:textFill>
        </w:rPr>
        <w:t>。</w:t>
      </w:r>
      <w:r>
        <w:rPr>
          <w:rFonts w:hint="eastAsia" w:ascii="仿宋_GB2312" w:hAnsi="仿宋_GB2312" w:eastAsia="仿宋_GB2312" w:cs="仿宋_GB2312"/>
          <w:b/>
          <w:bCs/>
          <w:color w:val="000000" w:themeColor="text1"/>
          <w:kern w:val="0"/>
          <w:sz w:val="32"/>
          <w:szCs w:val="32"/>
          <w14:textFill>
            <w14:solidFill>
              <w14:schemeClr w14:val="tx1"/>
            </w14:solidFill>
          </w14:textFill>
        </w:rPr>
        <w:t>二是</w:t>
      </w:r>
      <w:r>
        <w:rPr>
          <w:rFonts w:hint="eastAsia" w:ascii="仿宋_GB2312" w:hAnsi="仿宋_GB2312" w:eastAsia="仿宋_GB2312" w:cs="仿宋_GB2312"/>
          <w:color w:val="000000" w:themeColor="text1"/>
          <w:kern w:val="0"/>
          <w:sz w:val="32"/>
          <w:szCs w:val="32"/>
          <w14:textFill>
            <w14:solidFill>
              <w14:schemeClr w14:val="tx1"/>
            </w14:solidFill>
          </w14:textFill>
        </w:rPr>
        <w:t>坚持在发展中保障和改善民生，让人民共享发展成果，</w:t>
      </w:r>
      <w:r>
        <w:rPr>
          <w:rFonts w:hint="eastAsia" w:ascii="仿宋_GB2312" w:hAnsi="仿宋_GB2312" w:eastAsia="仿宋_GB2312" w:cs="仿宋_GB2312"/>
          <w:color w:val="000000" w:themeColor="text1"/>
          <w:sz w:val="32"/>
          <w:szCs w:val="32"/>
          <w14:textFill>
            <w14:solidFill>
              <w14:schemeClr w14:val="tx1"/>
            </w14:solidFill>
          </w14:textFill>
        </w:rPr>
        <w:t>全年民生领域支出45.79亿元，占一般公共预算支出87%。其中，教育支出15.0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color w:val="000000" w:themeColor="text1"/>
          <w:sz w:val="32"/>
          <w:szCs w:val="32"/>
          <w14:textFill>
            <w14:solidFill>
              <w14:schemeClr w14:val="tx1"/>
            </w14:solidFill>
          </w14:textFill>
        </w:rPr>
        <w:t>亿元；社保和就业支出8.5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亿元；卫生健康支出4.9</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w:t>
      </w:r>
      <w:r>
        <w:rPr>
          <w:rFonts w:hint="eastAsia" w:ascii="仿宋_GB2312" w:hAnsi="仿宋_GB2312" w:eastAsia="仿宋_GB2312" w:cs="仿宋_GB2312"/>
          <w:color w:val="000000" w:themeColor="text1"/>
          <w:sz w:val="32"/>
          <w:szCs w:val="32"/>
          <w14:textFill>
            <w14:solidFill>
              <w14:schemeClr w14:val="tx1"/>
            </w14:solidFill>
          </w14:textFill>
        </w:rPr>
        <w:t>亿元。</w:t>
      </w:r>
    </w:p>
    <w:p w14:paraId="256358BE">
      <w:pPr>
        <w:pStyle w:val="4"/>
        <w:keepNext w:val="0"/>
        <w:keepLines w:val="0"/>
        <w:pageBreakBefore w:val="0"/>
        <w:widowControl w:val="0"/>
        <w:kinsoku/>
        <w:wordWrap/>
        <w:overflowPunct/>
        <w:autoSpaceDE/>
        <w:autoSpaceDN/>
        <w:bidi w:val="0"/>
        <w:spacing w:line="620" w:lineRule="exact"/>
        <w:ind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（三）做深政策落实，着力经济增长提质增效。</w:t>
      </w: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14:textFill>
            <w14:solidFill>
              <w14:schemeClr w14:val="tx1"/>
            </w14:solidFill>
          </w14:textFill>
        </w:rPr>
        <w:t>统筹安排各类支农资金落实“三农”政策，全区</w:t>
      </w:r>
      <w:r>
        <w:rPr>
          <w:rFonts w:hint="eastAsia" w:ascii="仿宋_GB2312" w:hAnsi="仿宋_GB2312" w:eastAsia="仿宋_GB2312" w:cs="仿宋_GB2312"/>
          <w:color w:val="000000" w:themeColor="text1"/>
          <w:kern w:val="2"/>
          <w:sz w:val="32"/>
          <w:szCs w:val="32"/>
          <w14:textFill>
            <w14:solidFill>
              <w14:schemeClr w14:val="tx1"/>
            </w14:solidFill>
          </w14:textFill>
        </w:rPr>
        <w:t>发放耕地地力补贴资金4702万元，种粮农民一次性补贴资金594万元，农机购置补贴资金2690万元，提高农民种粮积极性和农业机械化水平；安排农业保险保费补贴资金3689万元，有力促进灾后农民恢复生产；同时，</w:t>
      </w:r>
      <w:r>
        <w:rPr>
          <w:rFonts w:hint="eastAsia" w:ascii="仿宋_GB2312" w:hAnsi="仿宋_GB2312" w:eastAsia="仿宋_GB2312" w:cs="仿宋_GB2312"/>
          <w:bCs/>
          <w:color w:val="000000" w:themeColor="text1"/>
          <w:sz w:val="32"/>
          <w:szCs w:val="32"/>
          <w14:textFill>
            <w14:solidFill>
              <w14:schemeClr w14:val="tx1"/>
            </w14:solidFill>
          </w14:textFill>
        </w:rPr>
        <w:t>统筹整合衔接推进乡村振兴补助资金1332万元，实施了资产收益、雨露计划、小额信贷贴息、对口帮扶、</w:t>
      </w:r>
      <w:r>
        <w:rPr>
          <w:rStyle w:val="21"/>
          <w:rFonts w:hint="eastAsia" w:ascii="仿宋_GB2312" w:hAnsi="仿宋_GB2312" w:eastAsia="仿宋_GB2312" w:cs="仿宋_GB2312"/>
          <w:color w:val="000000" w:themeColor="text1"/>
          <w:sz w:val="32"/>
          <w:szCs w:val="32"/>
          <w14:textFill>
            <w14:solidFill>
              <w14:schemeClr w14:val="tx1"/>
            </w14:solidFill>
          </w14:textFill>
        </w:rPr>
        <w:t>发展新型农村集体经济</w:t>
      </w:r>
      <w:r>
        <w:rPr>
          <w:rFonts w:hint="eastAsia" w:ascii="仿宋_GB2312" w:hAnsi="仿宋_GB2312" w:eastAsia="仿宋_GB2312" w:cs="仿宋_GB2312"/>
          <w:bCs/>
          <w:color w:val="000000" w:themeColor="text1"/>
          <w:sz w:val="32"/>
          <w:szCs w:val="32"/>
          <w14:textFill>
            <w14:solidFill>
              <w14:schemeClr w14:val="tx1"/>
            </w14:solidFill>
          </w14:textFill>
        </w:rPr>
        <w:t>等9个项目，持续巩固脱贫攻坚成果。</w:t>
      </w:r>
      <w:r>
        <w:rPr>
          <w:rFonts w:hint="eastAsia" w:ascii="仿宋_GB2312" w:hAnsi="仿宋_GB2312" w:eastAsia="仿宋_GB2312" w:cs="仿宋_GB2312"/>
          <w:b/>
          <w:color w:val="000000" w:themeColor="text1"/>
          <w:sz w:val="32"/>
          <w:szCs w:val="32"/>
          <w14:textFill>
            <w14:solidFill>
              <w14:schemeClr w14:val="tx1"/>
            </w14:solidFill>
          </w14:textFill>
        </w:rPr>
        <w:t>二是</w:t>
      </w:r>
      <w:r>
        <w:rPr>
          <w:rFonts w:hint="eastAsia" w:ascii="仿宋_GB2312" w:hAnsi="仿宋_GB2312" w:eastAsia="仿宋_GB2312" w:cs="仿宋_GB2312"/>
          <w:bCs/>
          <w:color w:val="000000" w:themeColor="text1"/>
          <w:sz w:val="32"/>
          <w:szCs w:val="32"/>
          <w14:textFill>
            <w14:solidFill>
              <w14:schemeClr w14:val="tx1"/>
            </w14:solidFill>
          </w14:textFill>
        </w:rPr>
        <w:t>坚决贯彻落实新的组合式税费支持政策，确保减税降费应减尽减，全区（含经开区）全年落实减税降费政策减免税费30.2亿元，其中减税29.1亿元，降费1.1亿元，惠及纳税人97648户次。</w:t>
      </w:r>
      <w:r>
        <w:rPr>
          <w:rFonts w:hint="eastAsia" w:ascii="仿宋_GB2312" w:hAnsi="仿宋_GB2312" w:eastAsia="仿宋_GB2312" w:cs="仿宋_GB2312"/>
          <w:b/>
          <w:bCs/>
          <w:color w:val="000000" w:themeColor="text1"/>
          <w:sz w:val="32"/>
          <w:szCs w:val="32"/>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加大向上争引企业补贴资金力度，更好发挥财政政策和资金的引导作用，申请上级企业专项奖补资金4815万元，为企业纾困解难提供资金支持。</w:t>
      </w:r>
    </w:p>
    <w:p w14:paraId="16212670">
      <w:pPr>
        <w:keepNext w:val="0"/>
        <w:keepLines w:val="0"/>
        <w:pageBreakBefore w:val="0"/>
        <w:widowControl w:val="0"/>
        <w:kinsoku/>
        <w:wordWrap/>
        <w:overflowPunct/>
        <w:autoSpaceDE/>
        <w:autoSpaceDN/>
        <w:bidi w:val="0"/>
        <w:spacing w:line="620" w:lineRule="exact"/>
        <w:ind w:firstLine="640" w:firstLineChars="200"/>
        <w:jc w:val="both"/>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（四）做优财政管理，着力提升财政运转水平。</w:t>
      </w: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14:textFill>
            <w14:solidFill>
              <w14:schemeClr w14:val="tx1"/>
            </w14:solidFill>
          </w14:textFill>
        </w:rPr>
        <w:t>积极推进财政票据改革管理，建立票据使用登记制度，创新票据监管方式，规范非税收入征管流程，坚决</w:t>
      </w:r>
      <w:r>
        <w:rPr>
          <w:rFonts w:hint="eastAsia" w:ascii="仿宋_GB2312" w:hAnsi="仿宋_GB2312" w:eastAsia="仿宋_GB2312" w:cs="仿宋_GB2312"/>
          <w:color w:val="000000" w:themeColor="text1"/>
          <w:sz w:val="32"/>
          <w:szCs w:val="32"/>
          <w:lang w:eastAsia="zh-CN"/>
          <w14:textFill>
            <w14:solidFill>
              <w14:schemeClr w14:val="tx1"/>
            </w14:solidFill>
          </w14:textFill>
        </w:rPr>
        <w:t>遏止</w:t>
      </w:r>
      <w:r>
        <w:rPr>
          <w:rFonts w:hint="eastAsia" w:ascii="仿宋_GB2312" w:hAnsi="仿宋_GB2312" w:eastAsia="仿宋_GB2312" w:cs="仿宋_GB2312"/>
          <w:color w:val="000000" w:themeColor="text1"/>
          <w:sz w:val="32"/>
          <w:szCs w:val="32"/>
          <w14:textFill>
            <w14:solidFill>
              <w14:schemeClr w14:val="tx1"/>
            </w14:solidFill>
          </w14:textFill>
        </w:rPr>
        <w:t>乱收费现象发生。</w:t>
      </w:r>
      <w:r>
        <w:rPr>
          <w:rFonts w:hint="eastAsia" w:ascii="仿宋_GB2312" w:hAnsi="仿宋_GB2312" w:eastAsia="仿宋_GB2312" w:cs="仿宋_GB2312"/>
          <w:b/>
          <w:bCs/>
          <w:color w:val="000000" w:themeColor="text1"/>
          <w:sz w:val="32"/>
          <w:szCs w:val="32"/>
          <w14:textFill>
            <w14:solidFill>
              <w14:schemeClr w14:val="tx1"/>
            </w14:solidFill>
          </w14:textFill>
        </w:rPr>
        <w:t>二是</w:t>
      </w:r>
      <w:r>
        <w:rPr>
          <w:rFonts w:hint="eastAsia" w:ascii="仿宋_GB2312" w:hAnsi="仿宋_GB2312" w:eastAsia="仿宋_GB2312" w:cs="仿宋_GB2312"/>
          <w:bCs/>
          <w:color w:val="000000" w:themeColor="text1"/>
          <w:sz w:val="32"/>
          <w:szCs w:val="32"/>
          <w14:textFill>
            <w14:solidFill>
              <w14:schemeClr w14:val="tx1"/>
            </w14:solidFill>
          </w14:textFill>
        </w:rPr>
        <w:t>深化</w:t>
      </w:r>
      <w:r>
        <w:rPr>
          <w:rFonts w:hint="eastAsia" w:ascii="仿宋_GB2312" w:hAnsi="仿宋_GB2312" w:eastAsia="仿宋_GB2312" w:cs="仿宋_GB2312"/>
          <w:bCs/>
          <w:color w:val="000000" w:themeColor="text1"/>
          <w:sz w:val="32"/>
          <w:szCs w:val="32"/>
          <w:lang w:eastAsia="zh-CN"/>
          <w14:textFill>
            <w14:solidFill>
              <w14:schemeClr w14:val="tx1"/>
            </w14:solidFill>
          </w14:textFill>
        </w:rPr>
        <w:t>“放管服”改革</w:t>
      </w:r>
      <w:r>
        <w:rPr>
          <w:rFonts w:hint="eastAsia" w:ascii="仿宋_GB2312" w:hAnsi="仿宋_GB2312" w:eastAsia="仿宋_GB2312" w:cs="仿宋_GB2312"/>
          <w:bCs/>
          <w:color w:val="000000" w:themeColor="text1"/>
          <w:sz w:val="32"/>
          <w:szCs w:val="32"/>
          <w14:textFill>
            <w14:solidFill>
              <w14:schemeClr w14:val="tx1"/>
            </w14:solidFill>
          </w14:textFill>
        </w:rPr>
        <w:t>，实现全部政府采购项目通过电子化交易、政府采购“信用+承诺”制，降低政府采购供应商交易成本；</w:t>
      </w:r>
      <w:r>
        <w:rPr>
          <w:rFonts w:hint="eastAsia" w:ascii="仿宋_GB2312" w:hAnsi="仿宋_GB2312" w:eastAsia="仿宋_GB2312" w:cs="仿宋_GB2312"/>
          <w:color w:val="000000" w:themeColor="text1"/>
          <w:sz w:val="32"/>
          <w:szCs w:val="32"/>
          <w14:textFill>
            <w14:solidFill>
              <w14:schemeClr w14:val="tx1"/>
            </w14:solidFill>
          </w14:textFill>
        </w:rPr>
        <w:t>持续深化政府采购制度改革，深入推进“双盲”评审机制，保障企业平等参与政府采购；落实对中小企业的政府采购预留份额政策，全区累计签订政府采购合同金额2.84亿元，其中中小微企业合同签订金额2.48亿元，占合同总金额的87.3%，大幅度高于财政部规定预留给中小企业30%的比例。</w:t>
      </w:r>
      <w:r>
        <w:rPr>
          <w:rFonts w:hint="eastAsia" w:ascii="仿宋_GB2312" w:hAnsi="仿宋_GB2312" w:eastAsia="仿宋_GB2312" w:cs="仿宋_GB2312"/>
          <w:b/>
          <w:bCs/>
          <w:color w:val="000000" w:themeColor="text1"/>
          <w:sz w:val="32"/>
          <w:szCs w:val="32"/>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推进财政投资评审改革，修订完善《石家庄市藁城区财政投资评审操作规程》，规范财政评审行为，完成评审项目337个，报审金额57.35亿元，审定金额50.52亿元，审减率11.9%。</w:t>
      </w:r>
    </w:p>
    <w:p w14:paraId="7E2753C6">
      <w:pPr>
        <w:keepNext w:val="0"/>
        <w:keepLines w:val="0"/>
        <w:pageBreakBefore w:val="0"/>
        <w:widowControl w:val="0"/>
        <w:kinsoku/>
        <w:wordWrap/>
        <w:overflowPunct/>
        <w:autoSpaceDE/>
        <w:autoSpaceDN/>
        <w:bidi w:val="0"/>
        <w:spacing w:line="620" w:lineRule="exact"/>
        <w:ind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（五）做严财政监督，着力防范化解重大风险。</w:t>
      </w:r>
      <w:r>
        <w:rPr>
          <w:rFonts w:hint="eastAsia" w:ascii="仿宋_GB2312" w:hAnsi="仿宋_GB2312" w:eastAsia="仿宋_GB2312" w:cs="仿宋_GB2312"/>
          <w:b/>
          <w:bCs/>
          <w:color w:val="000000" w:themeColor="text1"/>
          <w:sz w:val="32"/>
          <w:szCs w:val="32"/>
          <w14:textFill>
            <w14:solidFill>
              <w14:schemeClr w14:val="tx1"/>
            </w14:solidFill>
          </w14:textFill>
        </w:rPr>
        <w:t>一</w:t>
      </w:r>
      <w:r>
        <w:rPr>
          <w:rFonts w:hint="eastAsia" w:ascii="仿宋_GB2312" w:hAnsi="仿宋_GB2312" w:eastAsia="仿宋_GB2312" w:cs="仿宋_GB2312"/>
          <w:b/>
          <w:bCs/>
          <w:color w:val="000000" w:themeColor="text1"/>
          <w:sz w:val="32"/>
          <w:szCs w:val="32"/>
          <w:shd w:val="clear" w:color="auto" w:fill="FFFFFF"/>
          <w14:textFill>
            <w14:solidFill>
              <w14:schemeClr w14:val="tx1"/>
            </w14:solidFill>
          </w14:textFill>
        </w:rPr>
        <w:t>是</w:t>
      </w:r>
      <w:r>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t>切实加强和规范地方政府债务管理，</w:t>
      </w:r>
      <w:r>
        <w:rPr>
          <w:rFonts w:hint="eastAsia" w:ascii="仿宋_GB2312" w:hAnsi="仿宋_GB2312" w:eastAsia="仿宋_GB2312" w:cs="仿宋_GB2312"/>
          <w:color w:val="000000" w:themeColor="text1"/>
          <w:sz w:val="32"/>
          <w:szCs w:val="32"/>
          <w14:textFill>
            <w14:solidFill>
              <w14:schemeClr w14:val="tx1"/>
            </w14:solidFill>
          </w14:textFill>
        </w:rPr>
        <w:t>健全政府债务风险防范机制，持续优化债务结构，防范债务风险，确保政府债务率控制在合理水平。</w:t>
      </w:r>
      <w:r>
        <w:rPr>
          <w:rFonts w:hint="eastAsia" w:ascii="仿宋_GB2312" w:hAnsi="仿宋_GB2312" w:eastAsia="仿宋_GB2312" w:cs="仿宋_GB2312"/>
          <w:b/>
          <w:bCs/>
          <w:color w:val="000000" w:themeColor="text1"/>
          <w:sz w:val="32"/>
          <w:szCs w:val="32"/>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强化暂付款管理，严控暂付款新增，及时完成暂付款化解任务，做到“严控增量”和“消化存量”两手抓、两手硬。</w:t>
      </w:r>
      <w:r>
        <w:rPr>
          <w:rFonts w:hint="eastAsia" w:ascii="仿宋_GB2312" w:hAnsi="仿宋_GB2312" w:eastAsia="仿宋_GB2312" w:cs="仿宋_GB2312"/>
          <w:b/>
          <w:bCs/>
          <w:color w:val="000000" w:themeColor="text1"/>
          <w:sz w:val="32"/>
          <w:szCs w:val="32"/>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持续开展4个重点项目绩效评价和3134个专项资金绩效自评工作，将绩效管理融入预算编制、执行、监督全过程，搭建了事前目标设定、事中动态监管、事后绩效评价及结果应用的全过程管理框架，不断提高财政资金使用效益。</w:t>
      </w:r>
      <w:r>
        <w:rPr>
          <w:rFonts w:hint="eastAsia" w:ascii="仿宋_GB2312" w:hAnsi="仿宋_GB2312" w:eastAsia="仿宋_GB2312" w:cs="仿宋_GB2312"/>
          <w:b/>
          <w:bCs/>
          <w:color w:val="000000" w:themeColor="text1"/>
          <w:sz w:val="32"/>
          <w:szCs w:val="32"/>
          <w14:textFill>
            <w14:solidFill>
              <w14:schemeClr w14:val="tx1"/>
            </w14:solidFill>
          </w14:textFill>
        </w:rPr>
        <w:t>四是</w:t>
      </w:r>
      <w:r>
        <w:rPr>
          <w:rFonts w:hint="eastAsia" w:ascii="仿宋_GB2312" w:hAnsi="仿宋_GB2312" w:eastAsia="仿宋_GB2312" w:cs="仿宋_GB2312"/>
          <w:color w:val="000000" w:themeColor="text1"/>
          <w:sz w:val="32"/>
          <w:szCs w:val="32"/>
          <w14:textFill>
            <w14:solidFill>
              <w14:schemeClr w14:val="tx1"/>
            </w14:solidFill>
          </w14:textFill>
        </w:rPr>
        <w:t>开展财经纪律专项整治和信息质量监督检查工作，严肃财经纪律刚性约束，落实常态化财政监督机制，坚决把统筹发展和安全落到实处。</w:t>
      </w:r>
    </w:p>
    <w:p w14:paraId="364D508E">
      <w:pPr>
        <w:keepNext w:val="0"/>
        <w:keepLines w:val="0"/>
        <w:pageBreakBefore w:val="0"/>
        <w:widowControl w:val="0"/>
        <w:kinsoku/>
        <w:wordWrap/>
        <w:overflowPunct/>
        <w:autoSpaceDE/>
        <w:autoSpaceDN/>
        <w:bidi w:val="0"/>
        <w:spacing w:line="620" w:lineRule="exact"/>
        <w:ind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（六）做强国有企业，着力项目建设提速提质。</w:t>
      </w:r>
      <w:r>
        <w:rPr>
          <w:rFonts w:hint="eastAsia" w:ascii="仿宋_GB2312" w:hAnsi="仿宋_GB2312" w:eastAsia="仿宋_GB2312" w:cs="仿宋_GB2312"/>
          <w:b/>
          <w:color w:val="000000" w:themeColor="text1"/>
          <w:sz w:val="32"/>
          <w:szCs w:val="32"/>
          <w14:textFill>
            <w14:solidFill>
              <w14:schemeClr w14:val="tx1"/>
            </w14:solidFill>
          </w14:textFill>
        </w:rPr>
        <w:t>一是</w:t>
      </w:r>
      <w:r>
        <w:rPr>
          <w:rFonts w:hint="eastAsia" w:ascii="仿宋_GB2312" w:hAnsi="仿宋_GB2312" w:eastAsia="仿宋_GB2312" w:cs="仿宋_GB2312"/>
          <w:bCs/>
          <w:color w:val="000000" w:themeColor="text1"/>
          <w:sz w:val="32"/>
          <w:szCs w:val="32"/>
          <w14:textFill>
            <w14:solidFill>
              <w14:schemeClr w14:val="tx1"/>
            </w14:solidFill>
          </w14:textFill>
        </w:rPr>
        <w:t>围绕建投公司做大做强目标，</w:t>
      </w:r>
      <w:r>
        <w:rPr>
          <w:rFonts w:hint="eastAsia" w:ascii="仿宋_GB2312" w:hAnsi="仿宋_GB2312" w:eastAsia="仿宋_GB2312" w:cs="仿宋_GB2312"/>
          <w:color w:val="000000" w:themeColor="text1"/>
          <w:sz w:val="32"/>
          <w:szCs w:val="32"/>
          <w14:textFill>
            <w14:solidFill>
              <w14:schemeClr w14:val="tx1"/>
            </w14:solidFill>
          </w14:textFill>
        </w:rPr>
        <w:t>加大资产清装力度，持续向建投公司注入优质资产，实现公司资产总额242亿元，壮大了资产规模，综合实力显著提升。</w:t>
      </w:r>
      <w:r>
        <w:rPr>
          <w:rFonts w:hint="eastAsia" w:ascii="仿宋_GB2312" w:hAnsi="仿宋_GB2312" w:eastAsia="仿宋_GB2312" w:cs="仿宋_GB2312"/>
          <w:b/>
          <w:bCs/>
          <w:color w:val="000000" w:themeColor="text1"/>
          <w:sz w:val="32"/>
          <w:szCs w:val="32"/>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完成建投公司AA+信用评级和积极谋划企业债发行许可，优化金融资产结构，提高国企竞争力。</w:t>
      </w:r>
      <w:r>
        <w:rPr>
          <w:rFonts w:hint="eastAsia" w:ascii="仿宋_GB2312" w:hAnsi="仿宋_GB2312" w:eastAsia="仿宋_GB2312" w:cs="仿宋_GB2312"/>
          <w:b/>
          <w:bCs/>
          <w:color w:val="000000" w:themeColor="text1"/>
          <w:sz w:val="32"/>
          <w:szCs w:val="32"/>
          <w14:textFill>
            <w14:solidFill>
              <w14:schemeClr w14:val="tx1"/>
            </w14:solidFill>
          </w14:textFill>
        </w:rPr>
        <w:t>三是</w:t>
      </w:r>
      <w:r>
        <w:rPr>
          <w:rFonts w:hint="eastAsia" w:ascii="仿宋_GB2312" w:hAnsi="仿宋_GB2312" w:eastAsia="仿宋_GB2312" w:cs="仿宋_GB2312"/>
          <w:bCs/>
          <w:color w:val="000000" w:themeColor="text1"/>
          <w:sz w:val="32"/>
          <w:szCs w:val="32"/>
          <w14:textFill>
            <w14:solidFill>
              <w14:schemeClr w14:val="tx1"/>
            </w14:solidFill>
          </w14:textFill>
        </w:rPr>
        <w:t>围绕全区重点建设项目及资金需求，积极与央企国企、金融机构、社会资本加强合作，全年累计</w:t>
      </w:r>
      <w:r>
        <w:rPr>
          <w:rFonts w:hint="eastAsia" w:ascii="仿宋_GB2312" w:hAnsi="仿宋_GB2312" w:eastAsia="仿宋_GB2312" w:cs="仿宋_GB2312"/>
          <w:color w:val="000000" w:themeColor="text1"/>
          <w:sz w:val="32"/>
          <w:szCs w:val="32"/>
          <w14:textFill>
            <w14:solidFill>
              <w14:schemeClr w14:val="tx1"/>
            </w14:solidFill>
          </w14:textFill>
        </w:rPr>
        <w:t>融资到位15.41亿</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元</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14:textFill>
            <w14:solidFill>
              <w14:schemeClr w14:val="tx1"/>
            </w14:solidFill>
          </w14:textFill>
        </w:rPr>
        <w:t>四是</w:t>
      </w:r>
      <w:r>
        <w:rPr>
          <w:rFonts w:hint="eastAsia" w:ascii="仿宋_GB2312" w:hAnsi="仿宋_GB2312" w:eastAsia="仿宋_GB2312" w:cs="仿宋_GB2312"/>
          <w:color w:val="000000" w:themeColor="text1"/>
          <w:sz w:val="32"/>
          <w:szCs w:val="32"/>
          <w14:textFill>
            <w14:solidFill>
              <w14:schemeClr w14:val="tx1"/>
            </w14:solidFill>
          </w14:textFill>
        </w:rPr>
        <w:t>积极稳妥推进重大项目，统筹安排工期，科学组织施工，现代食品产业园基础设施建设项目经一街、支路三、支路四和梦龄大道实现竣工通车、配套绿化工作基本完成；污水处理厂综合办公楼、调节池、液氧站等单体建筑主体完工，设备安装收尾；华睿府完成1-12号楼基础、地下室主体工程及10层至13层主体工程等；人民医院新院区和石井、南马城中村改造、教育产业园等项目正稳步推进。</w:t>
      </w:r>
      <w:r>
        <w:rPr>
          <w:rFonts w:hint="eastAsia" w:ascii="仿宋_GB2312" w:hAnsi="仿宋_GB2312" w:eastAsia="仿宋_GB2312" w:cs="仿宋_GB2312"/>
          <w:b/>
          <w:bCs/>
          <w:color w:val="000000" w:themeColor="text1"/>
          <w:sz w:val="32"/>
          <w:szCs w:val="32"/>
          <w14:textFill>
            <w14:solidFill>
              <w14:schemeClr w14:val="tx1"/>
            </w14:solidFill>
          </w14:textFill>
        </w:rPr>
        <w:t>五是</w:t>
      </w:r>
      <w:r>
        <w:rPr>
          <w:rFonts w:hint="eastAsia" w:ascii="仿宋_GB2312" w:hAnsi="仿宋_GB2312" w:eastAsia="仿宋_GB2312" w:cs="仿宋_GB2312"/>
          <w:color w:val="000000" w:themeColor="text1"/>
          <w:sz w:val="32"/>
          <w:szCs w:val="32"/>
          <w14:textFill>
            <w14:solidFill>
              <w14:schemeClr w14:val="tx1"/>
            </w14:solidFill>
          </w14:textFill>
        </w:rPr>
        <w:t>统筹农业资源，规范市场运作，新成立藁城区系井农业高科技园区有限公司，并对农田灌溉设施项目进行市场化运营。</w:t>
      </w:r>
    </w:p>
    <w:p w14:paraId="43B0F85F">
      <w:pPr>
        <w:keepNext w:val="0"/>
        <w:keepLines w:val="0"/>
        <w:pageBreakBefore w:val="0"/>
        <w:widowControl w:val="0"/>
        <w:kinsoku/>
        <w:wordWrap/>
        <w:overflowPunct/>
        <w:autoSpaceDE/>
        <w:autoSpaceDN/>
        <w:bidi w:val="0"/>
        <w:spacing w:line="620" w:lineRule="exact"/>
        <w:ind w:firstLine="640" w:firstLineChars="200"/>
        <w:jc w:val="both"/>
        <w:rPr>
          <w:rFonts w:hint="eastAsia" w:ascii="黑体" w:hAnsi="黑体"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各位代表，过去一年，面对复杂多变的财政经济形势，取得以上成绩，来之不易，</w:t>
      </w:r>
      <w:r>
        <w:rPr>
          <w:rFonts w:ascii="仿宋_GB2312" w:eastAsia="仿宋_GB2312"/>
          <w:color w:val="000000" w:themeColor="text1"/>
          <w:sz w:val="32"/>
          <w:szCs w:val="32"/>
          <w14:textFill>
            <w14:solidFill>
              <w14:schemeClr w14:val="tx1"/>
            </w14:solidFill>
          </w14:textFill>
        </w:rPr>
        <w:t>在</w:t>
      </w:r>
      <w:r>
        <w:rPr>
          <w:rFonts w:hint="eastAsia" w:ascii="仿宋_GB2312" w:eastAsia="仿宋_GB2312"/>
          <w:color w:val="000000" w:themeColor="text1"/>
          <w:sz w:val="32"/>
          <w:szCs w:val="32"/>
          <w14:textFill>
            <w14:solidFill>
              <w14:schemeClr w14:val="tx1"/>
            </w14:solidFill>
          </w14:textFill>
        </w:rPr>
        <w:t>总结成绩</w:t>
      </w:r>
      <w:r>
        <w:rPr>
          <w:rFonts w:ascii="仿宋_GB2312" w:eastAsia="仿宋_GB2312"/>
          <w:color w:val="000000" w:themeColor="text1"/>
          <w:sz w:val="32"/>
          <w:szCs w:val="32"/>
          <w14:textFill>
            <w14:solidFill>
              <w14:schemeClr w14:val="tx1"/>
            </w14:solidFill>
          </w14:textFill>
        </w:rPr>
        <w:t>的同时，我们也清醒</w:t>
      </w:r>
      <w:r>
        <w:rPr>
          <w:rFonts w:hint="eastAsia" w:ascii="仿宋_GB2312" w:eastAsia="仿宋_GB2312"/>
          <w:color w:val="000000" w:themeColor="text1"/>
          <w:sz w:val="32"/>
          <w:szCs w:val="32"/>
          <w14:textFill>
            <w14:solidFill>
              <w14:schemeClr w14:val="tx1"/>
            </w14:solidFill>
          </w14:textFill>
        </w:rPr>
        <w:t>地看</w:t>
      </w:r>
      <w:r>
        <w:rPr>
          <w:rFonts w:ascii="仿宋_GB2312" w:eastAsia="仿宋_GB2312"/>
          <w:color w:val="000000" w:themeColor="text1"/>
          <w:sz w:val="32"/>
          <w:szCs w:val="32"/>
          <w14:textFill>
            <w14:solidFill>
              <w14:schemeClr w14:val="tx1"/>
            </w14:solidFill>
          </w14:textFill>
        </w:rPr>
        <w:t>到，</w:t>
      </w:r>
      <w:r>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t>全区财政工作还面临着很多困难和挑战。</w:t>
      </w:r>
      <w:r>
        <w:rPr>
          <w:rFonts w:hint="eastAsia" w:ascii="仿宋_GB2312" w:eastAsia="仿宋_GB2312"/>
          <w:b/>
          <w:bCs/>
          <w:color w:val="000000" w:themeColor="text1"/>
          <w:sz w:val="32"/>
          <w:szCs w:val="32"/>
          <w14:textFill>
            <w14:solidFill>
              <w14:schemeClr w14:val="tx1"/>
            </w14:solidFill>
          </w14:textFill>
        </w:rPr>
        <w:t>一是</w:t>
      </w:r>
      <w:r>
        <w:rPr>
          <w:rFonts w:hint="eastAsia" w:ascii="仿宋_GB2312" w:hAnsi="仿宋" w:eastAsia="仿宋_GB2312"/>
          <w:color w:val="000000" w:themeColor="text1"/>
          <w:sz w:val="32"/>
          <w:szCs w:val="32"/>
          <w14:textFill>
            <w14:solidFill>
              <w14:schemeClr w14:val="tx1"/>
            </w14:solidFill>
          </w14:textFill>
        </w:rPr>
        <w:t>组织收入难度进一步加大，可用财力持续趋紧。</w:t>
      </w:r>
      <w:r>
        <w:rPr>
          <w:rFonts w:hint="eastAsia" w:ascii="仿宋_GB2312" w:hAnsi="仿宋" w:eastAsia="仿宋_GB2312"/>
          <w:b/>
          <w:bCs/>
          <w:color w:val="000000" w:themeColor="text1"/>
          <w:sz w:val="32"/>
          <w:szCs w:val="32"/>
          <w14:textFill>
            <w14:solidFill>
              <w14:schemeClr w14:val="tx1"/>
            </w14:solidFill>
          </w14:textFill>
        </w:rPr>
        <w:t>二是</w:t>
      </w:r>
      <w:r>
        <w:rPr>
          <w:rFonts w:hint="eastAsia" w:ascii="仿宋_GB2312" w:hAnsi="仿宋" w:eastAsia="仿宋_GB2312"/>
          <w:color w:val="000000" w:themeColor="text1"/>
          <w:sz w:val="32"/>
          <w:szCs w:val="32"/>
          <w14:textFill>
            <w14:solidFill>
              <w14:schemeClr w14:val="tx1"/>
            </w14:solidFill>
          </w14:textFill>
        </w:rPr>
        <w:t>受</w:t>
      </w:r>
      <w:r>
        <w:rPr>
          <w:rFonts w:hint="eastAsia" w:ascii="仿宋_GB2312" w:hAnsi="仿宋_GB2312" w:eastAsia="仿宋_GB2312" w:cs="仿宋_GB2312"/>
          <w:color w:val="000000" w:themeColor="text1"/>
          <w:sz w:val="32"/>
          <w:szCs w:val="32"/>
          <w14:textFill>
            <w14:solidFill>
              <w14:schemeClr w14:val="tx1"/>
            </w14:solidFill>
          </w14:textFill>
        </w:rPr>
        <w:t>国土空间规划调整用地指标减少及土地市场等因素影响</w:t>
      </w:r>
      <w:r>
        <w:rPr>
          <w:rFonts w:ascii="仿宋_GB2312" w:hAnsi="宋体" w:eastAsia="仿宋_GB2312" w:cs="仿宋_GB2312"/>
          <w:color w:val="000000" w:themeColor="text1"/>
          <w:sz w:val="32"/>
          <w:szCs w:val="32"/>
          <w14:textFill>
            <w14:solidFill>
              <w14:schemeClr w14:val="tx1"/>
            </w14:solidFill>
          </w14:textFill>
        </w:rPr>
        <w:t>，</w:t>
      </w:r>
      <w:r>
        <w:rPr>
          <w:rFonts w:hint="eastAsia" w:ascii="仿宋_GB2312" w:hAnsi="宋体" w:eastAsia="仿宋_GB2312" w:cs="仿宋_GB2312"/>
          <w:color w:val="000000" w:themeColor="text1"/>
          <w:sz w:val="32"/>
          <w:szCs w:val="32"/>
          <w14:textFill>
            <w14:solidFill>
              <w14:schemeClr w14:val="tx1"/>
            </w14:solidFill>
          </w14:textFill>
        </w:rPr>
        <w:t>土地出让进度缓慢，当年</w:t>
      </w:r>
      <w:r>
        <w:rPr>
          <w:rFonts w:ascii="仿宋_GB2312" w:hAnsi="宋体" w:eastAsia="仿宋_GB2312" w:cs="仿宋_GB2312"/>
          <w:color w:val="000000" w:themeColor="text1"/>
          <w:sz w:val="32"/>
          <w:szCs w:val="32"/>
          <w14:textFill>
            <w14:solidFill>
              <w14:schemeClr w14:val="tx1"/>
            </w14:solidFill>
          </w14:textFill>
        </w:rPr>
        <w:t>土地出让收入</w:t>
      </w:r>
      <w:r>
        <w:rPr>
          <w:rFonts w:hint="eastAsia" w:ascii="仿宋_GB2312" w:hAnsi="宋体" w:eastAsia="仿宋_GB2312" w:cs="仿宋_GB2312"/>
          <w:color w:val="000000" w:themeColor="text1"/>
          <w:sz w:val="32"/>
          <w:szCs w:val="32"/>
          <w14:textFill>
            <w14:solidFill>
              <w14:schemeClr w14:val="tx1"/>
            </w14:solidFill>
          </w14:textFill>
        </w:rPr>
        <w:t>未达预期。</w:t>
      </w:r>
      <w:r>
        <w:rPr>
          <w:rFonts w:ascii="仿宋_GB2312" w:hAnsi="宋体" w:eastAsia="仿宋_GB2312" w:cs="仿宋_GB2312"/>
          <w:b/>
          <w:bCs/>
          <w:color w:val="000000" w:themeColor="text1"/>
          <w:sz w:val="32"/>
          <w:szCs w:val="32"/>
          <w14:textFill>
            <w14:solidFill>
              <w14:schemeClr w14:val="tx1"/>
            </w14:solidFill>
          </w14:textFill>
        </w:rPr>
        <w:t>三是</w:t>
      </w:r>
      <w:r>
        <w:rPr>
          <w:rFonts w:hint="eastAsia" w:ascii="仿宋_GB2312" w:hAnsi="宋体" w:eastAsia="仿宋_GB2312" w:cs="仿宋_GB2312"/>
          <w:color w:val="000000" w:themeColor="text1"/>
          <w:sz w:val="32"/>
          <w:szCs w:val="32"/>
          <w14:textFill>
            <w14:solidFill>
              <w14:schemeClr w14:val="tx1"/>
            </w14:solidFill>
          </w14:textFill>
        </w:rPr>
        <w:t>财政资金使用效益有待提高，预算管理改革需进一步深化。</w:t>
      </w:r>
      <w:r>
        <w:rPr>
          <w:rFonts w:hint="eastAsia" w:ascii="仿宋_GB2312" w:hAnsi="仿宋_GB2312" w:eastAsia="仿宋_GB2312" w:cs="仿宋_GB2312"/>
          <w:color w:val="000000" w:themeColor="text1"/>
          <w:sz w:val="32"/>
          <w:szCs w:val="32"/>
          <w14:textFill>
            <w14:solidFill>
              <w14:schemeClr w14:val="tx1"/>
            </w14:solidFill>
          </w14:textFill>
        </w:rPr>
        <w:t>对这些问题，我们将在今后工作中不断改进，努力提升财政工作水平。</w:t>
      </w:r>
    </w:p>
    <w:p w14:paraId="254584C4">
      <w:pPr>
        <w:pStyle w:val="13"/>
        <w:keepNext w:val="0"/>
        <w:keepLines w:val="0"/>
        <w:pageBreakBefore w:val="0"/>
        <w:widowControl w:val="0"/>
        <w:kinsoku/>
        <w:wordWrap/>
        <w:overflowPunct/>
        <w:autoSpaceDE/>
        <w:autoSpaceDN/>
        <w:bidi w:val="0"/>
        <w:spacing w:line="620" w:lineRule="exact"/>
        <w:ind w:left="0" w:leftChars="0" w:firstLine="640" w:firstLineChars="200"/>
        <w:jc w:val="both"/>
        <w:rPr>
          <w:rFonts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二、2024年预算草案</w:t>
      </w:r>
    </w:p>
    <w:p w14:paraId="7DE45675">
      <w:pPr>
        <w:pStyle w:val="15"/>
        <w:keepNext w:val="0"/>
        <w:keepLines w:val="0"/>
        <w:pageBreakBefore w:val="0"/>
        <w:widowControl w:val="0"/>
        <w:kinsoku/>
        <w:wordWrap/>
        <w:overflowPunct/>
        <w:autoSpaceDE/>
        <w:autoSpaceDN/>
        <w:bidi w:val="0"/>
        <w:spacing w:line="620" w:lineRule="exact"/>
        <w:ind w:firstLine="640" w:firstLineChars="200"/>
        <w:jc w:val="both"/>
        <w:rPr>
          <w:rFonts w:hint="eastAsia" w:ascii="楷体_GB2312" w:hAnsi="楷体_GB2312" w:eastAsia="楷体_GB2312" w:cs="楷体_GB2312"/>
          <w:b/>
          <w:bCs/>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2024年是中华人民共和国成立75周年，是贯彻落实党的二十大精神的关键之年，是深入实施“十四五”规划的攻坚一年，也是推进藁城二次创业的发力之年，做好预算编制工作意义重大，要准确把握财政工作的新形势新任务新要求。2024年预算编制和财政工作的指导思想是：</w:t>
      </w:r>
      <w:r>
        <w:rPr>
          <w:rFonts w:hint="eastAsia" w:ascii="楷体_GB2312" w:hAnsi="楷体_GB2312" w:eastAsia="楷体_GB2312" w:cs="楷体_GB2312"/>
          <w:color w:val="000000" w:themeColor="text1"/>
          <w:kern w:val="0"/>
          <w:sz w:val="32"/>
          <w:szCs w:val="32"/>
          <w14:textFill>
            <w14:solidFill>
              <w14:schemeClr w14:val="tx1"/>
            </w14:solidFill>
          </w14:textFill>
        </w:rPr>
        <w:t>坚持以习近平新时代中国特色社会主义思想为指导，深入贯彻党的二十大和二十届二中全会精神，全面贯彻习近平总书记视察河北、视察石家庄重要讲话和重要指示精神，认真落实省委十届五次全会、市委十一届六次全会和区委三届五次全会部署要求，坚持稳中求进工作总基调，完整、准确、全面贯彻新发展理念，加快构建新发展格局，着力推动高质量发展，统筹发展与安全，统筹当前和长远，继续兜住兜牢“三保”底线，严格落实政府 “过紧日子”要求，科学精准落实积极的财政政策，有效发挥财政资金保障、引导、撬动作用，加强资源统筹，</w:t>
      </w:r>
      <w:r>
        <w:rPr>
          <w:rFonts w:hint="eastAsia" w:ascii="楷体_GB2312" w:hAnsi="楷体_GB2312" w:eastAsia="楷体_GB2312" w:cs="楷体_GB2312"/>
          <w:color w:val="000000" w:themeColor="text1"/>
          <w:sz w:val="32"/>
          <w:szCs w:val="32"/>
          <w14:textFill>
            <w14:solidFill>
              <w14:schemeClr w14:val="tx1"/>
            </w14:solidFill>
          </w14:textFill>
        </w:rPr>
        <w:t>优化支出结构，</w:t>
      </w:r>
      <w:r>
        <w:rPr>
          <w:rFonts w:hint="eastAsia" w:ascii="楷体_GB2312" w:hAnsi="楷体_GB2312" w:eastAsia="楷体_GB2312" w:cs="楷体_GB2312"/>
          <w:color w:val="000000" w:themeColor="text1"/>
          <w:kern w:val="0"/>
          <w:sz w:val="32"/>
          <w:szCs w:val="32"/>
          <w14:textFill>
            <w14:solidFill>
              <w14:schemeClr w14:val="tx1"/>
            </w14:solidFill>
          </w14:textFill>
        </w:rPr>
        <w:t>夯实绩效管理，深化体制改革，着力防范运行风险，为</w:t>
      </w:r>
      <w:r>
        <w:rPr>
          <w:rFonts w:hint="eastAsia" w:ascii="楷体_GB2312" w:hAnsi="楷体_GB2312" w:eastAsia="楷体_GB2312" w:cs="楷体_GB2312"/>
          <w:color w:val="000000" w:themeColor="text1"/>
          <w:sz w:val="32"/>
          <w:szCs w:val="32"/>
          <w14:textFill>
            <w14:solidFill>
              <w14:schemeClr w14:val="tx1"/>
            </w14:solidFill>
          </w14:textFill>
        </w:rPr>
        <w:t>推进</w:t>
      </w:r>
      <w:r>
        <w:rPr>
          <w:rFonts w:hint="eastAsia" w:ascii="楷体_GB2312" w:hAnsi="楷体_GB2312" w:eastAsia="楷体_GB2312" w:cs="楷体_GB2312"/>
          <w:b/>
          <w:bCs/>
          <w:color w:val="000000" w:themeColor="text1"/>
          <w:sz w:val="32"/>
          <w:szCs w:val="32"/>
          <w14:textFill>
            <w14:solidFill>
              <w14:schemeClr w14:val="tx1"/>
            </w14:solidFill>
          </w14:textFill>
        </w:rPr>
        <w:t>藁城二次创业再出发</w:t>
      </w:r>
      <w:r>
        <w:rPr>
          <w:rFonts w:hint="eastAsia" w:ascii="楷体_GB2312" w:hAnsi="楷体_GB2312" w:eastAsia="楷体_GB2312" w:cs="楷体_GB2312"/>
          <w:color w:val="000000" w:themeColor="text1"/>
          <w:kern w:val="0"/>
          <w:sz w:val="32"/>
          <w:szCs w:val="32"/>
          <w14:textFill>
            <w14:solidFill>
              <w14:schemeClr w14:val="tx1"/>
            </w14:solidFill>
          </w14:textFill>
        </w:rPr>
        <w:t>提供坚实财力保障。</w:t>
      </w:r>
    </w:p>
    <w:p w14:paraId="59968940">
      <w:pPr>
        <w:pStyle w:val="13"/>
        <w:keepNext w:val="0"/>
        <w:keepLines w:val="0"/>
        <w:pageBreakBefore w:val="0"/>
        <w:widowControl w:val="0"/>
        <w:kinsoku/>
        <w:wordWrap/>
        <w:overflowPunct/>
        <w:autoSpaceDE/>
        <w:autoSpaceDN/>
        <w:bidi w:val="0"/>
        <w:spacing w:line="620" w:lineRule="exact"/>
        <w:ind w:left="0" w:leftChars="0"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基于以上指导思想，2024年，预算草案总体安排情况如下：</w:t>
      </w:r>
    </w:p>
    <w:p w14:paraId="7046B8E5">
      <w:pPr>
        <w:keepNext w:val="0"/>
        <w:keepLines w:val="0"/>
        <w:pageBreakBefore w:val="0"/>
        <w:widowControl w:val="0"/>
        <w:kinsoku/>
        <w:wordWrap/>
        <w:overflowPunct/>
        <w:autoSpaceDE/>
        <w:autoSpaceDN/>
        <w:bidi w:val="0"/>
        <w:spacing w:line="620" w:lineRule="exact"/>
        <w:ind w:firstLine="640" w:firstLineChars="200"/>
        <w:jc w:val="both"/>
        <w:rPr>
          <w:rFonts w:hint="eastAsia" w:ascii="楷体_GB2312" w:hAnsi="楷体_GB2312" w:eastAsia="楷体_GB2312"/>
          <w:bCs/>
          <w:color w:val="000000" w:themeColor="text1"/>
          <w:sz w:val="32"/>
          <w:szCs w:val="32"/>
          <w14:textFill>
            <w14:solidFill>
              <w14:schemeClr w14:val="tx1"/>
            </w14:solidFill>
          </w14:textFill>
        </w:rPr>
      </w:pPr>
      <w:r>
        <w:rPr>
          <w:rFonts w:hint="eastAsia" w:ascii="楷体_GB2312" w:hAnsi="楷体_GB2312" w:eastAsia="楷体_GB2312"/>
          <w:bCs/>
          <w:color w:val="000000" w:themeColor="text1"/>
          <w:sz w:val="32"/>
          <w:szCs w:val="32"/>
          <w14:textFill>
            <w14:solidFill>
              <w14:schemeClr w14:val="tx1"/>
            </w14:solidFill>
          </w14:textFill>
        </w:rPr>
        <w:t>（一）一般公共预算安排情况</w:t>
      </w:r>
    </w:p>
    <w:p w14:paraId="3FC6E74C">
      <w:pPr>
        <w:keepNext w:val="0"/>
        <w:keepLines w:val="0"/>
        <w:pageBreakBefore w:val="0"/>
        <w:widowControl w:val="0"/>
        <w:kinsoku/>
        <w:wordWrap/>
        <w:overflowPunct/>
        <w:autoSpaceDE/>
        <w:autoSpaceDN/>
        <w:bidi w:val="0"/>
        <w:spacing w:line="620" w:lineRule="exact"/>
        <w:ind w:firstLine="624"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pacing w:val="-4"/>
          <w:kern w:val="0"/>
          <w:sz w:val="32"/>
          <w:szCs w:val="32"/>
          <w14:textFill>
            <w14:solidFill>
              <w14:schemeClr w14:val="tx1"/>
            </w14:solidFill>
          </w14:textFill>
        </w:rPr>
        <w:t>1.收入预算。</w:t>
      </w:r>
      <w:r>
        <w:rPr>
          <w:rFonts w:hint="eastAsia" w:ascii="仿宋_GB2312" w:hAnsi="仿宋_GB2312" w:eastAsia="仿宋_GB2312" w:cs="仿宋_GB2312"/>
          <w:color w:val="000000" w:themeColor="text1"/>
          <w:spacing w:val="-4"/>
          <w:sz w:val="32"/>
          <w:szCs w:val="32"/>
          <w14:textFill>
            <w14:solidFill>
              <w14:schemeClr w14:val="tx1"/>
            </w14:solidFill>
          </w14:textFill>
        </w:rPr>
        <w:t>2024年，综合研判我区实际情况，一般公共预算收入计划安排20.62亿元，可比增长6.5%。</w:t>
      </w:r>
    </w:p>
    <w:p w14:paraId="61F9F7AD">
      <w:pPr>
        <w:keepNext w:val="0"/>
        <w:keepLines w:val="0"/>
        <w:pageBreakBefore w:val="0"/>
        <w:widowControl w:val="0"/>
        <w:tabs>
          <w:tab w:val="left" w:pos="1050"/>
        </w:tabs>
        <w:kinsoku/>
        <w:wordWrap/>
        <w:overflowPunct/>
        <w:autoSpaceDE/>
        <w:autoSpaceDN/>
        <w:bidi w:val="0"/>
        <w:adjustRightInd w:val="0"/>
        <w:snapToGrid w:val="0"/>
        <w:spacing w:line="620" w:lineRule="exact"/>
        <w:ind w:firstLine="624" w:firstLineChars="200"/>
        <w:jc w:val="both"/>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2.支出预算。2024年，一般公共预算支出计划安排52.13亿元，其中重点科目安排支出情况为：一般公共服务5.31亿元、公共安全0.65亿元、教育16.79亿元、社会保障和就业10.77亿元、卫生健康3.89亿元、节能环保1.85亿元、城乡社区3.21亿元、农林水5.2亿元、预备费4000万元。</w:t>
      </w:r>
    </w:p>
    <w:p w14:paraId="13FFA3E0">
      <w:pPr>
        <w:keepNext w:val="0"/>
        <w:keepLines w:val="0"/>
        <w:pageBreakBefore w:val="0"/>
        <w:widowControl w:val="0"/>
        <w:kinsoku/>
        <w:wordWrap/>
        <w:overflowPunct/>
        <w:autoSpaceDE/>
        <w:autoSpaceDN/>
        <w:bidi w:val="0"/>
        <w:spacing w:line="620" w:lineRule="exact"/>
        <w:ind w:firstLine="624" w:firstLineChars="200"/>
        <w:jc w:val="both"/>
        <w:rPr>
          <w:rFonts w:ascii="仿宋_GB2312" w:hAnsi="仿宋_GB2312" w:eastAsia="仿宋_GB2312" w:cs="仿宋_GB2312"/>
          <w:color w:val="000000" w:themeColor="text1"/>
          <w:spacing w:val="-4"/>
          <w:sz w:val="32"/>
          <w:szCs w:val="32"/>
          <w14:textFill>
            <w14:solidFill>
              <w14:schemeClr w14:val="tx1"/>
            </w14:solidFill>
          </w14:textFill>
        </w:rPr>
      </w:pPr>
      <w:r>
        <w:rPr>
          <w:rFonts w:hint="eastAsia" w:ascii="仿宋_GB2312" w:hAnsi="仿宋_GB2312" w:eastAsia="仿宋_GB2312" w:cs="仿宋_GB2312"/>
          <w:color w:val="000000" w:themeColor="text1"/>
          <w:spacing w:val="-4"/>
          <w:sz w:val="32"/>
          <w:szCs w:val="32"/>
          <w14:textFill>
            <w14:solidFill>
              <w14:schemeClr w14:val="tx1"/>
            </w14:solidFill>
          </w14:textFill>
        </w:rPr>
        <w:t>3.平衡情况。一般公共预算收入20.62亿元，加上级补助收入16.21亿元</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4"/>
          <w:sz w:val="32"/>
          <w:szCs w:val="32"/>
          <w14:textFill>
            <w14:solidFill>
              <w14:schemeClr w14:val="tx1"/>
            </w14:solidFill>
          </w14:textFill>
        </w:rPr>
        <w:t>调入预算稳定调节基金1亿元</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4"/>
          <w:sz w:val="32"/>
          <w:szCs w:val="32"/>
          <w14:textFill>
            <w14:solidFill>
              <w14:schemeClr w14:val="tx1"/>
            </w14:solidFill>
          </w14:textFill>
        </w:rPr>
        <w:t>上年结转收入4.84亿元</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4"/>
          <w:sz w:val="32"/>
          <w:szCs w:val="32"/>
          <w14:textFill>
            <w14:solidFill>
              <w14:schemeClr w14:val="tx1"/>
            </w14:solidFill>
          </w14:textFill>
        </w:rPr>
        <w:t>调入资金2.6亿元，收入总计为45.27亿元；一般公共预算支出计划安排52.13亿元（含经开区财力基数13.24亿元），加上解上级支出-11.7亿元</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4"/>
          <w:sz w:val="32"/>
          <w:szCs w:val="32"/>
          <w14:textFill>
            <w14:solidFill>
              <w14:schemeClr w14:val="tx1"/>
            </w14:solidFill>
          </w14:textFill>
        </w:rPr>
        <w:t>上年结转支出4.84亿元，支出总计为45.27亿元。收支相抵，当年一般公共预算收支平衡。</w:t>
      </w:r>
    </w:p>
    <w:p w14:paraId="2B3CDAFF">
      <w:pPr>
        <w:keepNext w:val="0"/>
        <w:keepLines w:val="0"/>
        <w:pageBreakBefore w:val="0"/>
        <w:widowControl w:val="0"/>
        <w:kinsoku/>
        <w:wordWrap/>
        <w:overflowPunct/>
        <w:autoSpaceDE/>
        <w:autoSpaceDN/>
        <w:bidi w:val="0"/>
        <w:spacing w:line="620" w:lineRule="exact"/>
        <w:ind w:firstLine="640" w:firstLineChars="200"/>
        <w:jc w:val="both"/>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2024年，</w:t>
      </w:r>
      <w:r>
        <w:rPr>
          <w:rFonts w:hint="eastAsia" w:ascii="仿宋_GB2312" w:hAnsi="仿宋_GB2312" w:eastAsia="仿宋_GB2312" w:cs="仿宋_GB2312"/>
          <w:color w:val="000000" w:themeColor="text1"/>
          <w:spacing w:val="-4"/>
          <w:sz w:val="32"/>
          <w:szCs w:val="32"/>
          <w14:textFill>
            <w14:solidFill>
              <w14:schemeClr w14:val="tx1"/>
            </w14:solidFill>
          </w14:textFill>
        </w:rPr>
        <w:t>全区“三公经费”支出计划安排821万元，与上年基本持平，略有下降</w:t>
      </w:r>
      <w:r>
        <w:rPr>
          <w:rFonts w:hint="eastAsia" w:ascii="仿宋_GB2312" w:hAnsi="仿宋_GB2312" w:eastAsia="仿宋_GB2312" w:cs="仿宋_GB2312"/>
          <w:color w:val="000000" w:themeColor="text1"/>
          <w:sz w:val="32"/>
          <w:szCs w:val="32"/>
          <w14:textFill>
            <w14:solidFill>
              <w14:schemeClr w14:val="tx1"/>
            </w14:solidFill>
          </w14:textFill>
        </w:rPr>
        <w:t>。</w:t>
      </w:r>
    </w:p>
    <w:p w14:paraId="1EBBB1F8">
      <w:pPr>
        <w:keepNext w:val="0"/>
        <w:keepLines w:val="0"/>
        <w:pageBreakBefore w:val="0"/>
        <w:widowControl w:val="0"/>
        <w:kinsoku/>
        <w:wordWrap/>
        <w:overflowPunct/>
        <w:autoSpaceDE/>
        <w:autoSpaceDN/>
        <w:bidi w:val="0"/>
        <w:spacing w:line="620" w:lineRule="exact"/>
        <w:ind w:firstLine="640" w:firstLineChars="200"/>
        <w:jc w:val="both"/>
        <w:rPr>
          <w:rFonts w:hint="eastAsia" w:ascii="楷体_GB2312" w:hAnsi="楷体_GB2312" w:eastAsia="楷体_GB2312"/>
          <w:color w:val="000000" w:themeColor="text1"/>
          <w:sz w:val="32"/>
          <w:szCs w:val="32"/>
          <w14:textFill>
            <w14:solidFill>
              <w14:schemeClr w14:val="tx1"/>
            </w14:solidFill>
          </w14:textFill>
        </w:rPr>
      </w:pPr>
      <w:r>
        <w:rPr>
          <w:rFonts w:hint="eastAsia" w:ascii="楷体_GB2312" w:hAnsi="楷体_GB2312" w:eastAsia="楷体_GB2312"/>
          <w:color w:val="000000" w:themeColor="text1"/>
          <w:sz w:val="32"/>
          <w:szCs w:val="32"/>
          <w14:textFill>
            <w14:solidFill>
              <w14:schemeClr w14:val="tx1"/>
            </w14:solidFill>
          </w14:textFill>
        </w:rPr>
        <w:t>（二）政府性基金预算安排情况</w:t>
      </w:r>
    </w:p>
    <w:p w14:paraId="3D3BF999">
      <w:pPr>
        <w:keepNext w:val="0"/>
        <w:keepLines w:val="0"/>
        <w:pageBreakBefore w:val="0"/>
        <w:widowControl w:val="0"/>
        <w:kinsoku/>
        <w:wordWrap/>
        <w:overflowPunct/>
        <w:autoSpaceDE/>
        <w:autoSpaceDN/>
        <w:bidi w:val="0"/>
        <w:spacing w:line="620" w:lineRule="exact"/>
        <w:ind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2024年，政府性基金预算收入计划安排32.76亿元，主要为国有土地出让收入31.95亿元、城市基础设施配套费7000万元、污水处理费900万元、彩票公益金180万元。加上补助收入6625万元</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上年结转8.25亿元，收入总计41.67亿元。</w:t>
      </w:r>
    </w:p>
    <w:p w14:paraId="5B244A3F">
      <w:pPr>
        <w:keepNext w:val="0"/>
        <w:keepLines w:val="0"/>
        <w:pageBreakBefore w:val="0"/>
        <w:widowControl w:val="0"/>
        <w:kinsoku/>
        <w:wordWrap/>
        <w:overflowPunct/>
        <w:autoSpaceDE/>
        <w:autoSpaceDN/>
        <w:bidi w:val="0"/>
        <w:spacing w:line="620" w:lineRule="exact"/>
        <w:ind w:firstLine="640" w:firstLineChars="200"/>
        <w:jc w:val="both"/>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根据基金预算以收定支原则，相应安排政府性基金预算支出24.89亿元，其中：</w:t>
      </w:r>
      <w:r>
        <w:rPr>
          <w:rFonts w:hint="eastAsia" w:ascii="仿宋_GB2312" w:hAnsi="仿宋_GB2312" w:eastAsia="仿宋_GB2312" w:cs="仿宋_GB2312"/>
          <w:color w:val="000000" w:themeColor="text1"/>
          <w:spacing w:val="-4"/>
          <w:sz w:val="32"/>
          <w:szCs w:val="32"/>
          <w14:textFill>
            <w14:solidFill>
              <w14:schemeClr w14:val="tx1"/>
            </w14:solidFill>
          </w14:textFill>
        </w:rPr>
        <w:t>城乡社区支出20.6亿元、债务付息及发行费支出4.24亿元、其他支出521万元。加专项债务还本支出6.53亿元</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4"/>
          <w:sz w:val="32"/>
          <w:szCs w:val="32"/>
          <w14:textFill>
            <w14:solidFill>
              <w14:schemeClr w14:val="tx1"/>
            </w14:solidFill>
          </w14:textFill>
        </w:rPr>
        <w:t>调出资金2亿元</w:t>
      </w:r>
      <w:r>
        <w:rPr>
          <w:rFonts w:hint="eastAsia" w:ascii="仿宋_GB2312" w:hAnsi="仿宋_GB2312" w:eastAsia="仿宋_GB2312" w:cs="仿宋_GB2312"/>
          <w:color w:val="000000" w:themeColor="text1"/>
          <w:spacing w:val="-4"/>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4"/>
          <w:sz w:val="32"/>
          <w:szCs w:val="32"/>
          <w14:textFill>
            <w14:solidFill>
              <w14:schemeClr w14:val="tx1"/>
            </w14:solidFill>
          </w14:textFill>
        </w:rPr>
        <w:t>上年结转支出8.25亿元，</w:t>
      </w:r>
      <w:r>
        <w:rPr>
          <w:rFonts w:hint="eastAsia" w:ascii="仿宋_GB2312" w:hAnsi="仿宋_GB2312" w:eastAsia="仿宋_GB2312" w:cs="仿宋_GB2312"/>
          <w:color w:val="000000" w:themeColor="text1"/>
          <w:sz w:val="32"/>
          <w:szCs w:val="32"/>
          <w14:textFill>
            <w14:solidFill>
              <w14:schemeClr w14:val="tx1"/>
            </w14:solidFill>
          </w14:textFill>
        </w:rPr>
        <w:t>支出总计41.67亿元</w:t>
      </w:r>
      <w:r>
        <w:rPr>
          <w:rFonts w:hint="eastAsia" w:ascii="仿宋_GB2312" w:hAnsi="仿宋_GB2312" w:eastAsia="仿宋_GB2312" w:cs="仿宋_GB2312"/>
          <w:color w:val="000000" w:themeColor="text1"/>
          <w:spacing w:val="-4"/>
          <w:sz w:val="32"/>
          <w:szCs w:val="32"/>
          <w14:textFill>
            <w14:solidFill>
              <w14:schemeClr w14:val="tx1"/>
            </w14:solidFill>
          </w14:textFill>
        </w:rPr>
        <w:t>。收支相抵，当年基金预算收支平衡。</w:t>
      </w:r>
    </w:p>
    <w:p w14:paraId="006369DA">
      <w:pPr>
        <w:keepNext w:val="0"/>
        <w:keepLines w:val="0"/>
        <w:pageBreakBefore w:val="0"/>
        <w:widowControl w:val="0"/>
        <w:kinsoku/>
        <w:wordWrap/>
        <w:overflowPunct/>
        <w:autoSpaceDE/>
        <w:autoSpaceDN/>
        <w:bidi w:val="0"/>
        <w:spacing w:line="620" w:lineRule="exact"/>
        <w:ind w:firstLine="640" w:firstLineChars="200"/>
        <w:jc w:val="both"/>
        <w:rPr>
          <w:rFonts w:hint="eastAsia" w:ascii="楷体_GB2312" w:hAnsi="楷体_GB2312" w:eastAsia="楷体_GB2312"/>
          <w:color w:val="000000" w:themeColor="text1"/>
          <w:sz w:val="32"/>
          <w:szCs w:val="32"/>
          <w14:textFill>
            <w14:solidFill>
              <w14:schemeClr w14:val="tx1"/>
            </w14:solidFill>
          </w14:textFill>
        </w:rPr>
      </w:pPr>
      <w:r>
        <w:rPr>
          <w:rFonts w:hint="eastAsia" w:ascii="楷体_GB2312" w:hAnsi="楷体_GB2312" w:eastAsia="楷体_GB2312"/>
          <w:color w:val="000000" w:themeColor="text1"/>
          <w:sz w:val="32"/>
          <w:szCs w:val="32"/>
          <w14:textFill>
            <w14:solidFill>
              <w14:schemeClr w14:val="tx1"/>
            </w14:solidFill>
          </w14:textFill>
        </w:rPr>
        <w:t>（三）社会保险基金预算安排情况</w:t>
      </w:r>
    </w:p>
    <w:p w14:paraId="0280FB55">
      <w:pPr>
        <w:keepNext w:val="0"/>
        <w:keepLines w:val="0"/>
        <w:pageBreakBefore w:val="0"/>
        <w:widowControl w:val="0"/>
        <w:kinsoku/>
        <w:wordWrap/>
        <w:overflowPunct/>
        <w:autoSpaceDE/>
        <w:autoSpaceDN/>
        <w:bidi w:val="0"/>
        <w:spacing w:line="620" w:lineRule="exact"/>
        <w:ind w:firstLine="640" w:firstLineChars="200"/>
        <w:jc w:val="both"/>
        <w:rPr>
          <w:rFonts w:ascii="仿宋_GB2312" w:hAnsi="仿宋_GB2312" w:eastAsia="仿宋_GB2312"/>
          <w:color w:val="000000" w:themeColor="text1"/>
          <w:sz w:val="32"/>
          <w:szCs w:val="32"/>
          <w14:textFill>
            <w14:solidFill>
              <w14:schemeClr w14:val="tx1"/>
            </w14:solidFill>
          </w14:textFill>
        </w:rPr>
      </w:pPr>
      <w:r>
        <w:rPr>
          <w:rFonts w:hint="eastAsia" w:ascii="仿宋_GB2312" w:hAnsi="仿宋_GB2312" w:eastAsia="仿宋_GB2312"/>
          <w:color w:val="000000" w:themeColor="text1"/>
          <w:sz w:val="32"/>
          <w:szCs w:val="32"/>
          <w14:textFill>
            <w14:solidFill>
              <w14:schemeClr w14:val="tx1"/>
            </w14:solidFill>
          </w14:textFill>
        </w:rPr>
        <w:t>2024年，全区社会保险基金预算收入计划安排9.4亿元。其中，城乡居民基本养老保险基金收入4.65亿元，机关事业单位养老保险基金收入4.75亿元。</w:t>
      </w:r>
    </w:p>
    <w:p w14:paraId="29E246EF">
      <w:pPr>
        <w:keepNext w:val="0"/>
        <w:keepLines w:val="0"/>
        <w:pageBreakBefore w:val="0"/>
        <w:widowControl w:val="0"/>
        <w:kinsoku/>
        <w:wordWrap/>
        <w:overflowPunct/>
        <w:autoSpaceDE/>
        <w:autoSpaceDN/>
        <w:bidi w:val="0"/>
        <w:spacing w:line="620" w:lineRule="exact"/>
        <w:ind w:firstLine="640" w:firstLineChars="200"/>
        <w:jc w:val="both"/>
        <w:rPr>
          <w:rFonts w:hint="eastAsia" w:ascii="仿宋_GB2312" w:hAnsi="仿宋_GB2312" w:eastAsia="仿宋_GB2312"/>
          <w:color w:val="000000" w:themeColor="text1"/>
          <w:sz w:val="32"/>
          <w:szCs w:val="32"/>
          <w14:textFill>
            <w14:solidFill>
              <w14:schemeClr w14:val="tx1"/>
            </w14:solidFill>
          </w14:textFill>
        </w:rPr>
      </w:pPr>
      <w:r>
        <w:rPr>
          <w:rFonts w:hint="eastAsia" w:ascii="仿宋_GB2312" w:hAnsi="仿宋_GB2312" w:eastAsia="仿宋_GB2312"/>
          <w:color w:val="000000" w:themeColor="text1"/>
          <w:sz w:val="32"/>
          <w:szCs w:val="32"/>
          <w14:textFill>
            <w14:solidFill>
              <w14:schemeClr w14:val="tx1"/>
            </w14:solidFill>
          </w14:textFill>
        </w:rPr>
        <w:t>2024年，全区社会保险基金预算支出计划安排8.78亿元。其中，城乡居民基本养老保险基金支出3.76亿元，机关事业单位养老保险基金支出5.02亿元。</w:t>
      </w:r>
    </w:p>
    <w:p w14:paraId="582C067F">
      <w:pPr>
        <w:keepNext w:val="0"/>
        <w:keepLines w:val="0"/>
        <w:pageBreakBefore w:val="0"/>
        <w:widowControl w:val="0"/>
        <w:kinsoku/>
        <w:wordWrap/>
        <w:overflowPunct/>
        <w:autoSpaceDE/>
        <w:autoSpaceDN/>
        <w:bidi w:val="0"/>
        <w:snapToGrid w:val="0"/>
        <w:spacing w:line="620" w:lineRule="exact"/>
        <w:ind w:firstLine="640" w:firstLineChars="200"/>
        <w:jc w:val="both"/>
        <w:rPr>
          <w:rFonts w:hint="eastAsia" w:ascii="楷体_GB2312" w:hAnsi="楷体_GB2312" w:eastAsia="楷体_GB2312"/>
          <w:color w:val="000000" w:themeColor="text1"/>
          <w:sz w:val="32"/>
          <w:szCs w:val="32"/>
          <w14:textFill>
            <w14:solidFill>
              <w14:schemeClr w14:val="tx1"/>
            </w14:solidFill>
          </w14:textFill>
        </w:rPr>
      </w:pPr>
      <w:r>
        <w:rPr>
          <w:rFonts w:hint="eastAsia" w:ascii="楷体_GB2312" w:hAnsi="楷体_GB2312" w:eastAsia="楷体_GB2312"/>
          <w:color w:val="000000" w:themeColor="text1"/>
          <w:sz w:val="32"/>
          <w:szCs w:val="32"/>
          <w14:textFill>
            <w14:solidFill>
              <w14:schemeClr w14:val="tx1"/>
            </w14:solidFill>
          </w14:textFill>
        </w:rPr>
        <w:t>（四）国有资本经营预算安排情况</w:t>
      </w:r>
    </w:p>
    <w:p w14:paraId="38B97079">
      <w:pPr>
        <w:keepNext w:val="0"/>
        <w:keepLines w:val="0"/>
        <w:pageBreakBefore w:val="0"/>
        <w:widowControl w:val="0"/>
        <w:kinsoku/>
        <w:wordWrap/>
        <w:overflowPunct/>
        <w:autoSpaceDE/>
        <w:autoSpaceDN/>
        <w:bidi w:val="0"/>
        <w:spacing w:line="620" w:lineRule="exact"/>
        <w:ind w:firstLine="640" w:firstLineChars="200"/>
        <w:jc w:val="both"/>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2024年，国有资本经营预算收入计划安排2亿元。根据国有资本经营预算有关规定调入一般公共预算0.6亿元后，实际可用于安排支出的收入</w:t>
      </w:r>
      <w:r>
        <w:rPr>
          <w:rFonts w:hint="eastAsia" w:ascii="仿宋_GB2312" w:hAnsi="宋体" w:eastAsia="仿宋_GB2312"/>
          <w:color w:val="000000" w:themeColor="text1"/>
          <w:sz w:val="32"/>
          <w:szCs w:val="32"/>
          <w14:textFill>
            <w14:solidFill>
              <w14:schemeClr w14:val="tx1"/>
            </w14:solidFill>
          </w14:textFill>
        </w:rPr>
        <w:t>为1.4</w:t>
      </w:r>
      <w:r>
        <w:rPr>
          <w:rFonts w:hint="eastAsia" w:ascii="仿宋_GB2312" w:eastAsia="仿宋_GB2312"/>
          <w:color w:val="000000" w:themeColor="text1"/>
          <w:sz w:val="32"/>
          <w:szCs w:val="32"/>
          <w14:textFill>
            <w14:solidFill>
              <w14:schemeClr w14:val="tx1"/>
            </w14:solidFill>
          </w14:textFill>
        </w:rPr>
        <w:t>亿元。</w:t>
      </w:r>
    </w:p>
    <w:p w14:paraId="23772B16">
      <w:pPr>
        <w:keepNext w:val="0"/>
        <w:keepLines w:val="0"/>
        <w:pageBreakBefore w:val="0"/>
        <w:widowControl w:val="0"/>
        <w:kinsoku/>
        <w:wordWrap/>
        <w:overflowPunct/>
        <w:autoSpaceDE/>
        <w:autoSpaceDN/>
        <w:bidi w:val="0"/>
        <w:snapToGrid w:val="0"/>
        <w:spacing w:line="620" w:lineRule="exact"/>
        <w:ind w:firstLine="640" w:firstLineChars="200"/>
        <w:jc w:val="both"/>
        <w:rPr>
          <w:rFonts w:hint="eastAsia" w:ascii="仿宋_GB2312" w:hAnsi="宋体"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按照以收定支的原则，相应安排</w:t>
      </w:r>
      <w:r>
        <w:rPr>
          <w:rFonts w:hint="eastAsia" w:ascii="仿宋_GB2312" w:hAnsi="宋体" w:eastAsia="仿宋_GB2312"/>
          <w:color w:val="000000" w:themeColor="text1"/>
          <w:sz w:val="32"/>
          <w:szCs w:val="32"/>
          <w14:textFill>
            <w14:solidFill>
              <w14:schemeClr w14:val="tx1"/>
            </w14:solidFill>
          </w14:textFill>
        </w:rPr>
        <w:t>支出1.4亿</w:t>
      </w:r>
      <w:r>
        <w:rPr>
          <w:rFonts w:hint="eastAsia" w:ascii="仿宋_GB2312" w:eastAsia="仿宋_GB2312"/>
          <w:color w:val="000000" w:themeColor="text1"/>
          <w:sz w:val="32"/>
          <w:szCs w:val="32"/>
          <w14:textFill>
            <w14:solidFill>
              <w14:schemeClr w14:val="tx1"/>
            </w14:solidFill>
          </w14:textFill>
        </w:rPr>
        <w:t>元，全部</w:t>
      </w:r>
      <w:r>
        <w:rPr>
          <w:rFonts w:hint="eastAsia" w:ascii="仿宋_GB2312" w:hAnsi="宋体" w:eastAsia="仿宋_GB2312"/>
          <w:color w:val="000000" w:themeColor="text1"/>
          <w:sz w:val="32"/>
          <w:szCs w:val="32"/>
          <w14:textFill>
            <w14:solidFill>
              <w14:schemeClr w14:val="tx1"/>
            </w14:solidFill>
          </w14:textFill>
        </w:rPr>
        <w:t>用于解决污水处理厂归还旧欠，解决历史遗留问题。</w:t>
      </w:r>
    </w:p>
    <w:p w14:paraId="56777101">
      <w:pPr>
        <w:keepNext w:val="0"/>
        <w:keepLines w:val="0"/>
        <w:pageBreakBefore w:val="0"/>
        <w:widowControl w:val="0"/>
        <w:kinsoku/>
        <w:wordWrap/>
        <w:overflowPunct/>
        <w:autoSpaceDE/>
        <w:autoSpaceDN/>
        <w:bidi w:val="0"/>
        <w:snapToGrid w:val="0"/>
        <w:spacing w:line="620" w:lineRule="exact"/>
        <w:ind w:firstLine="640" w:firstLineChars="200"/>
        <w:jc w:val="both"/>
        <w:rPr>
          <w:rFonts w:ascii="楷体_GB2312" w:eastAsia="楷体_GB2312"/>
          <w:b/>
          <w:color w:val="000000" w:themeColor="text1"/>
          <w:sz w:val="32"/>
          <w:szCs w:val="32"/>
          <w14:textFill>
            <w14:solidFill>
              <w14:schemeClr w14:val="tx1"/>
            </w14:solidFill>
          </w14:textFill>
        </w:rPr>
      </w:pPr>
      <w:r>
        <w:rPr>
          <w:rFonts w:hint="eastAsia" w:ascii="楷体_GB2312" w:eastAsia="楷体_GB2312"/>
          <w:bCs/>
          <w:color w:val="000000" w:themeColor="text1"/>
          <w:sz w:val="32"/>
          <w:szCs w:val="32"/>
          <w14:textFill>
            <w14:solidFill>
              <w14:schemeClr w14:val="tx1"/>
            </w14:solidFill>
          </w14:textFill>
        </w:rPr>
        <w:t>（五）债券还本付息预算安排情况</w:t>
      </w:r>
    </w:p>
    <w:p w14:paraId="79769B71">
      <w:pPr>
        <w:keepNext w:val="0"/>
        <w:keepLines w:val="0"/>
        <w:pageBreakBefore w:val="0"/>
        <w:widowControl w:val="0"/>
        <w:kinsoku/>
        <w:wordWrap/>
        <w:overflowPunct/>
        <w:autoSpaceDE/>
        <w:autoSpaceDN/>
        <w:bidi w:val="0"/>
        <w:snapToGrid w:val="0"/>
        <w:spacing w:line="620" w:lineRule="exact"/>
        <w:ind w:firstLine="640" w:firstLineChars="200"/>
        <w:jc w:val="both"/>
        <w:rPr>
          <w:rFonts w:ascii="仿宋_GB2312" w:eastAsia="仿宋_GB2312"/>
          <w:bCs/>
          <w:color w:val="000000" w:themeColor="text1"/>
          <w:sz w:val="32"/>
          <w:szCs w:val="32"/>
          <w14:textFill>
            <w14:solidFill>
              <w14:schemeClr w14:val="tx1"/>
            </w14:solidFill>
          </w14:textFill>
        </w:rPr>
      </w:pPr>
      <w:r>
        <w:rPr>
          <w:rFonts w:hint="eastAsia" w:ascii="仿宋_GB2312" w:eastAsia="仿宋_GB2312"/>
          <w:bCs/>
          <w:color w:val="000000" w:themeColor="text1"/>
          <w:sz w:val="32"/>
          <w:szCs w:val="32"/>
          <w14:textFill>
            <w14:solidFill>
              <w14:schemeClr w14:val="tx1"/>
            </w14:solidFill>
          </w14:textFill>
        </w:rPr>
        <w:t>区级统筹各类资金11.03亿元，用于债券还本付息</w:t>
      </w:r>
      <w:r>
        <w:rPr>
          <w:rFonts w:hint="eastAsia" w:ascii="仿宋_GB2312" w:eastAsia="仿宋_GB2312"/>
          <w:bCs/>
          <w:color w:val="000000" w:themeColor="text1"/>
          <w:sz w:val="32"/>
          <w:szCs w:val="32"/>
          <w:lang w:eastAsia="zh-CN"/>
          <w14:textFill>
            <w14:solidFill>
              <w14:schemeClr w14:val="tx1"/>
            </w14:solidFill>
          </w14:textFill>
        </w:rPr>
        <w:t>，</w:t>
      </w:r>
      <w:r>
        <w:rPr>
          <w:rFonts w:hint="eastAsia" w:ascii="仿宋_GB2312" w:eastAsia="仿宋_GB2312"/>
          <w:bCs/>
          <w:color w:val="000000" w:themeColor="text1"/>
          <w:sz w:val="32"/>
          <w:szCs w:val="32"/>
          <w14:textFill>
            <w14:solidFill>
              <w14:schemeClr w14:val="tx1"/>
            </w14:solidFill>
          </w14:textFill>
        </w:rPr>
        <w:t>其中，一般公共预算安排3000万元</w:t>
      </w:r>
      <w:r>
        <w:rPr>
          <w:rFonts w:hint="eastAsia" w:ascii="仿宋_GB2312" w:eastAsia="仿宋_GB2312"/>
          <w:bCs/>
          <w:color w:val="000000" w:themeColor="text1"/>
          <w:sz w:val="32"/>
          <w:szCs w:val="32"/>
          <w:lang w:eastAsia="zh-CN"/>
          <w14:textFill>
            <w14:solidFill>
              <w14:schemeClr w14:val="tx1"/>
            </w14:solidFill>
          </w14:textFill>
        </w:rPr>
        <w:t>，</w:t>
      </w:r>
      <w:r>
        <w:rPr>
          <w:rFonts w:hint="eastAsia" w:ascii="仿宋_GB2312" w:eastAsia="仿宋_GB2312"/>
          <w:bCs/>
          <w:color w:val="000000" w:themeColor="text1"/>
          <w:sz w:val="32"/>
          <w:szCs w:val="32"/>
          <w14:textFill>
            <w14:solidFill>
              <w14:schemeClr w14:val="tx1"/>
            </w14:solidFill>
          </w14:textFill>
        </w:rPr>
        <w:t>政府性基金预算安排10.73亿元</w:t>
      </w:r>
      <w:r>
        <w:rPr>
          <w:rFonts w:hint="eastAsia" w:ascii="仿宋_GB2312" w:eastAsia="仿宋_GB2312"/>
          <w:bCs/>
          <w:color w:val="000000" w:themeColor="text1"/>
          <w:sz w:val="32"/>
          <w:szCs w:val="32"/>
          <w:lang w:eastAsia="zh-CN"/>
          <w14:textFill>
            <w14:solidFill>
              <w14:schemeClr w14:val="tx1"/>
            </w14:solidFill>
          </w14:textFill>
        </w:rPr>
        <w:t>。</w:t>
      </w:r>
      <w:r>
        <w:rPr>
          <w:rFonts w:hint="eastAsia" w:ascii="仿宋_GB2312" w:eastAsia="仿宋_GB2312"/>
          <w:bCs/>
          <w:color w:val="000000" w:themeColor="text1"/>
          <w:sz w:val="32"/>
          <w:szCs w:val="32"/>
          <w14:textFill>
            <w14:solidFill>
              <w14:schemeClr w14:val="tx1"/>
            </w14:solidFill>
          </w14:textFill>
        </w:rPr>
        <w:t>相应安排偿还政府债务支出11.03亿元，其中，债务本金支出6.52亿元，利息支出4.51亿元。</w:t>
      </w:r>
    </w:p>
    <w:p w14:paraId="17547A5D">
      <w:pPr>
        <w:pStyle w:val="13"/>
        <w:keepNext w:val="0"/>
        <w:keepLines w:val="0"/>
        <w:pageBreakBefore w:val="0"/>
        <w:widowControl w:val="0"/>
        <w:kinsoku/>
        <w:wordWrap/>
        <w:overflowPunct/>
        <w:autoSpaceDE/>
        <w:autoSpaceDN/>
        <w:bidi w:val="0"/>
        <w:spacing w:line="620" w:lineRule="exact"/>
        <w:ind w:left="0" w:leftChars="0" w:firstLine="640" w:firstLineChars="200"/>
        <w:jc w:val="both"/>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bCs/>
          <w:color w:val="000000" w:themeColor="text1"/>
          <w:sz w:val="32"/>
          <w:szCs w:val="32"/>
          <w14:textFill>
            <w14:solidFill>
              <w14:schemeClr w14:val="tx1"/>
            </w14:solidFill>
          </w14:textFill>
        </w:rPr>
        <w:t>（六）需要说明的事项</w:t>
      </w:r>
    </w:p>
    <w:p w14:paraId="40F9E2A6">
      <w:pPr>
        <w:keepNext w:val="0"/>
        <w:keepLines w:val="0"/>
        <w:pageBreakBefore w:val="0"/>
        <w:widowControl w:val="0"/>
        <w:kinsoku/>
        <w:wordWrap/>
        <w:overflowPunct/>
        <w:autoSpaceDE/>
        <w:autoSpaceDN/>
        <w:bidi w:val="0"/>
        <w:spacing w:line="620" w:lineRule="exact"/>
        <w:ind w:firstLine="643" w:firstLineChars="200"/>
        <w:jc w:val="both"/>
        <w:rPr>
          <w:rFonts w:hint="eastAsia" w:ascii="黑体" w:hAnsi="黑体" w:eastAsia="黑体"/>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14:textFill>
            <w14:solidFill>
              <w14:schemeClr w14:val="tx1"/>
            </w14:solidFill>
          </w14:textFill>
        </w:rPr>
        <w:t>2024年我区上报提前批新增政府专项债券项目12个，共计10.75亿元，</w:t>
      </w:r>
      <w:r>
        <w:rPr>
          <w:rFonts w:hint="eastAsia" w:ascii="仿宋_GB2312" w:hAnsi="仿宋_GB2312" w:eastAsia="仿宋_GB2312" w:cs="仿宋_GB2312"/>
          <w:bCs/>
          <w:color w:val="000000" w:themeColor="text1"/>
          <w:sz w:val="32"/>
          <w:szCs w:val="32"/>
          <w14:textFill>
            <w14:solidFill>
              <w14:schemeClr w14:val="tx1"/>
            </w14:solidFill>
          </w14:textFill>
        </w:rPr>
        <w:t>由于省代发政府性债券额度尚未确定，预算草案中未安排政府债券收支情况，待省下达具体额度后，再向区人大常委会报告调整方案。</w:t>
      </w:r>
      <w:r>
        <w:rPr>
          <w:rFonts w:hint="eastAsia" w:ascii="仿宋_GB2312" w:hAnsi="仿宋_GB2312" w:eastAsia="仿宋_GB2312" w:cs="仿宋_GB2312"/>
          <w:b/>
          <w:color w:val="000000" w:themeColor="text1"/>
          <w:sz w:val="32"/>
          <w:szCs w:val="32"/>
          <w14:textFill>
            <w14:solidFill>
              <w14:schemeClr w14:val="tx1"/>
            </w14:solidFill>
          </w14:textFill>
        </w:rPr>
        <w:t>二是</w:t>
      </w:r>
      <w:r>
        <w:rPr>
          <w:rFonts w:hint="eastAsia" w:ascii="仿宋_GB2312" w:hAnsi="仿宋_GB2312" w:eastAsia="仿宋_GB2312" w:cs="仿宋_GB2312"/>
          <w:bCs/>
          <w:color w:val="000000" w:themeColor="text1"/>
          <w:sz w:val="32"/>
          <w:szCs w:val="32"/>
          <w14:textFill>
            <w14:solidFill>
              <w14:schemeClr w14:val="tx1"/>
            </w14:solidFill>
          </w14:textFill>
        </w:rPr>
        <w:t>根据《预算法》有关规定，在预算草案经人民代表大会批准前，预拨了一月份人员经费、企业冬季供热补贴、采暖季煤改气气价倒挂补贴等急需支出事项。</w:t>
      </w:r>
    </w:p>
    <w:p w14:paraId="20AA750D">
      <w:pPr>
        <w:pStyle w:val="16"/>
        <w:keepNext w:val="0"/>
        <w:keepLines w:val="0"/>
        <w:pageBreakBefore w:val="0"/>
        <w:widowControl w:val="0"/>
        <w:kinsoku/>
        <w:wordWrap/>
        <w:overflowPunct/>
        <w:autoSpaceDE/>
        <w:autoSpaceDN/>
        <w:bidi w:val="0"/>
        <w:spacing w:before="0" w:beforeLines="0" w:beforeAutospacing="0" w:after="0" w:afterLines="0" w:afterAutospacing="0" w:line="620" w:lineRule="exact"/>
        <w:ind w:firstLine="640" w:firstLineChars="200"/>
        <w:jc w:val="both"/>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三、切实做好2024年财政管理和预算执行工作</w:t>
      </w:r>
    </w:p>
    <w:p w14:paraId="3E4A452B">
      <w:pPr>
        <w:pStyle w:val="16"/>
        <w:keepNext w:val="0"/>
        <w:keepLines w:val="0"/>
        <w:pageBreakBefore w:val="0"/>
        <w:widowControl w:val="0"/>
        <w:kinsoku/>
        <w:wordWrap/>
        <w:overflowPunct/>
        <w:autoSpaceDE/>
        <w:autoSpaceDN/>
        <w:bidi w:val="0"/>
        <w:spacing w:before="0" w:beforeLines="0" w:beforeAutospacing="0" w:after="0" w:afterLines="0" w:afterAutospacing="0" w:line="620" w:lineRule="exact"/>
        <w:ind w:firstLine="640" w:firstLineChars="200"/>
        <w:jc w:val="both"/>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面对经开区财政体制调整、土地规划调整等形势，需要全区上下和财政部门一道，围绕区委确定的中心工作，鼓足干劲，攻坚克难，将政府“过紧日子”的管理思路和成本绩效管理理念贯穿预算管理全过程，保持经济运行在合理区间。</w:t>
      </w:r>
    </w:p>
    <w:p w14:paraId="44F81815">
      <w:pPr>
        <w:keepNext w:val="0"/>
        <w:keepLines w:val="0"/>
        <w:pageBreakBefore w:val="0"/>
        <w:widowControl w:val="0"/>
        <w:kinsoku/>
        <w:wordWrap/>
        <w:overflowPunct/>
        <w:autoSpaceDE/>
        <w:autoSpaceDN/>
        <w:bidi w:val="0"/>
        <w:spacing w:line="620" w:lineRule="exact"/>
        <w:ind w:firstLine="640" w:firstLineChars="200"/>
        <w:jc w:val="both"/>
        <w:textAlignment w:val="baseline"/>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（一）坚持抓好组织收入，巩固经济发展基础。</w:t>
      </w: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14:textFill>
            <w14:solidFill>
              <w14:schemeClr w14:val="tx1"/>
            </w14:solidFill>
          </w14:textFill>
        </w:rPr>
        <w:t>加强税收征管，主动分析研判收入形势，加大收入组织力度，完善税收征管协作机制，充分利用智慧财税信息平台，提升综合治税工作力度，实现税费“颗粒归仓”。</w:t>
      </w:r>
      <w:r>
        <w:rPr>
          <w:rFonts w:hint="eastAsia" w:ascii="仿宋_GB2312" w:hAnsi="仿宋_GB2312" w:eastAsia="仿宋_GB2312" w:cs="仿宋_GB2312"/>
          <w:b/>
          <w:bCs/>
          <w:color w:val="000000" w:themeColor="text1"/>
          <w:sz w:val="32"/>
          <w:szCs w:val="32"/>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依托国家稳经济一系列政策措施强化财政扶持力度，鼓励实体经济转型、新兴行业发展，加大招商引资力度，增强经济发展韧性，做大财源蛋糕，实现税收持续平稳增长。</w:t>
      </w:r>
      <w:r>
        <w:rPr>
          <w:rFonts w:hint="eastAsia" w:ascii="仿宋_GB2312" w:hAnsi="仿宋_GB2312" w:eastAsia="仿宋_GB2312" w:cs="仿宋_GB2312"/>
          <w:b/>
          <w:bCs/>
          <w:color w:val="000000" w:themeColor="text1"/>
          <w:sz w:val="32"/>
          <w:szCs w:val="32"/>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做好“土地”这篇文章，</w:t>
      </w:r>
      <w:r>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t>会同相关部门</w:t>
      </w:r>
      <w:r>
        <w:rPr>
          <w:rFonts w:hint="eastAsia" w:ascii="仿宋_GB2312" w:hAnsi="仿宋_GB2312" w:eastAsia="仿宋_GB2312" w:cs="仿宋_GB2312"/>
          <w:color w:val="000000" w:themeColor="text1"/>
          <w:sz w:val="32"/>
          <w:szCs w:val="32"/>
          <w14:textFill>
            <w14:solidFill>
              <w14:schemeClr w14:val="tx1"/>
            </w14:solidFill>
          </w14:textFill>
        </w:rPr>
        <w:t>加快土地资源整合，加快土地出让进度，提高土地使用效益，增加财政收入。</w:t>
      </w:r>
    </w:p>
    <w:p w14:paraId="103AAA51">
      <w:pPr>
        <w:pStyle w:val="16"/>
        <w:keepNext w:val="0"/>
        <w:keepLines w:val="0"/>
        <w:pageBreakBefore w:val="0"/>
        <w:widowControl w:val="0"/>
        <w:kinsoku/>
        <w:wordWrap/>
        <w:overflowPunct/>
        <w:autoSpaceDE/>
        <w:autoSpaceDN/>
        <w:bidi w:val="0"/>
        <w:spacing w:before="0" w:beforeLines="0" w:beforeAutospacing="0" w:after="0" w:afterLines="0" w:afterAutospacing="0" w:line="620" w:lineRule="exact"/>
        <w:ind w:firstLine="640" w:firstLineChars="200"/>
        <w:jc w:val="both"/>
        <w:rPr>
          <w:rFonts w:ascii="仿宋" w:hAnsi="仿宋" w:eastAsia="仿宋" w:cs="仿宋"/>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（二）坚持优化支出结构，兜住兜牢“三保”底线</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14:textFill>
            <w14:solidFill>
              <w14:schemeClr w14:val="tx1"/>
            </w14:solidFill>
          </w14:textFill>
        </w:rPr>
        <w:t>严格预算执行，坚持“三保”优先原则，合理安排财政各项支出，坚持“先有预算后有支出”，突出政策重点，把钱用在刀刃上。</w:t>
      </w:r>
      <w:r>
        <w:rPr>
          <w:rFonts w:hint="eastAsia" w:ascii="仿宋_GB2312" w:hAnsi="仿宋_GB2312" w:eastAsia="仿宋_GB2312" w:cs="仿宋_GB2312"/>
          <w:b/>
          <w:bCs/>
          <w:color w:val="000000" w:themeColor="text1"/>
          <w:sz w:val="32"/>
          <w:szCs w:val="32"/>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突出公共财政导向</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坚决落实政府“过紧日子”的要求，持续压减一般性支出、非急需、非刚性支出，加强重点支出的保障力度。</w:t>
      </w:r>
      <w:r>
        <w:rPr>
          <w:rFonts w:hint="eastAsia" w:ascii="仿宋" w:hAnsi="仿宋" w:eastAsia="仿宋" w:cs="仿宋"/>
          <w:b/>
          <w:bCs/>
          <w:color w:val="000000" w:themeColor="text1"/>
          <w:sz w:val="32"/>
          <w:szCs w:val="32"/>
          <w14:textFill>
            <w14:solidFill>
              <w14:schemeClr w14:val="tx1"/>
            </w14:solidFill>
          </w14:textFill>
        </w:rPr>
        <w:t>三是</w:t>
      </w:r>
      <w:r>
        <w:rPr>
          <w:rFonts w:hint="eastAsia" w:ascii="仿宋_GB2312" w:hAnsi="仿宋_GB2312" w:eastAsia="仿宋_GB2312" w:cs="仿宋_GB2312"/>
          <w:color w:val="000000" w:themeColor="text1"/>
          <w:kern w:val="2"/>
          <w:sz w:val="32"/>
          <w:szCs w:val="32"/>
          <w14:textFill>
            <w14:solidFill>
              <w14:schemeClr w14:val="tx1"/>
            </w14:solidFill>
          </w14:textFill>
        </w:rPr>
        <w:t>着力优化调整财政支出结构，探索建立长效机制，促进财政资金使用由分散到集中、从低效到高效转变。</w:t>
      </w:r>
    </w:p>
    <w:p w14:paraId="07E58983">
      <w:pPr>
        <w:keepNext w:val="0"/>
        <w:keepLines w:val="0"/>
        <w:pageBreakBefore w:val="0"/>
        <w:widowControl w:val="0"/>
        <w:tabs>
          <w:tab w:val="left" w:pos="725"/>
        </w:tabs>
        <w:kinsoku/>
        <w:wordWrap/>
        <w:overflowPunct/>
        <w:autoSpaceDE/>
        <w:autoSpaceDN/>
        <w:bidi w:val="0"/>
        <w:spacing w:line="620" w:lineRule="exact"/>
        <w:ind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（三）坚持发挥财政职能，落实积极财政政策。</w:t>
      </w: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14:textFill>
            <w14:solidFill>
              <w14:schemeClr w14:val="tx1"/>
            </w14:solidFill>
          </w14:textFill>
        </w:rPr>
        <w:t>积极抢抓政策机遇，及时了解和掌握国家和省、市经济政策释放的积极信号，积极谋划争引地方政府债券、特别国债和超长期国债工作，释放政策红利，促进高质量发展。</w:t>
      </w:r>
      <w:r>
        <w:rPr>
          <w:rFonts w:hint="eastAsia" w:ascii="仿宋_GB2312" w:hAnsi="仿宋_GB2312" w:eastAsia="仿宋_GB2312" w:cs="仿宋_GB2312"/>
          <w:b/>
          <w:bCs/>
          <w:color w:val="000000" w:themeColor="text1"/>
          <w:sz w:val="32"/>
          <w:szCs w:val="32"/>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高效盘活存量资产，摸排梳理辖区内存量资产，创新资产盘活方式，提高国有资产使用价值，破解财政增收难题。</w:t>
      </w:r>
      <w:r>
        <w:rPr>
          <w:rFonts w:hint="eastAsia" w:ascii="仿宋_GB2312" w:hAnsi="仿宋_GB2312" w:eastAsia="仿宋_GB2312" w:cs="仿宋_GB2312"/>
          <w:b/>
          <w:bCs/>
          <w:color w:val="000000" w:themeColor="text1"/>
          <w:sz w:val="32"/>
          <w:szCs w:val="32"/>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依托系井农业高科技园区公司，探索建设和美乡村、实施乡村振兴的市场化运作机制，改善人居环境，补齐农业基础设施短板，优化服务，闯出农业农村现代化新路子。</w:t>
      </w:r>
      <w:r>
        <w:rPr>
          <w:rFonts w:hint="eastAsia" w:ascii="仿宋_GB2312" w:hAnsi="仿宋_GB2312" w:eastAsia="仿宋_GB2312" w:cs="仿宋_GB2312"/>
          <w:b/>
          <w:bCs/>
          <w:color w:val="000000" w:themeColor="text1"/>
          <w:sz w:val="32"/>
          <w:szCs w:val="32"/>
          <w14:textFill>
            <w14:solidFill>
              <w14:schemeClr w14:val="tx1"/>
            </w14:solidFill>
          </w14:textFill>
        </w:rPr>
        <w:t>四是</w:t>
      </w:r>
      <w:r>
        <w:rPr>
          <w:rFonts w:hint="eastAsia" w:ascii="仿宋_GB2312" w:hAnsi="仿宋_GB2312" w:eastAsia="仿宋_GB2312" w:cs="仿宋_GB2312"/>
          <w:color w:val="000000" w:themeColor="text1"/>
          <w:sz w:val="32"/>
          <w:szCs w:val="32"/>
          <w14:textFill>
            <w14:solidFill>
              <w14:schemeClr w14:val="tx1"/>
            </w14:solidFill>
          </w14:textFill>
        </w:rPr>
        <w:t>改革创新财政投融资方式，充分利用建投公司产业布局整合及组织优化成果和AA+信用评级，改善融资结构，降低融资成本，提升融资能力和水平。</w:t>
      </w:r>
    </w:p>
    <w:p w14:paraId="7E58BB65">
      <w:pPr>
        <w:keepNext w:val="0"/>
        <w:keepLines w:val="0"/>
        <w:pageBreakBefore w:val="0"/>
        <w:widowControl w:val="0"/>
        <w:kinsoku/>
        <w:wordWrap/>
        <w:overflowPunct/>
        <w:autoSpaceDE/>
        <w:autoSpaceDN/>
        <w:bidi w:val="0"/>
        <w:spacing w:line="620" w:lineRule="exact"/>
        <w:ind w:firstLine="640" w:firstLineChars="200"/>
        <w:jc w:val="both"/>
        <w:rPr>
          <w:rFonts w:hint="eastAsia" w:ascii="仿宋_GB2312" w:hAnsi="仿宋_GB2312" w:eastAsia="仿宋_GB2312" w:cs="仿宋_GB2312"/>
          <w:snapToGrid w:val="0"/>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（四）坚持深化财政改革，提高科学理财水平</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14:textFill>
            <w14:solidFill>
              <w14:schemeClr w14:val="tx1"/>
            </w14:solidFill>
          </w14:textFill>
        </w:rPr>
        <w:t>持续</w:t>
      </w:r>
      <w:r>
        <w:rPr>
          <w:rFonts w:hint="eastAsia" w:ascii="仿宋_GB2312" w:hAnsi="仿宋_GB2312" w:eastAsia="仿宋_GB2312" w:cs="仿宋_GB2312"/>
          <w:snapToGrid w:val="0"/>
          <w:color w:val="000000" w:themeColor="text1"/>
          <w:sz w:val="32"/>
          <w:szCs w:val="32"/>
          <w14:textFill>
            <w14:solidFill>
              <w14:schemeClr w14:val="tx1"/>
            </w14:solidFill>
          </w14:textFill>
        </w:rPr>
        <w:t>深入推进预算绩效管理改革，用好绩效这一手段，强化预算各环节管理，注重评价结果运用，建立健全现代预算制度。</w:t>
      </w:r>
      <w:r>
        <w:rPr>
          <w:rFonts w:hint="eastAsia" w:ascii="仿宋_GB2312" w:hAnsi="仿宋" w:eastAsia="仿宋_GB2312" w:cs="Arial"/>
          <w:b/>
          <w:bCs/>
          <w:color w:val="000000" w:themeColor="text1"/>
          <w:sz w:val="32"/>
          <w:szCs w:val="32"/>
          <w14:textFill>
            <w14:solidFill>
              <w14:schemeClr w14:val="tx1"/>
            </w14:solidFill>
          </w14:textFill>
        </w:rPr>
        <w:t>二是</w:t>
      </w:r>
      <w:r>
        <w:rPr>
          <w:rFonts w:hint="eastAsia" w:ascii="仿宋_GB2312" w:hAnsi="仿宋_GB2312" w:eastAsia="仿宋_GB2312" w:cs="仿宋_GB2312"/>
          <w:snapToGrid w:val="0"/>
          <w:color w:val="000000" w:themeColor="text1"/>
          <w:sz w:val="32"/>
          <w:szCs w:val="32"/>
          <w14:textFill>
            <w14:solidFill>
              <w14:schemeClr w14:val="tx1"/>
            </w14:solidFill>
          </w14:textFill>
        </w:rPr>
        <w:t>加强财政资金监管，加大对专项资金使用、重大财税政策落实、财政收支管理监督检查力度。完善全过程财政监督体系，创新财政监督管理方式，推动资金规范使用。</w:t>
      </w:r>
      <w:r>
        <w:rPr>
          <w:rFonts w:hint="eastAsia" w:ascii="仿宋_GB2312" w:hAnsi="仿宋_GB2312" w:eastAsia="仿宋_GB2312" w:cs="仿宋_GB2312"/>
          <w:b/>
          <w:bCs/>
          <w:snapToGrid w:val="0"/>
          <w:color w:val="000000" w:themeColor="text1"/>
          <w:sz w:val="32"/>
          <w:szCs w:val="32"/>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深化政府债务管理改革，</w:t>
      </w:r>
      <w:r>
        <w:rPr>
          <w:rFonts w:hint="eastAsia" w:ascii="仿宋_GB2312" w:hAnsi="仿宋_GB2312" w:eastAsia="仿宋_GB2312" w:cs="仿宋_GB2312"/>
          <w:snapToGrid w:val="0"/>
          <w:color w:val="000000" w:themeColor="text1"/>
          <w:sz w:val="32"/>
          <w:szCs w:val="32"/>
          <w14:textFill>
            <w14:solidFill>
              <w14:schemeClr w14:val="tx1"/>
            </w14:solidFill>
          </w14:textFill>
        </w:rPr>
        <w:t>防范化解地方债务风险。加强债务风险监测、评估和预警，对可能存在的风险早发现、早预警、早处置，实施精准管控，采取有力措施化解存量债务，坚决</w:t>
      </w:r>
      <w:r>
        <w:rPr>
          <w:rFonts w:hint="eastAsia" w:ascii="仿宋_GB2312" w:hAnsi="仿宋_GB2312" w:eastAsia="仿宋_GB2312" w:cs="仿宋_GB2312"/>
          <w:snapToGrid w:val="0"/>
          <w:color w:val="000000" w:themeColor="text1"/>
          <w:sz w:val="32"/>
          <w:szCs w:val="32"/>
          <w:lang w:eastAsia="zh-CN"/>
          <w14:textFill>
            <w14:solidFill>
              <w14:schemeClr w14:val="tx1"/>
            </w14:solidFill>
          </w14:textFill>
        </w:rPr>
        <w:t>遏止</w:t>
      </w:r>
      <w:r>
        <w:rPr>
          <w:rFonts w:hint="eastAsia" w:ascii="仿宋_GB2312" w:hAnsi="仿宋_GB2312" w:eastAsia="仿宋_GB2312" w:cs="仿宋_GB2312"/>
          <w:snapToGrid w:val="0"/>
          <w:color w:val="000000" w:themeColor="text1"/>
          <w:sz w:val="32"/>
          <w:szCs w:val="32"/>
          <w14:textFill>
            <w14:solidFill>
              <w14:schemeClr w14:val="tx1"/>
            </w14:solidFill>
          </w14:textFill>
        </w:rPr>
        <w:t>隐性债务增量。</w:t>
      </w:r>
      <w:r>
        <w:rPr>
          <w:rFonts w:hint="eastAsia" w:ascii="仿宋_GB2312" w:hAnsi="仿宋_GB2312" w:eastAsia="仿宋_GB2312" w:cs="仿宋_GB2312"/>
          <w:b/>
          <w:bCs/>
          <w:snapToGrid w:val="0"/>
          <w:color w:val="000000" w:themeColor="text1"/>
          <w:sz w:val="32"/>
          <w:szCs w:val="32"/>
          <w14:textFill>
            <w14:solidFill>
              <w14:schemeClr w14:val="tx1"/>
            </w14:solidFill>
          </w14:textFill>
        </w:rPr>
        <w:t>四是</w:t>
      </w:r>
      <w:r>
        <w:rPr>
          <w:rFonts w:hint="eastAsia" w:ascii="仿宋_GB2312" w:hAnsi="仿宋_GB2312" w:eastAsia="仿宋_GB2312" w:cs="仿宋_GB2312"/>
          <w:snapToGrid w:val="0"/>
          <w:color w:val="000000" w:themeColor="text1"/>
          <w:sz w:val="32"/>
          <w:szCs w:val="32"/>
          <w14:textFill>
            <w14:solidFill>
              <w14:schemeClr w14:val="tx1"/>
            </w14:solidFill>
          </w14:textFill>
        </w:rPr>
        <w:t>着力防范化解金融风险特别是系统性风险，认真落实中央金融工作会议的各项决策部署，增强金融工作本领和风险应对能力，守住金融安全底线。</w:t>
      </w:r>
    </w:p>
    <w:p w14:paraId="0BC48A2A">
      <w:pPr>
        <w:keepNext w:val="0"/>
        <w:keepLines w:val="0"/>
        <w:pageBreakBefore w:val="0"/>
        <w:widowControl w:val="0"/>
        <w:kinsoku/>
        <w:wordWrap/>
        <w:overflowPunct/>
        <w:autoSpaceDE/>
        <w:autoSpaceDN/>
        <w:bidi w:val="0"/>
        <w:spacing w:line="620" w:lineRule="exact"/>
        <w:ind w:firstLine="640" w:firstLineChars="200"/>
        <w:jc w:val="both"/>
        <w:rPr>
          <w:rFonts w:hint="eastAsia" w:ascii="仿宋_GB2312" w:eastAsia="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各位代表，百舸争流，奋楫者先。2024年我们将更加紧密团结在以习近平同志为核心的党中央周围，在区委的坚强领导下，在区人大的监督指导下，服务大局，履职尽责，踔厉奋发，勇毅前行，</w:t>
      </w:r>
      <w:r>
        <w:rPr>
          <w:rFonts w:hint="eastAsia" w:ascii="仿宋_GB2312" w:eastAsia="仿宋_GB2312"/>
          <w:color w:val="000000" w:themeColor="text1"/>
          <w:sz w:val="32"/>
          <w:szCs w:val="32"/>
          <w14:textFill>
            <w14:solidFill>
              <w14:schemeClr w14:val="tx1"/>
            </w14:solidFill>
          </w14:textFill>
        </w:rPr>
        <w:t>深化财税体制改革，推动财政资金聚力增效，为藁城经济社会高质量发展提供有力财政支撑。</w:t>
      </w:r>
    </w:p>
    <w:p w14:paraId="2C5860B3">
      <w:pPr>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br w:type="page"/>
      </w:r>
    </w:p>
    <w:p w14:paraId="4D0610DA">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04C04EA8">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0DB8EC47">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4995CB17">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55EEBFCF">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67ADD9A3">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24"/>
          <w:szCs w:val="24"/>
          <w:highlight w:val="none"/>
          <w14:textFill>
            <w14:solidFill>
              <w14:schemeClr w14:val="tx1"/>
            </w14:solidFill>
          </w14:textFill>
        </w:rPr>
      </w:pPr>
    </w:p>
    <w:p w14:paraId="0FB76284">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石家庄市藁城区</w:t>
      </w:r>
    </w:p>
    <w:p w14:paraId="53B1705B">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2023年预算执行情况和</w:t>
      </w:r>
    </w:p>
    <w:p w14:paraId="114E6007">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2024年预算草案的报告附表</w:t>
      </w:r>
    </w:p>
    <w:p w14:paraId="41E10173">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p>
    <w:p w14:paraId="6AAAFF7C">
      <w:pP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sectPr>
          <w:footerReference r:id="rId3" w:type="default"/>
          <w:pgSz w:w="11906" w:h="16838"/>
          <w:pgMar w:top="1531" w:right="1559" w:bottom="2268" w:left="1559" w:header="851" w:footer="1701" w:gutter="0"/>
          <w:pgNumType w:fmt="decimal"/>
          <w:cols w:space="0" w:num="1"/>
          <w:rtlGutter w:val="0"/>
          <w:docGrid w:type="lines" w:linePitch="449" w:charSpace="0"/>
        </w:sectPr>
      </w:pPr>
    </w:p>
    <w:p w14:paraId="5CFA22AD">
      <w:pPr>
        <w:pStyle w:val="6"/>
        <w:rPr>
          <w:color w:val="000000" w:themeColor="text1"/>
          <w14:textFill>
            <w14:solidFill>
              <w14:schemeClr w14:val="tx1"/>
            </w14:solidFill>
          </w14:textFill>
        </w:rPr>
        <w:sectPr>
          <w:footerReference r:id="rId4" w:type="default"/>
          <w:pgSz w:w="11906" w:h="16838"/>
          <w:pgMar w:top="1531" w:right="1559" w:bottom="2268" w:left="1559" w:header="851" w:footer="1701" w:gutter="0"/>
          <w:pgNumType w:fmt="decimal"/>
          <w:cols w:space="0" w:num="1"/>
          <w:rtlGutter w:val="0"/>
          <w:docGrid w:type="lines" w:linePitch="449" w:charSpace="0"/>
        </w:sectPr>
      </w:pPr>
    </w:p>
    <w:p w14:paraId="015338F7">
      <w:pPr>
        <w:pStyle w:val="6"/>
        <w:rPr>
          <w:color w:val="000000" w:themeColor="text1"/>
          <w14:textFill>
            <w14:solidFill>
              <w14:schemeClr w14:val="tx1"/>
            </w14:solidFill>
          </w14:textFill>
        </w:rPr>
      </w:pPr>
    </w:p>
    <w:p w14:paraId="6C2D2D27">
      <w:pPr>
        <w:pStyle w:val="6"/>
        <w:jc w:val="cente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b/>
          <w:bCs/>
          <w:color w:val="000000" w:themeColor="text1"/>
          <w:sz w:val="40"/>
          <w:szCs w:val="40"/>
          <w:lang w:eastAsia="zh-CN"/>
          <w14:textFill>
            <w14:solidFill>
              <w14:schemeClr w14:val="tx1"/>
            </w14:solidFill>
          </w14:textFill>
        </w:rPr>
        <w:t>目</w:t>
      </w:r>
      <w:r>
        <w:rPr>
          <w:rFonts w:hint="eastAsia"/>
          <w:b/>
          <w:bCs/>
          <w:color w:val="000000" w:themeColor="text1"/>
          <w:sz w:val="40"/>
          <w:szCs w:val="40"/>
          <w:lang w:val="en-US" w:eastAsia="zh-CN"/>
          <w14:textFill>
            <w14:solidFill>
              <w14:schemeClr w14:val="tx1"/>
            </w14:solidFill>
          </w14:textFill>
        </w:rPr>
        <w:t xml:space="preserve">  </w:t>
      </w:r>
      <w:r>
        <w:rPr>
          <w:rFonts w:hint="eastAsia"/>
          <w:b/>
          <w:bCs/>
          <w:color w:val="000000" w:themeColor="text1"/>
          <w:sz w:val="40"/>
          <w:szCs w:val="40"/>
          <w:lang w:eastAsia="zh-CN"/>
          <w14:textFill>
            <w14:solidFill>
              <w14:schemeClr w14:val="tx1"/>
            </w14:solidFill>
          </w14:textFill>
        </w:rPr>
        <w:t>录</w:t>
      </w:r>
    </w:p>
    <w:p w14:paraId="77220E60">
      <w:pPr>
        <w:pStyle w:val="17"/>
        <w:keepNext w:val="0"/>
        <w:keepLines w:val="0"/>
        <w:pageBreakBefore w:val="0"/>
        <w:widowControl w:val="0"/>
        <w:kinsoku/>
        <w:wordWrap/>
        <w:overflowPunct/>
        <w:topLinePunct w:val="0"/>
        <w:autoSpaceDE/>
        <w:autoSpaceDN/>
        <w:bidi w:val="0"/>
        <w:adjustRightInd/>
        <w:snapToGrid/>
        <w:spacing w:line="620" w:lineRule="exact"/>
        <w:ind w:left="0" w:leftChars="0" w:firstLine="0" w:firstLineChars="0"/>
        <w:jc w:val="center"/>
        <w:textAlignment w:val="baseline"/>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p>
    <w:tbl>
      <w:tblPr>
        <w:tblStyle w:val="10"/>
        <w:tblW w:w="7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46"/>
        <w:gridCol w:w="384"/>
        <w:gridCol w:w="6528"/>
      </w:tblGrid>
      <w:tr w14:paraId="1532F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828" w:type="dxa"/>
            <w:tcBorders>
              <w:top w:val="nil"/>
              <w:left w:val="nil"/>
              <w:bottom w:val="nil"/>
              <w:right w:val="nil"/>
            </w:tcBorders>
            <w:shd w:val="clear" w:color="auto" w:fill="auto"/>
            <w:noWrap/>
            <w:vAlign w:val="bottom"/>
          </w:tcPr>
          <w:p w14:paraId="5CB69F41">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w:t>
            </w:r>
          </w:p>
        </w:tc>
        <w:tc>
          <w:tcPr>
            <w:tcW w:w="384" w:type="dxa"/>
            <w:tcBorders>
              <w:top w:val="nil"/>
              <w:left w:val="nil"/>
              <w:bottom w:val="nil"/>
              <w:right w:val="nil"/>
            </w:tcBorders>
            <w:shd w:val="clear" w:color="auto" w:fill="auto"/>
            <w:noWrap/>
            <w:vAlign w:val="bottom"/>
          </w:tcPr>
          <w:p w14:paraId="7E22F7CA">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6528" w:type="dxa"/>
            <w:tcBorders>
              <w:top w:val="nil"/>
              <w:left w:val="nil"/>
              <w:bottom w:val="nil"/>
              <w:right w:val="nil"/>
            </w:tcBorders>
            <w:shd w:val="clear" w:color="auto" w:fill="auto"/>
            <w:noWrap/>
            <w:vAlign w:val="bottom"/>
          </w:tcPr>
          <w:p w14:paraId="51139891">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2023年区级一般公共预算收入完成情况表</w:t>
            </w:r>
          </w:p>
        </w:tc>
      </w:tr>
      <w:tr w14:paraId="2F074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1B3E8C7A">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表2</w:t>
            </w:r>
          </w:p>
        </w:tc>
        <w:tc>
          <w:tcPr>
            <w:tcW w:w="0" w:type="auto"/>
            <w:tcBorders>
              <w:top w:val="nil"/>
              <w:left w:val="nil"/>
              <w:bottom w:val="nil"/>
              <w:right w:val="nil"/>
            </w:tcBorders>
            <w:shd w:val="clear" w:color="auto" w:fill="auto"/>
            <w:noWrap/>
            <w:vAlign w:val="bottom"/>
          </w:tcPr>
          <w:p w14:paraId="5F797CBB">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171BD763">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2023年区级一般公共预算支出完成情况表</w:t>
            </w:r>
          </w:p>
        </w:tc>
      </w:tr>
      <w:tr w14:paraId="37398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002C1CF4">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表3</w:t>
            </w:r>
          </w:p>
        </w:tc>
        <w:tc>
          <w:tcPr>
            <w:tcW w:w="0" w:type="auto"/>
            <w:tcBorders>
              <w:top w:val="nil"/>
              <w:left w:val="nil"/>
              <w:bottom w:val="nil"/>
              <w:right w:val="nil"/>
            </w:tcBorders>
            <w:shd w:val="clear" w:color="auto" w:fill="auto"/>
            <w:noWrap/>
            <w:vAlign w:val="bottom"/>
          </w:tcPr>
          <w:p w14:paraId="57488661">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3D8B26D2">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2023年区级政府性基金收入预算完成情况表</w:t>
            </w:r>
          </w:p>
        </w:tc>
      </w:tr>
      <w:tr w14:paraId="69D8A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28E01996">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表4</w:t>
            </w:r>
          </w:p>
        </w:tc>
        <w:tc>
          <w:tcPr>
            <w:tcW w:w="0" w:type="auto"/>
            <w:tcBorders>
              <w:top w:val="nil"/>
              <w:left w:val="nil"/>
              <w:bottom w:val="nil"/>
              <w:right w:val="nil"/>
            </w:tcBorders>
            <w:shd w:val="clear" w:color="auto" w:fill="auto"/>
            <w:noWrap/>
            <w:vAlign w:val="bottom"/>
          </w:tcPr>
          <w:p w14:paraId="749A3647">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503F980E">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2023年区级政府性基金支出预算完成情况表</w:t>
            </w:r>
          </w:p>
        </w:tc>
      </w:tr>
      <w:tr w14:paraId="2F88B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5B15CD00">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表5</w:t>
            </w:r>
          </w:p>
        </w:tc>
        <w:tc>
          <w:tcPr>
            <w:tcW w:w="0" w:type="auto"/>
            <w:tcBorders>
              <w:top w:val="nil"/>
              <w:left w:val="nil"/>
              <w:bottom w:val="nil"/>
              <w:right w:val="nil"/>
            </w:tcBorders>
            <w:shd w:val="clear" w:color="auto" w:fill="auto"/>
            <w:noWrap/>
            <w:vAlign w:val="bottom"/>
          </w:tcPr>
          <w:p w14:paraId="56DFE010">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779AA1E6">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2023年区级社保基金收入预算完成情况表</w:t>
            </w:r>
          </w:p>
        </w:tc>
      </w:tr>
      <w:tr w14:paraId="157F9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336137F6">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表6</w:t>
            </w:r>
          </w:p>
        </w:tc>
        <w:tc>
          <w:tcPr>
            <w:tcW w:w="0" w:type="auto"/>
            <w:tcBorders>
              <w:top w:val="nil"/>
              <w:left w:val="nil"/>
              <w:bottom w:val="nil"/>
              <w:right w:val="nil"/>
            </w:tcBorders>
            <w:shd w:val="clear" w:color="auto" w:fill="auto"/>
            <w:noWrap/>
            <w:vAlign w:val="bottom"/>
          </w:tcPr>
          <w:p w14:paraId="039FC147">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1AA72EE5">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2023年区级社保基金支出预算完成情况表</w:t>
            </w:r>
          </w:p>
        </w:tc>
      </w:tr>
      <w:tr w14:paraId="7B31F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0277CA41">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表7</w:t>
            </w:r>
          </w:p>
        </w:tc>
        <w:tc>
          <w:tcPr>
            <w:tcW w:w="0" w:type="auto"/>
            <w:tcBorders>
              <w:top w:val="nil"/>
              <w:left w:val="nil"/>
              <w:bottom w:val="nil"/>
              <w:right w:val="nil"/>
            </w:tcBorders>
            <w:shd w:val="clear" w:color="auto" w:fill="auto"/>
            <w:noWrap/>
            <w:vAlign w:val="bottom"/>
          </w:tcPr>
          <w:p w14:paraId="4DC19427">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133C55D0">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2023年区级国有资本经营收入预算完成情况表</w:t>
            </w:r>
          </w:p>
        </w:tc>
      </w:tr>
      <w:tr w14:paraId="09D84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7EA23AEE">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表8</w:t>
            </w:r>
          </w:p>
        </w:tc>
        <w:tc>
          <w:tcPr>
            <w:tcW w:w="0" w:type="auto"/>
            <w:tcBorders>
              <w:top w:val="nil"/>
              <w:left w:val="nil"/>
              <w:bottom w:val="nil"/>
              <w:right w:val="nil"/>
            </w:tcBorders>
            <w:shd w:val="clear" w:color="auto" w:fill="auto"/>
            <w:noWrap/>
            <w:vAlign w:val="bottom"/>
          </w:tcPr>
          <w:p w14:paraId="6FC612C5">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45EDE277">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2023年区级国有资本经营支出预算完成情况表</w:t>
            </w:r>
          </w:p>
        </w:tc>
      </w:tr>
      <w:tr w14:paraId="7DB5D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505906BD">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表9</w:t>
            </w:r>
          </w:p>
        </w:tc>
        <w:tc>
          <w:tcPr>
            <w:tcW w:w="0" w:type="auto"/>
            <w:tcBorders>
              <w:top w:val="nil"/>
              <w:left w:val="nil"/>
              <w:bottom w:val="nil"/>
              <w:right w:val="nil"/>
            </w:tcBorders>
            <w:shd w:val="clear" w:color="auto" w:fill="auto"/>
            <w:noWrap/>
            <w:vAlign w:val="bottom"/>
          </w:tcPr>
          <w:p w14:paraId="083A5B79">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6148A5C7">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2024年区级一般公共收入预算草案</w:t>
            </w:r>
          </w:p>
        </w:tc>
      </w:tr>
      <w:tr w14:paraId="7805F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1778EAC8">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表10</w:t>
            </w:r>
          </w:p>
        </w:tc>
        <w:tc>
          <w:tcPr>
            <w:tcW w:w="0" w:type="auto"/>
            <w:tcBorders>
              <w:top w:val="nil"/>
              <w:left w:val="nil"/>
              <w:bottom w:val="nil"/>
              <w:right w:val="nil"/>
            </w:tcBorders>
            <w:shd w:val="clear" w:color="auto" w:fill="auto"/>
            <w:noWrap/>
            <w:vAlign w:val="bottom"/>
          </w:tcPr>
          <w:p w14:paraId="1AFCE4D7">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45503E4B">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2024年区级一般公共支出预算草案</w:t>
            </w:r>
          </w:p>
        </w:tc>
      </w:tr>
      <w:tr w14:paraId="7E882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2D9294C9">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表11</w:t>
            </w:r>
          </w:p>
        </w:tc>
        <w:tc>
          <w:tcPr>
            <w:tcW w:w="0" w:type="auto"/>
            <w:tcBorders>
              <w:top w:val="nil"/>
              <w:left w:val="nil"/>
              <w:bottom w:val="nil"/>
              <w:right w:val="nil"/>
            </w:tcBorders>
            <w:shd w:val="clear" w:color="auto" w:fill="auto"/>
            <w:noWrap/>
            <w:vAlign w:val="bottom"/>
          </w:tcPr>
          <w:p w14:paraId="4BAD1F75">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5A6A4BD0">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2024年区级政府性基金收入预算草案</w:t>
            </w:r>
          </w:p>
        </w:tc>
      </w:tr>
      <w:tr w14:paraId="321F4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30EFCA64">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表12</w:t>
            </w:r>
          </w:p>
        </w:tc>
        <w:tc>
          <w:tcPr>
            <w:tcW w:w="0" w:type="auto"/>
            <w:tcBorders>
              <w:top w:val="nil"/>
              <w:left w:val="nil"/>
              <w:bottom w:val="nil"/>
              <w:right w:val="nil"/>
            </w:tcBorders>
            <w:shd w:val="clear" w:color="auto" w:fill="auto"/>
            <w:noWrap/>
            <w:vAlign w:val="bottom"/>
          </w:tcPr>
          <w:p w14:paraId="7FADBD5B">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72860842">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2024年区级政府性基金支出预算草案</w:t>
            </w:r>
          </w:p>
        </w:tc>
      </w:tr>
      <w:tr w14:paraId="51130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4E3E9921">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表13</w:t>
            </w:r>
          </w:p>
        </w:tc>
        <w:tc>
          <w:tcPr>
            <w:tcW w:w="0" w:type="auto"/>
            <w:tcBorders>
              <w:top w:val="nil"/>
              <w:left w:val="nil"/>
              <w:bottom w:val="nil"/>
              <w:right w:val="nil"/>
            </w:tcBorders>
            <w:shd w:val="clear" w:color="auto" w:fill="auto"/>
            <w:noWrap/>
            <w:vAlign w:val="bottom"/>
          </w:tcPr>
          <w:p w14:paraId="501C9C8C">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3F6B70C1">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2024年区级社会保险基金收入预算草案</w:t>
            </w:r>
          </w:p>
        </w:tc>
      </w:tr>
      <w:tr w14:paraId="2810E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781450A4">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表14</w:t>
            </w:r>
          </w:p>
        </w:tc>
        <w:tc>
          <w:tcPr>
            <w:tcW w:w="0" w:type="auto"/>
            <w:tcBorders>
              <w:top w:val="nil"/>
              <w:left w:val="nil"/>
              <w:bottom w:val="nil"/>
              <w:right w:val="nil"/>
            </w:tcBorders>
            <w:shd w:val="clear" w:color="auto" w:fill="auto"/>
            <w:noWrap/>
            <w:vAlign w:val="bottom"/>
          </w:tcPr>
          <w:p w14:paraId="6255185A">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51DC0924">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2024年区级社会保险基金支出预算草案</w:t>
            </w:r>
          </w:p>
        </w:tc>
      </w:tr>
      <w:tr w14:paraId="56EDC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3D1154FC">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表15</w:t>
            </w:r>
          </w:p>
        </w:tc>
        <w:tc>
          <w:tcPr>
            <w:tcW w:w="0" w:type="auto"/>
            <w:tcBorders>
              <w:top w:val="nil"/>
              <w:left w:val="nil"/>
              <w:bottom w:val="nil"/>
              <w:right w:val="nil"/>
            </w:tcBorders>
            <w:shd w:val="clear" w:color="auto" w:fill="auto"/>
            <w:noWrap/>
            <w:vAlign w:val="bottom"/>
          </w:tcPr>
          <w:p w14:paraId="3405C577">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6D4B29D0">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2024年区级国有资本经营收入预算草案</w:t>
            </w:r>
          </w:p>
        </w:tc>
      </w:tr>
      <w:tr w14:paraId="2FEA7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jc w:val="center"/>
        </w:trPr>
        <w:tc>
          <w:tcPr>
            <w:tcW w:w="0" w:type="auto"/>
            <w:tcBorders>
              <w:top w:val="nil"/>
              <w:left w:val="nil"/>
              <w:bottom w:val="nil"/>
              <w:right w:val="nil"/>
            </w:tcBorders>
            <w:shd w:val="clear" w:color="auto" w:fill="auto"/>
            <w:noWrap/>
            <w:vAlign w:val="bottom"/>
          </w:tcPr>
          <w:p w14:paraId="555888EA">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表16</w:t>
            </w:r>
          </w:p>
        </w:tc>
        <w:tc>
          <w:tcPr>
            <w:tcW w:w="0" w:type="auto"/>
            <w:tcBorders>
              <w:top w:val="nil"/>
              <w:left w:val="nil"/>
              <w:bottom w:val="nil"/>
              <w:right w:val="nil"/>
            </w:tcBorders>
            <w:shd w:val="clear" w:color="auto" w:fill="auto"/>
            <w:noWrap/>
            <w:vAlign w:val="bottom"/>
          </w:tcPr>
          <w:p w14:paraId="54F4DECD">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w:t>
            </w:r>
          </w:p>
        </w:tc>
        <w:tc>
          <w:tcPr>
            <w:tcW w:w="0" w:type="auto"/>
            <w:tcBorders>
              <w:top w:val="nil"/>
              <w:left w:val="nil"/>
              <w:bottom w:val="nil"/>
              <w:right w:val="nil"/>
            </w:tcBorders>
            <w:shd w:val="clear" w:color="auto" w:fill="auto"/>
            <w:noWrap/>
            <w:vAlign w:val="bottom"/>
          </w:tcPr>
          <w:p w14:paraId="47DC888B">
            <w:pPr>
              <w:keepNext w:val="0"/>
              <w:keepLines w:val="0"/>
              <w:widowControl/>
              <w:suppressLineNumbers w:val="0"/>
              <w:jc w:val="left"/>
              <w:textAlignment w:val="bottom"/>
              <w:rPr>
                <w:rFonts w:hint="eastAsia" w:ascii="宋体" w:hAnsi="宋体" w:eastAsia="宋体" w:cs="宋体"/>
                <w:i w:val="0"/>
                <w:iCs w:val="0"/>
                <w:color w:val="000000" w:themeColor="text1"/>
                <w:sz w:val="28"/>
                <w:szCs w:val="28"/>
                <w:u w:val="none"/>
                <w14:textFill>
                  <w14:solidFill>
                    <w14:schemeClr w14:val="tx1"/>
                  </w14:solidFill>
                </w14:textFill>
              </w:rPr>
            </w:pPr>
            <w:r>
              <w:rPr>
                <w:rFonts w:hint="eastAsia" w:ascii="宋体" w:hAnsi="宋体" w:eastAsia="宋体" w:cs="宋体"/>
                <w:i w:val="0"/>
                <w:iCs w:val="0"/>
                <w:color w:val="000000" w:themeColor="text1"/>
                <w:kern w:val="0"/>
                <w:sz w:val="28"/>
                <w:szCs w:val="28"/>
                <w:u w:val="none"/>
                <w:lang w:val="en-US" w:eastAsia="zh-CN" w:bidi="ar"/>
                <w14:textFill>
                  <w14:solidFill>
                    <w14:schemeClr w14:val="tx1"/>
                  </w14:solidFill>
                </w14:textFill>
              </w:rPr>
              <w:t>2024年区级国有资本经营支出预算草案</w:t>
            </w:r>
          </w:p>
        </w:tc>
      </w:tr>
    </w:tbl>
    <w:p w14:paraId="5CCAFE59">
      <w:pP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sectPr>
          <w:footerReference r:id="rId5" w:type="default"/>
          <w:pgSz w:w="11906" w:h="16838"/>
          <w:pgMar w:top="1531" w:right="1559" w:bottom="2268" w:left="1559" w:header="851" w:footer="1701" w:gutter="0"/>
          <w:pgNumType w:fmt="decimal"/>
          <w:cols w:space="0" w:num="1"/>
          <w:rtlGutter w:val="0"/>
          <w:docGrid w:type="lines" w:linePitch="449" w:charSpace="0"/>
        </w:sectPr>
      </w:pPr>
    </w:p>
    <w:p w14:paraId="681E01F2">
      <w:pPr>
        <w:keepNext w:val="0"/>
        <w:keepLines w:val="0"/>
        <w:widowControl/>
        <w:suppressLineNumbers w:val="0"/>
        <w:jc w:val="left"/>
        <w:textAlignment w:val="bottom"/>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sectPr>
          <w:footerReference r:id="rId6" w:type="default"/>
          <w:pgSz w:w="11906" w:h="16838"/>
          <w:pgMar w:top="1531" w:right="1559" w:bottom="2268" w:left="1559" w:header="851" w:footer="1701" w:gutter="0"/>
          <w:pgNumType w:fmt="decimal"/>
          <w:cols w:space="0" w:num="1"/>
          <w:rtlGutter w:val="0"/>
          <w:docGrid w:type="lines" w:linePitch="449" w:charSpace="0"/>
        </w:sectPr>
      </w:pPr>
    </w:p>
    <w:tbl>
      <w:tblPr>
        <w:tblStyle w:val="10"/>
        <w:tblW w:w="499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140"/>
        <w:gridCol w:w="218"/>
        <w:gridCol w:w="1123"/>
        <w:gridCol w:w="159"/>
        <w:gridCol w:w="1200"/>
        <w:gridCol w:w="38"/>
        <w:gridCol w:w="1429"/>
        <w:gridCol w:w="166"/>
        <w:gridCol w:w="1512"/>
        <w:gridCol w:w="14"/>
      </w:tblGrid>
      <w:tr w14:paraId="0CC94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nil"/>
              <w:left w:val="nil"/>
              <w:bottom w:val="nil"/>
              <w:right w:val="nil"/>
            </w:tcBorders>
            <w:shd w:val="clear" w:color="auto" w:fill="auto"/>
            <w:noWrap/>
            <w:vAlign w:val="bottom"/>
          </w:tcPr>
          <w:p w14:paraId="532B0BF6">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w:t>
            </w:r>
          </w:p>
        </w:tc>
        <w:tc>
          <w:tcPr>
            <w:tcW w:w="745" w:type="pct"/>
            <w:gridSpan w:val="2"/>
            <w:tcBorders>
              <w:top w:val="nil"/>
              <w:left w:val="nil"/>
              <w:bottom w:val="nil"/>
              <w:right w:val="nil"/>
            </w:tcBorders>
            <w:shd w:val="clear" w:color="auto" w:fill="auto"/>
            <w:noWrap/>
            <w:vAlign w:val="center"/>
          </w:tcPr>
          <w:p w14:paraId="041FCD30">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76" w:type="pct"/>
            <w:gridSpan w:val="3"/>
            <w:tcBorders>
              <w:top w:val="nil"/>
              <w:left w:val="nil"/>
              <w:bottom w:val="nil"/>
              <w:right w:val="nil"/>
            </w:tcBorders>
            <w:shd w:val="clear" w:color="auto" w:fill="auto"/>
            <w:noWrap/>
            <w:vAlign w:val="center"/>
          </w:tcPr>
          <w:p w14:paraId="74625F34">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86" w:type="pct"/>
            <w:gridSpan w:val="2"/>
            <w:tcBorders>
              <w:top w:val="nil"/>
              <w:left w:val="nil"/>
              <w:bottom w:val="nil"/>
              <w:right w:val="nil"/>
            </w:tcBorders>
            <w:shd w:val="clear" w:color="auto" w:fill="auto"/>
            <w:noWrap/>
            <w:vAlign w:val="bottom"/>
          </w:tcPr>
          <w:p w14:paraId="28E78A1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47" w:type="pct"/>
            <w:gridSpan w:val="2"/>
            <w:tcBorders>
              <w:top w:val="nil"/>
              <w:left w:val="nil"/>
              <w:bottom w:val="nil"/>
              <w:right w:val="nil"/>
            </w:tcBorders>
            <w:shd w:val="clear" w:color="auto" w:fill="auto"/>
            <w:noWrap/>
            <w:vAlign w:val="bottom"/>
          </w:tcPr>
          <w:p w14:paraId="4A9ECF0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BD9F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5000" w:type="pct"/>
            <w:gridSpan w:val="10"/>
            <w:tcBorders>
              <w:top w:val="nil"/>
              <w:left w:val="nil"/>
              <w:bottom w:val="nil"/>
              <w:right w:val="nil"/>
            </w:tcBorders>
            <w:shd w:val="clear" w:color="auto" w:fill="auto"/>
            <w:noWrap/>
            <w:vAlign w:val="bottom"/>
          </w:tcPr>
          <w:p w14:paraId="6897C650">
            <w:pPr>
              <w:keepNext w:val="0"/>
              <w:keepLines w:val="0"/>
              <w:widowControl/>
              <w:suppressLineNumbers w:val="0"/>
              <w:jc w:val="center"/>
              <w:textAlignment w:val="bottom"/>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2023年区级一般公共预算收入完成情况表</w:t>
            </w:r>
          </w:p>
        </w:tc>
      </w:tr>
      <w:tr w14:paraId="3740F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nil"/>
              <w:left w:val="nil"/>
              <w:bottom w:val="nil"/>
              <w:right w:val="nil"/>
            </w:tcBorders>
            <w:shd w:val="clear" w:color="auto" w:fill="auto"/>
            <w:noWrap/>
            <w:vAlign w:val="bottom"/>
          </w:tcPr>
          <w:p w14:paraId="460BDDC9">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745" w:type="pct"/>
            <w:gridSpan w:val="2"/>
            <w:tcBorders>
              <w:top w:val="nil"/>
              <w:left w:val="nil"/>
              <w:bottom w:val="nil"/>
              <w:right w:val="nil"/>
            </w:tcBorders>
            <w:shd w:val="clear" w:color="auto" w:fill="auto"/>
            <w:noWrap/>
            <w:vAlign w:val="center"/>
          </w:tcPr>
          <w:p w14:paraId="31C7CD64">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76" w:type="pct"/>
            <w:gridSpan w:val="3"/>
            <w:tcBorders>
              <w:top w:val="nil"/>
              <w:left w:val="nil"/>
              <w:bottom w:val="nil"/>
              <w:right w:val="nil"/>
            </w:tcBorders>
            <w:shd w:val="clear" w:color="auto" w:fill="auto"/>
            <w:noWrap/>
            <w:vAlign w:val="center"/>
          </w:tcPr>
          <w:p w14:paraId="780F15F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86" w:type="pct"/>
            <w:gridSpan w:val="2"/>
            <w:tcBorders>
              <w:top w:val="nil"/>
              <w:left w:val="nil"/>
              <w:bottom w:val="nil"/>
              <w:right w:val="nil"/>
            </w:tcBorders>
            <w:shd w:val="clear" w:color="auto" w:fill="auto"/>
            <w:noWrap/>
            <w:vAlign w:val="bottom"/>
          </w:tcPr>
          <w:p w14:paraId="72DB507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47" w:type="pct"/>
            <w:gridSpan w:val="2"/>
            <w:tcBorders>
              <w:top w:val="nil"/>
              <w:left w:val="nil"/>
              <w:bottom w:val="nil"/>
              <w:right w:val="nil"/>
            </w:tcBorders>
            <w:shd w:val="clear" w:color="auto" w:fill="auto"/>
            <w:noWrap/>
            <w:vAlign w:val="bottom"/>
          </w:tcPr>
          <w:p w14:paraId="57673111">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529DC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B8EB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745" w:type="pct"/>
            <w:gridSpan w:val="2"/>
            <w:tcBorders>
              <w:top w:val="single" w:color="000000" w:sz="4" w:space="0"/>
              <w:left w:val="single" w:color="000000" w:sz="4" w:space="0"/>
              <w:bottom w:val="single" w:color="000000" w:sz="4" w:space="0"/>
              <w:right w:val="nil"/>
            </w:tcBorders>
            <w:shd w:val="clear" w:color="auto" w:fill="auto"/>
            <w:noWrap/>
            <w:vAlign w:val="center"/>
          </w:tcPr>
          <w:p w14:paraId="4390D92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调整预算</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DC8D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01E2B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占年调整</w:t>
            </w:r>
          </w:p>
          <w:p w14:paraId="65B5466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预算（%）</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BE39E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比上年（可比）增长（%）</w:t>
            </w:r>
          </w:p>
        </w:tc>
      </w:tr>
      <w:tr w14:paraId="03CC3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6D3E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  税收收入</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4200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77128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0756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80992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4B46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105.01</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033C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11.19</w:t>
            </w:r>
          </w:p>
        </w:tc>
      </w:tr>
      <w:tr w14:paraId="6DA41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D59C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1.增值税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A93E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24356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93D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24738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CA59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101.57</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2AC1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48.08</w:t>
            </w:r>
          </w:p>
        </w:tc>
      </w:tr>
      <w:tr w14:paraId="0C8A9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F8C7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2.企业所得税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36CE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3614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2290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3554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4DD6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98.34</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1192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11.87</w:t>
            </w:r>
          </w:p>
        </w:tc>
      </w:tr>
      <w:tr w14:paraId="77DBD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67FF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3.个人所得税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BC8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912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A323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2224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397A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243.86</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7C53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97.36</w:t>
            </w:r>
          </w:p>
        </w:tc>
      </w:tr>
      <w:tr w14:paraId="4A133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24E8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4.资源税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3446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206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6EEF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206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782F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5B67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-16.83</w:t>
            </w:r>
          </w:p>
        </w:tc>
      </w:tr>
      <w:tr w14:paraId="75FD7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76B5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5.城市维护建设税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4EC9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4382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8F06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4414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AAA5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100.73</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4506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30.03</w:t>
            </w:r>
          </w:p>
        </w:tc>
      </w:tr>
      <w:tr w14:paraId="31467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6C6F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6.房产税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E187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3191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3C41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4176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B5E9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130.87</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73A0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86.63</w:t>
            </w:r>
          </w:p>
        </w:tc>
      </w:tr>
      <w:tr w14:paraId="03BAD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ACA3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7.印花税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3B99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2360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8699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2402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4C0F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101.78</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3C80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42.7</w:t>
            </w:r>
          </w:p>
        </w:tc>
      </w:tr>
      <w:tr w14:paraId="129BE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6B38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8.城镇土地使用税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BFA0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8029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A336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8537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DD8A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106.33</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231A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-10.87</w:t>
            </w:r>
          </w:p>
        </w:tc>
      </w:tr>
      <w:tr w14:paraId="7591E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D483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9.土地增值税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BC36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5753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4D80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5753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934A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CAEF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42.63</w:t>
            </w:r>
          </w:p>
        </w:tc>
      </w:tr>
      <w:tr w14:paraId="1FA99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B064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2"/>
                <w:color w:val="000000" w:themeColor="text1"/>
                <w:lang w:val="en-US" w:eastAsia="zh-CN" w:bidi="ar"/>
                <w14:textFill>
                  <w14:solidFill>
                    <w14:schemeClr w14:val="tx1"/>
                  </w14:solidFill>
                </w14:textFill>
              </w:rPr>
              <w:t>　　10.车船税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651A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5894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44F5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5896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DD2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100.03</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9B27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8.02</w:t>
            </w:r>
          </w:p>
        </w:tc>
      </w:tr>
      <w:tr w14:paraId="3CC20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B3F4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2"/>
                <w:color w:val="000000" w:themeColor="text1"/>
                <w:lang w:val="en-US" w:eastAsia="zh-CN" w:bidi="ar"/>
                <w14:textFill>
                  <w14:solidFill>
                    <w14:schemeClr w14:val="tx1"/>
                  </w14:solidFill>
                </w14:textFill>
              </w:rPr>
              <w:t>　　11.耕地占用税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C386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3554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CC5F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3554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C63B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339E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-74.86</w:t>
            </w:r>
          </w:p>
        </w:tc>
      </w:tr>
      <w:tr w14:paraId="61359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EC35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2"/>
                <w:color w:val="000000" w:themeColor="text1"/>
                <w:lang w:val="en-US" w:eastAsia="zh-CN" w:bidi="ar"/>
                <w14:textFill>
                  <w14:solidFill>
                    <w14:schemeClr w14:val="tx1"/>
                  </w14:solidFill>
                </w14:textFill>
              </w:rPr>
              <w:t>　　12.契税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4BEB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14717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36F4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15369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7468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104.43</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5F73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40.84</w:t>
            </w:r>
          </w:p>
        </w:tc>
      </w:tr>
      <w:tr w14:paraId="585C9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760B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13.环境保护税</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A8C0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160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DD56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169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C0E5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105.63</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29A3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89.44</w:t>
            </w:r>
          </w:p>
        </w:tc>
      </w:tr>
      <w:tr w14:paraId="40C6C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C70A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  非税收入</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C667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116159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B890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116780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3D61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100.53</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C82C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7.03</w:t>
            </w:r>
          </w:p>
        </w:tc>
      </w:tr>
      <w:tr w14:paraId="5DBA7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6F14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2"/>
                <w:color w:val="000000" w:themeColor="text1"/>
                <w:lang w:val="en-US" w:eastAsia="zh-CN" w:bidi="ar"/>
                <w14:textFill>
                  <w14:solidFill>
                    <w14:schemeClr w14:val="tx1"/>
                  </w14:solidFill>
                </w14:textFill>
              </w:rPr>
              <w:t>　　1.专项收入</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BD90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23675</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D03F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23699</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CAD4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100.1</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91A7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2146.73</w:t>
            </w:r>
          </w:p>
        </w:tc>
      </w:tr>
      <w:tr w14:paraId="67C47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B86F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2"/>
                <w:color w:val="000000" w:themeColor="text1"/>
                <w:lang w:val="en-US" w:eastAsia="zh-CN" w:bidi="ar"/>
                <w14:textFill>
                  <w14:solidFill>
                    <w14:schemeClr w14:val="tx1"/>
                  </w14:solidFill>
                </w14:textFill>
              </w:rPr>
              <w:t>　　2.行政事业性收费收入</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78D7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30051</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D91F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30397</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1A05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101.15</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589B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-27.3</w:t>
            </w:r>
          </w:p>
        </w:tc>
      </w:tr>
      <w:tr w14:paraId="7E2AE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92DB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2"/>
                <w:color w:val="000000" w:themeColor="text1"/>
                <w:lang w:val="en-US" w:eastAsia="zh-CN" w:bidi="ar"/>
                <w14:textFill>
                  <w14:solidFill>
                    <w14:schemeClr w14:val="tx1"/>
                  </w14:solidFill>
                </w14:textFill>
              </w:rPr>
              <w:t>　　3.罚没收入</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2384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3621</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C9F1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3621</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FD43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19B8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-15.2</w:t>
            </w:r>
          </w:p>
        </w:tc>
      </w:tr>
      <w:tr w14:paraId="0E2DD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A33D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4.国有资本经营收入</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BF67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835F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B9434">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A46C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r>
      <w:tr w14:paraId="6A493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CBEC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5.国有资源(资产)有偿使用收入</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8CF2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55757</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0D39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56004</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939F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100.44</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F234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-4.17</w:t>
            </w:r>
          </w:p>
        </w:tc>
      </w:tr>
      <w:tr w14:paraId="3F78F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8209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6.捐赠收入</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27A76">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1D48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9148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5B89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7EC22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1E1D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7.政府住房基金收入</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2E28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524</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9FEC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524</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B085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C826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803.45</w:t>
            </w:r>
          </w:p>
        </w:tc>
      </w:tr>
      <w:tr w14:paraId="0DB95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82BA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8.其他收入</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F419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2531</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1201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2533</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9265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100.08</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9A91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-12.38</w:t>
            </w:r>
          </w:p>
        </w:tc>
      </w:tr>
      <w:tr w14:paraId="2C641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jc w:val="center"/>
        </w:trPr>
        <w:tc>
          <w:tcPr>
            <w:tcW w:w="17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F481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7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AADD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193287 </w:t>
            </w:r>
          </w:p>
        </w:tc>
        <w:tc>
          <w:tcPr>
            <w:tcW w:w="77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E2F7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197772 </w:t>
            </w:r>
          </w:p>
        </w:tc>
        <w:tc>
          <w:tcPr>
            <w:tcW w:w="88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B0B1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102.32</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0689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8.69</w:t>
            </w:r>
          </w:p>
        </w:tc>
      </w:tr>
      <w:tr w14:paraId="046C6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nil"/>
              <w:left w:val="nil"/>
              <w:bottom w:val="nil"/>
              <w:right w:val="nil"/>
            </w:tcBorders>
            <w:shd w:val="clear" w:color="auto" w:fill="auto"/>
            <w:vAlign w:val="bottom"/>
          </w:tcPr>
          <w:p w14:paraId="1A437404">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表2</w:t>
            </w:r>
          </w:p>
        </w:tc>
        <w:tc>
          <w:tcPr>
            <w:tcW w:w="712" w:type="pct"/>
            <w:gridSpan w:val="2"/>
            <w:tcBorders>
              <w:top w:val="nil"/>
              <w:left w:val="nil"/>
              <w:bottom w:val="nil"/>
              <w:right w:val="nil"/>
            </w:tcBorders>
            <w:shd w:val="clear" w:color="auto" w:fill="auto"/>
            <w:noWrap/>
            <w:vAlign w:val="bottom"/>
          </w:tcPr>
          <w:p w14:paraId="586F4D5F">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666" w:type="pct"/>
            <w:tcBorders>
              <w:top w:val="nil"/>
              <w:left w:val="nil"/>
              <w:bottom w:val="nil"/>
              <w:right w:val="nil"/>
            </w:tcBorders>
            <w:shd w:val="clear" w:color="auto" w:fill="auto"/>
            <w:noWrap/>
            <w:vAlign w:val="bottom"/>
          </w:tcPr>
          <w:p w14:paraId="47609D46">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5" w:type="pct"/>
            <w:gridSpan w:val="2"/>
            <w:tcBorders>
              <w:top w:val="nil"/>
              <w:left w:val="nil"/>
              <w:bottom w:val="nil"/>
              <w:right w:val="nil"/>
            </w:tcBorders>
            <w:shd w:val="clear" w:color="auto" w:fill="auto"/>
            <w:noWrap/>
            <w:vAlign w:val="bottom"/>
          </w:tcPr>
          <w:p w14:paraId="539F3661">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932" w:type="pct"/>
            <w:gridSpan w:val="2"/>
            <w:tcBorders>
              <w:top w:val="nil"/>
              <w:left w:val="nil"/>
              <w:bottom w:val="nil"/>
              <w:right w:val="nil"/>
            </w:tcBorders>
            <w:shd w:val="clear" w:color="auto" w:fill="auto"/>
            <w:noWrap/>
            <w:vAlign w:val="bottom"/>
          </w:tcPr>
          <w:p w14:paraId="0C6D6FA1">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1D91F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4992" w:type="pct"/>
            <w:gridSpan w:val="9"/>
            <w:tcBorders>
              <w:top w:val="nil"/>
              <w:left w:val="nil"/>
              <w:bottom w:val="nil"/>
              <w:right w:val="nil"/>
            </w:tcBorders>
            <w:shd w:val="clear" w:color="auto" w:fill="auto"/>
            <w:noWrap/>
            <w:vAlign w:val="bottom"/>
          </w:tcPr>
          <w:p w14:paraId="52ED9F30">
            <w:pPr>
              <w:keepNext w:val="0"/>
              <w:keepLines w:val="0"/>
              <w:widowControl/>
              <w:suppressLineNumbers w:val="0"/>
              <w:jc w:val="center"/>
              <w:textAlignment w:val="bottom"/>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2023年区级一般公共预算支出完成情况表</w:t>
            </w:r>
          </w:p>
        </w:tc>
      </w:tr>
      <w:tr w14:paraId="6B5E2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nil"/>
              <w:left w:val="nil"/>
              <w:bottom w:val="nil"/>
              <w:right w:val="nil"/>
            </w:tcBorders>
            <w:shd w:val="clear" w:color="auto" w:fill="auto"/>
            <w:vAlign w:val="bottom"/>
          </w:tcPr>
          <w:p w14:paraId="1F93ED9F">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12" w:type="pct"/>
            <w:gridSpan w:val="2"/>
            <w:tcBorders>
              <w:top w:val="nil"/>
              <w:left w:val="nil"/>
              <w:bottom w:val="nil"/>
              <w:right w:val="nil"/>
            </w:tcBorders>
            <w:shd w:val="clear" w:color="auto" w:fill="auto"/>
            <w:noWrap/>
            <w:vAlign w:val="bottom"/>
          </w:tcPr>
          <w:p w14:paraId="5B0CBC5F">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666" w:type="pct"/>
            <w:tcBorders>
              <w:top w:val="nil"/>
              <w:left w:val="nil"/>
              <w:bottom w:val="nil"/>
              <w:right w:val="nil"/>
            </w:tcBorders>
            <w:shd w:val="clear" w:color="auto" w:fill="auto"/>
            <w:noWrap/>
            <w:vAlign w:val="bottom"/>
          </w:tcPr>
          <w:p w14:paraId="2BA8B260">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5" w:type="pct"/>
            <w:gridSpan w:val="2"/>
            <w:tcBorders>
              <w:top w:val="nil"/>
              <w:left w:val="nil"/>
              <w:bottom w:val="nil"/>
              <w:right w:val="nil"/>
            </w:tcBorders>
            <w:shd w:val="clear" w:color="auto" w:fill="auto"/>
            <w:noWrap/>
            <w:vAlign w:val="bottom"/>
          </w:tcPr>
          <w:p w14:paraId="624B309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932" w:type="pct"/>
            <w:gridSpan w:val="2"/>
            <w:tcBorders>
              <w:top w:val="nil"/>
              <w:left w:val="nil"/>
              <w:bottom w:val="nil"/>
              <w:right w:val="nil"/>
            </w:tcBorders>
            <w:shd w:val="clear" w:color="auto" w:fill="auto"/>
            <w:noWrap/>
            <w:vAlign w:val="bottom"/>
          </w:tcPr>
          <w:p w14:paraId="408CB517">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6EE63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E462EA">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98CFE">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调整预算</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79304">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8D4BAE">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7D53FD">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比上年（可比）增长（%）</w:t>
            </w:r>
          </w:p>
        </w:tc>
      </w:tr>
      <w:tr w14:paraId="02731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8F9F15">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201 一般公共服务支出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BE5DA">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54796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2EB9F">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52299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F5F2A">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95.4</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535E5">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-2.7</w:t>
            </w:r>
          </w:p>
        </w:tc>
      </w:tr>
      <w:tr w14:paraId="7A030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693EA2">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203 国防支出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41A10">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429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A2664">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89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BC9B6">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20.7</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AE542">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-61.8</w:t>
            </w:r>
          </w:p>
        </w:tc>
      </w:tr>
      <w:tr w14:paraId="3CC2B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09306E">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204 公共安全支出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897DB">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7052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80783">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6403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6DD56">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90.8</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28EDA">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-56.4</w:t>
            </w:r>
          </w:p>
        </w:tc>
      </w:tr>
      <w:tr w14:paraId="2A8AC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0D73A3">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205 教育支出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D34A0">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164134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08354">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150828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B922C">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91.9</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2E3C3">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2.7</w:t>
            </w:r>
          </w:p>
        </w:tc>
      </w:tr>
      <w:tr w14:paraId="1B400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7103B4">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206 科学技术支出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E9EA1">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4318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76186">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4154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E7EC7">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96.2</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D01ED">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15.5</w:t>
            </w:r>
          </w:p>
        </w:tc>
      </w:tr>
      <w:tr w14:paraId="38497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68C9D0">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207 文化旅游体育与传媒支出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FE11C">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3097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3BD54">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2875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B7B53">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92.8</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04F81">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-25.3</w:t>
            </w:r>
          </w:p>
        </w:tc>
      </w:tr>
      <w:tr w14:paraId="121C9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C962A2">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208 社会保障和就业支出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63FFE">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90894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387D1">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85232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EEC7E">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93.8</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24E3E">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-17.6</w:t>
            </w:r>
          </w:p>
        </w:tc>
      </w:tr>
      <w:tr w14:paraId="0B5B4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6479C6">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210 卫生健康支出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FCC78">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52097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9AF88">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49659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7603A">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95.3</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B8BAF">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-18.9</w:t>
            </w:r>
          </w:p>
        </w:tc>
      </w:tr>
      <w:tr w14:paraId="1F833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CA6B5B">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211 节能环保支出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61A67">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16850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04A70">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15987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B18EA">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94.9</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76E1B">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w:t>
            </w:r>
          </w:p>
        </w:tc>
      </w:tr>
      <w:tr w14:paraId="707DC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DAFA80">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212 城乡社区支出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EA939">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83899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19AFE">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75246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A457E">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89.7</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7243B">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49.5</w:t>
            </w:r>
          </w:p>
        </w:tc>
      </w:tr>
      <w:tr w14:paraId="789EB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6EB812">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213 农林水支出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FAFB0">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75617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24441">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45009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3108C">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59.5</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A1377">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6.8</w:t>
            </w:r>
          </w:p>
        </w:tc>
      </w:tr>
      <w:tr w14:paraId="3C13B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DE041B">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214 交通运输支出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C6EC3">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5214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78482">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4658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7211A">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89.3</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1580C">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44</w:t>
            </w:r>
          </w:p>
        </w:tc>
      </w:tr>
      <w:tr w14:paraId="5BA7F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FB5EDB">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215 资源勘探信息等支出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ABA4E">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4931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5FAF4">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4640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B1A99">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94.1</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B05D0">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-45.7</w:t>
            </w:r>
          </w:p>
        </w:tc>
      </w:tr>
      <w:tr w14:paraId="0F1F4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C70342">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216 商业服务业等支出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A34E9">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1280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BA10B">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1095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86866">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85.5</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654EF">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-52.2</w:t>
            </w:r>
          </w:p>
        </w:tc>
      </w:tr>
      <w:tr w14:paraId="0D06E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8C4F8B">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220 自然资源海洋气象等支出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C7204">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2546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6A0AF">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984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B3E35">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38.6</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71F2B">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146.6</w:t>
            </w:r>
          </w:p>
        </w:tc>
      </w:tr>
      <w:tr w14:paraId="01D30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1B7F0C">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221 住房保障支出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CB32A">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20111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8D993">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19819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EE8DD">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98.5</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07970">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296.3</w:t>
            </w:r>
          </w:p>
        </w:tc>
      </w:tr>
      <w:tr w14:paraId="31852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A88EBB">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222 粮油物资储备支出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8FF46">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1342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FA274">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1290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3032D">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96.1</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1D801">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1769.6</w:t>
            </w:r>
          </w:p>
        </w:tc>
      </w:tr>
      <w:tr w14:paraId="4DC90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FFA509">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224 灾害防治及应急管理支出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E510A">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3379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D46EE">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3200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17044">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94.7</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1BC70">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w:t>
            </w:r>
          </w:p>
        </w:tc>
      </w:tr>
      <w:tr w14:paraId="7DC8B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541803">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232 债务付息支出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C9AC4">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2477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C7DC8">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2477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CF49A">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D06C6">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21.8</w:t>
            </w:r>
          </w:p>
        </w:tc>
      </w:tr>
      <w:tr w14:paraId="1B0CA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6D9859">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233 债务发行费用</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ED28A">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55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2E970">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14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84105">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25.5</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EBF2B">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-26.3</w:t>
            </w:r>
          </w:p>
        </w:tc>
      </w:tr>
      <w:tr w14:paraId="56F89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87535">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46096">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592705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9399D">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525958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E9B40">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88.7</w:t>
            </w: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43E7B">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1.4</w:t>
            </w:r>
          </w:p>
        </w:tc>
      </w:tr>
      <w:tr w14:paraId="3DED4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bottom"/>
          </w:tcPr>
          <w:p w14:paraId="6ADC4EC4">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一般债还本</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6F8E4F42">
            <w:pPr>
              <w:keepNext w:val="0"/>
              <w:keepLines w:val="0"/>
              <w:pageBreakBefore w:val="0"/>
              <w:widowControl/>
              <w:suppressLineNumbers w:val="0"/>
              <w:kinsoku/>
              <w:wordWrap/>
              <w:overflowPunct/>
              <w:topLinePunct w:val="0"/>
              <w:autoSpaceDE/>
              <w:autoSpaceDN/>
              <w:bidi w:val="0"/>
              <w:adjustRightInd/>
              <w:snapToGrid/>
              <w:spacing w:line="410" w:lineRule="exact"/>
              <w:jc w:val="righ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2848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6B0FB72">
            <w:pPr>
              <w:keepNext w:val="0"/>
              <w:keepLines w:val="0"/>
              <w:pageBreakBefore w:val="0"/>
              <w:widowControl/>
              <w:suppressLineNumbers w:val="0"/>
              <w:kinsoku/>
              <w:wordWrap/>
              <w:overflowPunct/>
              <w:topLinePunct w:val="0"/>
              <w:autoSpaceDE/>
              <w:autoSpaceDN/>
              <w:bidi w:val="0"/>
              <w:adjustRightInd/>
              <w:snapToGrid/>
              <w:spacing w:line="410" w:lineRule="exact"/>
              <w:jc w:val="righ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2800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A6057">
            <w:pPr>
              <w:keepNext w:val="0"/>
              <w:keepLines w:val="0"/>
              <w:pageBreakBefore w:val="0"/>
              <w:widowControl/>
              <w:kinsoku/>
              <w:wordWrap/>
              <w:overflowPunct/>
              <w:topLinePunct w:val="0"/>
              <w:autoSpaceDE/>
              <w:autoSpaceDN/>
              <w:bidi w:val="0"/>
              <w:adjustRightInd/>
              <w:snapToGrid/>
              <w:spacing w:line="41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6FBEF22F">
            <w:pPr>
              <w:keepNext w:val="0"/>
              <w:keepLines w:val="0"/>
              <w:pageBreakBefore w:val="0"/>
              <w:widowControl/>
              <w:kinsoku/>
              <w:wordWrap/>
              <w:overflowPunct/>
              <w:topLinePunct w:val="0"/>
              <w:autoSpaceDE/>
              <w:autoSpaceDN/>
              <w:bidi w:val="0"/>
              <w:adjustRightInd/>
              <w:snapToGrid/>
              <w:spacing w:line="410" w:lineRule="exact"/>
              <w:rPr>
                <w:rFonts w:hint="eastAsia" w:ascii="宋体" w:hAnsi="宋体" w:eastAsia="宋体" w:cs="宋体"/>
                <w:i w:val="0"/>
                <w:iCs w:val="0"/>
                <w:color w:val="000000" w:themeColor="text1"/>
                <w:sz w:val="24"/>
                <w:szCs w:val="24"/>
                <w:u w:val="none"/>
                <w14:textFill>
                  <w14:solidFill>
                    <w14:schemeClr w14:val="tx1"/>
                  </w14:solidFill>
                </w14:textFill>
              </w:rPr>
            </w:pPr>
          </w:p>
        </w:tc>
      </w:tr>
      <w:tr w14:paraId="0B461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bottom"/>
          </w:tcPr>
          <w:p w14:paraId="66E0D509">
            <w:pPr>
              <w:keepNext w:val="0"/>
              <w:keepLines w:val="0"/>
              <w:pageBreakBefore w:val="0"/>
              <w:widowControl/>
              <w:suppressLineNumbers w:val="0"/>
              <w:kinsoku/>
              <w:wordWrap/>
              <w:overflowPunct/>
              <w:topLinePunct w:val="0"/>
              <w:autoSpaceDE/>
              <w:autoSpaceDN/>
              <w:bidi w:val="0"/>
              <w:adjustRightInd/>
              <w:snapToGrid/>
              <w:spacing w:line="410" w:lineRule="exact"/>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援助其他地区支出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7561170E">
            <w:pPr>
              <w:keepNext w:val="0"/>
              <w:keepLines w:val="0"/>
              <w:pageBreakBefore w:val="0"/>
              <w:widowControl/>
              <w:suppressLineNumbers w:val="0"/>
              <w:kinsoku/>
              <w:wordWrap/>
              <w:overflowPunct/>
              <w:topLinePunct w:val="0"/>
              <w:autoSpaceDE/>
              <w:autoSpaceDN/>
              <w:bidi w:val="0"/>
              <w:adjustRightInd/>
              <w:snapToGrid/>
              <w:spacing w:line="410" w:lineRule="exact"/>
              <w:jc w:val="righ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500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0BA2A0">
            <w:pPr>
              <w:keepNext w:val="0"/>
              <w:keepLines w:val="0"/>
              <w:pageBreakBefore w:val="0"/>
              <w:widowControl/>
              <w:suppressLineNumbers w:val="0"/>
              <w:kinsoku/>
              <w:wordWrap/>
              <w:overflowPunct/>
              <w:topLinePunct w:val="0"/>
              <w:autoSpaceDE/>
              <w:autoSpaceDN/>
              <w:bidi w:val="0"/>
              <w:adjustRightInd/>
              <w:snapToGrid/>
              <w:spacing w:line="410" w:lineRule="exact"/>
              <w:jc w:val="righ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500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10A92">
            <w:pPr>
              <w:keepNext w:val="0"/>
              <w:keepLines w:val="0"/>
              <w:pageBreakBefore w:val="0"/>
              <w:widowControl/>
              <w:kinsoku/>
              <w:wordWrap/>
              <w:overflowPunct/>
              <w:topLinePunct w:val="0"/>
              <w:autoSpaceDE/>
              <w:autoSpaceDN/>
              <w:bidi w:val="0"/>
              <w:adjustRightInd/>
              <w:snapToGrid/>
              <w:spacing w:line="41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3DF4F0C1">
            <w:pPr>
              <w:keepNext w:val="0"/>
              <w:keepLines w:val="0"/>
              <w:pageBreakBefore w:val="0"/>
              <w:widowControl/>
              <w:kinsoku/>
              <w:wordWrap/>
              <w:overflowPunct/>
              <w:topLinePunct w:val="0"/>
              <w:autoSpaceDE/>
              <w:autoSpaceDN/>
              <w:bidi w:val="0"/>
              <w:adjustRightInd/>
              <w:snapToGrid/>
              <w:spacing w:line="410" w:lineRule="exact"/>
              <w:rPr>
                <w:rFonts w:hint="eastAsia" w:ascii="宋体" w:hAnsi="宋体" w:eastAsia="宋体" w:cs="宋体"/>
                <w:i w:val="0"/>
                <w:iCs w:val="0"/>
                <w:color w:val="000000" w:themeColor="text1"/>
                <w:sz w:val="24"/>
                <w:szCs w:val="24"/>
                <w:u w:val="none"/>
                <w14:textFill>
                  <w14:solidFill>
                    <w14:schemeClr w14:val="tx1"/>
                  </w14:solidFill>
                </w14:textFill>
              </w:rPr>
            </w:pPr>
          </w:p>
        </w:tc>
      </w:tr>
      <w:tr w14:paraId="4623B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283" w:hRule="atLeast"/>
          <w:jc w:val="center"/>
        </w:trPr>
        <w:tc>
          <w:tcPr>
            <w:tcW w:w="1865" w:type="pct"/>
            <w:gridSpan w:val="2"/>
            <w:tcBorders>
              <w:top w:val="single" w:color="000000" w:sz="4" w:space="0"/>
              <w:left w:val="single" w:color="000000" w:sz="4" w:space="0"/>
              <w:bottom w:val="single" w:color="000000" w:sz="4" w:space="0"/>
              <w:right w:val="single" w:color="000000" w:sz="4" w:space="0"/>
            </w:tcBorders>
            <w:shd w:val="clear" w:color="auto" w:fill="auto"/>
            <w:vAlign w:val="bottom"/>
          </w:tcPr>
          <w:p w14:paraId="352F6DBE">
            <w:pPr>
              <w:keepNext w:val="0"/>
              <w:keepLines w:val="0"/>
              <w:pageBreakBefore w:val="0"/>
              <w:widowControl/>
              <w:suppressLineNumbers w:val="0"/>
              <w:kinsoku/>
              <w:wordWrap/>
              <w:overflowPunct/>
              <w:topLinePunct w:val="0"/>
              <w:autoSpaceDE/>
              <w:autoSpaceDN/>
              <w:bidi w:val="0"/>
              <w:adjustRightInd/>
              <w:snapToGrid/>
              <w:spacing w:line="410" w:lineRule="exact"/>
              <w:jc w:val="center"/>
              <w:textAlignment w:val="bottom"/>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总计支出</w:t>
            </w:r>
          </w:p>
        </w:tc>
        <w:tc>
          <w:tcPr>
            <w:tcW w:w="7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33C45C3E">
            <w:pPr>
              <w:keepNext w:val="0"/>
              <w:keepLines w:val="0"/>
              <w:pageBreakBefore w:val="0"/>
              <w:widowControl/>
              <w:suppressLineNumbers w:val="0"/>
              <w:kinsoku/>
              <w:wordWrap/>
              <w:overflowPunct/>
              <w:topLinePunct w:val="0"/>
              <w:autoSpaceDE/>
              <w:autoSpaceDN/>
              <w:bidi w:val="0"/>
              <w:adjustRightInd/>
              <w:snapToGrid/>
              <w:spacing w:line="410" w:lineRule="exact"/>
              <w:jc w:val="right"/>
              <w:textAlignment w:val="bottom"/>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596053 </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C6730CD">
            <w:pPr>
              <w:keepNext w:val="0"/>
              <w:keepLines w:val="0"/>
              <w:pageBreakBefore w:val="0"/>
              <w:widowControl/>
              <w:suppressLineNumbers w:val="0"/>
              <w:kinsoku/>
              <w:wordWrap/>
              <w:overflowPunct/>
              <w:topLinePunct w:val="0"/>
              <w:autoSpaceDE/>
              <w:autoSpaceDN/>
              <w:bidi w:val="0"/>
              <w:adjustRightInd/>
              <w:snapToGrid/>
              <w:spacing w:line="410" w:lineRule="exact"/>
              <w:jc w:val="right"/>
              <w:textAlignment w:val="bottom"/>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529258 </w:t>
            </w:r>
          </w:p>
        </w:tc>
        <w:tc>
          <w:tcPr>
            <w:tcW w:w="8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2BA42">
            <w:pPr>
              <w:keepNext w:val="0"/>
              <w:keepLines w:val="0"/>
              <w:pageBreakBefore w:val="0"/>
              <w:widowControl/>
              <w:kinsoku/>
              <w:wordWrap/>
              <w:overflowPunct/>
              <w:topLinePunct w:val="0"/>
              <w:autoSpaceDE/>
              <w:autoSpaceDN/>
              <w:bidi w:val="0"/>
              <w:adjustRightInd/>
              <w:snapToGrid/>
              <w:spacing w:line="410" w:lineRule="exact"/>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9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0DE2E7">
            <w:pPr>
              <w:keepNext w:val="0"/>
              <w:keepLines w:val="0"/>
              <w:pageBreakBefore w:val="0"/>
              <w:widowControl/>
              <w:kinsoku/>
              <w:wordWrap/>
              <w:overflowPunct/>
              <w:topLinePunct w:val="0"/>
              <w:autoSpaceDE/>
              <w:autoSpaceDN/>
              <w:bidi w:val="0"/>
              <w:adjustRightInd/>
              <w:snapToGrid/>
              <w:spacing w:line="410" w:lineRule="exact"/>
              <w:rPr>
                <w:rFonts w:hint="eastAsia" w:ascii="宋体" w:hAnsi="宋体" w:eastAsia="宋体" w:cs="宋体"/>
                <w:i w:val="0"/>
                <w:iCs w:val="0"/>
                <w:color w:val="000000" w:themeColor="text1"/>
                <w:sz w:val="24"/>
                <w:szCs w:val="24"/>
                <w:u w:val="none"/>
                <w14:textFill>
                  <w14:solidFill>
                    <w14:schemeClr w14:val="tx1"/>
                  </w14:solidFill>
                </w14:textFill>
              </w:rPr>
            </w:pPr>
          </w:p>
        </w:tc>
      </w:tr>
    </w:tbl>
    <w:p w14:paraId="719E9653">
      <w:pPr>
        <w:pStyle w:val="1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both"/>
        <w:textAlignment w:val="baseline"/>
        <w:rPr>
          <w:rFonts w:hint="eastAsia" w:ascii="方正小标宋简体" w:hAnsi="方正小标宋简体" w:eastAsia="方正小标宋简体" w:cs="方正小标宋简体"/>
          <w:color w:val="000000" w:themeColor="text1"/>
          <w:sz w:val="21"/>
          <w:szCs w:val="21"/>
          <w:highlight w:val="none"/>
          <w14:textFill>
            <w14:solidFill>
              <w14:schemeClr w14:val="tx1"/>
            </w14:solidFill>
          </w14:textFill>
        </w:rPr>
      </w:pPr>
    </w:p>
    <w:tbl>
      <w:tblPr>
        <w:tblStyle w:val="10"/>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405"/>
        <w:gridCol w:w="1290"/>
        <w:gridCol w:w="1298"/>
        <w:gridCol w:w="1476"/>
        <w:gridCol w:w="1530"/>
      </w:tblGrid>
      <w:tr w14:paraId="217F0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891" w:type="pct"/>
            <w:tcBorders>
              <w:top w:val="nil"/>
              <w:left w:val="nil"/>
              <w:bottom w:val="nil"/>
              <w:right w:val="nil"/>
            </w:tcBorders>
            <w:shd w:val="clear" w:color="auto" w:fill="auto"/>
            <w:vAlign w:val="bottom"/>
          </w:tcPr>
          <w:p w14:paraId="4800DEFE">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表3</w:t>
            </w:r>
          </w:p>
        </w:tc>
        <w:tc>
          <w:tcPr>
            <w:tcW w:w="716" w:type="pct"/>
            <w:tcBorders>
              <w:top w:val="nil"/>
              <w:left w:val="nil"/>
              <w:bottom w:val="nil"/>
              <w:right w:val="nil"/>
            </w:tcBorders>
            <w:shd w:val="clear" w:color="auto" w:fill="auto"/>
            <w:noWrap/>
            <w:vAlign w:val="bottom"/>
          </w:tcPr>
          <w:p w14:paraId="7EAB7E87">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21" w:type="pct"/>
            <w:tcBorders>
              <w:top w:val="nil"/>
              <w:left w:val="nil"/>
              <w:bottom w:val="nil"/>
              <w:right w:val="nil"/>
            </w:tcBorders>
            <w:shd w:val="clear" w:color="auto" w:fill="auto"/>
            <w:noWrap/>
            <w:vAlign w:val="bottom"/>
          </w:tcPr>
          <w:p w14:paraId="272A5CDE">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20" w:type="pct"/>
            <w:tcBorders>
              <w:top w:val="nil"/>
              <w:left w:val="nil"/>
              <w:bottom w:val="nil"/>
              <w:right w:val="nil"/>
            </w:tcBorders>
            <w:shd w:val="clear" w:color="auto" w:fill="auto"/>
            <w:noWrap/>
            <w:vAlign w:val="bottom"/>
          </w:tcPr>
          <w:p w14:paraId="40F803DB">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50" w:type="pct"/>
            <w:tcBorders>
              <w:top w:val="nil"/>
              <w:left w:val="nil"/>
              <w:bottom w:val="nil"/>
              <w:right w:val="nil"/>
            </w:tcBorders>
            <w:shd w:val="clear" w:color="auto" w:fill="auto"/>
            <w:noWrap/>
            <w:vAlign w:val="bottom"/>
          </w:tcPr>
          <w:p w14:paraId="76BCADB3">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57D9D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5" w:hRule="atLeast"/>
        </w:trPr>
        <w:tc>
          <w:tcPr>
            <w:tcW w:w="5000" w:type="pct"/>
            <w:gridSpan w:val="5"/>
            <w:tcBorders>
              <w:top w:val="nil"/>
              <w:left w:val="nil"/>
              <w:bottom w:val="nil"/>
              <w:right w:val="nil"/>
            </w:tcBorders>
            <w:shd w:val="clear" w:color="auto" w:fill="auto"/>
            <w:noWrap/>
            <w:vAlign w:val="bottom"/>
          </w:tcPr>
          <w:p w14:paraId="63E50772">
            <w:pPr>
              <w:keepNext w:val="0"/>
              <w:keepLines w:val="0"/>
              <w:widowControl/>
              <w:suppressLineNumbers w:val="0"/>
              <w:jc w:val="center"/>
              <w:textAlignment w:val="bottom"/>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2023年区级政府性基金收入预算完成情况表</w:t>
            </w:r>
          </w:p>
        </w:tc>
      </w:tr>
      <w:tr w14:paraId="73393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891" w:type="pct"/>
            <w:tcBorders>
              <w:top w:val="nil"/>
              <w:left w:val="nil"/>
              <w:bottom w:val="nil"/>
              <w:right w:val="nil"/>
            </w:tcBorders>
            <w:shd w:val="clear" w:color="auto" w:fill="auto"/>
            <w:vAlign w:val="bottom"/>
          </w:tcPr>
          <w:p w14:paraId="03F80334">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16" w:type="pct"/>
            <w:tcBorders>
              <w:top w:val="nil"/>
              <w:left w:val="nil"/>
              <w:bottom w:val="nil"/>
              <w:right w:val="nil"/>
            </w:tcBorders>
            <w:shd w:val="clear" w:color="auto" w:fill="auto"/>
            <w:noWrap/>
            <w:vAlign w:val="bottom"/>
          </w:tcPr>
          <w:p w14:paraId="22E11F4B">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21" w:type="pct"/>
            <w:tcBorders>
              <w:top w:val="nil"/>
              <w:left w:val="nil"/>
              <w:bottom w:val="nil"/>
              <w:right w:val="nil"/>
            </w:tcBorders>
            <w:shd w:val="clear" w:color="auto" w:fill="auto"/>
            <w:noWrap/>
            <w:vAlign w:val="bottom"/>
          </w:tcPr>
          <w:p w14:paraId="39C9959F">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20" w:type="pct"/>
            <w:tcBorders>
              <w:top w:val="nil"/>
              <w:left w:val="nil"/>
              <w:bottom w:val="nil"/>
              <w:right w:val="nil"/>
            </w:tcBorders>
            <w:shd w:val="clear" w:color="auto" w:fill="auto"/>
            <w:noWrap/>
            <w:vAlign w:val="bottom"/>
          </w:tcPr>
          <w:p w14:paraId="13090CC8">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50" w:type="pct"/>
            <w:tcBorders>
              <w:top w:val="nil"/>
              <w:left w:val="nil"/>
              <w:bottom w:val="nil"/>
              <w:right w:val="nil"/>
            </w:tcBorders>
            <w:shd w:val="clear" w:color="auto" w:fill="auto"/>
            <w:vAlign w:val="center"/>
          </w:tcPr>
          <w:p w14:paraId="7D5BE91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4C187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2"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A6CDA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716" w:type="pct"/>
            <w:tcBorders>
              <w:top w:val="single" w:color="000000" w:sz="4" w:space="0"/>
              <w:left w:val="single" w:color="000000" w:sz="4" w:space="0"/>
              <w:bottom w:val="single" w:color="000000" w:sz="4" w:space="0"/>
              <w:right w:val="nil"/>
            </w:tcBorders>
            <w:shd w:val="clear" w:color="auto" w:fill="auto"/>
            <w:noWrap/>
            <w:vAlign w:val="center"/>
          </w:tcPr>
          <w:p w14:paraId="0680BC9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调整预算</w:t>
            </w:r>
          </w:p>
        </w:tc>
        <w:tc>
          <w:tcPr>
            <w:tcW w:w="7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E283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EE0B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1A1A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比上年（可比）增长（%）</w:t>
            </w:r>
          </w:p>
        </w:tc>
      </w:tr>
      <w:tr w14:paraId="039EF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C36DC">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一、政府性基金预算收入</w:t>
            </w: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6E624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109156</w:t>
            </w:r>
          </w:p>
        </w:tc>
        <w:tc>
          <w:tcPr>
            <w:tcW w:w="7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0902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109761</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08C6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100.6</w:t>
            </w: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4E5E1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175.9</w:t>
            </w:r>
          </w:p>
        </w:tc>
      </w:tr>
      <w:tr w14:paraId="66E6E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6402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 国有土地收益基金收入</w:t>
            </w:r>
          </w:p>
        </w:tc>
        <w:tc>
          <w:tcPr>
            <w:tcW w:w="7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AB3A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3994</w:t>
            </w:r>
          </w:p>
        </w:tc>
        <w:tc>
          <w:tcPr>
            <w:tcW w:w="7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EBCD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3994</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9F9C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4F68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52.3</w:t>
            </w:r>
          </w:p>
        </w:tc>
      </w:tr>
      <w:tr w14:paraId="49675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A67B79">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 农业土地开发资金收入</w:t>
            </w:r>
          </w:p>
        </w:tc>
        <w:tc>
          <w:tcPr>
            <w:tcW w:w="7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23E7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1028</w:t>
            </w:r>
          </w:p>
        </w:tc>
        <w:tc>
          <w:tcPr>
            <w:tcW w:w="7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98364">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1028</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BCE4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D2B5C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369.4</w:t>
            </w:r>
          </w:p>
        </w:tc>
      </w:tr>
      <w:tr w14:paraId="771F4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2B07B">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 国有土地使用权出让收入</w:t>
            </w:r>
          </w:p>
        </w:tc>
        <w:tc>
          <w:tcPr>
            <w:tcW w:w="7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625A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92828 </w:t>
            </w:r>
          </w:p>
        </w:tc>
        <w:tc>
          <w:tcPr>
            <w:tcW w:w="7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44426">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92834 </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0FEB4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C2B7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75.7</w:t>
            </w:r>
          </w:p>
        </w:tc>
      </w:tr>
      <w:tr w14:paraId="451D6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9354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 彩票公益金收入</w:t>
            </w:r>
          </w:p>
        </w:tc>
        <w:tc>
          <w:tcPr>
            <w:tcW w:w="7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A579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113</w:t>
            </w:r>
          </w:p>
        </w:tc>
        <w:tc>
          <w:tcPr>
            <w:tcW w:w="7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55CE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270</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D209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238.9</w:t>
            </w: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E05C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w:t>
            </w:r>
          </w:p>
        </w:tc>
      </w:tr>
      <w:tr w14:paraId="2D1B7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96DBE">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 城市基础设施配套费收入</w:t>
            </w:r>
          </w:p>
        </w:tc>
        <w:tc>
          <w:tcPr>
            <w:tcW w:w="7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67CA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9203</w:t>
            </w:r>
          </w:p>
        </w:tc>
        <w:tc>
          <w:tcPr>
            <w:tcW w:w="7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C0E34">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9474</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B7C1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102.9</w:t>
            </w: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0498D">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-35.2</w:t>
            </w:r>
          </w:p>
        </w:tc>
      </w:tr>
      <w:tr w14:paraId="4F694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5B27A">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 污水处理费收入</w:t>
            </w:r>
          </w:p>
        </w:tc>
        <w:tc>
          <w:tcPr>
            <w:tcW w:w="7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61FC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1990</w:t>
            </w:r>
          </w:p>
        </w:tc>
        <w:tc>
          <w:tcPr>
            <w:tcW w:w="7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3E83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2161</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CD3F6">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108.6</w:t>
            </w: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31925">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5.2</w:t>
            </w:r>
          </w:p>
        </w:tc>
      </w:tr>
      <w:tr w14:paraId="15194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3F916">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二、上级补助收入</w:t>
            </w: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3BAC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14837</w:t>
            </w:r>
          </w:p>
        </w:tc>
        <w:tc>
          <w:tcPr>
            <w:tcW w:w="7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E7AE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14837</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4BF15">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73CE4">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6152E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18C5A1">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三、债务转贷收入</w:t>
            </w: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F222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308000</w:t>
            </w:r>
          </w:p>
        </w:tc>
        <w:tc>
          <w:tcPr>
            <w:tcW w:w="7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9A725">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308000</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BBDE2">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653A9">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42918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DA113">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四、上年结转</w:t>
            </w: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9484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76178</w:t>
            </w:r>
          </w:p>
        </w:tc>
        <w:tc>
          <w:tcPr>
            <w:tcW w:w="7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749E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76178</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08250">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E4D26">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23981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7A36C">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六、置换债收入</w:t>
            </w: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B138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28000</w:t>
            </w:r>
          </w:p>
        </w:tc>
        <w:tc>
          <w:tcPr>
            <w:tcW w:w="7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98E6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28000</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E4757">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02E28">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3F8A1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05D83">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七、调入资金</w:t>
            </w: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24E0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56496</w:t>
            </w:r>
          </w:p>
        </w:tc>
        <w:tc>
          <w:tcPr>
            <w:tcW w:w="7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E42F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56496</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CCA18">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A25A6">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72079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7" w:hRule="atLeast"/>
        </w:trPr>
        <w:tc>
          <w:tcPr>
            <w:tcW w:w="18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C5563">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3511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592667 </w:t>
            </w:r>
          </w:p>
        </w:tc>
        <w:tc>
          <w:tcPr>
            <w:tcW w:w="7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CAE4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593272 </w:t>
            </w:r>
          </w:p>
        </w:tc>
        <w:tc>
          <w:tcPr>
            <w:tcW w:w="8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704E4">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8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1854B">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bl>
    <w:p w14:paraId="4CC1FC2F">
      <w:pPr>
        <w:pStyle w:val="1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both"/>
        <w:textAlignment w:val="baseline"/>
        <w:rPr>
          <w:rFonts w:hint="eastAsia" w:ascii="方正小标宋简体" w:hAnsi="方正小标宋简体" w:eastAsia="方正小标宋简体" w:cs="方正小标宋简体"/>
          <w:color w:val="000000" w:themeColor="text1"/>
          <w:sz w:val="21"/>
          <w:szCs w:val="21"/>
          <w:highlight w:val="none"/>
          <w14:textFill>
            <w14:solidFill>
              <w14:schemeClr w14:val="tx1"/>
            </w14:solidFill>
          </w14:textFill>
        </w:rPr>
      </w:pPr>
    </w:p>
    <w:tbl>
      <w:tblPr>
        <w:tblStyle w:val="10"/>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169"/>
        <w:gridCol w:w="348"/>
        <w:gridCol w:w="1126"/>
        <w:gridCol w:w="149"/>
        <w:gridCol w:w="1291"/>
        <w:gridCol w:w="12"/>
        <w:gridCol w:w="1433"/>
        <w:gridCol w:w="2"/>
        <w:gridCol w:w="1469"/>
        <w:gridCol w:w="1"/>
      </w:tblGrid>
      <w:tr w14:paraId="784F9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nil"/>
              <w:left w:val="nil"/>
              <w:bottom w:val="nil"/>
              <w:right w:val="nil"/>
            </w:tcBorders>
            <w:shd w:val="clear" w:color="auto" w:fill="auto"/>
            <w:noWrap/>
            <w:vAlign w:val="bottom"/>
          </w:tcPr>
          <w:p w14:paraId="5AC2FF2C">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表4</w:t>
            </w:r>
          </w:p>
        </w:tc>
        <w:tc>
          <w:tcPr>
            <w:tcW w:w="708" w:type="pct"/>
            <w:gridSpan w:val="2"/>
            <w:tcBorders>
              <w:top w:val="nil"/>
              <w:left w:val="nil"/>
              <w:bottom w:val="nil"/>
              <w:right w:val="nil"/>
            </w:tcBorders>
            <w:shd w:val="clear" w:color="auto" w:fill="auto"/>
            <w:noWrap/>
            <w:vAlign w:val="center"/>
          </w:tcPr>
          <w:p w14:paraId="2A7F593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17" w:type="pct"/>
            <w:tcBorders>
              <w:top w:val="nil"/>
              <w:left w:val="nil"/>
              <w:bottom w:val="nil"/>
              <w:right w:val="nil"/>
            </w:tcBorders>
            <w:shd w:val="clear" w:color="auto" w:fill="auto"/>
            <w:noWrap/>
            <w:vAlign w:val="center"/>
          </w:tcPr>
          <w:p w14:paraId="4E7055BE">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02" w:type="pct"/>
            <w:gridSpan w:val="2"/>
            <w:tcBorders>
              <w:top w:val="nil"/>
              <w:left w:val="nil"/>
              <w:bottom w:val="nil"/>
              <w:right w:val="nil"/>
            </w:tcBorders>
            <w:shd w:val="clear" w:color="auto" w:fill="auto"/>
            <w:noWrap/>
            <w:vAlign w:val="center"/>
          </w:tcPr>
          <w:p w14:paraId="467A5BE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7" w:type="pct"/>
            <w:gridSpan w:val="2"/>
            <w:tcBorders>
              <w:top w:val="nil"/>
              <w:left w:val="nil"/>
              <w:bottom w:val="nil"/>
              <w:right w:val="nil"/>
            </w:tcBorders>
            <w:shd w:val="clear" w:color="auto" w:fill="auto"/>
            <w:noWrap/>
            <w:vAlign w:val="bottom"/>
          </w:tcPr>
          <w:p w14:paraId="33BD0DDF">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67A7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0" w:type="pct"/>
          <w:trHeight w:val="283" w:hRule="atLeast"/>
        </w:trPr>
        <w:tc>
          <w:tcPr>
            <w:tcW w:w="4999" w:type="pct"/>
            <w:gridSpan w:val="9"/>
            <w:tcBorders>
              <w:top w:val="nil"/>
              <w:left w:val="nil"/>
              <w:bottom w:val="nil"/>
              <w:right w:val="nil"/>
            </w:tcBorders>
            <w:shd w:val="clear" w:color="auto" w:fill="auto"/>
            <w:noWrap/>
            <w:vAlign w:val="bottom"/>
          </w:tcPr>
          <w:p w14:paraId="2F270816">
            <w:pPr>
              <w:keepNext w:val="0"/>
              <w:keepLines w:val="0"/>
              <w:widowControl/>
              <w:suppressLineNumbers w:val="0"/>
              <w:jc w:val="center"/>
              <w:textAlignment w:val="bottom"/>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2023年区级政府性基金支出预算完成情况表</w:t>
            </w:r>
          </w:p>
        </w:tc>
      </w:tr>
      <w:tr w14:paraId="7CBAF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0" w:type="pct"/>
          <w:trHeight w:val="283" w:hRule="atLeast"/>
        </w:trPr>
        <w:tc>
          <w:tcPr>
            <w:tcW w:w="1953" w:type="pct"/>
            <w:gridSpan w:val="2"/>
            <w:tcBorders>
              <w:top w:val="nil"/>
              <w:left w:val="nil"/>
              <w:bottom w:val="nil"/>
              <w:right w:val="nil"/>
            </w:tcBorders>
            <w:shd w:val="clear" w:color="auto" w:fill="auto"/>
            <w:vAlign w:val="bottom"/>
          </w:tcPr>
          <w:p w14:paraId="11753C8A">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708" w:type="pct"/>
            <w:gridSpan w:val="2"/>
            <w:tcBorders>
              <w:top w:val="nil"/>
              <w:left w:val="nil"/>
              <w:bottom w:val="nil"/>
              <w:right w:val="nil"/>
            </w:tcBorders>
            <w:shd w:val="clear" w:color="auto" w:fill="auto"/>
            <w:noWrap/>
            <w:vAlign w:val="center"/>
          </w:tcPr>
          <w:p w14:paraId="1B740ECB">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17" w:type="pct"/>
            <w:tcBorders>
              <w:top w:val="nil"/>
              <w:left w:val="nil"/>
              <w:bottom w:val="nil"/>
              <w:right w:val="nil"/>
            </w:tcBorders>
            <w:shd w:val="clear" w:color="auto" w:fill="auto"/>
            <w:noWrap/>
            <w:vAlign w:val="center"/>
          </w:tcPr>
          <w:p w14:paraId="69DA7568">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02" w:type="pct"/>
            <w:gridSpan w:val="2"/>
            <w:tcBorders>
              <w:top w:val="nil"/>
              <w:left w:val="nil"/>
              <w:bottom w:val="nil"/>
              <w:right w:val="nil"/>
            </w:tcBorders>
            <w:shd w:val="clear" w:color="auto" w:fill="auto"/>
            <w:noWrap/>
            <w:vAlign w:val="bottom"/>
          </w:tcPr>
          <w:p w14:paraId="441FAB81">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7" w:type="pct"/>
            <w:gridSpan w:val="2"/>
            <w:tcBorders>
              <w:top w:val="nil"/>
              <w:left w:val="nil"/>
              <w:bottom w:val="nil"/>
              <w:right w:val="nil"/>
            </w:tcBorders>
            <w:shd w:val="clear" w:color="auto" w:fill="auto"/>
            <w:noWrap/>
            <w:vAlign w:val="center"/>
          </w:tcPr>
          <w:p w14:paraId="14EEC9D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6D455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27B8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708" w:type="pct"/>
            <w:gridSpan w:val="2"/>
            <w:tcBorders>
              <w:top w:val="single" w:color="000000" w:sz="4" w:space="0"/>
              <w:left w:val="single" w:color="000000" w:sz="4" w:space="0"/>
              <w:bottom w:val="single" w:color="000000" w:sz="4" w:space="0"/>
              <w:right w:val="nil"/>
            </w:tcBorders>
            <w:shd w:val="clear" w:color="auto" w:fill="auto"/>
            <w:noWrap/>
            <w:vAlign w:val="center"/>
          </w:tcPr>
          <w:p w14:paraId="6AE6C8F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调整预算</w:t>
            </w: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7A2FC">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8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72A41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8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82D1B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比上年（可比）增长（%）</w:t>
            </w:r>
          </w:p>
        </w:tc>
      </w:tr>
      <w:tr w14:paraId="1A0E4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C1043D">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一、政府性基金预算支出</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1E03C">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510356 </w:t>
            </w:r>
          </w:p>
        </w:tc>
        <w:tc>
          <w:tcPr>
            <w:tcW w:w="7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C336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434187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3B2456FA">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85.1</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06593EF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60.5</w:t>
            </w:r>
          </w:p>
        </w:tc>
      </w:tr>
      <w:tr w14:paraId="42100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9B53E0">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文化旅游体育与传媒支出</w:t>
            </w:r>
          </w:p>
        </w:tc>
        <w:tc>
          <w:tcPr>
            <w:tcW w:w="708" w:type="pct"/>
            <w:gridSpan w:val="2"/>
            <w:tcBorders>
              <w:top w:val="single" w:color="000000" w:sz="4" w:space="0"/>
              <w:left w:val="single" w:color="000000" w:sz="4" w:space="0"/>
              <w:bottom w:val="single" w:color="000000" w:sz="4" w:space="0"/>
              <w:right w:val="nil"/>
            </w:tcBorders>
            <w:shd w:val="clear" w:color="auto" w:fill="auto"/>
            <w:vAlign w:val="center"/>
          </w:tcPr>
          <w:p w14:paraId="0AD2F04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 </w:t>
            </w:r>
          </w:p>
        </w:tc>
        <w:tc>
          <w:tcPr>
            <w:tcW w:w="717" w:type="pct"/>
            <w:tcBorders>
              <w:top w:val="single" w:color="000000" w:sz="4" w:space="0"/>
              <w:left w:val="single" w:color="000000" w:sz="4" w:space="0"/>
              <w:bottom w:val="single" w:color="000000" w:sz="4" w:space="0"/>
              <w:right w:val="nil"/>
            </w:tcBorders>
            <w:shd w:val="clear" w:color="auto" w:fill="auto"/>
            <w:vAlign w:val="center"/>
          </w:tcPr>
          <w:p w14:paraId="65C4B723">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36C845E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50</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67D1B994">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42D12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B0899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国家电影事业发展</w:t>
            </w:r>
          </w:p>
          <w:p w14:paraId="57A4B1DC">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专项资金安排的支出</w:t>
            </w:r>
          </w:p>
        </w:tc>
        <w:tc>
          <w:tcPr>
            <w:tcW w:w="708" w:type="pct"/>
            <w:gridSpan w:val="2"/>
            <w:tcBorders>
              <w:top w:val="single" w:color="000000" w:sz="4" w:space="0"/>
              <w:left w:val="single" w:color="000000" w:sz="4" w:space="0"/>
              <w:bottom w:val="single" w:color="000000" w:sz="4" w:space="0"/>
              <w:right w:val="nil"/>
            </w:tcBorders>
            <w:shd w:val="clear" w:color="auto" w:fill="auto"/>
            <w:noWrap/>
            <w:vAlign w:val="center"/>
          </w:tcPr>
          <w:p w14:paraId="2B13314D">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 </w:t>
            </w:r>
          </w:p>
        </w:tc>
        <w:tc>
          <w:tcPr>
            <w:tcW w:w="717" w:type="pct"/>
            <w:tcBorders>
              <w:top w:val="single" w:color="000000" w:sz="4" w:space="0"/>
              <w:left w:val="single" w:color="000000" w:sz="4" w:space="0"/>
              <w:bottom w:val="single" w:color="000000" w:sz="4" w:space="0"/>
              <w:right w:val="nil"/>
            </w:tcBorders>
            <w:shd w:val="clear" w:color="auto" w:fill="auto"/>
            <w:noWrap/>
            <w:vAlign w:val="center"/>
          </w:tcPr>
          <w:p w14:paraId="750067BB">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4FCCC07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50</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7C0E8EBB">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24319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690AD6">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社会保障和就业支出</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7B35A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 </w:t>
            </w:r>
          </w:p>
        </w:tc>
        <w:tc>
          <w:tcPr>
            <w:tcW w:w="7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4D55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369E52A3">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21B39F9A">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47F23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7D5D6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大中型水库移民后期</w:t>
            </w:r>
          </w:p>
          <w:p w14:paraId="5CE40EC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扶持基金支出</w:t>
            </w:r>
          </w:p>
        </w:tc>
        <w:tc>
          <w:tcPr>
            <w:tcW w:w="708" w:type="pct"/>
            <w:gridSpan w:val="2"/>
            <w:tcBorders>
              <w:top w:val="single" w:color="000000" w:sz="4" w:space="0"/>
              <w:left w:val="single" w:color="000000" w:sz="4" w:space="0"/>
              <w:bottom w:val="single" w:color="000000" w:sz="4" w:space="0"/>
              <w:right w:val="nil"/>
            </w:tcBorders>
            <w:shd w:val="clear" w:color="auto" w:fill="auto"/>
            <w:noWrap/>
            <w:vAlign w:val="center"/>
          </w:tcPr>
          <w:p w14:paraId="28FE011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 </w:t>
            </w:r>
          </w:p>
        </w:tc>
        <w:tc>
          <w:tcPr>
            <w:tcW w:w="717" w:type="pct"/>
            <w:tcBorders>
              <w:top w:val="single" w:color="000000" w:sz="4" w:space="0"/>
              <w:left w:val="single" w:color="000000" w:sz="4" w:space="0"/>
              <w:bottom w:val="single" w:color="000000" w:sz="4" w:space="0"/>
              <w:right w:val="nil"/>
            </w:tcBorders>
            <w:shd w:val="clear" w:color="auto" w:fill="auto"/>
            <w:noWrap/>
            <w:vAlign w:val="center"/>
          </w:tcPr>
          <w:p w14:paraId="66B59343">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79EB463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3398B32D">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3D4E0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9DF281">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城乡社区支出</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8E95F5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108512 </w:t>
            </w:r>
          </w:p>
        </w:tc>
        <w:tc>
          <w:tcPr>
            <w:tcW w:w="7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2C638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94616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5005C59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87.2</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36FEA1B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162.7</w:t>
            </w:r>
          </w:p>
        </w:tc>
      </w:tr>
      <w:tr w14:paraId="22BB6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87315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国有土地使用权</w:t>
            </w:r>
          </w:p>
          <w:p w14:paraId="35BF50B6">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出让收入安排的支出</w:t>
            </w:r>
          </w:p>
        </w:tc>
        <w:tc>
          <w:tcPr>
            <w:tcW w:w="708" w:type="pct"/>
            <w:gridSpan w:val="2"/>
            <w:tcBorders>
              <w:top w:val="single" w:color="000000" w:sz="4" w:space="0"/>
              <w:left w:val="single" w:color="000000" w:sz="4" w:space="0"/>
              <w:bottom w:val="single" w:color="000000" w:sz="4" w:space="0"/>
              <w:right w:val="nil"/>
            </w:tcBorders>
            <w:shd w:val="clear" w:color="auto" w:fill="auto"/>
            <w:noWrap/>
            <w:vAlign w:val="bottom"/>
          </w:tcPr>
          <w:p w14:paraId="4A5DEA8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104482 </w:t>
            </w:r>
          </w:p>
        </w:tc>
        <w:tc>
          <w:tcPr>
            <w:tcW w:w="717" w:type="pct"/>
            <w:tcBorders>
              <w:top w:val="single" w:color="000000" w:sz="4" w:space="0"/>
              <w:left w:val="single" w:color="000000" w:sz="4" w:space="0"/>
              <w:bottom w:val="single" w:color="000000" w:sz="4" w:space="0"/>
              <w:right w:val="nil"/>
            </w:tcBorders>
            <w:shd w:val="clear" w:color="auto" w:fill="auto"/>
            <w:noWrap/>
            <w:vAlign w:val="center"/>
          </w:tcPr>
          <w:p w14:paraId="5289527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90740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7EA9AC3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86.8</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27DAE42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352.3</w:t>
            </w:r>
          </w:p>
        </w:tc>
      </w:tr>
      <w:tr w14:paraId="201A5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915A6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国有土地收益基金安排的支出</w:t>
            </w:r>
          </w:p>
        </w:tc>
        <w:tc>
          <w:tcPr>
            <w:tcW w:w="708" w:type="pct"/>
            <w:gridSpan w:val="2"/>
            <w:tcBorders>
              <w:top w:val="single" w:color="000000" w:sz="4" w:space="0"/>
              <w:left w:val="single" w:color="000000" w:sz="4" w:space="0"/>
              <w:bottom w:val="single" w:color="000000" w:sz="4" w:space="0"/>
              <w:right w:val="nil"/>
            </w:tcBorders>
            <w:shd w:val="clear" w:color="auto" w:fill="auto"/>
            <w:noWrap/>
            <w:vAlign w:val="center"/>
          </w:tcPr>
          <w:p w14:paraId="531D4B0D">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3467 </w:t>
            </w:r>
          </w:p>
        </w:tc>
        <w:tc>
          <w:tcPr>
            <w:tcW w:w="717" w:type="pct"/>
            <w:tcBorders>
              <w:top w:val="single" w:color="000000" w:sz="4" w:space="0"/>
              <w:left w:val="single" w:color="000000" w:sz="4" w:space="0"/>
              <w:bottom w:val="single" w:color="000000" w:sz="4" w:space="0"/>
              <w:right w:val="nil"/>
            </w:tcBorders>
            <w:shd w:val="clear" w:color="auto" w:fill="auto"/>
            <w:noWrap/>
            <w:vAlign w:val="center"/>
          </w:tcPr>
          <w:p w14:paraId="039B644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3467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3E54F52A">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0C0F3633">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40.8</w:t>
            </w:r>
          </w:p>
        </w:tc>
      </w:tr>
      <w:tr w14:paraId="5DF3E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09C3E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农业土地开发资金安排的支出</w:t>
            </w:r>
          </w:p>
        </w:tc>
        <w:tc>
          <w:tcPr>
            <w:tcW w:w="708" w:type="pct"/>
            <w:gridSpan w:val="2"/>
            <w:tcBorders>
              <w:top w:val="single" w:color="000000" w:sz="4" w:space="0"/>
              <w:left w:val="single" w:color="000000" w:sz="4" w:space="0"/>
              <w:bottom w:val="single" w:color="000000" w:sz="4" w:space="0"/>
              <w:right w:val="nil"/>
            </w:tcBorders>
            <w:shd w:val="clear" w:color="auto" w:fill="auto"/>
            <w:noWrap/>
            <w:vAlign w:val="center"/>
          </w:tcPr>
          <w:p w14:paraId="2657CC5F">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17" w:type="pct"/>
            <w:tcBorders>
              <w:top w:val="single" w:color="000000" w:sz="4" w:space="0"/>
              <w:left w:val="single" w:color="000000" w:sz="4" w:space="0"/>
              <w:bottom w:val="single" w:color="000000" w:sz="4" w:space="0"/>
              <w:right w:val="nil"/>
            </w:tcBorders>
            <w:shd w:val="clear" w:color="auto" w:fill="auto"/>
            <w:noWrap/>
            <w:vAlign w:val="center"/>
          </w:tcPr>
          <w:p w14:paraId="3E5B8F65">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094D439F">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45C97C1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-100</w:t>
            </w:r>
          </w:p>
        </w:tc>
      </w:tr>
      <w:tr w14:paraId="519F8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042D7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城市基础设施</w:t>
            </w:r>
          </w:p>
          <w:p w14:paraId="08385B8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配套费安排的支出</w:t>
            </w:r>
          </w:p>
        </w:tc>
        <w:tc>
          <w:tcPr>
            <w:tcW w:w="708" w:type="pct"/>
            <w:gridSpan w:val="2"/>
            <w:tcBorders>
              <w:top w:val="single" w:color="000000" w:sz="4" w:space="0"/>
              <w:left w:val="single" w:color="000000" w:sz="4" w:space="0"/>
              <w:bottom w:val="single" w:color="000000" w:sz="4" w:space="0"/>
              <w:right w:val="nil"/>
            </w:tcBorders>
            <w:shd w:val="clear" w:color="auto" w:fill="auto"/>
            <w:noWrap/>
            <w:vAlign w:val="center"/>
          </w:tcPr>
          <w:p w14:paraId="338BA4F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482 </w:t>
            </w:r>
          </w:p>
        </w:tc>
        <w:tc>
          <w:tcPr>
            <w:tcW w:w="717" w:type="pct"/>
            <w:tcBorders>
              <w:top w:val="single" w:color="000000" w:sz="4" w:space="0"/>
              <w:left w:val="single" w:color="000000" w:sz="4" w:space="0"/>
              <w:bottom w:val="single" w:color="000000" w:sz="4" w:space="0"/>
              <w:right w:val="nil"/>
            </w:tcBorders>
            <w:shd w:val="clear" w:color="auto" w:fill="auto"/>
            <w:noWrap/>
            <w:vAlign w:val="center"/>
          </w:tcPr>
          <w:p w14:paraId="2B0E67C6">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329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60FCBBA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68.3</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54136ECA">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-97.2</w:t>
            </w:r>
          </w:p>
        </w:tc>
      </w:tr>
      <w:tr w14:paraId="53B04B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FF2DE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污水处理费安排的支出</w:t>
            </w:r>
          </w:p>
        </w:tc>
        <w:tc>
          <w:tcPr>
            <w:tcW w:w="708" w:type="pct"/>
            <w:gridSpan w:val="2"/>
            <w:tcBorders>
              <w:top w:val="single" w:color="000000" w:sz="4" w:space="0"/>
              <w:left w:val="single" w:color="000000" w:sz="4" w:space="0"/>
              <w:bottom w:val="single" w:color="000000" w:sz="4" w:space="0"/>
              <w:right w:val="nil"/>
            </w:tcBorders>
            <w:shd w:val="clear" w:color="auto" w:fill="auto"/>
            <w:noWrap/>
            <w:vAlign w:val="center"/>
          </w:tcPr>
          <w:p w14:paraId="7733E9F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81 </w:t>
            </w:r>
          </w:p>
        </w:tc>
        <w:tc>
          <w:tcPr>
            <w:tcW w:w="717" w:type="pct"/>
            <w:tcBorders>
              <w:top w:val="single" w:color="000000" w:sz="4" w:space="0"/>
              <w:left w:val="single" w:color="000000" w:sz="4" w:space="0"/>
              <w:bottom w:val="single" w:color="000000" w:sz="4" w:space="0"/>
              <w:right w:val="nil"/>
            </w:tcBorders>
            <w:shd w:val="clear" w:color="auto" w:fill="auto"/>
            <w:noWrap/>
            <w:vAlign w:val="center"/>
          </w:tcPr>
          <w:p w14:paraId="5132FCF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80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78AF43D6">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98.8</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2A20918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-94.8</w:t>
            </w:r>
          </w:p>
        </w:tc>
      </w:tr>
      <w:tr w14:paraId="68DF0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8F9C90">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其他支出</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D406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378761 </w:t>
            </w: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F4D0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305991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1AFF50C3">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80.8</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2CB0AA7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3.4</w:t>
            </w:r>
          </w:p>
        </w:tc>
      </w:tr>
      <w:tr w14:paraId="33E20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41349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彩票公益金安排的支出</w:t>
            </w:r>
          </w:p>
        </w:tc>
        <w:tc>
          <w:tcPr>
            <w:tcW w:w="708" w:type="pct"/>
            <w:gridSpan w:val="2"/>
            <w:tcBorders>
              <w:top w:val="single" w:color="000000" w:sz="4" w:space="0"/>
              <w:left w:val="single" w:color="000000" w:sz="4" w:space="0"/>
              <w:bottom w:val="single" w:color="000000" w:sz="4" w:space="0"/>
              <w:right w:val="nil"/>
            </w:tcBorders>
            <w:shd w:val="clear" w:color="auto" w:fill="auto"/>
            <w:noWrap/>
            <w:vAlign w:val="center"/>
          </w:tcPr>
          <w:p w14:paraId="2B4A128D">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2008 </w:t>
            </w:r>
          </w:p>
        </w:tc>
        <w:tc>
          <w:tcPr>
            <w:tcW w:w="717" w:type="pct"/>
            <w:tcBorders>
              <w:top w:val="single" w:color="000000" w:sz="4" w:space="0"/>
              <w:left w:val="single" w:color="000000" w:sz="4" w:space="0"/>
              <w:bottom w:val="single" w:color="000000" w:sz="4" w:space="0"/>
              <w:right w:val="nil"/>
            </w:tcBorders>
            <w:shd w:val="clear" w:color="auto" w:fill="auto"/>
            <w:noWrap/>
            <w:vAlign w:val="center"/>
          </w:tcPr>
          <w:p w14:paraId="07D60A56">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523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48F616D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26</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5E98D68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-54.7</w:t>
            </w:r>
          </w:p>
        </w:tc>
      </w:tr>
      <w:tr w14:paraId="0030E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E2A9C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其他政府性基金及对应</w:t>
            </w:r>
          </w:p>
          <w:p w14:paraId="485DCC5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专项债务收入安排的支出</w:t>
            </w:r>
          </w:p>
        </w:tc>
        <w:tc>
          <w:tcPr>
            <w:tcW w:w="708" w:type="pct"/>
            <w:gridSpan w:val="2"/>
            <w:tcBorders>
              <w:top w:val="single" w:color="000000" w:sz="4" w:space="0"/>
              <w:left w:val="single" w:color="000000" w:sz="4" w:space="0"/>
              <w:bottom w:val="single" w:color="000000" w:sz="4" w:space="0"/>
              <w:right w:val="nil"/>
            </w:tcBorders>
            <w:shd w:val="clear" w:color="auto" w:fill="auto"/>
            <w:noWrap/>
            <w:vAlign w:val="center"/>
          </w:tcPr>
          <w:p w14:paraId="19500CB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376753 </w:t>
            </w:r>
          </w:p>
        </w:tc>
        <w:tc>
          <w:tcPr>
            <w:tcW w:w="717" w:type="pct"/>
            <w:tcBorders>
              <w:top w:val="single" w:color="000000" w:sz="4" w:space="0"/>
              <w:left w:val="single" w:color="000000" w:sz="4" w:space="0"/>
              <w:bottom w:val="single" w:color="000000" w:sz="4" w:space="0"/>
              <w:right w:val="nil"/>
            </w:tcBorders>
            <w:shd w:val="clear" w:color="auto" w:fill="auto"/>
            <w:noWrap/>
            <w:vAlign w:val="center"/>
          </w:tcPr>
          <w:p w14:paraId="73A5694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305468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155E9DE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81.1</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44FB93B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3.7</w:t>
            </w:r>
          </w:p>
        </w:tc>
      </w:tr>
      <w:tr w14:paraId="196C5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156AB4">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债务付息支出</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48DDBA">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34394 </w:t>
            </w:r>
          </w:p>
        </w:tc>
        <w:tc>
          <w:tcPr>
            <w:tcW w:w="7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BD3A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33298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3F212DA6">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96.8</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54E8AB4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33.1</w:t>
            </w:r>
          </w:p>
        </w:tc>
      </w:tr>
      <w:tr w14:paraId="767C0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F54E31">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债务发行费用支出</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5439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350 </w:t>
            </w:r>
          </w:p>
        </w:tc>
        <w:tc>
          <w:tcPr>
            <w:tcW w:w="717" w:type="pct"/>
            <w:tcBorders>
              <w:top w:val="single" w:color="000000" w:sz="4" w:space="0"/>
              <w:left w:val="single" w:color="000000" w:sz="4" w:space="0"/>
              <w:bottom w:val="single" w:color="000000" w:sz="4" w:space="0"/>
              <w:right w:val="nil"/>
            </w:tcBorders>
            <w:shd w:val="clear" w:color="auto" w:fill="auto"/>
            <w:noWrap/>
            <w:vAlign w:val="center"/>
          </w:tcPr>
          <w:p w14:paraId="2B23C586">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278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05FCDEC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79.4</w:t>
            </w: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460DD68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14.3</w:t>
            </w:r>
          </w:p>
        </w:tc>
      </w:tr>
      <w:tr w14:paraId="452B2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452995">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二、调出资金</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D8FA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49384 </w:t>
            </w: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43583">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49384 </w:t>
            </w:r>
          </w:p>
        </w:tc>
        <w:tc>
          <w:tcPr>
            <w:tcW w:w="80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0439B">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756BC">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62385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ABCA1F">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三、上解上级支出</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D646DA">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-809 </w:t>
            </w:r>
          </w:p>
        </w:tc>
        <w:tc>
          <w:tcPr>
            <w:tcW w:w="7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7C7C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-809 </w:t>
            </w:r>
          </w:p>
        </w:tc>
        <w:tc>
          <w:tcPr>
            <w:tcW w:w="80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91CE7">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87808">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18281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9EF3B9">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四、专项债务还本支出</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3F2F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40 </w:t>
            </w: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0D3B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40 </w:t>
            </w:r>
          </w:p>
        </w:tc>
        <w:tc>
          <w:tcPr>
            <w:tcW w:w="80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44BA0">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5C9C3">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68842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2FD7D">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五、置换债支出</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8EB4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28000 </w:t>
            </w: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22E6A">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28000 </w:t>
            </w:r>
          </w:p>
        </w:tc>
        <w:tc>
          <w:tcPr>
            <w:tcW w:w="80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D55CD">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6B948">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F034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bottom"/>
          </w:tcPr>
          <w:p w14:paraId="71A067D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bottom"/>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46BD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537587 </w:t>
            </w: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C3C7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510802 </w:t>
            </w:r>
          </w:p>
        </w:tc>
        <w:tc>
          <w:tcPr>
            <w:tcW w:w="802" w:type="pct"/>
            <w:gridSpan w:val="2"/>
            <w:tcBorders>
              <w:top w:val="single" w:color="000000" w:sz="4" w:space="0"/>
              <w:left w:val="single" w:color="000000" w:sz="4" w:space="0"/>
              <w:bottom w:val="single" w:color="000000" w:sz="4" w:space="0"/>
              <w:right w:val="nil"/>
            </w:tcBorders>
            <w:shd w:val="clear" w:color="auto" w:fill="auto"/>
            <w:noWrap/>
            <w:vAlign w:val="center"/>
          </w:tcPr>
          <w:p w14:paraId="582AF6FA">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817" w:type="pct"/>
            <w:gridSpan w:val="2"/>
            <w:tcBorders>
              <w:top w:val="nil"/>
              <w:left w:val="single" w:color="000000" w:sz="4" w:space="0"/>
              <w:bottom w:val="single" w:color="000000" w:sz="4" w:space="0"/>
              <w:right w:val="single" w:color="000000" w:sz="4" w:space="0"/>
            </w:tcBorders>
            <w:shd w:val="clear" w:color="auto" w:fill="auto"/>
            <w:noWrap/>
            <w:vAlign w:val="center"/>
          </w:tcPr>
          <w:p w14:paraId="02BB668D">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15C8B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D4C5D9">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结转下年</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2B7B9619">
            <w:pPr>
              <w:keepNext w:val="0"/>
              <w:keepLines w:val="0"/>
              <w:pageBreakBefore w:val="0"/>
              <w:widowControl/>
              <w:kinsoku/>
              <w:wordWrap/>
              <w:overflowPunct/>
              <w:topLinePunct w:val="0"/>
              <w:autoSpaceDE/>
              <w:autoSpaceDN/>
              <w:bidi w:val="0"/>
              <w:adjustRightInd/>
              <w:snapToGrid/>
              <w:spacing w:line="360" w:lineRule="exact"/>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7275B">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82470 </w:t>
            </w:r>
          </w:p>
        </w:tc>
        <w:tc>
          <w:tcPr>
            <w:tcW w:w="80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0E690">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16D7C">
            <w:pPr>
              <w:keepNext w:val="0"/>
              <w:keepLines w:val="0"/>
              <w:pageBreakBefore w:val="0"/>
              <w:widowControl/>
              <w:kinsoku/>
              <w:wordWrap/>
              <w:overflowPunct/>
              <w:topLinePunct w:val="0"/>
              <w:autoSpaceDE/>
              <w:autoSpaceDN/>
              <w:bidi w:val="0"/>
              <w:adjustRightInd/>
              <w:snapToGrid/>
              <w:spacing w:line="3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5699B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83" w:hRule="atLeast"/>
        </w:trPr>
        <w:tc>
          <w:tcPr>
            <w:tcW w:w="1953" w:type="pct"/>
            <w:gridSpan w:val="2"/>
            <w:tcBorders>
              <w:top w:val="single" w:color="000000" w:sz="4" w:space="0"/>
              <w:left w:val="single" w:color="000000" w:sz="4" w:space="0"/>
              <w:bottom w:val="single" w:color="000000" w:sz="4" w:space="0"/>
              <w:right w:val="single" w:color="000000" w:sz="4" w:space="0"/>
            </w:tcBorders>
            <w:shd w:val="clear" w:color="auto" w:fill="auto"/>
            <w:vAlign w:val="bottom"/>
          </w:tcPr>
          <w:p w14:paraId="5AE204F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bottom"/>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总计支出</w:t>
            </w:r>
          </w:p>
        </w:tc>
        <w:tc>
          <w:tcPr>
            <w:tcW w:w="708" w:type="pct"/>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73E3E0A1">
            <w:pPr>
              <w:keepNext w:val="0"/>
              <w:keepLines w:val="0"/>
              <w:pageBreakBefore w:val="0"/>
              <w:widowControl/>
              <w:kinsoku/>
              <w:wordWrap/>
              <w:overflowPunct/>
              <w:topLinePunct w:val="0"/>
              <w:autoSpaceDE/>
              <w:autoSpaceDN/>
              <w:bidi w:val="0"/>
              <w:adjustRightInd/>
              <w:snapToGrid/>
              <w:spacing w:line="360" w:lineRule="exact"/>
              <w:rPr>
                <w:rFonts w:hint="eastAsia" w:ascii="宋体" w:hAnsi="宋体" w:eastAsia="宋体" w:cs="宋体"/>
                <w:i w:val="0"/>
                <w:iCs w:val="0"/>
                <w:color w:val="000000" w:themeColor="text1"/>
                <w:sz w:val="24"/>
                <w:szCs w:val="24"/>
                <w:u w:val="none"/>
                <w14:textFill>
                  <w14:solidFill>
                    <w14:schemeClr w14:val="tx1"/>
                  </w14:solidFill>
                </w14:textFill>
              </w:rPr>
            </w:pPr>
          </w:p>
        </w:tc>
        <w:tc>
          <w:tcPr>
            <w:tcW w:w="7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D608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593272 </w:t>
            </w:r>
          </w:p>
        </w:tc>
        <w:tc>
          <w:tcPr>
            <w:tcW w:w="802" w:type="pct"/>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4EAA01BE">
            <w:pPr>
              <w:keepNext w:val="0"/>
              <w:keepLines w:val="0"/>
              <w:pageBreakBefore w:val="0"/>
              <w:widowControl/>
              <w:kinsoku/>
              <w:wordWrap/>
              <w:overflowPunct/>
              <w:topLinePunct w:val="0"/>
              <w:autoSpaceDE/>
              <w:autoSpaceDN/>
              <w:bidi w:val="0"/>
              <w:adjustRightInd/>
              <w:snapToGrid/>
              <w:spacing w:line="360" w:lineRule="exact"/>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3E7B8E8F">
            <w:pPr>
              <w:keepNext w:val="0"/>
              <w:keepLines w:val="0"/>
              <w:pageBreakBefore w:val="0"/>
              <w:widowControl/>
              <w:kinsoku/>
              <w:wordWrap/>
              <w:overflowPunct/>
              <w:topLinePunct w:val="0"/>
              <w:autoSpaceDE/>
              <w:autoSpaceDN/>
              <w:bidi w:val="0"/>
              <w:adjustRightInd/>
              <w:snapToGrid/>
              <w:spacing w:line="360" w:lineRule="exact"/>
              <w:rPr>
                <w:rFonts w:hint="eastAsia" w:ascii="宋体" w:hAnsi="宋体" w:eastAsia="宋体" w:cs="宋体"/>
                <w:i w:val="0"/>
                <w:iCs w:val="0"/>
                <w:color w:val="000000" w:themeColor="text1"/>
                <w:sz w:val="24"/>
                <w:szCs w:val="24"/>
                <w:u w:val="none"/>
                <w14:textFill>
                  <w14:solidFill>
                    <w14:schemeClr w14:val="tx1"/>
                  </w14:solidFill>
                </w14:textFill>
              </w:rPr>
            </w:pPr>
          </w:p>
        </w:tc>
      </w:tr>
      <w:tr w14:paraId="7E22D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760" w:type="pct"/>
            <w:tcBorders>
              <w:top w:val="nil"/>
              <w:left w:val="nil"/>
              <w:bottom w:val="nil"/>
              <w:right w:val="nil"/>
            </w:tcBorders>
            <w:shd w:val="clear" w:color="auto" w:fill="auto"/>
            <w:noWrap/>
            <w:vAlign w:val="center"/>
          </w:tcPr>
          <w:p w14:paraId="2C2811D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表5</w:t>
            </w:r>
          </w:p>
        </w:tc>
        <w:tc>
          <w:tcPr>
            <w:tcW w:w="818" w:type="pct"/>
            <w:gridSpan w:val="2"/>
            <w:tcBorders>
              <w:top w:val="nil"/>
              <w:left w:val="nil"/>
              <w:bottom w:val="nil"/>
              <w:right w:val="nil"/>
            </w:tcBorders>
            <w:shd w:val="clear" w:color="auto" w:fill="auto"/>
            <w:noWrap/>
            <w:vAlign w:val="center"/>
          </w:tcPr>
          <w:p w14:paraId="77F883A1">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06" w:type="pct"/>
            <w:gridSpan w:val="3"/>
            <w:tcBorders>
              <w:top w:val="nil"/>
              <w:left w:val="nil"/>
              <w:bottom w:val="nil"/>
              <w:right w:val="nil"/>
            </w:tcBorders>
            <w:shd w:val="clear" w:color="auto" w:fill="auto"/>
            <w:noWrap/>
            <w:vAlign w:val="center"/>
          </w:tcPr>
          <w:p w14:paraId="2F72649E">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97" w:type="pct"/>
            <w:gridSpan w:val="2"/>
            <w:tcBorders>
              <w:top w:val="nil"/>
              <w:left w:val="nil"/>
              <w:bottom w:val="nil"/>
              <w:right w:val="nil"/>
            </w:tcBorders>
            <w:shd w:val="clear" w:color="auto" w:fill="auto"/>
            <w:noWrap/>
            <w:vAlign w:val="center"/>
          </w:tcPr>
          <w:p w14:paraId="133A54F7">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6" w:type="pct"/>
            <w:gridSpan w:val="2"/>
            <w:tcBorders>
              <w:top w:val="nil"/>
              <w:left w:val="nil"/>
              <w:bottom w:val="nil"/>
              <w:right w:val="nil"/>
            </w:tcBorders>
            <w:shd w:val="clear" w:color="auto" w:fill="auto"/>
            <w:noWrap/>
            <w:vAlign w:val="center"/>
          </w:tcPr>
          <w:p w14:paraId="6DE73D30">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52200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5000" w:type="pct"/>
            <w:gridSpan w:val="10"/>
            <w:tcBorders>
              <w:top w:val="nil"/>
              <w:left w:val="nil"/>
              <w:bottom w:val="nil"/>
              <w:right w:val="nil"/>
            </w:tcBorders>
            <w:shd w:val="clear" w:color="auto" w:fill="auto"/>
            <w:noWrap/>
            <w:vAlign w:val="center"/>
          </w:tcPr>
          <w:p w14:paraId="014E00B8">
            <w:pPr>
              <w:keepNext w:val="0"/>
              <w:keepLines w:val="0"/>
              <w:widowControl/>
              <w:suppressLineNumbers w:val="0"/>
              <w:jc w:val="center"/>
              <w:textAlignment w:val="center"/>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2023年区级社保基金收入预算完成情况表</w:t>
            </w:r>
          </w:p>
        </w:tc>
      </w:tr>
      <w:tr w14:paraId="44BA1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760" w:type="pct"/>
            <w:tcBorders>
              <w:top w:val="nil"/>
              <w:left w:val="nil"/>
              <w:bottom w:val="nil"/>
              <w:right w:val="nil"/>
            </w:tcBorders>
            <w:shd w:val="clear" w:color="auto" w:fill="auto"/>
            <w:noWrap/>
            <w:vAlign w:val="center"/>
          </w:tcPr>
          <w:p w14:paraId="152E5CA2">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8" w:type="pct"/>
            <w:gridSpan w:val="2"/>
            <w:tcBorders>
              <w:top w:val="nil"/>
              <w:left w:val="nil"/>
              <w:bottom w:val="nil"/>
              <w:right w:val="nil"/>
            </w:tcBorders>
            <w:shd w:val="clear" w:color="auto" w:fill="auto"/>
            <w:noWrap/>
            <w:vAlign w:val="center"/>
          </w:tcPr>
          <w:p w14:paraId="3E1F5D31">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06" w:type="pct"/>
            <w:gridSpan w:val="3"/>
            <w:tcBorders>
              <w:top w:val="nil"/>
              <w:left w:val="nil"/>
              <w:bottom w:val="nil"/>
              <w:right w:val="nil"/>
            </w:tcBorders>
            <w:shd w:val="clear" w:color="auto" w:fill="auto"/>
            <w:noWrap/>
            <w:vAlign w:val="center"/>
          </w:tcPr>
          <w:p w14:paraId="41C4F39E">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613" w:type="pct"/>
            <w:gridSpan w:val="4"/>
            <w:tcBorders>
              <w:top w:val="nil"/>
              <w:left w:val="nil"/>
              <w:bottom w:val="single" w:color="000000" w:sz="4" w:space="0"/>
              <w:right w:val="nil"/>
            </w:tcBorders>
            <w:shd w:val="clear" w:color="auto" w:fill="auto"/>
            <w:noWrap/>
            <w:vAlign w:val="bottom"/>
          </w:tcPr>
          <w:p w14:paraId="4277970F">
            <w:pPr>
              <w:keepNext w:val="0"/>
              <w:keepLines w:val="0"/>
              <w:widowControl/>
              <w:suppressLineNumbers w:val="0"/>
              <w:jc w:val="righ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16BFA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7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ABEC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8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AEA7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调整预算</w:t>
            </w:r>
          </w:p>
        </w:tc>
        <w:tc>
          <w:tcPr>
            <w:tcW w:w="80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76AA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7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13394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81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E7906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r>
      <w:tr w14:paraId="5D884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17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12DD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一、城乡居民基本养老保险基金收入</w:t>
            </w:r>
          </w:p>
        </w:tc>
        <w:tc>
          <w:tcPr>
            <w:tcW w:w="8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CEDC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40476</w:t>
            </w:r>
          </w:p>
        </w:tc>
        <w:tc>
          <w:tcPr>
            <w:tcW w:w="80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A83B2">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41693</w:t>
            </w:r>
          </w:p>
        </w:tc>
        <w:tc>
          <w:tcPr>
            <w:tcW w:w="79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159C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103</w:t>
            </w:r>
          </w:p>
        </w:tc>
        <w:tc>
          <w:tcPr>
            <w:tcW w:w="81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D8834">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4.24%</w:t>
            </w:r>
          </w:p>
        </w:tc>
      </w:tr>
      <w:tr w14:paraId="7B92C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17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2A23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二、机关事业单位基本养老保险收入</w:t>
            </w:r>
          </w:p>
        </w:tc>
        <w:tc>
          <w:tcPr>
            <w:tcW w:w="8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F083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40642</w:t>
            </w:r>
          </w:p>
        </w:tc>
        <w:tc>
          <w:tcPr>
            <w:tcW w:w="80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6FD3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40674</w:t>
            </w:r>
          </w:p>
        </w:tc>
        <w:tc>
          <w:tcPr>
            <w:tcW w:w="79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CF5B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100.1</w:t>
            </w:r>
          </w:p>
        </w:tc>
        <w:tc>
          <w:tcPr>
            <w:tcW w:w="81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A09F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-29.27%</w:t>
            </w:r>
          </w:p>
        </w:tc>
      </w:tr>
      <w:tr w14:paraId="4E4F9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17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8417A">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当年收入合计</w:t>
            </w:r>
          </w:p>
        </w:tc>
        <w:tc>
          <w:tcPr>
            <w:tcW w:w="8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62A7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81118</w:t>
            </w:r>
          </w:p>
        </w:tc>
        <w:tc>
          <w:tcPr>
            <w:tcW w:w="80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B34E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82367</w:t>
            </w:r>
          </w:p>
        </w:tc>
        <w:tc>
          <w:tcPr>
            <w:tcW w:w="79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2296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101.5</w:t>
            </w:r>
          </w:p>
        </w:tc>
        <w:tc>
          <w:tcPr>
            <w:tcW w:w="81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D85F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-15.52%</w:t>
            </w:r>
          </w:p>
        </w:tc>
      </w:tr>
      <w:tr w14:paraId="58BA9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17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18DF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历年结余</w:t>
            </w:r>
          </w:p>
        </w:tc>
        <w:tc>
          <w:tcPr>
            <w:tcW w:w="8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545E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114421</w:t>
            </w:r>
          </w:p>
        </w:tc>
        <w:tc>
          <w:tcPr>
            <w:tcW w:w="80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D6C1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114422</w:t>
            </w:r>
          </w:p>
        </w:tc>
        <w:tc>
          <w:tcPr>
            <w:tcW w:w="79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EED19">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A5545">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A989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17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5350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8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2F7E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195539</w:t>
            </w:r>
          </w:p>
        </w:tc>
        <w:tc>
          <w:tcPr>
            <w:tcW w:w="80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1CC4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196789</w:t>
            </w:r>
          </w:p>
        </w:tc>
        <w:tc>
          <w:tcPr>
            <w:tcW w:w="79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F1708">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1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EC4C4">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bl>
    <w:p w14:paraId="4AF2598A">
      <w:pPr>
        <w:rPr>
          <w:rFonts w:hint="eastAsia"/>
          <w:color w:val="000000" w:themeColor="text1"/>
          <w14:textFill>
            <w14:solidFill>
              <w14:schemeClr w14:val="tx1"/>
            </w14:solidFill>
          </w14:textFill>
        </w:rPr>
      </w:pPr>
    </w:p>
    <w:p w14:paraId="319902CB">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179"/>
        <w:gridCol w:w="1350"/>
        <w:gridCol w:w="1425"/>
        <w:gridCol w:w="1500"/>
        <w:gridCol w:w="1545"/>
      </w:tblGrid>
      <w:tr w14:paraId="72896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766" w:type="pct"/>
            <w:tcBorders>
              <w:top w:val="nil"/>
              <w:left w:val="nil"/>
              <w:bottom w:val="nil"/>
              <w:right w:val="nil"/>
            </w:tcBorders>
            <w:shd w:val="clear" w:color="auto" w:fill="auto"/>
            <w:noWrap/>
            <w:vAlign w:val="center"/>
          </w:tcPr>
          <w:p w14:paraId="4D31647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表6</w:t>
            </w:r>
          </w:p>
        </w:tc>
        <w:tc>
          <w:tcPr>
            <w:tcW w:w="750" w:type="pct"/>
            <w:tcBorders>
              <w:top w:val="nil"/>
              <w:left w:val="nil"/>
              <w:bottom w:val="nil"/>
              <w:right w:val="nil"/>
            </w:tcBorders>
            <w:shd w:val="clear" w:color="auto" w:fill="auto"/>
            <w:noWrap/>
            <w:vAlign w:val="center"/>
          </w:tcPr>
          <w:p w14:paraId="0A1B04AB">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91" w:type="pct"/>
            <w:tcBorders>
              <w:top w:val="nil"/>
              <w:left w:val="nil"/>
              <w:bottom w:val="nil"/>
              <w:right w:val="nil"/>
            </w:tcBorders>
            <w:shd w:val="clear" w:color="auto" w:fill="auto"/>
            <w:noWrap/>
            <w:vAlign w:val="center"/>
          </w:tcPr>
          <w:p w14:paraId="59672F49">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33" w:type="pct"/>
            <w:tcBorders>
              <w:top w:val="nil"/>
              <w:left w:val="nil"/>
              <w:bottom w:val="nil"/>
              <w:right w:val="nil"/>
            </w:tcBorders>
            <w:shd w:val="clear" w:color="auto" w:fill="auto"/>
            <w:noWrap/>
            <w:vAlign w:val="center"/>
          </w:tcPr>
          <w:p w14:paraId="4EE54167">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58" w:type="pct"/>
            <w:tcBorders>
              <w:top w:val="nil"/>
              <w:left w:val="nil"/>
              <w:bottom w:val="nil"/>
              <w:right w:val="nil"/>
            </w:tcBorders>
            <w:shd w:val="clear" w:color="auto" w:fill="auto"/>
            <w:noWrap/>
            <w:vAlign w:val="center"/>
          </w:tcPr>
          <w:p w14:paraId="2E0AEDF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33A4A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5000" w:type="pct"/>
            <w:gridSpan w:val="5"/>
            <w:tcBorders>
              <w:top w:val="nil"/>
              <w:left w:val="nil"/>
              <w:bottom w:val="nil"/>
              <w:right w:val="nil"/>
            </w:tcBorders>
            <w:shd w:val="clear" w:color="auto" w:fill="auto"/>
            <w:vAlign w:val="center"/>
          </w:tcPr>
          <w:p w14:paraId="77390B16">
            <w:pPr>
              <w:keepNext w:val="0"/>
              <w:keepLines w:val="0"/>
              <w:widowControl/>
              <w:suppressLineNumbers w:val="0"/>
              <w:jc w:val="center"/>
              <w:textAlignment w:val="center"/>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2023年区级社保基金支出预算完成情况表</w:t>
            </w:r>
          </w:p>
        </w:tc>
      </w:tr>
      <w:tr w14:paraId="2834D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766" w:type="pct"/>
            <w:tcBorders>
              <w:top w:val="nil"/>
              <w:left w:val="nil"/>
              <w:bottom w:val="nil"/>
              <w:right w:val="nil"/>
            </w:tcBorders>
            <w:shd w:val="clear" w:color="auto" w:fill="auto"/>
            <w:noWrap/>
            <w:vAlign w:val="center"/>
          </w:tcPr>
          <w:p w14:paraId="121A20CA">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50" w:type="pct"/>
            <w:tcBorders>
              <w:top w:val="nil"/>
              <w:left w:val="nil"/>
              <w:bottom w:val="nil"/>
              <w:right w:val="nil"/>
            </w:tcBorders>
            <w:shd w:val="clear" w:color="auto" w:fill="auto"/>
            <w:noWrap/>
            <w:vAlign w:val="center"/>
          </w:tcPr>
          <w:p w14:paraId="77BFD193">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91" w:type="pct"/>
            <w:tcBorders>
              <w:top w:val="nil"/>
              <w:left w:val="nil"/>
              <w:bottom w:val="nil"/>
              <w:right w:val="nil"/>
            </w:tcBorders>
            <w:shd w:val="clear" w:color="auto" w:fill="auto"/>
            <w:noWrap/>
            <w:vAlign w:val="center"/>
          </w:tcPr>
          <w:p w14:paraId="5649F0C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691" w:type="pct"/>
            <w:gridSpan w:val="2"/>
            <w:tcBorders>
              <w:top w:val="nil"/>
              <w:left w:val="nil"/>
              <w:bottom w:val="single" w:color="000000" w:sz="4" w:space="0"/>
              <w:right w:val="nil"/>
            </w:tcBorders>
            <w:shd w:val="clear" w:color="auto" w:fill="auto"/>
            <w:noWrap/>
            <w:vAlign w:val="center"/>
          </w:tcPr>
          <w:p w14:paraId="358C9367">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416FA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7FE5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7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98C5B">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本年调整预算</w:t>
            </w:r>
          </w:p>
        </w:tc>
        <w:tc>
          <w:tcPr>
            <w:tcW w:w="7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C31B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29F6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c>
          <w:tcPr>
            <w:tcW w:w="8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B25E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r>
      <w:tr w14:paraId="0453A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1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7D8F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一、城乡居民基本养老保险基金支出</w:t>
            </w:r>
          </w:p>
        </w:tc>
        <w:tc>
          <w:tcPr>
            <w:tcW w:w="750" w:type="pct"/>
            <w:tcBorders>
              <w:top w:val="single" w:color="000000" w:sz="4" w:space="0"/>
              <w:left w:val="single" w:color="000000" w:sz="4" w:space="0"/>
              <w:bottom w:val="single" w:color="000000" w:sz="4" w:space="0"/>
              <w:right w:val="single" w:color="000000" w:sz="4" w:space="0"/>
            </w:tcBorders>
            <w:shd w:val="clear" w:color="auto" w:fill="auto"/>
            <w:vAlign w:val="bottom"/>
          </w:tcPr>
          <w:p w14:paraId="725466B6">
            <w:pPr>
              <w:keepNext w:val="0"/>
              <w:keepLines w:val="0"/>
              <w:widowControl/>
              <w:suppressLineNumbers w:val="0"/>
              <w:jc w:val="center"/>
              <w:textAlignment w:val="bottom"/>
              <w:rPr>
                <w:rFonts w:hint="eastAsia" w:ascii="宋体" w:hAnsi="宋体" w:eastAsia="宋体" w:cs="宋体"/>
                <w:i w:val="0"/>
                <w:iCs w:val="0"/>
                <w:color w:val="000000" w:themeColor="text1"/>
                <w:sz w:val="22"/>
                <w:szCs w:val="22"/>
                <w:u w:val="none"/>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 xml:space="preserve">33699 </w:t>
            </w:r>
          </w:p>
        </w:tc>
        <w:tc>
          <w:tcPr>
            <w:tcW w:w="7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F4AE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32595</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F764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96.7</w:t>
            </w:r>
          </w:p>
        </w:tc>
        <w:tc>
          <w:tcPr>
            <w:tcW w:w="8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05F7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17.60%</w:t>
            </w:r>
          </w:p>
        </w:tc>
      </w:tr>
      <w:tr w14:paraId="70DBA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1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D0A1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二、机关事业单位基本养老保险支出</w:t>
            </w:r>
          </w:p>
        </w:tc>
        <w:tc>
          <w:tcPr>
            <w:tcW w:w="750" w:type="pct"/>
            <w:tcBorders>
              <w:top w:val="single" w:color="000000" w:sz="4" w:space="0"/>
              <w:left w:val="single" w:color="000000" w:sz="4" w:space="0"/>
              <w:bottom w:val="single" w:color="000000" w:sz="4" w:space="0"/>
              <w:right w:val="single" w:color="000000" w:sz="4" w:space="0"/>
            </w:tcBorders>
            <w:shd w:val="clear" w:color="auto" w:fill="auto"/>
            <w:vAlign w:val="bottom"/>
          </w:tcPr>
          <w:p w14:paraId="7AF6B055">
            <w:pPr>
              <w:keepNext w:val="0"/>
              <w:keepLines w:val="0"/>
              <w:widowControl/>
              <w:suppressLineNumbers w:val="0"/>
              <w:jc w:val="center"/>
              <w:textAlignment w:val="bottom"/>
              <w:rPr>
                <w:rFonts w:hint="eastAsia" w:ascii="宋体" w:hAnsi="宋体" w:eastAsia="宋体" w:cs="宋体"/>
                <w:i w:val="0"/>
                <w:iCs w:val="0"/>
                <w:color w:val="000000" w:themeColor="text1"/>
                <w:sz w:val="22"/>
                <w:szCs w:val="22"/>
                <w:u w:val="none"/>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 xml:space="preserve">45159 </w:t>
            </w:r>
          </w:p>
        </w:tc>
        <w:tc>
          <w:tcPr>
            <w:tcW w:w="7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4DC3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44949</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24E5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99.5</w:t>
            </w:r>
          </w:p>
        </w:tc>
        <w:tc>
          <w:tcPr>
            <w:tcW w:w="8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7A12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1.24%</w:t>
            </w:r>
          </w:p>
        </w:tc>
      </w:tr>
      <w:tr w14:paraId="71650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9C21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  计</w:t>
            </w:r>
          </w:p>
        </w:tc>
        <w:tc>
          <w:tcPr>
            <w:tcW w:w="7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693C4">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78857</w:t>
            </w:r>
          </w:p>
        </w:tc>
        <w:tc>
          <w:tcPr>
            <w:tcW w:w="7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FD2B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77544</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20B1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98.3</w:t>
            </w:r>
          </w:p>
        </w:tc>
        <w:tc>
          <w:tcPr>
            <w:tcW w:w="8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A9E9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7.53%</w:t>
            </w:r>
          </w:p>
        </w:tc>
      </w:tr>
      <w:tr w14:paraId="706EF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1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F8DF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年终结余</w:t>
            </w:r>
          </w:p>
        </w:tc>
        <w:tc>
          <w:tcPr>
            <w:tcW w:w="7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8A04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116682</w:t>
            </w:r>
          </w:p>
        </w:tc>
        <w:tc>
          <w:tcPr>
            <w:tcW w:w="7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F7AE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119245</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DF822">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A1B1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532CA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DF99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总  计</w:t>
            </w:r>
          </w:p>
        </w:tc>
        <w:tc>
          <w:tcPr>
            <w:tcW w:w="7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9C0F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195539</w:t>
            </w:r>
          </w:p>
        </w:tc>
        <w:tc>
          <w:tcPr>
            <w:tcW w:w="7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14B2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196789</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2A61F">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D6C2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bl>
    <w:p w14:paraId="27CE14B9">
      <w:pPr>
        <w:rPr>
          <w:rFonts w:hint="eastAsia"/>
          <w:color w:val="000000" w:themeColor="text1"/>
          <w:lang w:eastAsia="zh-CN"/>
          <w14:textFill>
            <w14:solidFill>
              <w14:schemeClr w14:val="tx1"/>
            </w14:solidFill>
          </w14:textFill>
        </w:rPr>
      </w:pPr>
    </w:p>
    <w:p w14:paraId="34334D3D">
      <w:pPr>
        <w:pStyle w:val="2"/>
        <w:rPr>
          <w:rFonts w:hint="eastAsia"/>
          <w:color w:val="000000" w:themeColor="text1"/>
          <w:lang w:eastAsia="zh-CN"/>
          <w14:textFill>
            <w14:solidFill>
              <w14:schemeClr w14:val="tx1"/>
            </w14:solidFill>
          </w14:textFill>
        </w:rPr>
      </w:pPr>
    </w:p>
    <w:p w14:paraId="1FB38012">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01"/>
        <w:gridCol w:w="1393"/>
        <w:gridCol w:w="1571"/>
        <w:gridCol w:w="2135"/>
      </w:tblGrid>
      <w:tr w14:paraId="77EED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167" w:type="pct"/>
            <w:tcBorders>
              <w:top w:val="nil"/>
              <w:left w:val="nil"/>
              <w:bottom w:val="nil"/>
              <w:right w:val="nil"/>
            </w:tcBorders>
            <w:shd w:val="clear" w:color="auto" w:fill="auto"/>
            <w:noWrap/>
            <w:vAlign w:val="bottom"/>
          </w:tcPr>
          <w:p w14:paraId="77CC7B2A">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表7</w:t>
            </w:r>
          </w:p>
        </w:tc>
        <w:tc>
          <w:tcPr>
            <w:tcW w:w="774" w:type="pct"/>
            <w:tcBorders>
              <w:top w:val="nil"/>
              <w:left w:val="nil"/>
              <w:bottom w:val="nil"/>
              <w:right w:val="nil"/>
            </w:tcBorders>
            <w:shd w:val="clear" w:color="auto" w:fill="auto"/>
            <w:noWrap/>
            <w:vAlign w:val="bottom"/>
          </w:tcPr>
          <w:p w14:paraId="544FA5DF">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73" w:type="pct"/>
            <w:tcBorders>
              <w:top w:val="nil"/>
              <w:left w:val="nil"/>
              <w:bottom w:val="nil"/>
              <w:right w:val="nil"/>
            </w:tcBorders>
            <w:shd w:val="clear" w:color="auto" w:fill="auto"/>
            <w:noWrap/>
            <w:vAlign w:val="bottom"/>
          </w:tcPr>
          <w:p w14:paraId="530332F6">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184" w:type="pct"/>
            <w:tcBorders>
              <w:top w:val="nil"/>
              <w:left w:val="nil"/>
              <w:bottom w:val="nil"/>
              <w:right w:val="nil"/>
            </w:tcBorders>
            <w:shd w:val="clear" w:color="auto" w:fill="auto"/>
            <w:noWrap/>
            <w:vAlign w:val="bottom"/>
          </w:tcPr>
          <w:p w14:paraId="28225F3F">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365FA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5000" w:type="pct"/>
            <w:gridSpan w:val="4"/>
            <w:tcBorders>
              <w:top w:val="nil"/>
              <w:left w:val="nil"/>
              <w:bottom w:val="nil"/>
              <w:right w:val="nil"/>
            </w:tcBorders>
            <w:shd w:val="clear" w:color="auto" w:fill="auto"/>
            <w:vAlign w:val="center"/>
          </w:tcPr>
          <w:p w14:paraId="433FEE57">
            <w:pPr>
              <w:keepNext w:val="0"/>
              <w:keepLines w:val="0"/>
              <w:widowControl/>
              <w:suppressLineNumbers w:val="0"/>
              <w:jc w:val="center"/>
              <w:textAlignment w:val="center"/>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2023年区级国有资本经营收入预算完成情况表</w:t>
            </w:r>
          </w:p>
        </w:tc>
      </w:tr>
      <w:tr w14:paraId="55774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167" w:type="pct"/>
            <w:tcBorders>
              <w:top w:val="nil"/>
              <w:left w:val="nil"/>
              <w:bottom w:val="nil"/>
              <w:right w:val="nil"/>
            </w:tcBorders>
            <w:shd w:val="clear" w:color="auto" w:fill="auto"/>
            <w:noWrap/>
            <w:vAlign w:val="center"/>
          </w:tcPr>
          <w:p w14:paraId="711B5F8A">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774" w:type="pct"/>
            <w:tcBorders>
              <w:top w:val="nil"/>
              <w:left w:val="nil"/>
              <w:bottom w:val="nil"/>
              <w:right w:val="nil"/>
            </w:tcBorders>
            <w:shd w:val="clear" w:color="auto" w:fill="auto"/>
            <w:noWrap/>
            <w:vAlign w:val="center"/>
          </w:tcPr>
          <w:p w14:paraId="348B1A0C">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873" w:type="pct"/>
            <w:tcBorders>
              <w:top w:val="nil"/>
              <w:left w:val="nil"/>
              <w:bottom w:val="nil"/>
              <w:right w:val="nil"/>
            </w:tcBorders>
            <w:shd w:val="clear" w:color="auto" w:fill="auto"/>
            <w:noWrap/>
            <w:vAlign w:val="bottom"/>
          </w:tcPr>
          <w:p w14:paraId="04A062A5">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184" w:type="pct"/>
            <w:tcBorders>
              <w:top w:val="nil"/>
              <w:left w:val="nil"/>
              <w:bottom w:val="single" w:color="000000" w:sz="4" w:space="0"/>
              <w:right w:val="nil"/>
            </w:tcBorders>
            <w:shd w:val="clear" w:color="auto" w:fill="auto"/>
            <w:noWrap/>
            <w:vAlign w:val="center"/>
          </w:tcPr>
          <w:p w14:paraId="1BDA4C4C">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06BBE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1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C563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7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72DFB">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调整预算</w:t>
            </w:r>
          </w:p>
        </w:tc>
        <w:tc>
          <w:tcPr>
            <w:tcW w:w="8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52C6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11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12DF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r>
      <w:tr w14:paraId="1B6AE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2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D3355">
            <w:pPr>
              <w:keepNext w:val="0"/>
              <w:keepLines w:val="0"/>
              <w:widowControl/>
              <w:suppressLineNumbers w:val="0"/>
              <w:jc w:val="both"/>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一、国有资本经营收入</w:t>
            </w:r>
          </w:p>
        </w:tc>
        <w:tc>
          <w:tcPr>
            <w:tcW w:w="7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A75F8">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BD949">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1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125EA">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2B7B8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2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6C1DC">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其他国有资本经营预算收入</w:t>
            </w:r>
          </w:p>
        </w:tc>
        <w:tc>
          <w:tcPr>
            <w:tcW w:w="7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15FD9">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0ED6E">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D088C">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2357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2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F51BA">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本年收入合计</w:t>
            </w:r>
          </w:p>
        </w:tc>
        <w:tc>
          <w:tcPr>
            <w:tcW w:w="7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96B31">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8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D02DB">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38360">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2A0D6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2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1BD20">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上年结转</w:t>
            </w:r>
          </w:p>
        </w:tc>
        <w:tc>
          <w:tcPr>
            <w:tcW w:w="7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861E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 </w:t>
            </w:r>
          </w:p>
        </w:tc>
        <w:tc>
          <w:tcPr>
            <w:tcW w:w="8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0E7E6">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 </w:t>
            </w:r>
          </w:p>
        </w:tc>
        <w:tc>
          <w:tcPr>
            <w:tcW w:w="1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1B28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100.00 </w:t>
            </w:r>
          </w:p>
        </w:tc>
      </w:tr>
      <w:tr w14:paraId="136F1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2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ED21D">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上级补助</w:t>
            </w:r>
          </w:p>
        </w:tc>
        <w:tc>
          <w:tcPr>
            <w:tcW w:w="7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56E9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17 </w:t>
            </w:r>
          </w:p>
        </w:tc>
        <w:tc>
          <w:tcPr>
            <w:tcW w:w="8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20882">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17 </w:t>
            </w:r>
          </w:p>
        </w:tc>
        <w:tc>
          <w:tcPr>
            <w:tcW w:w="1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29B34">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100.00 </w:t>
            </w:r>
          </w:p>
        </w:tc>
      </w:tr>
      <w:tr w14:paraId="780EF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2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21E5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  计</w:t>
            </w:r>
          </w:p>
        </w:tc>
        <w:tc>
          <w:tcPr>
            <w:tcW w:w="7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6898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8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C1C9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1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56262">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100.00 </w:t>
            </w:r>
          </w:p>
        </w:tc>
      </w:tr>
    </w:tbl>
    <w:p w14:paraId="191E47B4">
      <w:pPr>
        <w:rPr>
          <w:rFonts w:hint="eastAsia"/>
          <w:color w:val="000000" w:themeColor="text1"/>
          <w:lang w:eastAsia="zh-CN"/>
          <w14:textFill>
            <w14:solidFill>
              <w14:schemeClr w14:val="tx1"/>
            </w14:solidFill>
          </w14:textFill>
        </w:rPr>
      </w:pPr>
    </w:p>
    <w:p w14:paraId="6AB764C7">
      <w:pPr>
        <w:pStyle w:val="2"/>
        <w:rPr>
          <w:rFonts w:hint="eastAsia"/>
          <w:color w:val="000000" w:themeColor="text1"/>
          <w:lang w:eastAsia="zh-CN"/>
          <w14:textFill>
            <w14:solidFill>
              <w14:schemeClr w14:val="tx1"/>
            </w14:solidFill>
          </w14:textFill>
        </w:rPr>
      </w:pPr>
    </w:p>
    <w:p w14:paraId="3D582349">
      <w:pPr>
        <w:rPr>
          <w:rFonts w:hint="eastAsia"/>
          <w:color w:val="000000" w:themeColor="text1"/>
          <w:lang w:eastAsia="zh-CN"/>
          <w14:textFill>
            <w14:solidFill>
              <w14:schemeClr w14:val="tx1"/>
            </w14:solidFill>
          </w14:textFill>
        </w:rPr>
      </w:pPr>
    </w:p>
    <w:p w14:paraId="19ECBA1E">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379"/>
        <w:gridCol w:w="1555"/>
        <w:gridCol w:w="1416"/>
        <w:gridCol w:w="1649"/>
      </w:tblGrid>
      <w:tr w14:paraId="1B785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433" w:type="pct"/>
            <w:tcBorders>
              <w:top w:val="nil"/>
              <w:left w:val="nil"/>
              <w:bottom w:val="nil"/>
              <w:right w:val="nil"/>
            </w:tcBorders>
            <w:shd w:val="clear" w:color="auto" w:fill="auto"/>
            <w:noWrap/>
            <w:vAlign w:val="bottom"/>
          </w:tcPr>
          <w:p w14:paraId="1C230914">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表8</w:t>
            </w:r>
          </w:p>
        </w:tc>
        <w:tc>
          <w:tcPr>
            <w:tcW w:w="864" w:type="pct"/>
            <w:tcBorders>
              <w:top w:val="nil"/>
              <w:left w:val="nil"/>
              <w:bottom w:val="nil"/>
              <w:right w:val="nil"/>
            </w:tcBorders>
            <w:shd w:val="clear" w:color="auto" w:fill="auto"/>
            <w:noWrap/>
            <w:vAlign w:val="bottom"/>
          </w:tcPr>
          <w:p w14:paraId="488910A1">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87" w:type="pct"/>
            <w:tcBorders>
              <w:top w:val="nil"/>
              <w:left w:val="nil"/>
              <w:bottom w:val="nil"/>
              <w:right w:val="nil"/>
            </w:tcBorders>
            <w:shd w:val="clear" w:color="auto" w:fill="auto"/>
            <w:noWrap/>
            <w:vAlign w:val="bottom"/>
          </w:tcPr>
          <w:p w14:paraId="1E4461E7">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915" w:type="pct"/>
            <w:tcBorders>
              <w:top w:val="nil"/>
              <w:left w:val="nil"/>
              <w:bottom w:val="nil"/>
              <w:right w:val="nil"/>
            </w:tcBorders>
            <w:shd w:val="clear" w:color="auto" w:fill="auto"/>
            <w:noWrap/>
            <w:vAlign w:val="bottom"/>
          </w:tcPr>
          <w:p w14:paraId="7496508F">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54170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5000" w:type="pct"/>
            <w:gridSpan w:val="4"/>
            <w:tcBorders>
              <w:top w:val="nil"/>
              <w:left w:val="nil"/>
              <w:bottom w:val="nil"/>
              <w:right w:val="nil"/>
            </w:tcBorders>
            <w:shd w:val="clear" w:color="auto" w:fill="auto"/>
            <w:vAlign w:val="center"/>
          </w:tcPr>
          <w:p w14:paraId="26F13E9A">
            <w:pPr>
              <w:keepNext w:val="0"/>
              <w:keepLines w:val="0"/>
              <w:widowControl/>
              <w:suppressLineNumbers w:val="0"/>
              <w:jc w:val="center"/>
              <w:textAlignment w:val="center"/>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2023年区级国有资本经营支出预算完成情况表</w:t>
            </w:r>
          </w:p>
        </w:tc>
      </w:tr>
      <w:tr w14:paraId="391F3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433" w:type="pct"/>
            <w:tcBorders>
              <w:top w:val="nil"/>
              <w:left w:val="nil"/>
              <w:bottom w:val="nil"/>
              <w:right w:val="nil"/>
            </w:tcBorders>
            <w:shd w:val="clear" w:color="auto" w:fill="auto"/>
            <w:noWrap/>
            <w:vAlign w:val="center"/>
          </w:tcPr>
          <w:p w14:paraId="69F61CAE">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864" w:type="pct"/>
            <w:tcBorders>
              <w:top w:val="nil"/>
              <w:left w:val="nil"/>
              <w:bottom w:val="nil"/>
              <w:right w:val="nil"/>
            </w:tcBorders>
            <w:shd w:val="clear" w:color="auto" w:fill="auto"/>
            <w:noWrap/>
            <w:vAlign w:val="center"/>
          </w:tcPr>
          <w:p w14:paraId="125D6CA0">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787" w:type="pct"/>
            <w:tcBorders>
              <w:top w:val="nil"/>
              <w:left w:val="nil"/>
              <w:bottom w:val="nil"/>
              <w:right w:val="nil"/>
            </w:tcBorders>
            <w:shd w:val="clear" w:color="auto" w:fill="auto"/>
            <w:noWrap/>
            <w:vAlign w:val="bottom"/>
          </w:tcPr>
          <w:p w14:paraId="58AF4A2A">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915" w:type="pct"/>
            <w:tcBorders>
              <w:top w:val="nil"/>
              <w:left w:val="nil"/>
              <w:bottom w:val="single" w:color="000000" w:sz="4" w:space="0"/>
              <w:right w:val="nil"/>
            </w:tcBorders>
            <w:shd w:val="clear" w:color="auto" w:fill="auto"/>
            <w:noWrap/>
            <w:vAlign w:val="center"/>
          </w:tcPr>
          <w:p w14:paraId="0ECE069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06BFB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4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6E59B">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8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73BF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调整预算</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BE14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实际完成</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73036">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占调整预算</w:t>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w:t>
            </w:r>
          </w:p>
        </w:tc>
      </w:tr>
      <w:tr w14:paraId="7DB99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2433" w:type="pct"/>
            <w:tcBorders>
              <w:top w:val="single" w:color="000000" w:sz="4" w:space="0"/>
              <w:left w:val="single" w:color="000000" w:sz="4" w:space="0"/>
              <w:bottom w:val="single" w:color="000000" w:sz="4" w:space="0"/>
              <w:right w:val="single" w:color="000000" w:sz="4" w:space="0"/>
            </w:tcBorders>
            <w:shd w:val="clear" w:color="auto" w:fill="auto"/>
            <w:vAlign w:val="top"/>
          </w:tcPr>
          <w:p w14:paraId="2AC33CB8">
            <w:pPr>
              <w:keepNext w:val="0"/>
              <w:keepLines w:val="0"/>
              <w:widowControl/>
              <w:suppressLineNumbers w:val="0"/>
              <w:jc w:val="left"/>
              <w:textAlignment w:val="top"/>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一、 其他解决历史遗留问题及改革成本支出</w:t>
            </w:r>
          </w:p>
        </w:tc>
        <w:tc>
          <w:tcPr>
            <w:tcW w:w="86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536AF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 </w:t>
            </w:r>
          </w:p>
        </w:tc>
        <w:tc>
          <w:tcPr>
            <w:tcW w:w="7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43184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 </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8708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100 </w:t>
            </w:r>
          </w:p>
        </w:tc>
      </w:tr>
      <w:tr w14:paraId="287BB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24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12EFA">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二、其他国有企业资本金注入</w:t>
            </w:r>
          </w:p>
        </w:tc>
        <w:tc>
          <w:tcPr>
            <w:tcW w:w="86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7E68C2">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132530">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2FF08">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3C555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24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DEB6FB">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三、国有企业政策性补贴</w:t>
            </w:r>
          </w:p>
        </w:tc>
        <w:tc>
          <w:tcPr>
            <w:tcW w:w="86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F329EA">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81AA7E">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FAC6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4ED9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24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AA190">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四、其他国有资本经营预算支出</w:t>
            </w:r>
          </w:p>
        </w:tc>
        <w:tc>
          <w:tcPr>
            <w:tcW w:w="86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CAE08A">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33A778">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085D0">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3F10C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24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87BA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86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C8EEB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7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BCD41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3D6C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100 </w:t>
            </w:r>
          </w:p>
        </w:tc>
      </w:tr>
      <w:tr w14:paraId="50A71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24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610E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 调出资金</w:t>
            </w:r>
          </w:p>
        </w:tc>
        <w:tc>
          <w:tcPr>
            <w:tcW w:w="86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BBB50A">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7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3A95FA">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F11F9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18F82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24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12B96">
            <w:pPr>
              <w:keepNext w:val="0"/>
              <w:keepLines w:val="0"/>
              <w:widowControl/>
              <w:suppressLineNumbers w:val="0"/>
              <w:jc w:val="center"/>
              <w:textAlignment w:val="bottom"/>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总计支出</w:t>
            </w:r>
          </w:p>
        </w:tc>
        <w:tc>
          <w:tcPr>
            <w:tcW w:w="86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EC145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78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32D39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9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8F74A">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bl>
    <w:p w14:paraId="17A363F6">
      <w:pPr>
        <w:pStyle w:val="2"/>
        <w:ind w:left="0" w:leftChars="0" w:firstLine="0" w:firstLineChars="0"/>
        <w:rPr>
          <w:rFonts w:hint="eastAsia"/>
          <w:color w:val="000000" w:themeColor="text1"/>
          <w:lang w:eastAsia="zh-CN"/>
          <w14:textFill>
            <w14:solidFill>
              <w14:schemeClr w14:val="tx1"/>
            </w14:solidFill>
          </w14:textFill>
        </w:rPr>
      </w:pPr>
    </w:p>
    <w:p w14:paraId="00201E46">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90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1"/>
        <w:gridCol w:w="4072"/>
        <w:gridCol w:w="152"/>
        <w:gridCol w:w="68"/>
        <w:gridCol w:w="2289"/>
        <w:gridCol w:w="52"/>
        <w:gridCol w:w="135"/>
        <w:gridCol w:w="2088"/>
        <w:gridCol w:w="53"/>
        <w:gridCol w:w="2"/>
      </w:tblGrid>
      <w:tr w14:paraId="693FE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nil"/>
              <w:left w:val="nil"/>
              <w:bottom w:val="nil"/>
              <w:right w:val="nil"/>
            </w:tcBorders>
            <w:shd w:val="clear" w:color="auto" w:fill="auto"/>
            <w:noWrap/>
            <w:vAlign w:val="bottom"/>
          </w:tcPr>
          <w:p w14:paraId="70A70141">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表9</w:t>
            </w:r>
          </w:p>
        </w:tc>
        <w:tc>
          <w:tcPr>
            <w:tcW w:w="2544" w:type="dxa"/>
            <w:gridSpan w:val="4"/>
            <w:tcBorders>
              <w:top w:val="nil"/>
              <w:left w:val="nil"/>
              <w:bottom w:val="nil"/>
              <w:right w:val="nil"/>
            </w:tcBorders>
            <w:shd w:val="clear" w:color="auto" w:fill="auto"/>
            <w:noWrap/>
            <w:vAlign w:val="center"/>
          </w:tcPr>
          <w:p w14:paraId="44A27322">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088" w:type="dxa"/>
            <w:tcBorders>
              <w:top w:val="nil"/>
              <w:left w:val="nil"/>
              <w:bottom w:val="nil"/>
              <w:right w:val="nil"/>
            </w:tcBorders>
            <w:shd w:val="clear" w:color="auto" w:fill="auto"/>
            <w:noWrap/>
            <w:vAlign w:val="center"/>
          </w:tcPr>
          <w:p w14:paraId="6209AD34">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0CD99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8856" w:type="dxa"/>
            <w:gridSpan w:val="7"/>
            <w:tcBorders>
              <w:top w:val="nil"/>
              <w:left w:val="nil"/>
              <w:bottom w:val="nil"/>
              <w:right w:val="nil"/>
            </w:tcBorders>
            <w:shd w:val="clear" w:color="auto" w:fill="auto"/>
            <w:noWrap/>
            <w:vAlign w:val="bottom"/>
          </w:tcPr>
          <w:p w14:paraId="19F94F4B">
            <w:pPr>
              <w:keepNext w:val="0"/>
              <w:keepLines w:val="0"/>
              <w:widowControl/>
              <w:suppressLineNumbers w:val="0"/>
              <w:jc w:val="center"/>
              <w:textAlignment w:val="bottom"/>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2024年区级一般公共收入预算草案</w:t>
            </w:r>
          </w:p>
        </w:tc>
      </w:tr>
      <w:tr w14:paraId="51BE1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nil"/>
              <w:left w:val="nil"/>
              <w:bottom w:val="nil"/>
              <w:right w:val="nil"/>
            </w:tcBorders>
            <w:shd w:val="clear" w:color="auto" w:fill="auto"/>
            <w:noWrap/>
            <w:vAlign w:val="bottom"/>
          </w:tcPr>
          <w:p w14:paraId="08A9F279">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2544" w:type="dxa"/>
            <w:gridSpan w:val="4"/>
            <w:tcBorders>
              <w:top w:val="nil"/>
              <w:left w:val="nil"/>
              <w:bottom w:val="nil"/>
              <w:right w:val="nil"/>
            </w:tcBorders>
            <w:shd w:val="clear" w:color="auto" w:fill="auto"/>
            <w:noWrap/>
            <w:vAlign w:val="center"/>
          </w:tcPr>
          <w:p w14:paraId="7940DB22">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088" w:type="dxa"/>
            <w:tcBorders>
              <w:top w:val="nil"/>
              <w:left w:val="nil"/>
              <w:bottom w:val="nil"/>
              <w:right w:val="nil"/>
            </w:tcBorders>
            <w:shd w:val="clear" w:color="auto" w:fill="auto"/>
            <w:noWrap/>
            <w:vAlign w:val="center"/>
          </w:tcPr>
          <w:p w14:paraId="3AC79C09">
            <w:pPr>
              <w:keepNext w:val="0"/>
              <w:keepLines w:val="0"/>
              <w:widowControl/>
              <w:suppressLineNumbers w:val="0"/>
              <w:jc w:val="right"/>
              <w:textAlignment w:val="center"/>
              <w:rPr>
                <w:rFonts w:hint="eastAsia" w:ascii="宋体" w:hAnsi="宋体" w:eastAsia="宋体" w:cs="宋体"/>
                <w:i w:val="0"/>
                <w:iCs w:val="0"/>
                <w:color w:val="000000" w:themeColor="text1"/>
                <w:sz w:val="20"/>
                <w:szCs w:val="20"/>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6EEEE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87C8D">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63063E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2024年预算数</w:t>
            </w:r>
          </w:p>
        </w:tc>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9BF0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比上年（可比）</w:t>
            </w:r>
          </w:p>
          <w:p w14:paraId="7A53463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增长（%）</w:t>
            </w:r>
          </w:p>
        </w:tc>
      </w:tr>
      <w:tr w14:paraId="3F686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1427D">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一、税收收入</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9EF8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86554 </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2EE0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12</w:t>
            </w:r>
          </w:p>
        </w:tc>
      </w:tr>
      <w:tr w14:paraId="1972D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70B7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1.增值税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35D2C876">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27781</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900E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13.4</w:t>
            </w:r>
          </w:p>
        </w:tc>
      </w:tr>
      <w:tr w14:paraId="7FB6A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698F6">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2.企业所得税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78F1D5F1">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4148</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958C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14.8</w:t>
            </w:r>
          </w:p>
        </w:tc>
      </w:tr>
      <w:tr w14:paraId="193B2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AAE5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3.个人所得税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3B511B8F">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1121</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820FD">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22.9</w:t>
            </w:r>
          </w:p>
        </w:tc>
      </w:tr>
      <w:tr w14:paraId="0B2E5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8B30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4.资源税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730FCB00">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5009</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7C2C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14.3</w:t>
            </w:r>
          </w:p>
        </w:tc>
      </w:tr>
      <w:tr w14:paraId="04A2F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4952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5.城市维护建设税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2DCEFAA9">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3674</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7C5AD">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15.1</w:t>
            </w:r>
          </w:p>
        </w:tc>
      </w:tr>
      <w:tr w14:paraId="1AEC2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5727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6.房产税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E84D15">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231</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FDA5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12.1</w:t>
            </w:r>
          </w:p>
        </w:tc>
      </w:tr>
      <w:tr w14:paraId="5B826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8494B">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7.印花税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163C37">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2743</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3454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16.2</w:t>
            </w:r>
          </w:p>
        </w:tc>
      </w:tr>
      <w:tr w14:paraId="5A4F0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4FBD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8.城镇土地使用税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6EC43F">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8880</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7524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10.6</w:t>
            </w:r>
          </w:p>
        </w:tc>
      </w:tr>
      <w:tr w14:paraId="6EF5F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6C689">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9.土地增值税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4A5098">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6332</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9A8B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10.1</w:t>
            </w:r>
          </w:p>
        </w:tc>
      </w:tr>
      <w:tr w14:paraId="34713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6725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4"/>
                <w:color w:val="000000" w:themeColor="text1"/>
                <w:lang w:val="en-US" w:eastAsia="zh-CN" w:bidi="ar"/>
                <w14:textFill>
                  <w14:solidFill>
                    <w14:schemeClr w14:val="tx1"/>
                  </w14:solidFill>
                </w14:textFill>
              </w:rPr>
              <w:t>　　10.车船税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F12819">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6492</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9015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10.1</w:t>
            </w:r>
          </w:p>
        </w:tc>
      </w:tr>
      <w:tr w14:paraId="3F74C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C5AC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4"/>
                <w:color w:val="000000" w:themeColor="text1"/>
                <w:lang w:val="en-US" w:eastAsia="zh-CN" w:bidi="ar"/>
                <w14:textFill>
                  <w14:solidFill>
                    <w14:schemeClr w14:val="tx1"/>
                  </w14:solidFill>
                </w14:textFill>
              </w:rPr>
              <w:t>　　11.耕地占用税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045598DD">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4180</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6057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17.6</w:t>
            </w:r>
          </w:p>
        </w:tc>
      </w:tr>
      <w:tr w14:paraId="04902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FC9F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4"/>
                <w:color w:val="000000" w:themeColor="text1"/>
                <w:lang w:val="en-US" w:eastAsia="zh-CN" w:bidi="ar"/>
                <w14:textFill>
                  <w14:solidFill>
                    <w14:schemeClr w14:val="tx1"/>
                  </w14:solidFill>
                </w14:textFill>
              </w:rPr>
              <w:t>　　12.契税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330574B7">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15783</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87F1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7.2</w:t>
            </w:r>
          </w:p>
        </w:tc>
      </w:tr>
      <w:tr w14:paraId="53EB0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3CB3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13.环境保护税</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4F634F5D">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180</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47E5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12.2</w:t>
            </w:r>
          </w:p>
        </w:tc>
      </w:tr>
      <w:tr w14:paraId="03329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6F68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二、非税收入</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55A7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119621 </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FF0E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2.8</w:t>
            </w:r>
          </w:p>
        </w:tc>
      </w:tr>
      <w:tr w14:paraId="5FADB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CBD1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4"/>
                <w:color w:val="000000" w:themeColor="text1"/>
                <w:lang w:val="en-US" w:eastAsia="zh-CN" w:bidi="ar"/>
                <w14:textFill>
                  <w14:solidFill>
                    <w14:schemeClr w14:val="tx1"/>
                  </w14:solidFill>
                </w14:textFill>
              </w:rPr>
              <w:t>　　1.专项收入</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B7A6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23,675</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2590C">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7FC05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EB5D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4"/>
                <w:color w:val="000000" w:themeColor="text1"/>
                <w:lang w:val="en-US" w:eastAsia="zh-CN" w:bidi="ar"/>
                <w14:textFill>
                  <w14:solidFill>
                    <w14:schemeClr w14:val="tx1"/>
                  </w14:solidFill>
                </w14:textFill>
              </w:rPr>
              <w:t>　　2.行政事业性收费收入</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84596">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33,362</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4A0D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11</w:t>
            </w:r>
          </w:p>
        </w:tc>
      </w:tr>
      <w:tr w14:paraId="584C9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80696">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4"/>
                <w:color w:val="000000" w:themeColor="text1"/>
                <w:lang w:val="en-US" w:eastAsia="zh-CN" w:bidi="ar"/>
                <w14:textFill>
                  <w14:solidFill>
                    <w14:schemeClr w14:val="tx1"/>
                  </w14:solidFill>
                </w14:textFill>
              </w:rPr>
              <w:t>　　3.罚没收入</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3009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3,621</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C0386">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53144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1D2CB">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4.国有资源(资产)有偿使用收入</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0A62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55,909</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40147">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68EEB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A109B">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Style w:val="24"/>
                <w:color w:val="000000" w:themeColor="text1"/>
                <w:lang w:val="en-US" w:eastAsia="zh-CN" w:bidi="ar"/>
                <w14:textFill>
                  <w14:solidFill>
                    <w14:schemeClr w14:val="tx1"/>
                  </w14:solidFill>
                </w14:textFill>
              </w:rPr>
              <w:t xml:space="preserve">    5</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.政府住房基金收入</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744FFB69">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524</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32D38">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43A7A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A757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6.其他收入</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35F877FF">
            <w:pPr>
              <w:keepNext w:val="0"/>
              <w:keepLines w:val="0"/>
              <w:widowControl/>
              <w:suppressLineNumbers w:val="0"/>
              <w:jc w:val="center"/>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2530</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E636A">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79F61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2"/>
          <w:wBefore w:w="91" w:type="dxa"/>
          <w:wAfter w:w="55" w:type="dxa"/>
          <w:trHeight w:val="283" w:hRule="atLeast"/>
        </w:trPr>
        <w:tc>
          <w:tcPr>
            <w:tcW w:w="422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9749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2544"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2D02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206175 </w:t>
            </w:r>
          </w:p>
        </w:tc>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A4A6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6.5</w:t>
            </w:r>
          </w:p>
        </w:tc>
      </w:tr>
      <w:tr w14:paraId="5029D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nil"/>
              <w:left w:val="nil"/>
              <w:bottom w:val="nil"/>
              <w:right w:val="nil"/>
            </w:tcBorders>
            <w:shd w:val="clear" w:color="auto" w:fill="auto"/>
            <w:noWrap/>
            <w:vAlign w:val="bottom"/>
          </w:tcPr>
          <w:p w14:paraId="2651FADD">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表10</w:t>
            </w:r>
          </w:p>
        </w:tc>
        <w:tc>
          <w:tcPr>
            <w:tcW w:w="2509" w:type="dxa"/>
            <w:gridSpan w:val="3"/>
            <w:tcBorders>
              <w:top w:val="nil"/>
              <w:left w:val="nil"/>
              <w:bottom w:val="nil"/>
              <w:right w:val="nil"/>
            </w:tcBorders>
            <w:shd w:val="clear" w:color="auto" w:fill="auto"/>
            <w:noWrap/>
            <w:vAlign w:val="center"/>
          </w:tcPr>
          <w:p w14:paraId="0C849041">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328" w:type="dxa"/>
            <w:gridSpan w:val="4"/>
            <w:tcBorders>
              <w:top w:val="nil"/>
              <w:left w:val="nil"/>
              <w:bottom w:val="nil"/>
              <w:right w:val="nil"/>
            </w:tcBorders>
            <w:shd w:val="clear" w:color="auto" w:fill="auto"/>
            <w:noWrap/>
            <w:vAlign w:val="bottom"/>
          </w:tcPr>
          <w:p w14:paraId="699D2462">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15DD9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283" w:hRule="atLeast"/>
        </w:trPr>
        <w:tc>
          <w:tcPr>
            <w:tcW w:w="9000" w:type="dxa"/>
            <w:gridSpan w:val="9"/>
            <w:tcBorders>
              <w:top w:val="nil"/>
              <w:left w:val="nil"/>
              <w:bottom w:val="nil"/>
              <w:right w:val="nil"/>
            </w:tcBorders>
            <w:shd w:val="clear" w:color="auto" w:fill="auto"/>
            <w:noWrap/>
            <w:vAlign w:val="bottom"/>
          </w:tcPr>
          <w:p w14:paraId="21331E07">
            <w:pPr>
              <w:keepNext w:val="0"/>
              <w:keepLines w:val="0"/>
              <w:widowControl/>
              <w:suppressLineNumbers w:val="0"/>
              <w:jc w:val="center"/>
              <w:textAlignment w:val="bottom"/>
              <w:rPr>
                <w:rFonts w:hint="eastAsia" w:ascii="宋体" w:hAnsi="宋体" w:eastAsia="宋体" w:cs="宋体"/>
                <w:b/>
                <w:bCs/>
                <w:i w:val="0"/>
                <w:iCs w:val="0"/>
                <w:color w:val="000000" w:themeColor="text1"/>
                <w:sz w:val="36"/>
                <w:szCs w:val="36"/>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2024年区级一般公共支出预算草案</w:t>
            </w:r>
          </w:p>
        </w:tc>
      </w:tr>
      <w:tr w14:paraId="4E5BA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466" w:hRule="atLeast"/>
        </w:trPr>
        <w:tc>
          <w:tcPr>
            <w:tcW w:w="4163" w:type="dxa"/>
            <w:gridSpan w:val="2"/>
            <w:tcBorders>
              <w:top w:val="nil"/>
              <w:left w:val="nil"/>
              <w:bottom w:val="nil"/>
              <w:right w:val="nil"/>
            </w:tcBorders>
            <w:shd w:val="clear" w:color="auto" w:fill="auto"/>
            <w:noWrap/>
            <w:vAlign w:val="bottom"/>
          </w:tcPr>
          <w:p w14:paraId="0D26FEED">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c>
          <w:tcPr>
            <w:tcW w:w="2509" w:type="dxa"/>
            <w:gridSpan w:val="3"/>
            <w:tcBorders>
              <w:top w:val="nil"/>
              <w:left w:val="nil"/>
              <w:bottom w:val="nil"/>
              <w:right w:val="nil"/>
            </w:tcBorders>
            <w:shd w:val="clear" w:color="auto" w:fill="auto"/>
            <w:noWrap/>
            <w:vAlign w:val="center"/>
          </w:tcPr>
          <w:p w14:paraId="7AF3F7BE">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328" w:type="dxa"/>
            <w:gridSpan w:val="4"/>
            <w:tcBorders>
              <w:top w:val="nil"/>
              <w:left w:val="nil"/>
              <w:bottom w:val="nil"/>
              <w:right w:val="nil"/>
            </w:tcBorders>
            <w:shd w:val="clear" w:color="auto" w:fill="auto"/>
            <w:noWrap/>
            <w:vAlign w:val="top"/>
          </w:tcPr>
          <w:p w14:paraId="4E01E7B6">
            <w:pPr>
              <w:keepNext w:val="0"/>
              <w:keepLines w:val="0"/>
              <w:widowControl/>
              <w:suppressLineNumbers w:val="0"/>
              <w:jc w:val="right"/>
              <w:textAlignment w:val="cente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7A721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A33ADC">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82C37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2024年预算数</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7F1C3ED">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比上年（可比）</w:t>
            </w:r>
          </w:p>
          <w:p w14:paraId="041B27A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增长（%）</w:t>
            </w:r>
          </w:p>
        </w:tc>
      </w:tr>
      <w:tr w14:paraId="50342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B6449">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201 一般公共服务支出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65B82">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53056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9CDFA">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-24.2</w:t>
            </w:r>
          </w:p>
        </w:tc>
      </w:tr>
      <w:tr w14:paraId="6ADA5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EC2EA">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203 国防支出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1074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259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E651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0950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86E58">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204 公共安全支出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23DD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6462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366D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-14.5</w:t>
            </w:r>
          </w:p>
        </w:tc>
      </w:tr>
      <w:tr w14:paraId="1CC0B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F4F1B">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205 教育支出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AAF3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167862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D93B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w:t>
            </w:r>
          </w:p>
        </w:tc>
      </w:tr>
      <w:tr w14:paraId="4EF6A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39B12">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206 科学技术支出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CE9E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1269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56BF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111.8</w:t>
            </w:r>
          </w:p>
        </w:tc>
      </w:tr>
      <w:tr w14:paraId="71BA9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ECE14">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207 文化旅游体育与传媒支出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FEED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3164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504B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7.3</w:t>
            </w:r>
          </w:p>
        </w:tc>
      </w:tr>
      <w:tr w14:paraId="14472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E7BC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208 社会保障和就业支出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F96A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107655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6D87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15.8</w:t>
            </w:r>
          </w:p>
        </w:tc>
      </w:tr>
      <w:tr w14:paraId="273B7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4ECE2">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210 卫生健康支出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1896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38941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49E1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-25</w:t>
            </w:r>
          </w:p>
        </w:tc>
      </w:tr>
      <w:tr w14:paraId="48AB1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62CB8">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211 节能环保支出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63B7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18500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2F84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-24.8</w:t>
            </w:r>
          </w:p>
        </w:tc>
      </w:tr>
      <w:tr w14:paraId="616BB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C0179">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212 城乡社区支出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9721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32061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CBD6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-23.6</w:t>
            </w:r>
          </w:p>
        </w:tc>
      </w:tr>
      <w:tr w14:paraId="68881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C624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213 农林水支出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7EF5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51958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1A772">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57.5</w:t>
            </w:r>
          </w:p>
        </w:tc>
      </w:tr>
      <w:tr w14:paraId="51A40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9C07A">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214 交通运输支出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313D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6516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E8E0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40.9</w:t>
            </w:r>
          </w:p>
        </w:tc>
      </w:tr>
      <w:tr w14:paraId="62BD8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51CCB">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215 资源勘探信息等支出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38FA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90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35B7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-94.9</w:t>
            </w:r>
          </w:p>
        </w:tc>
      </w:tr>
      <w:tr w14:paraId="4FF36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AE157">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216 商业服务业等支出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418C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867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2648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-18.4</w:t>
            </w:r>
          </w:p>
        </w:tc>
      </w:tr>
      <w:tr w14:paraId="75ECCE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99F00">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220 自然资源海洋气象等支出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C8A14">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2336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5E11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1.5</w:t>
            </w:r>
          </w:p>
        </w:tc>
      </w:tr>
      <w:tr w14:paraId="5D085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FD9D4">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221 住房保障支出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6F476">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357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D6CB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-86.5</w:t>
            </w:r>
          </w:p>
        </w:tc>
      </w:tr>
      <w:tr w14:paraId="1FB74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30A4D">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224 灾害防治及应急管理支出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1704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3438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9BE6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w:t>
            </w:r>
          </w:p>
        </w:tc>
      </w:tr>
      <w:tr w14:paraId="1FB57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773AD">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227 预备费</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5B30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4000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63F3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-66.7</w:t>
            </w:r>
          </w:p>
        </w:tc>
      </w:tr>
      <w:tr w14:paraId="486DE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62AC9">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229 其他支出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BE82A">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19456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0A6F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100.9</w:t>
            </w:r>
          </w:p>
        </w:tc>
      </w:tr>
      <w:tr w14:paraId="5AF53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E7678">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232 债务付息支出</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0BBA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3000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C55F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6.6</w:t>
            </w:r>
          </w:p>
        </w:tc>
      </w:tr>
      <w:tr w14:paraId="01685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43CF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233 债务发行费用</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B0E6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25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6F677">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-54.5</w:t>
            </w:r>
          </w:p>
        </w:tc>
      </w:tr>
      <w:tr w14:paraId="1836D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dxa"/>
          <w:trHeight w:val="283" w:hRule="atLeast"/>
        </w:trPr>
        <w:tc>
          <w:tcPr>
            <w:tcW w:w="416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BCBB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250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1A7D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521274 </w:t>
            </w:r>
          </w:p>
        </w:tc>
        <w:tc>
          <w:tcPr>
            <w:tcW w:w="23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8762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-1.7</w:t>
            </w:r>
          </w:p>
        </w:tc>
      </w:tr>
      <w:tr w14:paraId="4AF4B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4383" w:type="dxa"/>
            <w:gridSpan w:val="4"/>
            <w:tcBorders>
              <w:top w:val="nil"/>
              <w:left w:val="nil"/>
              <w:bottom w:val="nil"/>
              <w:right w:val="nil"/>
            </w:tcBorders>
            <w:shd w:val="clear" w:color="auto" w:fill="auto"/>
            <w:noWrap/>
            <w:vAlign w:val="bottom"/>
          </w:tcPr>
          <w:p w14:paraId="2B9A0A88">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表11</w:t>
            </w:r>
          </w:p>
        </w:tc>
        <w:tc>
          <w:tcPr>
            <w:tcW w:w="2341" w:type="dxa"/>
            <w:gridSpan w:val="2"/>
            <w:tcBorders>
              <w:top w:val="nil"/>
              <w:left w:val="nil"/>
              <w:bottom w:val="nil"/>
              <w:right w:val="nil"/>
            </w:tcBorders>
            <w:shd w:val="clear" w:color="auto" w:fill="auto"/>
            <w:noWrap/>
            <w:vAlign w:val="bottom"/>
          </w:tcPr>
          <w:p w14:paraId="7787D75F">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78" w:type="dxa"/>
            <w:gridSpan w:val="4"/>
            <w:tcBorders>
              <w:top w:val="nil"/>
              <w:left w:val="nil"/>
              <w:bottom w:val="nil"/>
              <w:right w:val="nil"/>
            </w:tcBorders>
            <w:shd w:val="clear" w:color="auto" w:fill="auto"/>
            <w:noWrap/>
            <w:vAlign w:val="bottom"/>
          </w:tcPr>
          <w:p w14:paraId="568AE95F">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1EFE2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9002" w:type="dxa"/>
            <w:gridSpan w:val="10"/>
            <w:tcBorders>
              <w:top w:val="nil"/>
              <w:left w:val="nil"/>
              <w:bottom w:val="nil"/>
              <w:right w:val="nil"/>
            </w:tcBorders>
            <w:shd w:val="clear" w:color="auto" w:fill="auto"/>
            <w:noWrap/>
            <w:vAlign w:val="bottom"/>
          </w:tcPr>
          <w:p w14:paraId="50876B25">
            <w:pPr>
              <w:keepNext w:val="0"/>
              <w:keepLines w:val="0"/>
              <w:widowControl/>
              <w:suppressLineNumbers w:val="0"/>
              <w:jc w:val="center"/>
              <w:textAlignment w:val="bottom"/>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2024年区级政府性基金收入预算草案</w:t>
            </w:r>
          </w:p>
        </w:tc>
      </w:tr>
      <w:tr w14:paraId="39F23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4383" w:type="dxa"/>
            <w:gridSpan w:val="4"/>
            <w:tcBorders>
              <w:top w:val="nil"/>
              <w:left w:val="nil"/>
              <w:bottom w:val="nil"/>
              <w:right w:val="nil"/>
            </w:tcBorders>
            <w:shd w:val="clear" w:color="auto" w:fill="auto"/>
            <w:noWrap/>
            <w:vAlign w:val="bottom"/>
          </w:tcPr>
          <w:p w14:paraId="12F2E4FD">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341" w:type="dxa"/>
            <w:gridSpan w:val="2"/>
            <w:tcBorders>
              <w:top w:val="nil"/>
              <w:left w:val="nil"/>
              <w:bottom w:val="nil"/>
              <w:right w:val="nil"/>
            </w:tcBorders>
            <w:shd w:val="clear" w:color="auto" w:fill="auto"/>
            <w:noWrap/>
            <w:vAlign w:val="bottom"/>
          </w:tcPr>
          <w:p w14:paraId="5365CA9B">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78" w:type="dxa"/>
            <w:gridSpan w:val="4"/>
            <w:tcBorders>
              <w:top w:val="nil"/>
              <w:left w:val="nil"/>
              <w:bottom w:val="nil"/>
              <w:right w:val="nil"/>
            </w:tcBorders>
            <w:shd w:val="clear" w:color="auto" w:fill="auto"/>
            <w:vAlign w:val="center"/>
          </w:tcPr>
          <w:p w14:paraId="27878E72">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0887A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438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0E19E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C2214C">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2024年预算数</w:t>
            </w:r>
          </w:p>
        </w:tc>
        <w:tc>
          <w:tcPr>
            <w:tcW w:w="227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1B1C7ED">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比上年（可比）</w:t>
            </w:r>
          </w:p>
          <w:p w14:paraId="2B130DD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增长（%）</w:t>
            </w:r>
          </w:p>
        </w:tc>
      </w:tr>
      <w:tr w14:paraId="5BE3B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38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322810A">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一、政府性基金预算收入</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318FB8">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327580 </w:t>
            </w:r>
          </w:p>
        </w:tc>
        <w:tc>
          <w:tcPr>
            <w:tcW w:w="227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0C5F23">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198.4</w:t>
            </w:r>
          </w:p>
        </w:tc>
      </w:tr>
      <w:tr w14:paraId="60F1B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38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94D38E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1.国有土地收益基金收入</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696052">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15995 </w:t>
            </w:r>
          </w:p>
        </w:tc>
        <w:tc>
          <w:tcPr>
            <w:tcW w:w="227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4EB5B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300.5</w:t>
            </w:r>
          </w:p>
        </w:tc>
      </w:tr>
      <w:tr w14:paraId="3614E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38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CBD40B">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2.农业土地开发资金收入</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7FA10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1038 </w:t>
            </w:r>
          </w:p>
        </w:tc>
        <w:tc>
          <w:tcPr>
            <w:tcW w:w="227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2E4F416">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2AF4E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38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BE3BC03">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3.国有土地使用权出让收入</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F7E1D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302467 </w:t>
            </w:r>
          </w:p>
        </w:tc>
        <w:tc>
          <w:tcPr>
            <w:tcW w:w="227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79D5EB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225.8</w:t>
            </w:r>
          </w:p>
        </w:tc>
      </w:tr>
      <w:tr w14:paraId="25EE2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38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F42CE01">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4.彩票公益金收入</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74B29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180 </w:t>
            </w:r>
          </w:p>
        </w:tc>
        <w:tc>
          <w:tcPr>
            <w:tcW w:w="227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44A70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-33.3</w:t>
            </w:r>
          </w:p>
        </w:tc>
      </w:tr>
      <w:tr w14:paraId="5C26C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38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9353005">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5.城市基础设施配套费收入</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53B6F3">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7000 </w:t>
            </w:r>
          </w:p>
        </w:tc>
        <w:tc>
          <w:tcPr>
            <w:tcW w:w="227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342F7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-26.1</w:t>
            </w:r>
          </w:p>
        </w:tc>
      </w:tr>
      <w:tr w14:paraId="14BD4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38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CF9EF4">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6.污水处理费收入</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EC70B8">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900 </w:t>
            </w:r>
          </w:p>
        </w:tc>
        <w:tc>
          <w:tcPr>
            <w:tcW w:w="227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A25D52">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-58.4</w:t>
            </w:r>
          </w:p>
        </w:tc>
      </w:tr>
      <w:tr w14:paraId="43BFE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38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55C389C">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二、上级补助收入</w:t>
            </w:r>
          </w:p>
        </w:tc>
        <w:tc>
          <w:tcPr>
            <w:tcW w:w="2341" w:type="dxa"/>
            <w:gridSpan w:val="2"/>
            <w:tcBorders>
              <w:top w:val="nil"/>
              <w:left w:val="nil"/>
              <w:bottom w:val="single" w:color="000000" w:sz="4" w:space="0"/>
              <w:right w:val="single" w:color="000000" w:sz="4" w:space="0"/>
            </w:tcBorders>
            <w:shd w:val="clear" w:color="auto" w:fill="auto"/>
            <w:vAlign w:val="center"/>
          </w:tcPr>
          <w:p w14:paraId="037EB1BB">
            <w:pPr>
              <w:keepNext w:val="0"/>
              <w:keepLines w:val="0"/>
              <w:widowControl/>
              <w:suppressLineNumbers w:val="0"/>
              <w:jc w:val="center"/>
              <w:textAlignment w:val="center"/>
              <w:rPr>
                <w:rFonts w:hint="eastAsia" w:ascii="宋体" w:hAnsi="宋体" w:eastAsia="宋体" w:cs="宋体"/>
                <w:b/>
                <w:bCs/>
                <w:i w:val="0"/>
                <w:iCs w:val="0"/>
                <w:color w:val="000000" w:themeColor="text1"/>
                <w:sz w:val="28"/>
                <w:szCs w:val="28"/>
                <w:u w:val="none"/>
                <w14:textFill>
                  <w14:solidFill>
                    <w14:schemeClr w14:val="tx1"/>
                  </w14:solidFill>
                </w14:textFill>
              </w:rPr>
            </w:pPr>
            <w:r>
              <w:rPr>
                <w:rFonts w:hint="eastAsia" w:ascii="宋体" w:hAnsi="宋体" w:eastAsia="宋体" w:cs="宋体"/>
                <w:b/>
                <w:bCs/>
                <w:i w:val="0"/>
                <w:iCs w:val="0"/>
                <w:color w:val="000000" w:themeColor="text1"/>
                <w:kern w:val="0"/>
                <w:sz w:val="28"/>
                <w:szCs w:val="28"/>
                <w:u w:val="none"/>
                <w:lang w:val="en-US" w:eastAsia="zh-CN" w:bidi="ar"/>
                <w14:textFill>
                  <w14:solidFill>
                    <w14:schemeClr w14:val="tx1"/>
                  </w14:solidFill>
                </w14:textFill>
              </w:rPr>
              <w:t xml:space="preserve">6625 </w:t>
            </w:r>
          </w:p>
        </w:tc>
        <w:tc>
          <w:tcPr>
            <w:tcW w:w="227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4866A6">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64CBA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38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817F262">
            <w:pPr>
              <w:keepNext w:val="0"/>
              <w:keepLines w:val="0"/>
              <w:widowControl/>
              <w:suppressLineNumbers w:val="0"/>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三、上年结转</w:t>
            </w:r>
          </w:p>
        </w:tc>
        <w:tc>
          <w:tcPr>
            <w:tcW w:w="2341" w:type="dxa"/>
            <w:gridSpan w:val="2"/>
            <w:tcBorders>
              <w:top w:val="nil"/>
              <w:left w:val="nil"/>
              <w:bottom w:val="single" w:color="000000" w:sz="4" w:space="0"/>
              <w:right w:val="single" w:color="000000" w:sz="4" w:space="0"/>
            </w:tcBorders>
            <w:shd w:val="clear" w:color="auto" w:fill="auto"/>
            <w:vAlign w:val="center"/>
          </w:tcPr>
          <w:p w14:paraId="2F680914">
            <w:pPr>
              <w:keepNext w:val="0"/>
              <w:keepLines w:val="0"/>
              <w:widowControl/>
              <w:suppressLineNumbers w:val="0"/>
              <w:jc w:val="center"/>
              <w:textAlignment w:val="center"/>
              <w:rPr>
                <w:rFonts w:hint="eastAsia" w:ascii="宋体" w:hAnsi="宋体" w:eastAsia="宋体" w:cs="宋体"/>
                <w:b/>
                <w:bCs/>
                <w:i w:val="0"/>
                <w:iCs w:val="0"/>
                <w:color w:val="000000" w:themeColor="text1"/>
                <w:sz w:val="28"/>
                <w:szCs w:val="28"/>
                <w:u w:val="none"/>
                <w14:textFill>
                  <w14:solidFill>
                    <w14:schemeClr w14:val="tx1"/>
                  </w14:solidFill>
                </w14:textFill>
              </w:rPr>
            </w:pPr>
            <w:r>
              <w:rPr>
                <w:rFonts w:hint="eastAsia" w:ascii="宋体" w:hAnsi="宋体" w:eastAsia="宋体" w:cs="宋体"/>
                <w:b/>
                <w:bCs/>
                <w:i w:val="0"/>
                <w:iCs w:val="0"/>
                <w:color w:val="000000" w:themeColor="text1"/>
                <w:kern w:val="0"/>
                <w:sz w:val="28"/>
                <w:szCs w:val="28"/>
                <w:u w:val="none"/>
                <w:lang w:val="en-US" w:eastAsia="zh-CN" w:bidi="ar"/>
                <w14:textFill>
                  <w14:solidFill>
                    <w14:schemeClr w14:val="tx1"/>
                  </w14:solidFill>
                </w14:textFill>
              </w:rPr>
              <w:t xml:space="preserve">82470 </w:t>
            </w:r>
          </w:p>
        </w:tc>
        <w:tc>
          <w:tcPr>
            <w:tcW w:w="2278"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2DFA140D">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2269E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38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DB44CD">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合  计 </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1F415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416,675</w:t>
            </w:r>
          </w:p>
        </w:tc>
        <w:tc>
          <w:tcPr>
            <w:tcW w:w="227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A7DF41E">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bl>
    <w:p w14:paraId="3C423402">
      <w:pPr>
        <w:pStyle w:val="2"/>
        <w:ind w:left="0" w:leftChars="0" w:firstLine="0" w:firstLineChars="0"/>
        <w:rPr>
          <w:rFonts w:hint="eastAsia"/>
          <w:color w:val="000000" w:themeColor="text1"/>
          <w:lang w:eastAsia="zh-CN"/>
          <w14:textFill>
            <w14:solidFill>
              <w14:schemeClr w14:val="tx1"/>
            </w14:solidFill>
          </w14:textFill>
        </w:rPr>
      </w:pPr>
    </w:p>
    <w:p w14:paraId="7C6AF338">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018"/>
        <w:gridCol w:w="1923"/>
        <w:gridCol w:w="2061"/>
      </w:tblGrid>
      <w:tr w14:paraId="6EDDA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787" w:type="pct"/>
            <w:tcBorders>
              <w:top w:val="nil"/>
              <w:left w:val="nil"/>
              <w:bottom w:val="nil"/>
              <w:right w:val="nil"/>
            </w:tcBorders>
            <w:shd w:val="clear" w:color="auto" w:fill="auto"/>
            <w:noWrap/>
            <w:vAlign w:val="bottom"/>
          </w:tcPr>
          <w:p w14:paraId="1117B77F">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表12</w:t>
            </w:r>
          </w:p>
        </w:tc>
        <w:tc>
          <w:tcPr>
            <w:tcW w:w="1068" w:type="pct"/>
            <w:tcBorders>
              <w:top w:val="nil"/>
              <w:left w:val="nil"/>
              <w:bottom w:val="nil"/>
              <w:right w:val="nil"/>
            </w:tcBorders>
            <w:shd w:val="clear" w:color="auto" w:fill="auto"/>
            <w:vAlign w:val="center"/>
          </w:tcPr>
          <w:p w14:paraId="73805E19">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143" w:type="pct"/>
            <w:tcBorders>
              <w:top w:val="nil"/>
              <w:left w:val="nil"/>
              <w:bottom w:val="nil"/>
              <w:right w:val="nil"/>
            </w:tcBorders>
            <w:shd w:val="clear" w:color="auto" w:fill="auto"/>
            <w:noWrap/>
            <w:vAlign w:val="center"/>
          </w:tcPr>
          <w:p w14:paraId="3837AFC7">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5605C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5000" w:type="pct"/>
            <w:gridSpan w:val="3"/>
            <w:tcBorders>
              <w:top w:val="nil"/>
              <w:left w:val="nil"/>
              <w:bottom w:val="nil"/>
              <w:right w:val="nil"/>
            </w:tcBorders>
            <w:shd w:val="clear" w:color="auto" w:fill="auto"/>
            <w:noWrap/>
            <w:vAlign w:val="bottom"/>
          </w:tcPr>
          <w:p w14:paraId="3006320D">
            <w:pPr>
              <w:keepNext w:val="0"/>
              <w:keepLines w:val="0"/>
              <w:widowControl/>
              <w:suppressLineNumbers w:val="0"/>
              <w:jc w:val="center"/>
              <w:textAlignment w:val="bottom"/>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2024年区级政府性基金支出预算草案</w:t>
            </w:r>
          </w:p>
        </w:tc>
      </w:tr>
      <w:tr w14:paraId="7AF8A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nil"/>
              <w:left w:val="nil"/>
              <w:bottom w:val="nil"/>
              <w:right w:val="nil"/>
            </w:tcBorders>
            <w:shd w:val="clear" w:color="auto" w:fill="auto"/>
            <w:noWrap/>
            <w:vAlign w:val="bottom"/>
          </w:tcPr>
          <w:p w14:paraId="59501C3C">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068" w:type="pct"/>
            <w:tcBorders>
              <w:top w:val="nil"/>
              <w:left w:val="nil"/>
              <w:bottom w:val="nil"/>
              <w:right w:val="nil"/>
            </w:tcBorders>
            <w:shd w:val="clear" w:color="auto" w:fill="auto"/>
            <w:vAlign w:val="center"/>
          </w:tcPr>
          <w:p w14:paraId="3C668CFD">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143" w:type="pct"/>
            <w:tcBorders>
              <w:top w:val="nil"/>
              <w:left w:val="nil"/>
              <w:bottom w:val="nil"/>
              <w:right w:val="nil"/>
            </w:tcBorders>
            <w:shd w:val="clear" w:color="auto" w:fill="auto"/>
            <w:vAlign w:val="center"/>
          </w:tcPr>
          <w:p w14:paraId="0AD1DFE5">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696B7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DC1F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0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DF9D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2024年预算数</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585D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比上年（可比）</w:t>
            </w:r>
          </w:p>
          <w:p w14:paraId="7D9E264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增长（%）</w:t>
            </w:r>
          </w:p>
        </w:tc>
      </w:tr>
      <w:tr w14:paraId="1EA12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4B956">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文化体育与传媒支出</w:t>
            </w:r>
          </w:p>
        </w:tc>
        <w:tc>
          <w:tcPr>
            <w:tcW w:w="1068" w:type="pct"/>
            <w:tcBorders>
              <w:top w:val="single" w:color="000000" w:sz="4" w:space="0"/>
              <w:left w:val="single" w:color="000000" w:sz="4" w:space="0"/>
              <w:bottom w:val="single" w:color="000000" w:sz="4" w:space="0"/>
              <w:right w:val="nil"/>
            </w:tcBorders>
            <w:shd w:val="clear" w:color="auto" w:fill="auto"/>
            <w:vAlign w:val="center"/>
          </w:tcPr>
          <w:p w14:paraId="02F58B23">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34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0C294">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1600</w:t>
            </w:r>
          </w:p>
        </w:tc>
      </w:tr>
      <w:tr w14:paraId="49FBA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3FDA9">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国家电影事业发展专项资金相关支出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31B84">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34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DB586">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1600</w:t>
            </w:r>
          </w:p>
        </w:tc>
      </w:tr>
      <w:tr w14:paraId="169F6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3FD9D">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社会保障和就业支出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C41EB">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3</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66209">
            <w:pPr>
              <w:keepNext w:val="0"/>
              <w:keepLines w:val="0"/>
              <w:pageBreakBefore w:val="0"/>
              <w:widowControl/>
              <w:kinsoku/>
              <w:wordWrap/>
              <w:overflowPunct/>
              <w:topLinePunct w:val="0"/>
              <w:autoSpaceDE/>
              <w:autoSpaceDN/>
              <w:bidi w:val="0"/>
              <w:adjustRightInd/>
              <w:snapToGrid/>
              <w:spacing w:line="424"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07B05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C1F2D">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大中型水库移民后期扶持基金支出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2FE43">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A283D">
            <w:pPr>
              <w:keepNext w:val="0"/>
              <w:keepLines w:val="0"/>
              <w:pageBreakBefore w:val="0"/>
              <w:widowControl/>
              <w:kinsoku/>
              <w:wordWrap/>
              <w:overflowPunct/>
              <w:topLinePunct w:val="0"/>
              <w:autoSpaceDE/>
              <w:autoSpaceDN/>
              <w:bidi w:val="0"/>
              <w:adjustRightInd/>
              <w:snapToGrid/>
              <w:spacing w:line="424"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5520F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C50BB">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城乡社区支出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8EB49">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205952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AC17A">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-61</w:t>
            </w:r>
          </w:p>
        </w:tc>
      </w:tr>
      <w:tr w14:paraId="748AB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7C909">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国有土地使用权出让收入安排的支出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668F1">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182979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D7427">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-61.8</w:t>
            </w:r>
          </w:p>
        </w:tc>
      </w:tr>
      <w:tr w14:paraId="77CA0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F616D">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国有土地收益基金支出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CAACD">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15995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B0BAD">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-44.4</w:t>
            </w:r>
          </w:p>
        </w:tc>
      </w:tr>
      <w:tr w14:paraId="31F35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7233D">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农业土地开发资金支出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6AE61">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1078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0CD3B">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-9.4</w:t>
            </w:r>
          </w:p>
        </w:tc>
      </w:tr>
      <w:tr w14:paraId="490A9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0B6DF">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城市基础设施配套费安排的支出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B6164">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5000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88AA2">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-68.9</w:t>
            </w:r>
          </w:p>
        </w:tc>
      </w:tr>
      <w:tr w14:paraId="0E3EF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7162A">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污水处理费支出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FD0F0">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900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33FCE">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-73.3</w:t>
            </w:r>
          </w:p>
        </w:tc>
      </w:tr>
      <w:tr w14:paraId="25308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9FACF">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其他支出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DDF591">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521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37B9E">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-64.8</w:t>
            </w:r>
          </w:p>
        </w:tc>
      </w:tr>
      <w:tr w14:paraId="24CB9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B3D49">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彩票公益金安排的支出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2175E">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521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A7A47">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-23.6</w:t>
            </w:r>
          </w:p>
        </w:tc>
      </w:tr>
      <w:tr w14:paraId="18765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193D5">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其他地方自行试点项目收益专项债券收入安排的支出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694B79">
            <w:pPr>
              <w:keepNext w:val="0"/>
              <w:keepLines w:val="0"/>
              <w:pageBreakBefore w:val="0"/>
              <w:widowControl/>
              <w:kinsoku/>
              <w:wordWrap/>
              <w:overflowPunct/>
              <w:topLinePunct w:val="0"/>
              <w:autoSpaceDE/>
              <w:autoSpaceDN/>
              <w:bidi w:val="0"/>
              <w:adjustRightInd/>
              <w:snapToGrid/>
              <w:spacing w:line="424"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483EF">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-100</w:t>
            </w:r>
          </w:p>
        </w:tc>
      </w:tr>
      <w:tr w14:paraId="1FA93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EEB1E">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债务付息支出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804A8">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42073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A62E7">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21.2</w:t>
            </w:r>
          </w:p>
        </w:tc>
      </w:tr>
      <w:tr w14:paraId="43328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C5D93">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地方专项债务付息支出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84ABB">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42073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E8E20">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21.2</w:t>
            </w:r>
          </w:p>
        </w:tc>
      </w:tr>
      <w:tr w14:paraId="5C535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F8B48">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债务发行费用支出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AA0B9">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350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F2C17">
            <w:pPr>
              <w:keepNext w:val="0"/>
              <w:keepLines w:val="0"/>
              <w:pageBreakBefore w:val="0"/>
              <w:widowControl/>
              <w:kinsoku/>
              <w:wordWrap/>
              <w:overflowPunct/>
              <w:topLinePunct w:val="0"/>
              <w:autoSpaceDE/>
              <w:autoSpaceDN/>
              <w:bidi w:val="0"/>
              <w:adjustRightInd/>
              <w:snapToGrid/>
              <w:spacing w:line="424"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7D0A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43E3A">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地方政府专项支付发行费用支出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06E1B">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350 </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80B53">
            <w:pPr>
              <w:keepNext w:val="0"/>
              <w:keepLines w:val="0"/>
              <w:pageBreakBefore w:val="0"/>
              <w:widowControl/>
              <w:kinsoku/>
              <w:wordWrap/>
              <w:overflowPunct/>
              <w:topLinePunct w:val="0"/>
              <w:autoSpaceDE/>
              <w:autoSpaceDN/>
              <w:bidi w:val="0"/>
              <w:adjustRightInd/>
              <w:snapToGrid/>
              <w:spacing w:line="424"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337BE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93211">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小计</w:t>
            </w:r>
          </w:p>
        </w:tc>
        <w:tc>
          <w:tcPr>
            <w:tcW w:w="10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02620">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248,934</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E2F0A">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-55.9</w:t>
            </w:r>
          </w:p>
        </w:tc>
      </w:tr>
      <w:tr w14:paraId="49728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F02A2">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债务还本支出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ACE9D">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65271</w:t>
            </w:r>
          </w:p>
        </w:tc>
        <w:tc>
          <w:tcPr>
            <w:tcW w:w="1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FB42B">
            <w:pPr>
              <w:keepNext w:val="0"/>
              <w:keepLines w:val="0"/>
              <w:pageBreakBefore w:val="0"/>
              <w:widowControl/>
              <w:kinsoku/>
              <w:wordWrap/>
              <w:overflowPunct/>
              <w:topLinePunct w:val="0"/>
              <w:autoSpaceDE/>
              <w:autoSpaceDN/>
              <w:bidi w:val="0"/>
              <w:adjustRightInd/>
              <w:snapToGrid/>
              <w:spacing w:line="424"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45315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6C329">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调出资金</w:t>
            </w:r>
          </w:p>
        </w:tc>
        <w:tc>
          <w:tcPr>
            <w:tcW w:w="10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3EA6E">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20000 </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A86B5">
            <w:pPr>
              <w:keepNext w:val="0"/>
              <w:keepLines w:val="0"/>
              <w:pageBreakBefore w:val="0"/>
              <w:widowControl/>
              <w:kinsoku/>
              <w:wordWrap/>
              <w:overflowPunct/>
              <w:topLinePunct w:val="0"/>
              <w:autoSpaceDE/>
              <w:autoSpaceDN/>
              <w:bidi w:val="0"/>
              <w:adjustRightInd/>
              <w:snapToGrid/>
              <w:spacing w:line="424"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67A15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1C8B6">
            <w:pPr>
              <w:keepNext w:val="0"/>
              <w:keepLines w:val="0"/>
              <w:pageBreakBefore w:val="0"/>
              <w:widowControl/>
              <w:suppressLineNumbers w:val="0"/>
              <w:kinsoku/>
              <w:wordWrap/>
              <w:overflowPunct/>
              <w:topLinePunct w:val="0"/>
              <w:autoSpaceDE/>
              <w:autoSpaceDN/>
              <w:bidi w:val="0"/>
              <w:adjustRightInd/>
              <w:snapToGrid/>
              <w:spacing w:line="424" w:lineRule="exact"/>
              <w:jc w:val="left"/>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上年结转支出</w:t>
            </w:r>
          </w:p>
        </w:tc>
        <w:tc>
          <w:tcPr>
            <w:tcW w:w="10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B5BC4">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82470 </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D27D0">
            <w:pPr>
              <w:keepNext w:val="0"/>
              <w:keepLines w:val="0"/>
              <w:pageBreakBefore w:val="0"/>
              <w:widowControl/>
              <w:kinsoku/>
              <w:wordWrap/>
              <w:overflowPunct/>
              <w:topLinePunct w:val="0"/>
              <w:autoSpaceDE/>
              <w:autoSpaceDN/>
              <w:bidi w:val="0"/>
              <w:adjustRightInd/>
              <w:snapToGrid/>
              <w:spacing w:line="424"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163CE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ADA28">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 计</w:t>
            </w:r>
          </w:p>
        </w:tc>
        <w:tc>
          <w:tcPr>
            <w:tcW w:w="10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0C122">
            <w:pPr>
              <w:keepNext w:val="0"/>
              <w:keepLines w:val="0"/>
              <w:pageBreakBefore w:val="0"/>
              <w:widowControl/>
              <w:suppressLineNumbers w:val="0"/>
              <w:kinsoku/>
              <w:wordWrap/>
              <w:overflowPunct/>
              <w:topLinePunct w:val="0"/>
              <w:autoSpaceDE/>
              <w:autoSpaceDN/>
              <w:bidi w:val="0"/>
              <w:adjustRightInd/>
              <w:snapToGrid/>
              <w:spacing w:line="424" w:lineRule="exact"/>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416675</w:t>
            </w:r>
          </w:p>
        </w:tc>
        <w:tc>
          <w:tcPr>
            <w:tcW w:w="11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AB306">
            <w:pPr>
              <w:keepNext w:val="0"/>
              <w:keepLines w:val="0"/>
              <w:pageBreakBefore w:val="0"/>
              <w:widowControl/>
              <w:kinsoku/>
              <w:wordWrap/>
              <w:overflowPunct/>
              <w:topLinePunct w:val="0"/>
              <w:autoSpaceDE/>
              <w:autoSpaceDN/>
              <w:bidi w:val="0"/>
              <w:adjustRightInd/>
              <w:snapToGrid/>
              <w:spacing w:line="424"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bl>
    <w:p w14:paraId="1AC58CEC">
      <w:pPr>
        <w:rPr>
          <w:rFonts w:hint="eastAsia"/>
          <w:color w:val="000000" w:themeColor="text1"/>
          <w:lang w:eastAsia="zh-CN"/>
          <w14:textFill>
            <w14:solidFill>
              <w14:schemeClr w14:val="tx1"/>
            </w14:solidFill>
          </w14:textFill>
        </w:rPr>
      </w:pPr>
    </w:p>
    <w:tbl>
      <w:tblPr>
        <w:tblStyle w:val="10"/>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331"/>
        <w:gridCol w:w="2502"/>
        <w:gridCol w:w="2167"/>
      </w:tblGrid>
      <w:tr w14:paraId="57CB5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2406" w:type="pct"/>
            <w:tcBorders>
              <w:top w:val="nil"/>
              <w:left w:val="nil"/>
              <w:bottom w:val="nil"/>
              <w:right w:val="nil"/>
            </w:tcBorders>
            <w:shd w:val="clear" w:color="auto" w:fill="auto"/>
            <w:noWrap/>
            <w:vAlign w:val="center"/>
          </w:tcPr>
          <w:p w14:paraId="7A807B87">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表13</w:t>
            </w:r>
          </w:p>
        </w:tc>
        <w:tc>
          <w:tcPr>
            <w:tcW w:w="1390" w:type="pct"/>
            <w:tcBorders>
              <w:top w:val="nil"/>
              <w:left w:val="nil"/>
              <w:bottom w:val="nil"/>
              <w:right w:val="nil"/>
            </w:tcBorders>
            <w:shd w:val="clear" w:color="auto" w:fill="auto"/>
            <w:noWrap/>
            <w:vAlign w:val="center"/>
          </w:tcPr>
          <w:p w14:paraId="08BAE9D0">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203" w:type="pct"/>
            <w:tcBorders>
              <w:top w:val="nil"/>
              <w:left w:val="nil"/>
              <w:bottom w:val="nil"/>
              <w:right w:val="nil"/>
            </w:tcBorders>
            <w:shd w:val="clear" w:color="auto" w:fill="auto"/>
            <w:noWrap/>
            <w:vAlign w:val="center"/>
          </w:tcPr>
          <w:p w14:paraId="0730E8E5">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1835D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5000" w:type="pct"/>
            <w:gridSpan w:val="3"/>
            <w:tcBorders>
              <w:top w:val="nil"/>
              <w:left w:val="nil"/>
              <w:bottom w:val="nil"/>
              <w:right w:val="nil"/>
            </w:tcBorders>
            <w:shd w:val="clear" w:color="auto" w:fill="auto"/>
            <w:noWrap/>
            <w:vAlign w:val="center"/>
          </w:tcPr>
          <w:p w14:paraId="15A5655F">
            <w:pPr>
              <w:keepNext w:val="0"/>
              <w:keepLines w:val="0"/>
              <w:widowControl/>
              <w:suppressLineNumbers w:val="0"/>
              <w:jc w:val="center"/>
              <w:textAlignment w:val="center"/>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2024年区级社会保险基金收入预算草案</w:t>
            </w:r>
          </w:p>
        </w:tc>
      </w:tr>
      <w:tr w14:paraId="130C4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406" w:type="pct"/>
            <w:tcBorders>
              <w:top w:val="nil"/>
              <w:left w:val="nil"/>
              <w:bottom w:val="nil"/>
              <w:right w:val="nil"/>
            </w:tcBorders>
            <w:shd w:val="clear" w:color="auto" w:fill="auto"/>
            <w:noWrap/>
            <w:vAlign w:val="center"/>
          </w:tcPr>
          <w:p w14:paraId="64DBB570">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390" w:type="pct"/>
            <w:tcBorders>
              <w:top w:val="nil"/>
              <w:left w:val="nil"/>
              <w:bottom w:val="nil"/>
              <w:right w:val="nil"/>
            </w:tcBorders>
            <w:shd w:val="clear" w:color="auto" w:fill="auto"/>
            <w:noWrap/>
            <w:vAlign w:val="center"/>
          </w:tcPr>
          <w:p w14:paraId="082B8933">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203" w:type="pct"/>
            <w:tcBorders>
              <w:top w:val="nil"/>
              <w:left w:val="nil"/>
              <w:bottom w:val="nil"/>
              <w:right w:val="nil"/>
            </w:tcBorders>
            <w:shd w:val="clear" w:color="auto" w:fill="auto"/>
            <w:noWrap/>
            <w:vAlign w:val="center"/>
          </w:tcPr>
          <w:p w14:paraId="6753F72F">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53813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24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6FA1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4B36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2024年预算数</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FBCB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6A3B4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24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9AD4C">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一、 城乡居民基本养老保险基金收入</w:t>
            </w:r>
          </w:p>
        </w:tc>
        <w:tc>
          <w:tcPr>
            <w:tcW w:w="1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3DA09">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u w:val="none"/>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46565</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5E505">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-0.2</w:t>
            </w:r>
          </w:p>
        </w:tc>
      </w:tr>
      <w:tr w14:paraId="7B095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24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C678E">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二、 机关事业单位基本养老保险收入</w:t>
            </w:r>
          </w:p>
        </w:tc>
        <w:tc>
          <w:tcPr>
            <w:tcW w:w="1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D6E4F">
            <w:pPr>
              <w:keepNext w:val="0"/>
              <w:keepLines w:val="0"/>
              <w:widowControl/>
              <w:suppressLineNumbers w:val="0"/>
              <w:jc w:val="center"/>
              <w:textAlignment w:val="center"/>
              <w:rPr>
                <w:rFonts w:hint="eastAsia" w:ascii="宋体" w:hAnsi="宋体" w:eastAsia="宋体" w:cs="宋体"/>
                <w:i w:val="0"/>
                <w:iCs w:val="0"/>
                <w:color w:val="000000" w:themeColor="text1"/>
                <w:sz w:val="22"/>
                <w:szCs w:val="22"/>
                <w:u w:val="none"/>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47479</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4927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31.7</w:t>
            </w:r>
          </w:p>
        </w:tc>
      </w:tr>
      <w:tr w14:paraId="1D37A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24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F8D48">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当年收入合计</w:t>
            </w:r>
          </w:p>
        </w:tc>
        <w:tc>
          <w:tcPr>
            <w:tcW w:w="1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EB41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94044 </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5E9C5">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13.7</w:t>
            </w:r>
          </w:p>
        </w:tc>
      </w:tr>
      <w:tr w14:paraId="341CC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24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1B52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上年结余</w:t>
            </w:r>
          </w:p>
        </w:tc>
        <w:tc>
          <w:tcPr>
            <w:tcW w:w="1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F881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117638 </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91996">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0D12B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24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C42E3">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1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447C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211682 </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4A480">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bl>
    <w:p w14:paraId="228B326B">
      <w:pPr>
        <w:pStyle w:val="2"/>
        <w:ind w:left="0" w:leftChars="0" w:firstLine="0" w:firstLineChars="0"/>
        <w:rPr>
          <w:rFonts w:hint="eastAsia"/>
          <w:color w:val="000000" w:themeColor="text1"/>
          <w:lang w:eastAsia="zh-CN"/>
          <w14:textFill>
            <w14:solidFill>
              <w14:schemeClr w14:val="tx1"/>
            </w14:solidFill>
          </w14:textFill>
        </w:rPr>
      </w:pPr>
    </w:p>
    <w:p w14:paraId="1BFD4548">
      <w:pPr>
        <w:rPr>
          <w:rFonts w:hint="eastAsia"/>
          <w:color w:val="000000" w:themeColor="text1"/>
          <w:lang w:eastAsia="zh-CN"/>
          <w14:textFill>
            <w14:solidFill>
              <w14:schemeClr w14:val="tx1"/>
            </w14:solidFill>
          </w14:textFill>
        </w:rPr>
      </w:pPr>
    </w:p>
    <w:p w14:paraId="28DB2D6A">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8865"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824"/>
        <w:gridCol w:w="2220"/>
        <w:gridCol w:w="1824"/>
      </w:tblGrid>
      <w:tr w14:paraId="1E56B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4824" w:type="dxa"/>
            <w:tcBorders>
              <w:top w:val="nil"/>
              <w:left w:val="nil"/>
              <w:bottom w:val="nil"/>
              <w:right w:val="nil"/>
            </w:tcBorders>
            <w:shd w:val="clear" w:color="auto" w:fill="auto"/>
            <w:noWrap/>
            <w:vAlign w:val="center"/>
          </w:tcPr>
          <w:p w14:paraId="4324B012">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w:t>
            </w:r>
            <w:r>
              <w:rPr>
                <w:rStyle w:val="25"/>
                <w:color w:val="000000" w:themeColor="text1"/>
                <w:lang w:val="en-US" w:eastAsia="zh-CN" w:bidi="ar"/>
                <w14:textFill>
                  <w14:solidFill>
                    <w14:schemeClr w14:val="tx1"/>
                  </w14:solidFill>
                </w14:textFill>
              </w:rPr>
              <w:t>4</w:t>
            </w:r>
          </w:p>
        </w:tc>
        <w:tc>
          <w:tcPr>
            <w:tcW w:w="2220" w:type="dxa"/>
            <w:tcBorders>
              <w:top w:val="nil"/>
              <w:left w:val="nil"/>
              <w:bottom w:val="nil"/>
              <w:right w:val="nil"/>
            </w:tcBorders>
            <w:shd w:val="clear" w:color="auto" w:fill="auto"/>
            <w:noWrap/>
            <w:vAlign w:val="center"/>
          </w:tcPr>
          <w:p w14:paraId="1C584892">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824" w:type="dxa"/>
            <w:tcBorders>
              <w:top w:val="nil"/>
              <w:left w:val="nil"/>
              <w:bottom w:val="nil"/>
              <w:right w:val="nil"/>
            </w:tcBorders>
            <w:shd w:val="clear" w:color="auto" w:fill="auto"/>
            <w:noWrap/>
            <w:vAlign w:val="center"/>
          </w:tcPr>
          <w:p w14:paraId="6C5EAE2C">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255AD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4824" w:type="dxa"/>
            <w:gridSpan w:val="3"/>
            <w:tcBorders>
              <w:top w:val="nil"/>
              <w:left w:val="nil"/>
              <w:bottom w:val="nil"/>
              <w:right w:val="nil"/>
            </w:tcBorders>
            <w:shd w:val="clear" w:color="auto" w:fill="auto"/>
            <w:vAlign w:val="center"/>
          </w:tcPr>
          <w:p w14:paraId="6CAB3322">
            <w:pPr>
              <w:keepNext w:val="0"/>
              <w:keepLines w:val="0"/>
              <w:widowControl/>
              <w:suppressLineNumbers w:val="0"/>
              <w:jc w:val="center"/>
              <w:textAlignment w:val="center"/>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2024年区级社会保险基金支出预算草案</w:t>
            </w:r>
          </w:p>
        </w:tc>
      </w:tr>
      <w:tr w14:paraId="0D461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0" w:type="auto"/>
            <w:tcBorders>
              <w:top w:val="nil"/>
              <w:left w:val="nil"/>
              <w:bottom w:val="nil"/>
              <w:right w:val="nil"/>
            </w:tcBorders>
            <w:shd w:val="clear" w:color="auto" w:fill="auto"/>
            <w:noWrap/>
            <w:vAlign w:val="center"/>
          </w:tcPr>
          <w:p w14:paraId="21BA1166">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0" w:type="auto"/>
            <w:tcBorders>
              <w:top w:val="nil"/>
              <w:left w:val="nil"/>
              <w:bottom w:val="nil"/>
              <w:right w:val="nil"/>
            </w:tcBorders>
            <w:shd w:val="clear" w:color="auto" w:fill="auto"/>
            <w:noWrap/>
            <w:vAlign w:val="center"/>
          </w:tcPr>
          <w:p w14:paraId="3B1DF35B">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0" w:type="auto"/>
            <w:tcBorders>
              <w:top w:val="nil"/>
              <w:left w:val="nil"/>
              <w:bottom w:val="nil"/>
              <w:right w:val="nil"/>
            </w:tcBorders>
            <w:shd w:val="clear" w:color="auto" w:fill="auto"/>
            <w:noWrap/>
            <w:vAlign w:val="center"/>
          </w:tcPr>
          <w:p w14:paraId="61E9BC2D">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1E3B0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8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3F5A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2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95483">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2024年预算数</w:t>
            </w: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8B9CB">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79730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AA1F8">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一、城乡居民基本养老保险基金支出</w:t>
            </w:r>
          </w:p>
        </w:tc>
        <w:tc>
          <w:tcPr>
            <w:tcW w:w="222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644F189A">
            <w:pPr>
              <w:keepNext w:val="0"/>
              <w:keepLines w:val="0"/>
              <w:widowControl/>
              <w:suppressLineNumbers w:val="0"/>
              <w:jc w:val="center"/>
              <w:textAlignment w:val="bottom"/>
              <w:rPr>
                <w:rFonts w:hint="eastAsia" w:ascii="宋体" w:hAnsi="宋体" w:eastAsia="宋体" w:cs="宋体"/>
                <w:i w:val="0"/>
                <w:iCs w:val="0"/>
                <w:color w:val="000000" w:themeColor="text1"/>
                <w:sz w:val="22"/>
                <w:szCs w:val="22"/>
                <w:u w:val="none"/>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37599</w:t>
            </w: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D6CA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17.1</w:t>
            </w:r>
          </w:p>
        </w:tc>
      </w:tr>
      <w:tr w14:paraId="53F6E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A8D3D">
            <w:pPr>
              <w:keepNext w:val="0"/>
              <w:keepLines w:val="0"/>
              <w:widowControl/>
              <w:suppressLineNumbers w:val="0"/>
              <w:jc w:val="lef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二、机关事业单位基本养老保险基金</w:t>
            </w:r>
          </w:p>
        </w:tc>
        <w:tc>
          <w:tcPr>
            <w:tcW w:w="222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239007EF">
            <w:pPr>
              <w:keepNext w:val="0"/>
              <w:keepLines w:val="0"/>
              <w:widowControl/>
              <w:suppressLineNumbers w:val="0"/>
              <w:jc w:val="center"/>
              <w:textAlignment w:val="bottom"/>
              <w:rPr>
                <w:rFonts w:hint="eastAsia" w:ascii="宋体" w:hAnsi="宋体" w:eastAsia="宋体" w:cs="宋体"/>
                <w:i w:val="0"/>
                <w:iCs w:val="0"/>
                <w:color w:val="000000" w:themeColor="text1"/>
                <w:sz w:val="22"/>
                <w:szCs w:val="22"/>
                <w:u w:val="none"/>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50244</w:t>
            </w: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B6EE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14.1</w:t>
            </w:r>
          </w:p>
        </w:tc>
      </w:tr>
      <w:tr w14:paraId="59671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A7815">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当年支出合计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13E89">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87843 </w:t>
            </w: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5587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15.4</w:t>
            </w:r>
          </w:p>
        </w:tc>
      </w:tr>
      <w:tr w14:paraId="0C79A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F4AD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年终结余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9F711">
            <w:pPr>
              <w:keepNext w:val="0"/>
              <w:keepLines w:val="0"/>
              <w:widowControl/>
              <w:suppressLineNumbers w:val="0"/>
              <w:jc w:val="center"/>
              <w:textAlignment w:val="center"/>
              <w:rPr>
                <w:rFonts w:hint="eastAsia" w:ascii="宋体" w:hAnsi="宋体" w:eastAsia="宋体" w:cs="宋体"/>
                <w:b/>
                <w:bCs/>
                <w:i w:val="0"/>
                <w:iCs w:val="0"/>
                <w:color w:val="000000" w:themeColor="text1"/>
                <w:sz w:val="22"/>
                <w:szCs w:val="22"/>
                <w:u w:val="none"/>
                <w14:textFill>
                  <w14:solidFill>
                    <w14:schemeClr w14:val="tx1"/>
                  </w14:solidFill>
                </w14:textFill>
              </w:rPr>
            </w:pPr>
            <w:r>
              <w:rPr>
                <w:rFonts w:hint="eastAsia" w:ascii="宋体" w:hAnsi="宋体" w:eastAsia="宋体" w:cs="宋体"/>
                <w:b/>
                <w:bCs/>
                <w:i w:val="0"/>
                <w:iCs w:val="0"/>
                <w:color w:val="000000" w:themeColor="text1"/>
                <w:kern w:val="0"/>
                <w:sz w:val="22"/>
                <w:szCs w:val="22"/>
                <w:u w:val="none"/>
                <w:lang w:val="en-US" w:eastAsia="zh-CN" w:bidi="ar"/>
                <w14:textFill>
                  <w14:solidFill>
                    <w14:schemeClr w14:val="tx1"/>
                  </w14:solidFill>
                </w14:textFill>
              </w:rPr>
              <w:t>123839</w:t>
            </w: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AF3E6">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7A85C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208EF">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6864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211682 </w:t>
            </w: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6FB1F">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bl>
    <w:p w14:paraId="5602C6B7">
      <w:pPr>
        <w:rPr>
          <w:rFonts w:hint="eastAsia"/>
          <w:color w:val="000000" w:themeColor="text1"/>
          <w:lang w:eastAsia="zh-CN"/>
          <w14:textFill>
            <w14:solidFill>
              <w14:schemeClr w14:val="tx1"/>
            </w14:solidFill>
          </w14:textFill>
        </w:rPr>
      </w:pPr>
    </w:p>
    <w:p w14:paraId="20DD9BED">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8340"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428"/>
        <w:gridCol w:w="1932"/>
        <w:gridCol w:w="1980"/>
      </w:tblGrid>
      <w:tr w14:paraId="2C65A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4428" w:type="dxa"/>
            <w:tcBorders>
              <w:top w:val="nil"/>
              <w:left w:val="nil"/>
              <w:bottom w:val="nil"/>
              <w:right w:val="nil"/>
            </w:tcBorders>
            <w:shd w:val="clear" w:color="auto" w:fill="auto"/>
            <w:noWrap/>
            <w:vAlign w:val="bottom"/>
          </w:tcPr>
          <w:p w14:paraId="0DD0F828">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表15</w:t>
            </w:r>
          </w:p>
        </w:tc>
        <w:tc>
          <w:tcPr>
            <w:tcW w:w="1932" w:type="dxa"/>
            <w:tcBorders>
              <w:top w:val="nil"/>
              <w:left w:val="nil"/>
              <w:bottom w:val="nil"/>
              <w:right w:val="nil"/>
            </w:tcBorders>
            <w:shd w:val="clear" w:color="auto" w:fill="auto"/>
            <w:noWrap/>
            <w:vAlign w:val="bottom"/>
          </w:tcPr>
          <w:p w14:paraId="133E0939">
            <w:pP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980" w:type="dxa"/>
            <w:tcBorders>
              <w:top w:val="nil"/>
              <w:left w:val="nil"/>
              <w:bottom w:val="nil"/>
              <w:right w:val="nil"/>
            </w:tcBorders>
            <w:shd w:val="clear" w:color="auto" w:fill="auto"/>
            <w:noWrap/>
            <w:vAlign w:val="bottom"/>
          </w:tcPr>
          <w:p w14:paraId="5E4E5479">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6DB12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4428" w:type="dxa"/>
            <w:gridSpan w:val="3"/>
            <w:tcBorders>
              <w:top w:val="nil"/>
              <w:left w:val="nil"/>
              <w:bottom w:val="nil"/>
              <w:right w:val="nil"/>
            </w:tcBorders>
            <w:shd w:val="clear" w:color="auto" w:fill="auto"/>
            <w:vAlign w:val="center"/>
          </w:tcPr>
          <w:p w14:paraId="747DA404">
            <w:pPr>
              <w:keepNext w:val="0"/>
              <w:keepLines w:val="0"/>
              <w:widowControl/>
              <w:suppressLineNumbers w:val="0"/>
              <w:jc w:val="center"/>
              <w:textAlignment w:val="center"/>
              <w:rPr>
                <w:rFonts w:hint="eastAsia" w:ascii="宋体" w:hAnsi="宋体" w:eastAsia="宋体" w:cs="宋体"/>
                <w:b/>
                <w:bCs/>
                <w:i w:val="0"/>
                <w:iCs w:val="0"/>
                <w:color w:val="000000" w:themeColor="text1"/>
                <w:sz w:val="40"/>
                <w:szCs w:val="40"/>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2024年区级国有资本经营收入预算草案</w:t>
            </w:r>
          </w:p>
        </w:tc>
      </w:tr>
      <w:tr w14:paraId="5DE08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0" w:type="auto"/>
            <w:tcBorders>
              <w:top w:val="nil"/>
              <w:left w:val="nil"/>
              <w:bottom w:val="nil"/>
              <w:right w:val="nil"/>
            </w:tcBorders>
            <w:shd w:val="clear" w:color="auto" w:fill="auto"/>
            <w:noWrap/>
            <w:vAlign w:val="center"/>
          </w:tcPr>
          <w:p w14:paraId="780FD91E">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0" w:type="auto"/>
            <w:tcBorders>
              <w:top w:val="nil"/>
              <w:left w:val="nil"/>
              <w:bottom w:val="nil"/>
              <w:right w:val="nil"/>
            </w:tcBorders>
            <w:shd w:val="clear" w:color="auto" w:fill="auto"/>
            <w:noWrap/>
            <w:vAlign w:val="center"/>
          </w:tcPr>
          <w:p w14:paraId="309CC359">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0" w:type="auto"/>
            <w:tcBorders>
              <w:top w:val="nil"/>
              <w:left w:val="nil"/>
              <w:bottom w:val="nil"/>
              <w:right w:val="nil"/>
            </w:tcBorders>
            <w:shd w:val="clear" w:color="auto" w:fill="auto"/>
            <w:noWrap/>
            <w:vAlign w:val="center"/>
          </w:tcPr>
          <w:p w14:paraId="79C578B0">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62413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0665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E262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2024年预算数</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4B1E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0AC30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147E7">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一、国有资本经营收入</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B75CF">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20000 </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6951E">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-30 </w:t>
            </w:r>
          </w:p>
        </w:tc>
      </w:tr>
      <w:tr w14:paraId="6DBFE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8EBC6">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其他国有资本经营预算收入</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401B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20000 </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AB6D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-30 </w:t>
            </w:r>
          </w:p>
        </w:tc>
      </w:tr>
      <w:tr w14:paraId="4A453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428" w:type="dxa"/>
            <w:tcBorders>
              <w:top w:val="nil"/>
              <w:left w:val="single" w:color="000000" w:sz="4" w:space="0"/>
              <w:bottom w:val="single" w:color="000000" w:sz="4" w:space="0"/>
              <w:right w:val="single" w:color="000000" w:sz="4" w:space="0"/>
            </w:tcBorders>
            <w:shd w:val="clear" w:color="auto" w:fill="auto"/>
            <w:vAlign w:val="center"/>
          </w:tcPr>
          <w:p w14:paraId="4C80794D">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本年收入合计</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956E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20000 </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40501">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-30 </w:t>
            </w:r>
          </w:p>
        </w:tc>
      </w:tr>
      <w:tr w14:paraId="2512F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428" w:type="dxa"/>
            <w:tcBorders>
              <w:top w:val="nil"/>
              <w:left w:val="single" w:color="000000" w:sz="4" w:space="0"/>
              <w:bottom w:val="single" w:color="000000" w:sz="4" w:space="0"/>
              <w:right w:val="single" w:color="000000" w:sz="4" w:space="0"/>
            </w:tcBorders>
            <w:shd w:val="clear" w:color="auto" w:fill="auto"/>
            <w:vAlign w:val="center"/>
          </w:tcPr>
          <w:p w14:paraId="079BBF0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上级补助</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8619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 </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00A29">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3517A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7B64B81C">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FD3C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20020 </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5383A">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bl>
    <w:p w14:paraId="6CA7A590">
      <w:pPr>
        <w:rPr>
          <w:rFonts w:hint="eastAsia"/>
          <w:color w:val="000000" w:themeColor="text1"/>
          <w:lang w:eastAsia="zh-CN"/>
          <w14:textFill>
            <w14:solidFill>
              <w14:schemeClr w14:val="tx1"/>
            </w14:solidFill>
          </w14:textFill>
        </w:rPr>
      </w:pPr>
    </w:p>
    <w:p w14:paraId="0C17A061">
      <w:pPr>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br w:type="page"/>
      </w:r>
    </w:p>
    <w:tbl>
      <w:tblPr>
        <w:tblStyle w:val="10"/>
        <w:tblW w:w="8388"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363"/>
        <w:gridCol w:w="2119"/>
        <w:gridCol w:w="1906"/>
      </w:tblGrid>
      <w:tr w14:paraId="69563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4363" w:type="dxa"/>
            <w:tcBorders>
              <w:top w:val="nil"/>
              <w:left w:val="nil"/>
              <w:bottom w:val="nil"/>
              <w:right w:val="nil"/>
            </w:tcBorders>
            <w:shd w:val="clear" w:color="auto" w:fill="auto"/>
            <w:noWrap/>
            <w:vAlign w:val="bottom"/>
          </w:tcPr>
          <w:p w14:paraId="380FC751">
            <w:pPr>
              <w:keepNext w:val="0"/>
              <w:keepLines w:val="0"/>
              <w:widowControl/>
              <w:suppressLineNumbers w:val="0"/>
              <w:jc w:val="left"/>
              <w:textAlignment w:val="bottom"/>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表16</w:t>
            </w:r>
          </w:p>
        </w:tc>
        <w:tc>
          <w:tcPr>
            <w:tcW w:w="2119" w:type="dxa"/>
            <w:tcBorders>
              <w:top w:val="nil"/>
              <w:left w:val="nil"/>
              <w:bottom w:val="nil"/>
              <w:right w:val="nil"/>
            </w:tcBorders>
            <w:shd w:val="clear" w:color="auto" w:fill="auto"/>
            <w:noWrap/>
            <w:vAlign w:val="bottom"/>
          </w:tcPr>
          <w:p w14:paraId="1D427DBB">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906" w:type="dxa"/>
            <w:tcBorders>
              <w:top w:val="nil"/>
              <w:left w:val="nil"/>
              <w:bottom w:val="nil"/>
              <w:right w:val="nil"/>
            </w:tcBorders>
            <w:shd w:val="clear" w:color="auto" w:fill="auto"/>
            <w:noWrap/>
            <w:vAlign w:val="bottom"/>
          </w:tcPr>
          <w:p w14:paraId="4863122A">
            <w:pPr>
              <w:rPr>
                <w:rFonts w:hint="eastAsia" w:ascii="宋体" w:hAnsi="宋体" w:eastAsia="宋体" w:cs="宋体"/>
                <w:i w:val="0"/>
                <w:iCs w:val="0"/>
                <w:color w:val="000000" w:themeColor="text1"/>
                <w:sz w:val="24"/>
                <w:szCs w:val="24"/>
                <w:u w:val="none"/>
                <w14:textFill>
                  <w14:solidFill>
                    <w14:schemeClr w14:val="tx1"/>
                  </w14:solidFill>
                </w14:textFill>
              </w:rPr>
            </w:pPr>
          </w:p>
        </w:tc>
      </w:tr>
      <w:tr w14:paraId="77DD9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8388" w:type="dxa"/>
            <w:gridSpan w:val="3"/>
            <w:tcBorders>
              <w:top w:val="nil"/>
              <w:left w:val="nil"/>
              <w:bottom w:val="nil"/>
              <w:right w:val="nil"/>
            </w:tcBorders>
            <w:shd w:val="clear" w:color="auto" w:fill="auto"/>
            <w:vAlign w:val="center"/>
          </w:tcPr>
          <w:p w14:paraId="729D8F53">
            <w:pPr>
              <w:keepNext w:val="0"/>
              <w:keepLines w:val="0"/>
              <w:widowControl/>
              <w:suppressLineNumbers w:val="0"/>
              <w:jc w:val="center"/>
              <w:textAlignment w:val="center"/>
              <w:rPr>
                <w:rFonts w:hint="eastAsia" w:ascii="宋体" w:hAnsi="宋体" w:eastAsia="宋体" w:cs="宋体"/>
                <w:b/>
                <w:bCs/>
                <w:i w:val="0"/>
                <w:iCs w:val="0"/>
                <w:color w:val="000000" w:themeColor="text1"/>
                <w:sz w:val="32"/>
                <w:szCs w:val="32"/>
                <w:u w:val="none"/>
                <w14:textFill>
                  <w14:solidFill>
                    <w14:schemeClr w14:val="tx1"/>
                  </w14:solidFill>
                </w14:textFill>
              </w:rPr>
            </w:pPr>
            <w:r>
              <w:rPr>
                <w:rFonts w:hint="eastAsia" w:ascii="宋体" w:hAnsi="宋体" w:eastAsia="宋体" w:cs="宋体"/>
                <w:b/>
                <w:bCs/>
                <w:i w:val="0"/>
                <w:iCs w:val="0"/>
                <w:color w:val="000000" w:themeColor="text1"/>
                <w:kern w:val="0"/>
                <w:sz w:val="40"/>
                <w:szCs w:val="40"/>
                <w:u w:val="none"/>
                <w:lang w:val="en-US" w:eastAsia="zh-CN" w:bidi="ar"/>
                <w14:textFill>
                  <w14:solidFill>
                    <w14:schemeClr w14:val="tx1"/>
                  </w14:solidFill>
                </w14:textFill>
              </w:rPr>
              <w:t>2024年区级国有资本经营支出预算草案</w:t>
            </w:r>
          </w:p>
        </w:tc>
      </w:tr>
      <w:tr w14:paraId="5A6EC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4363" w:type="dxa"/>
            <w:tcBorders>
              <w:top w:val="nil"/>
              <w:left w:val="nil"/>
              <w:bottom w:val="nil"/>
              <w:right w:val="nil"/>
            </w:tcBorders>
            <w:shd w:val="clear" w:color="auto" w:fill="auto"/>
            <w:noWrap/>
            <w:vAlign w:val="center"/>
          </w:tcPr>
          <w:p w14:paraId="1B96037C">
            <w:pPr>
              <w:jc w:val="left"/>
              <w:rPr>
                <w:rFonts w:hint="eastAsia" w:ascii="宋体" w:hAnsi="宋体" w:eastAsia="宋体" w:cs="宋体"/>
                <w:i w:val="0"/>
                <w:iCs w:val="0"/>
                <w:color w:val="000000" w:themeColor="text1"/>
                <w:sz w:val="24"/>
                <w:szCs w:val="24"/>
                <w:u w:val="none"/>
                <w14:textFill>
                  <w14:solidFill>
                    <w14:schemeClr w14:val="tx1"/>
                  </w14:solidFill>
                </w14:textFill>
              </w:rPr>
            </w:pPr>
          </w:p>
        </w:tc>
        <w:tc>
          <w:tcPr>
            <w:tcW w:w="4025" w:type="dxa"/>
            <w:gridSpan w:val="2"/>
            <w:tcBorders>
              <w:top w:val="nil"/>
              <w:left w:val="nil"/>
              <w:bottom w:val="single" w:color="000000" w:sz="4" w:space="0"/>
              <w:right w:val="nil"/>
            </w:tcBorders>
            <w:shd w:val="clear" w:color="auto" w:fill="auto"/>
            <w:noWrap/>
            <w:vAlign w:val="center"/>
          </w:tcPr>
          <w:p w14:paraId="3D52303A">
            <w:pPr>
              <w:keepNext w:val="0"/>
              <w:keepLines w:val="0"/>
              <w:widowControl/>
              <w:suppressLineNumbers w:val="0"/>
              <w:jc w:val="right"/>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单位：万元</w:t>
            </w:r>
          </w:p>
        </w:tc>
      </w:tr>
      <w:tr w14:paraId="3961B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4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56F7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科目名称</w:t>
            </w:r>
          </w:p>
        </w:tc>
        <w:tc>
          <w:tcPr>
            <w:tcW w:w="2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68AA4">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2024年预算数</w:t>
            </w:r>
          </w:p>
        </w:tc>
        <w:tc>
          <w:tcPr>
            <w:tcW w:w="1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C1C65">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比上年增长(%)</w:t>
            </w:r>
          </w:p>
        </w:tc>
      </w:tr>
      <w:tr w14:paraId="4836D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363" w:type="dxa"/>
            <w:tcBorders>
              <w:top w:val="single" w:color="000000" w:sz="4" w:space="0"/>
              <w:left w:val="single" w:color="000000" w:sz="4" w:space="0"/>
              <w:bottom w:val="single" w:color="000000" w:sz="4" w:space="0"/>
              <w:right w:val="single" w:color="000000" w:sz="4" w:space="0"/>
            </w:tcBorders>
            <w:shd w:val="clear" w:color="auto" w:fill="auto"/>
            <w:vAlign w:val="top"/>
          </w:tcPr>
          <w:p w14:paraId="03BC6399">
            <w:pPr>
              <w:keepNext w:val="0"/>
              <w:keepLines w:val="0"/>
              <w:widowControl/>
              <w:suppressLineNumbers w:val="0"/>
              <w:jc w:val="left"/>
              <w:textAlignment w:val="top"/>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一、 其他解决历史遗留问题及改革    成本支出</w:t>
            </w:r>
          </w:p>
        </w:tc>
        <w:tc>
          <w:tcPr>
            <w:tcW w:w="2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47781">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14020 </w:t>
            </w:r>
          </w:p>
        </w:tc>
        <w:tc>
          <w:tcPr>
            <w:tcW w:w="1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3B03B">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-30 </w:t>
            </w:r>
          </w:p>
        </w:tc>
      </w:tr>
      <w:tr w14:paraId="4985F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E1088">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二、其他国有企业资本金注入</w:t>
            </w:r>
          </w:p>
        </w:tc>
        <w:tc>
          <w:tcPr>
            <w:tcW w:w="2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EE18C">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EFED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100 </w:t>
            </w:r>
          </w:p>
        </w:tc>
      </w:tr>
      <w:tr w14:paraId="5D36E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39832">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三、国有企业政策性补贴</w:t>
            </w:r>
          </w:p>
        </w:tc>
        <w:tc>
          <w:tcPr>
            <w:tcW w:w="2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ADFC6">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E4849">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100 </w:t>
            </w:r>
          </w:p>
        </w:tc>
      </w:tr>
      <w:tr w14:paraId="015CA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84B3E">
            <w:pPr>
              <w:keepNext w:val="0"/>
              <w:keepLines w:val="0"/>
              <w:widowControl/>
              <w:suppressLineNumbers w:val="0"/>
              <w:jc w:val="both"/>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    四、其他国有资本经营预算支出</w:t>
            </w:r>
          </w:p>
        </w:tc>
        <w:tc>
          <w:tcPr>
            <w:tcW w:w="2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54B17">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1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1B597">
            <w:pPr>
              <w:jc w:val="center"/>
              <w:rPr>
                <w:rFonts w:hint="eastAsia" w:ascii="宋体" w:hAnsi="宋体" w:eastAsia="宋体" w:cs="宋体"/>
                <w:i w:val="0"/>
                <w:iCs w:val="0"/>
                <w:color w:val="000000" w:themeColor="text1"/>
                <w:sz w:val="24"/>
                <w:szCs w:val="24"/>
                <w:u w:val="none"/>
                <w14:textFill>
                  <w14:solidFill>
                    <w14:schemeClr w14:val="tx1"/>
                  </w14:solidFill>
                </w14:textFill>
              </w:rPr>
            </w:pPr>
          </w:p>
        </w:tc>
      </w:tr>
      <w:tr w14:paraId="63C22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4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1B456">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支出合计</w:t>
            </w:r>
          </w:p>
        </w:tc>
        <w:tc>
          <w:tcPr>
            <w:tcW w:w="2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4F71A">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14020 </w:t>
            </w:r>
          </w:p>
        </w:tc>
        <w:tc>
          <w:tcPr>
            <w:tcW w:w="1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C30C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-30 </w:t>
            </w:r>
          </w:p>
        </w:tc>
      </w:tr>
      <w:tr w14:paraId="4479F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7B9EE">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 调出资金</w:t>
            </w:r>
          </w:p>
        </w:tc>
        <w:tc>
          <w:tcPr>
            <w:tcW w:w="2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DB267">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6000 </w:t>
            </w:r>
          </w:p>
        </w:tc>
        <w:tc>
          <w:tcPr>
            <w:tcW w:w="1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E2D45">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r w14:paraId="45779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43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0DC92">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合计</w:t>
            </w:r>
          </w:p>
        </w:tc>
        <w:tc>
          <w:tcPr>
            <w:tcW w:w="2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7DF20">
            <w:pPr>
              <w:keepNext w:val="0"/>
              <w:keepLines w:val="0"/>
              <w:widowControl/>
              <w:suppressLineNumbers w:val="0"/>
              <w:jc w:val="center"/>
              <w:textAlignment w:val="center"/>
              <w:rPr>
                <w:rFonts w:hint="eastAsia" w:ascii="宋体" w:hAnsi="宋体" w:eastAsia="宋体" w:cs="宋体"/>
                <w:b/>
                <w:bCs/>
                <w:i w:val="0"/>
                <w:iCs w:val="0"/>
                <w:color w:val="000000" w:themeColor="text1"/>
                <w:sz w:val="24"/>
                <w:szCs w:val="24"/>
                <w:u w:val="none"/>
                <w14:textFill>
                  <w14:solidFill>
                    <w14:schemeClr w14:val="tx1"/>
                  </w14:solidFill>
                </w14:textFill>
              </w:rPr>
            </w:pPr>
            <w:r>
              <w:rPr>
                <w:rFonts w:hint="eastAsia" w:ascii="宋体" w:hAnsi="宋体" w:eastAsia="宋体" w:cs="宋体"/>
                <w:b/>
                <w:bCs/>
                <w:i w:val="0"/>
                <w:iCs w:val="0"/>
                <w:color w:val="000000" w:themeColor="text1"/>
                <w:kern w:val="0"/>
                <w:sz w:val="24"/>
                <w:szCs w:val="24"/>
                <w:u w:val="none"/>
                <w:lang w:val="en-US" w:eastAsia="zh-CN" w:bidi="ar"/>
                <w14:textFill>
                  <w14:solidFill>
                    <w14:schemeClr w14:val="tx1"/>
                  </w14:solidFill>
                </w14:textFill>
              </w:rPr>
              <w:t xml:space="preserve">20020 </w:t>
            </w:r>
          </w:p>
        </w:tc>
        <w:tc>
          <w:tcPr>
            <w:tcW w:w="1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FC5FB">
            <w:pPr>
              <w:jc w:val="center"/>
              <w:rPr>
                <w:rFonts w:hint="eastAsia" w:ascii="宋体" w:hAnsi="宋体" w:eastAsia="宋体" w:cs="宋体"/>
                <w:b/>
                <w:bCs/>
                <w:i w:val="0"/>
                <w:iCs w:val="0"/>
                <w:color w:val="000000" w:themeColor="text1"/>
                <w:sz w:val="24"/>
                <w:szCs w:val="24"/>
                <w:u w:val="none"/>
                <w14:textFill>
                  <w14:solidFill>
                    <w14:schemeClr w14:val="tx1"/>
                  </w14:solidFill>
                </w14:textFill>
              </w:rPr>
            </w:pPr>
          </w:p>
        </w:tc>
      </w:tr>
    </w:tbl>
    <w:p w14:paraId="73815F2D">
      <w:pPr>
        <w:rPr>
          <w:rFonts w:hint="eastAsia"/>
          <w:color w:val="000000" w:themeColor="text1"/>
          <w:lang w:eastAsia="zh-CN"/>
          <w14:textFill>
            <w14:solidFill>
              <w14:schemeClr w14:val="tx1"/>
            </w14:solidFill>
          </w14:textFill>
        </w:rPr>
      </w:pPr>
    </w:p>
    <w:sectPr>
      <w:footerReference r:id="rId7" w:type="default"/>
      <w:pgSz w:w="11906" w:h="16838"/>
      <w:pgMar w:top="1531" w:right="1559" w:bottom="2268" w:left="1559" w:header="851" w:footer="1701" w:gutter="0"/>
      <w:pgNumType w:fmt="decimal"/>
      <w:cols w:space="0" w:num="1"/>
      <w:rtlGutter w:val="0"/>
      <w:docGrid w:type="lines" w:linePitch="44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方正舒体"/>
    <w:panose1 w:val="02010601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45E3E2">
    <w:pPr>
      <w:pStyle w:val="7"/>
      <w:rPr>
        <w:sz w:val="28"/>
        <w:szCs w:val="2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C4C831">
                          <w:pPr>
                            <w:pStyle w:val="7"/>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5BC4C831">
                    <w:pPr>
                      <w:pStyle w:val="7"/>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21485F">
    <w:pPr>
      <w:pStyle w:val="7"/>
      <w:rPr>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F3EE3">
    <w:pPr>
      <w:pStyle w:val="7"/>
      <w:rPr>
        <w:sz w:val="28"/>
        <w:szCs w:val="2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2FD722">
                          <w:pPr>
                            <w:pStyle w:val="7"/>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232FD722">
                    <w:pPr>
                      <w:pStyle w:val="7"/>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449490">
    <w:pPr>
      <w:pStyle w:val="7"/>
      <w:rPr>
        <w:sz w:val="28"/>
        <w:szCs w:val="2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A260A">
    <w:pPr>
      <w:pStyle w:val="7"/>
      <w:rPr>
        <w:sz w:val="28"/>
        <w:szCs w:val="2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112A1E">
                          <w:pPr>
                            <w:pStyle w:val="7"/>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29112A1E">
                    <w:pPr>
                      <w:pStyle w:val="7"/>
                      <w:rPr>
                        <w:rFonts w:hint="default" w:ascii="Times New Roman" w:hAnsi="Times New Roman" w:cs="Times New Roman" w:eastAsiaTheme="minorEastAsia"/>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0"/>
  <w:bordersDoNotSurroundFooter w:val="0"/>
  <w:attachedTemplate r:id="rId1"/>
  <w:documentProtection w:enforcement="0"/>
  <w:defaultTabStop w:val="420"/>
  <w:drawingGridVerticalSpacing w:val="22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1C2A75F5"/>
    <w:rsid w:val="0077530D"/>
    <w:rsid w:val="04EE150D"/>
    <w:rsid w:val="0527060F"/>
    <w:rsid w:val="06EB6E0C"/>
    <w:rsid w:val="08E62AC6"/>
    <w:rsid w:val="09B434E5"/>
    <w:rsid w:val="0BC47C2C"/>
    <w:rsid w:val="0D5B4A79"/>
    <w:rsid w:val="0E3F22D5"/>
    <w:rsid w:val="0E416B70"/>
    <w:rsid w:val="0F7C1266"/>
    <w:rsid w:val="0FBE25DD"/>
    <w:rsid w:val="118B16AA"/>
    <w:rsid w:val="13F21C87"/>
    <w:rsid w:val="16006F98"/>
    <w:rsid w:val="168E1C87"/>
    <w:rsid w:val="18B73060"/>
    <w:rsid w:val="18CA42A5"/>
    <w:rsid w:val="1C2A75F5"/>
    <w:rsid w:val="1DF71875"/>
    <w:rsid w:val="1ED01768"/>
    <w:rsid w:val="200547B4"/>
    <w:rsid w:val="21033F39"/>
    <w:rsid w:val="222339F7"/>
    <w:rsid w:val="237D7CB3"/>
    <w:rsid w:val="241F1A4B"/>
    <w:rsid w:val="261B525E"/>
    <w:rsid w:val="266B2765"/>
    <w:rsid w:val="29C037A2"/>
    <w:rsid w:val="29C516C1"/>
    <w:rsid w:val="2A0E0CEC"/>
    <w:rsid w:val="2A61691A"/>
    <w:rsid w:val="2C8877D2"/>
    <w:rsid w:val="31664408"/>
    <w:rsid w:val="32B45DAE"/>
    <w:rsid w:val="33B50B92"/>
    <w:rsid w:val="33B94BCA"/>
    <w:rsid w:val="3511718E"/>
    <w:rsid w:val="369E0EF6"/>
    <w:rsid w:val="3A2931D7"/>
    <w:rsid w:val="3A803AF3"/>
    <w:rsid w:val="3A825A8A"/>
    <w:rsid w:val="3AEC68DA"/>
    <w:rsid w:val="3E483A85"/>
    <w:rsid w:val="3E572E5B"/>
    <w:rsid w:val="40291339"/>
    <w:rsid w:val="404B1282"/>
    <w:rsid w:val="425A5997"/>
    <w:rsid w:val="43486FC5"/>
    <w:rsid w:val="43987F9D"/>
    <w:rsid w:val="48534527"/>
    <w:rsid w:val="49764453"/>
    <w:rsid w:val="4A921A7A"/>
    <w:rsid w:val="4AA471D3"/>
    <w:rsid w:val="4E4F2DA9"/>
    <w:rsid w:val="4EFE1B56"/>
    <w:rsid w:val="51DD06CC"/>
    <w:rsid w:val="52833022"/>
    <w:rsid w:val="538774E4"/>
    <w:rsid w:val="54461C3E"/>
    <w:rsid w:val="56031FFE"/>
    <w:rsid w:val="5B445B49"/>
    <w:rsid w:val="5E0223AD"/>
    <w:rsid w:val="649C6E37"/>
    <w:rsid w:val="67803B7C"/>
    <w:rsid w:val="6C345521"/>
    <w:rsid w:val="6D535020"/>
    <w:rsid w:val="6DDC431C"/>
    <w:rsid w:val="717E037B"/>
    <w:rsid w:val="759430E3"/>
    <w:rsid w:val="75C5257F"/>
    <w:rsid w:val="75F145C2"/>
    <w:rsid w:val="7AD43BFC"/>
    <w:rsid w:val="7C914409"/>
    <w:rsid w:val="7D470F6C"/>
    <w:rsid w:val="7DBA7990"/>
    <w:rsid w:val="7E622D8E"/>
    <w:rsid w:val="7F21205D"/>
    <w:rsid w:val="7F3639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仿宋" w:asciiTheme="minorHAnsi" w:hAnsiTheme="minorHAnsi" w:eastAsiaTheme="minorEastAsia"/>
      <w:kern w:val="10"/>
      <w:sz w:val="32"/>
      <w:szCs w:val="32"/>
      <w:lang w:val="en-US" w:eastAsia="zh-CN" w:bidi="ar-SA"/>
    </w:rPr>
  </w:style>
  <w:style w:type="character" w:default="1" w:styleId="11">
    <w:name w:val="Default Paragraph Font"/>
    <w:semiHidden/>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next w:val="1"/>
    <w:autoRedefine/>
    <w:qFormat/>
    <w:uiPriority w:val="0"/>
    <w:pPr>
      <w:ind w:firstLine="420" w:firstLineChars="200"/>
    </w:pPr>
  </w:style>
  <w:style w:type="paragraph" w:styleId="3">
    <w:name w:val="Body Text Indent"/>
    <w:basedOn w:val="1"/>
    <w:next w:val="1"/>
    <w:autoRedefine/>
    <w:qFormat/>
    <w:uiPriority w:val="0"/>
    <w:pPr>
      <w:spacing w:after="120" w:afterLines="0" w:afterAutospacing="0"/>
      <w:ind w:left="420" w:leftChars="200"/>
    </w:pPr>
  </w:style>
  <w:style w:type="paragraph" w:styleId="4">
    <w:name w:val="Normal Indent"/>
    <w:basedOn w:val="1"/>
    <w:next w:val="5"/>
    <w:autoRedefine/>
    <w:qFormat/>
    <w:uiPriority w:val="0"/>
    <w:pPr>
      <w:adjustRightInd w:val="0"/>
      <w:ind w:firstLine="560"/>
      <w:textAlignment w:val="baseline"/>
    </w:pPr>
    <w:rPr>
      <w:kern w:val="0"/>
      <w:sz w:val="28"/>
      <w:szCs w:val="20"/>
    </w:rPr>
  </w:style>
  <w:style w:type="paragraph" w:customStyle="1" w:styleId="5">
    <w:name w:val="样式3"/>
    <w:basedOn w:val="1"/>
    <w:next w:val="1"/>
    <w:autoRedefine/>
    <w:qFormat/>
    <w:uiPriority w:val="0"/>
    <w:pPr>
      <w:tabs>
        <w:tab w:val="left" w:pos="720"/>
      </w:tabs>
      <w:adjustRightInd w:val="0"/>
      <w:snapToGrid w:val="0"/>
      <w:spacing w:line="360" w:lineRule="auto"/>
      <w:ind w:firstLine="420"/>
    </w:pPr>
    <w:rPr>
      <w:rFonts w:ascii="楷体_GB2312" w:hAnsi="新宋体" w:eastAsia="楷体_GB2312"/>
      <w:sz w:val="24"/>
      <w:szCs w:val="20"/>
    </w:rPr>
  </w:style>
  <w:style w:type="paragraph" w:styleId="6">
    <w:name w:val="Body Text"/>
    <w:basedOn w:val="1"/>
    <w:autoRedefine/>
    <w:qFormat/>
    <w:uiPriority w:val="0"/>
    <w:rPr>
      <w:rFonts w:ascii="仿宋_GB2312" w:eastAsia="仿宋_GB2312"/>
      <w:sz w:val="32"/>
    </w:rPr>
  </w:style>
  <w:style w:type="paragraph" w:styleId="7">
    <w:name w:val="footer"/>
    <w:basedOn w:val="1"/>
    <w:autoRedefine/>
    <w:qFormat/>
    <w:uiPriority w:val="0"/>
    <w:pPr>
      <w:tabs>
        <w:tab w:val="center" w:pos="4153"/>
        <w:tab w:val="right" w:pos="8306"/>
      </w:tabs>
      <w:snapToGrid w:val="0"/>
      <w:jc w:val="left"/>
    </w:pPr>
    <w:rPr>
      <w:sz w:val="18"/>
    </w:rPr>
  </w:style>
  <w:style w:type="paragraph" w:styleId="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12">
    <w:name w:val="Strong"/>
    <w:basedOn w:val="11"/>
    <w:autoRedefine/>
    <w:qFormat/>
    <w:uiPriority w:val="0"/>
    <w:rPr>
      <w:b/>
    </w:rPr>
  </w:style>
  <w:style w:type="paragraph" w:customStyle="1" w:styleId="13">
    <w:name w:val="Body Text First Indent 2"/>
    <w:basedOn w:val="14"/>
    <w:next w:val="1"/>
    <w:autoRedefine/>
    <w:qFormat/>
    <w:uiPriority w:val="0"/>
    <w:pPr>
      <w:ind w:firstLine="200" w:firstLineChars="200"/>
    </w:pPr>
  </w:style>
  <w:style w:type="paragraph" w:customStyle="1" w:styleId="14">
    <w:name w:val="Body Text Indent"/>
    <w:basedOn w:val="1"/>
    <w:next w:val="1"/>
    <w:autoRedefine/>
    <w:qFormat/>
    <w:uiPriority w:val="0"/>
    <w:pPr>
      <w:ind w:left="200" w:leftChars="200"/>
    </w:pPr>
  </w:style>
  <w:style w:type="paragraph" w:customStyle="1" w:styleId="15">
    <w:name w:val="Plain Text"/>
    <w:basedOn w:val="1"/>
    <w:autoRedefine/>
    <w:qFormat/>
    <w:uiPriority w:val="0"/>
    <w:rPr>
      <w:rFonts w:ascii="宋体" w:hAnsi="Courier New"/>
    </w:rPr>
  </w:style>
  <w:style w:type="paragraph" w:customStyle="1" w:styleId="16">
    <w:name w:val="Normal (Web)"/>
    <w:basedOn w:val="1"/>
    <w:autoRedefine/>
    <w:qFormat/>
    <w:uiPriority w:val="0"/>
    <w:pPr>
      <w:spacing w:before="100" w:beforeLines="0" w:beforeAutospacing="1" w:after="100" w:afterLines="0" w:afterAutospacing="1"/>
      <w:jc w:val="left"/>
    </w:pPr>
    <w:rPr>
      <w:rFonts w:ascii="Calibri" w:hAnsi="Calibri" w:eastAsia="宋体" w:cs="Times New Roman"/>
      <w:kern w:val="0"/>
      <w:sz w:val="24"/>
    </w:rPr>
  </w:style>
  <w:style w:type="paragraph" w:customStyle="1" w:styleId="17">
    <w:name w:val="Body Text First Indent 21"/>
    <w:basedOn w:val="18"/>
    <w:autoRedefine/>
    <w:qFormat/>
    <w:uiPriority w:val="0"/>
    <w:pPr>
      <w:ind w:firstLine="420"/>
    </w:pPr>
  </w:style>
  <w:style w:type="paragraph" w:customStyle="1" w:styleId="18">
    <w:name w:val="Body Text Indent1"/>
    <w:basedOn w:val="1"/>
    <w:autoRedefine/>
    <w:qFormat/>
    <w:uiPriority w:val="0"/>
    <w:pPr>
      <w:spacing w:line="360" w:lineRule="auto"/>
      <w:ind w:firstLine="200" w:firstLineChars="200"/>
      <w:textAlignment w:val="baseline"/>
    </w:pPr>
    <w:rPr>
      <w:rFonts w:ascii="Times New Roman" w:hAnsi="Times New Roman" w:eastAsia="宋体" w:cs="Times New Roman"/>
      <w:szCs w:val="21"/>
    </w:rPr>
  </w:style>
  <w:style w:type="character" w:customStyle="1" w:styleId="19">
    <w:name w:val="font01"/>
    <w:basedOn w:val="11"/>
    <w:autoRedefine/>
    <w:qFormat/>
    <w:uiPriority w:val="0"/>
    <w:rPr>
      <w:rFonts w:hint="eastAsia" w:ascii="宋体" w:hAnsi="宋体" w:eastAsia="宋体" w:cs="宋体"/>
      <w:color w:val="000000"/>
      <w:sz w:val="24"/>
      <w:szCs w:val="24"/>
      <w:u w:val="none"/>
    </w:rPr>
  </w:style>
  <w:style w:type="character" w:customStyle="1" w:styleId="20">
    <w:name w:val="font21"/>
    <w:basedOn w:val="11"/>
    <w:autoRedefine/>
    <w:qFormat/>
    <w:uiPriority w:val="0"/>
    <w:rPr>
      <w:rFonts w:hint="eastAsia" w:ascii="宋体" w:hAnsi="宋体" w:eastAsia="宋体" w:cs="宋体"/>
      <w:b/>
      <w:bCs/>
      <w:color w:val="000000"/>
      <w:sz w:val="36"/>
      <w:szCs w:val="36"/>
      <w:u w:val="none"/>
    </w:rPr>
  </w:style>
  <w:style w:type="character" w:customStyle="1" w:styleId="21">
    <w:name w:val="NormalCharacter"/>
    <w:autoRedefine/>
    <w:semiHidden/>
    <w:qFormat/>
    <w:uiPriority w:val="0"/>
    <w:rPr>
      <w:rFonts w:ascii="Calibri" w:hAnsi="Calibri" w:eastAsia="宋体" w:cs="黑体"/>
      <w:kern w:val="2"/>
      <w:sz w:val="21"/>
      <w:szCs w:val="24"/>
      <w:lang w:val="en-US" w:eastAsia="zh-CN"/>
    </w:rPr>
  </w:style>
  <w:style w:type="character" w:customStyle="1" w:styleId="22">
    <w:name w:val="font31"/>
    <w:basedOn w:val="11"/>
    <w:autoRedefine/>
    <w:qFormat/>
    <w:uiPriority w:val="0"/>
    <w:rPr>
      <w:rFonts w:hint="eastAsia" w:ascii="宋体" w:hAnsi="宋体" w:eastAsia="宋体" w:cs="宋体"/>
      <w:color w:val="000000"/>
      <w:sz w:val="24"/>
      <w:szCs w:val="24"/>
      <w:u w:val="none"/>
    </w:rPr>
  </w:style>
  <w:style w:type="character" w:customStyle="1" w:styleId="23">
    <w:name w:val="font11"/>
    <w:basedOn w:val="11"/>
    <w:autoRedefine/>
    <w:qFormat/>
    <w:uiPriority w:val="0"/>
    <w:rPr>
      <w:rFonts w:hint="eastAsia" w:ascii="宋体" w:hAnsi="宋体" w:eastAsia="宋体" w:cs="宋体"/>
      <w:b/>
      <w:bCs/>
      <w:color w:val="000000"/>
      <w:sz w:val="40"/>
      <w:szCs w:val="40"/>
      <w:u w:val="none"/>
    </w:rPr>
  </w:style>
  <w:style w:type="character" w:customStyle="1" w:styleId="24">
    <w:name w:val="font41"/>
    <w:basedOn w:val="11"/>
    <w:autoRedefine/>
    <w:qFormat/>
    <w:uiPriority w:val="0"/>
    <w:rPr>
      <w:rFonts w:hint="eastAsia" w:ascii="宋体" w:hAnsi="宋体" w:eastAsia="宋体" w:cs="宋体"/>
      <w:color w:val="000000"/>
      <w:sz w:val="24"/>
      <w:szCs w:val="24"/>
      <w:u w:val="none"/>
    </w:rPr>
  </w:style>
  <w:style w:type="character" w:customStyle="1" w:styleId="25">
    <w:name w:val="font51"/>
    <w:basedOn w:val="11"/>
    <w:autoRedefine/>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34</Pages>
  <Words>9907</Words>
  <Characters>12510</Characters>
  <Lines>0</Lines>
  <Paragraphs>0</Paragraphs>
  <TotalTime>0</TotalTime>
  <ScaleCrop>false</ScaleCrop>
  <LinksUpToDate>false</LinksUpToDate>
  <CharactersWithSpaces>13003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2007-12-31T18:09:00Z</dcterms:created>
  <dc:creator>Administrator</dc:creator>
  <cp:lastModifiedBy> </cp:lastModifiedBy>
  <cp:lastPrinted>2023-01-08T09:11:00Z</cp:lastPrinted>
  <dcterms:modified xsi:type="dcterms:W3CDTF">2024-09-21T08:25:12Z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39F5154D775A454BABD2CFC93F05951B_13</vt:lpwstr>
  </property>
</Properties>
</file>