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7FC5DE6">
      <w:pPr>
        <w:keepNext w:val="0"/>
        <w:keepLines w:val="0"/>
        <w:pageBreakBefore w:val="0"/>
        <w:kinsoku/>
        <w:wordWrap/>
        <w:overflowPunct/>
        <w:topLinePunct w:val="0"/>
        <w:autoSpaceDE/>
        <w:autoSpaceDN/>
        <w:bidi w:val="0"/>
        <w:adjustRightInd/>
        <w:snapToGrid/>
        <w:spacing w:line="560" w:lineRule="exact"/>
        <w:ind w:left="0" w:leftChars="0"/>
        <w:jc w:val="center"/>
        <w:textAlignment w:val="auto"/>
        <w:rPr>
          <w:rFonts w:hint="eastAsia" w:ascii="方正公文小标宋" w:hAnsi="方正公文小标宋" w:eastAsia="方正公文小标宋" w:cs="方正公文小标宋"/>
          <w:b w:val="0"/>
          <w:bCs w:val="0"/>
          <w:i w:val="0"/>
          <w:caps w:val="0"/>
          <w:color w:val="auto"/>
          <w:spacing w:val="0"/>
          <w:sz w:val="44"/>
          <w:szCs w:val="44"/>
          <w:shd w:val="clear" w:fill="FFFFFF"/>
        </w:rPr>
      </w:pPr>
      <w:bookmarkStart w:id="0" w:name="_GoBack"/>
      <w:bookmarkEnd w:id="0"/>
      <w:r>
        <w:rPr>
          <w:rFonts w:hint="eastAsia" w:ascii="方正公文小标宋" w:hAnsi="方正公文小标宋" w:eastAsia="方正公文小标宋" w:cs="方正公文小标宋"/>
          <w:b w:val="0"/>
          <w:bCs w:val="0"/>
          <w:i w:val="0"/>
          <w:caps w:val="0"/>
          <w:color w:val="auto"/>
          <w:spacing w:val="0"/>
          <w:sz w:val="44"/>
          <w:szCs w:val="44"/>
          <w:shd w:val="clear" w:fill="FFFFFF"/>
        </w:rPr>
        <w:t>石家庄市</w:t>
      </w:r>
      <w:r>
        <w:rPr>
          <w:rFonts w:hint="eastAsia" w:ascii="方正公文小标宋" w:hAnsi="方正公文小标宋" w:eastAsia="方正公文小标宋" w:cs="方正公文小标宋"/>
          <w:b w:val="0"/>
          <w:bCs w:val="0"/>
          <w:i w:val="0"/>
          <w:caps w:val="0"/>
          <w:color w:val="auto"/>
          <w:spacing w:val="0"/>
          <w:sz w:val="44"/>
          <w:szCs w:val="44"/>
          <w:shd w:val="clear" w:fill="FFFFFF"/>
          <w:lang w:eastAsia="zh-CN"/>
        </w:rPr>
        <w:t>藁城区南营镇</w:t>
      </w:r>
      <w:r>
        <w:rPr>
          <w:rFonts w:hint="eastAsia" w:ascii="方正公文小标宋" w:hAnsi="方正公文小标宋" w:eastAsia="方正公文小标宋" w:cs="方正公文小标宋"/>
          <w:b w:val="0"/>
          <w:bCs w:val="0"/>
          <w:i w:val="0"/>
          <w:caps w:val="0"/>
          <w:color w:val="auto"/>
          <w:spacing w:val="0"/>
          <w:sz w:val="44"/>
          <w:szCs w:val="44"/>
          <w:shd w:val="clear" w:fill="FFFFFF"/>
        </w:rPr>
        <w:t>人民政府</w:t>
      </w:r>
    </w:p>
    <w:p w14:paraId="2D427D89">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jc w:val="center"/>
        <w:textAlignment w:val="auto"/>
        <w:rPr>
          <w:rFonts w:hint="eastAsia" w:ascii="方正公文小标宋" w:hAnsi="方正公文小标宋" w:eastAsia="方正公文小标宋" w:cs="方正公文小标宋"/>
          <w:b w:val="0"/>
          <w:bCs w:val="0"/>
          <w:i w:val="0"/>
          <w:caps w:val="0"/>
          <w:color w:val="auto"/>
          <w:spacing w:val="0"/>
          <w:sz w:val="44"/>
          <w:szCs w:val="44"/>
          <w:shd w:val="clear" w:fill="FFFFFF"/>
        </w:rPr>
      </w:pPr>
      <w:r>
        <w:rPr>
          <w:rFonts w:hint="eastAsia" w:ascii="方正公文小标宋" w:hAnsi="方正公文小标宋" w:eastAsia="方正公文小标宋" w:cs="方正公文小标宋"/>
          <w:b w:val="0"/>
          <w:bCs w:val="0"/>
          <w:i w:val="0"/>
          <w:caps w:val="0"/>
          <w:color w:val="auto"/>
          <w:spacing w:val="0"/>
          <w:sz w:val="44"/>
          <w:szCs w:val="44"/>
          <w:shd w:val="clear" w:fill="FFFFFF"/>
        </w:rPr>
        <w:t>202</w:t>
      </w:r>
      <w:r>
        <w:rPr>
          <w:rFonts w:hint="eastAsia" w:ascii="方正公文小标宋" w:hAnsi="方正公文小标宋" w:eastAsia="方正公文小标宋" w:cs="方正公文小标宋"/>
          <w:b w:val="0"/>
          <w:bCs w:val="0"/>
          <w:i w:val="0"/>
          <w:caps w:val="0"/>
          <w:color w:val="auto"/>
          <w:spacing w:val="0"/>
          <w:sz w:val="44"/>
          <w:szCs w:val="44"/>
          <w:shd w:val="clear" w:fill="FFFFFF"/>
          <w:lang w:val="en-US" w:eastAsia="zh-CN"/>
        </w:rPr>
        <w:t>3</w:t>
      </w:r>
      <w:r>
        <w:rPr>
          <w:rFonts w:hint="eastAsia" w:ascii="方正公文小标宋" w:hAnsi="方正公文小标宋" w:eastAsia="方正公文小标宋" w:cs="方正公文小标宋"/>
          <w:b w:val="0"/>
          <w:bCs w:val="0"/>
          <w:i w:val="0"/>
          <w:caps w:val="0"/>
          <w:color w:val="auto"/>
          <w:spacing w:val="0"/>
          <w:sz w:val="44"/>
          <w:szCs w:val="44"/>
          <w:shd w:val="clear" w:fill="FFFFFF"/>
        </w:rPr>
        <w:t>年政府信息公开工作年度报告</w:t>
      </w:r>
    </w:p>
    <w:p w14:paraId="4C89F8A6">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jc w:val="center"/>
        <w:textAlignment w:val="auto"/>
        <w:rPr>
          <w:rFonts w:hint="eastAsia" w:ascii="方正仿宋_GB2312" w:hAnsi="方正仿宋_GB2312" w:eastAsia="方正仿宋_GB2312" w:cs="方正仿宋_GB2312"/>
          <w:b w:val="0"/>
          <w:bCs w:val="0"/>
          <w:i w:val="0"/>
          <w:caps w:val="0"/>
          <w:color w:val="auto"/>
          <w:spacing w:val="0"/>
          <w:sz w:val="32"/>
          <w:szCs w:val="32"/>
          <w:shd w:val="clear" w:fill="FFFFFF"/>
        </w:rPr>
      </w:pPr>
    </w:p>
    <w:p w14:paraId="19B7D986">
      <w:pPr>
        <w:keepNext w:val="0"/>
        <w:keepLines w:val="0"/>
        <w:pageBreakBefore w:val="0"/>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2312" w:hAnsi="方正仿宋_GB2312" w:eastAsia="方正仿宋_GB2312" w:cs="方正仿宋_GB2312"/>
          <w:b w:val="0"/>
          <w:i w:val="0"/>
          <w:caps w:val="0"/>
          <w:color w:val="auto"/>
          <w:spacing w:val="0"/>
          <w:kern w:val="0"/>
          <w:sz w:val="32"/>
          <w:szCs w:val="32"/>
          <w:u w:val="none"/>
          <w:shd w:val="clear" w:fill="FFFFFF"/>
          <w:lang w:val="en-US" w:eastAsia="zh-CN" w:bidi="ar"/>
        </w:rPr>
      </w:pPr>
      <w:r>
        <w:rPr>
          <w:rFonts w:hint="eastAsia" w:ascii="方正仿宋_GB2312" w:hAnsi="方正仿宋_GB2312" w:eastAsia="方正仿宋_GB2312" w:cs="方正仿宋_GB2312"/>
          <w:i w:val="0"/>
          <w:caps w:val="0"/>
          <w:color w:val="auto"/>
          <w:spacing w:val="0"/>
          <w:sz w:val="32"/>
          <w:szCs w:val="32"/>
          <w:shd w:val="clear" w:fill="FFFFFF"/>
        </w:rPr>
        <w:t>　</w:t>
      </w:r>
      <w:r>
        <w:rPr>
          <w:rFonts w:hint="eastAsia" w:ascii="方正仿宋_GB2312" w:hAnsi="方正仿宋_GB2312" w:eastAsia="方正仿宋_GB2312" w:cs="方正仿宋_GB2312"/>
          <w:b w:val="0"/>
          <w:i w:val="0"/>
          <w:caps w:val="0"/>
          <w:color w:val="auto"/>
          <w:spacing w:val="0"/>
          <w:kern w:val="0"/>
          <w:sz w:val="32"/>
          <w:szCs w:val="32"/>
          <w:u w:val="none"/>
          <w:shd w:val="clear" w:fill="FFFFFF"/>
          <w:lang w:val="en-US" w:eastAsia="zh-CN" w:bidi="ar"/>
        </w:rPr>
        <w:t>本报告根据《中华人民共和国政府信息公开条例》要求以及本单位年度政府信息公开情况编制。全文包括总体情况、主动公开政府信息情况、收到和处理政府信息公开申请情况、行政复议和行政诉讼情况、存在的主要问题及改进情况、其他需要报告的情况六部分内容。本年度报告中所列数据的统计期限自2023年1月1日起至2023年12月31日止。</w:t>
      </w:r>
    </w:p>
    <w:p w14:paraId="1AB8A982">
      <w:pPr>
        <w:keepNext w:val="0"/>
        <w:keepLines w:val="0"/>
        <w:pageBreakBefore w:val="0"/>
        <w:kinsoku/>
        <w:wordWrap/>
        <w:overflowPunct/>
        <w:topLinePunct w:val="0"/>
        <w:autoSpaceDE/>
        <w:autoSpaceDN/>
        <w:bidi w:val="0"/>
        <w:adjustRightInd/>
        <w:snapToGrid/>
        <w:spacing w:line="560" w:lineRule="exact"/>
        <w:ind w:left="0" w:leftChars="0" w:firstLine="640" w:firstLineChars="200"/>
        <w:textAlignment w:val="auto"/>
        <w:rPr>
          <w:rFonts w:hint="eastAsia" w:ascii="黑体" w:hAnsi="黑体" w:eastAsia="黑体" w:cs="黑体"/>
          <w:b w:val="0"/>
          <w:i w:val="0"/>
          <w:caps w:val="0"/>
          <w:color w:val="auto"/>
          <w:spacing w:val="0"/>
          <w:kern w:val="0"/>
          <w:sz w:val="32"/>
          <w:szCs w:val="32"/>
          <w:shd w:val="clear" w:fill="FFFFFF"/>
          <w:lang w:val="en-US" w:eastAsia="zh-CN" w:bidi="ar"/>
        </w:rPr>
      </w:pPr>
      <w:r>
        <w:rPr>
          <w:rFonts w:hint="eastAsia" w:ascii="黑体" w:hAnsi="黑体" w:eastAsia="黑体" w:cs="黑体"/>
          <w:b w:val="0"/>
          <w:i w:val="0"/>
          <w:caps w:val="0"/>
          <w:color w:val="auto"/>
          <w:spacing w:val="0"/>
          <w:kern w:val="0"/>
          <w:sz w:val="32"/>
          <w:szCs w:val="32"/>
          <w:shd w:val="clear" w:fill="FFFFFF"/>
          <w:lang w:val="en-US" w:eastAsia="zh-CN" w:bidi="ar"/>
        </w:rPr>
        <w:t>一、总体情况</w:t>
      </w:r>
    </w:p>
    <w:p w14:paraId="382F81EB">
      <w:pPr>
        <w:pStyle w:val="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rPr>
          <w:rFonts w:hint="eastAsia" w:ascii="方正仿宋_GB2312" w:hAnsi="方正仿宋_GB2312" w:eastAsia="方正仿宋_GB2312" w:cs="方正仿宋_GB2312"/>
          <w:b w:val="0"/>
          <w:i w:val="0"/>
          <w:caps w:val="0"/>
          <w:color w:val="auto"/>
          <w:spacing w:val="0"/>
          <w:kern w:val="0"/>
          <w:sz w:val="32"/>
          <w:szCs w:val="32"/>
          <w:shd w:val="clear" w:fill="FFFFFF"/>
          <w:lang w:val="en-US" w:eastAsia="zh-CN" w:bidi="ar"/>
        </w:rPr>
      </w:pPr>
      <w:r>
        <w:rPr>
          <w:rFonts w:hint="eastAsia" w:ascii="方正仿宋_GB2312" w:hAnsi="方正仿宋_GB2312" w:eastAsia="方正仿宋_GB2312" w:cs="方正仿宋_GB2312"/>
          <w:b w:val="0"/>
          <w:i w:val="0"/>
          <w:caps w:val="0"/>
          <w:color w:val="auto"/>
          <w:spacing w:val="0"/>
          <w:kern w:val="0"/>
          <w:sz w:val="32"/>
          <w:szCs w:val="32"/>
          <w:shd w:val="clear" w:fill="FFFFFF"/>
          <w:lang w:val="en-US" w:eastAsia="zh-CN" w:bidi="ar"/>
        </w:rPr>
        <w:t>2023年度，南营镇深入贯彻落实《中华人民共和国政府信息公开条例》，认真落实政务公开的有关规定要求，扎实做好政务公开工作，为促进区域经济社会发展作出了一定贡献。</w:t>
      </w:r>
    </w:p>
    <w:p w14:paraId="7C9C12B6">
      <w:pPr>
        <w:pStyle w:val="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rPr>
          <w:rFonts w:hint="eastAsia" w:ascii="方正仿宋_GB2312" w:hAnsi="方正仿宋_GB2312" w:eastAsia="方正仿宋_GB2312" w:cs="方正仿宋_GB2312"/>
          <w:b w:val="0"/>
          <w:i w:val="0"/>
          <w:caps w:val="0"/>
          <w:color w:val="auto"/>
          <w:spacing w:val="0"/>
          <w:kern w:val="0"/>
          <w:sz w:val="32"/>
          <w:szCs w:val="32"/>
          <w:shd w:val="clear" w:fill="FFFFFF"/>
          <w:lang w:val="en-US" w:eastAsia="zh-CN" w:bidi="ar"/>
        </w:rPr>
      </w:pPr>
      <w:r>
        <w:rPr>
          <w:rFonts w:hint="eastAsia" w:ascii="方正仿宋_GB2312" w:hAnsi="方正仿宋_GB2312" w:eastAsia="方正仿宋_GB2312" w:cs="方正仿宋_GB2312"/>
          <w:b w:val="0"/>
          <w:i w:val="0"/>
          <w:caps w:val="0"/>
          <w:color w:val="auto"/>
          <w:spacing w:val="0"/>
          <w:kern w:val="0"/>
          <w:sz w:val="32"/>
          <w:szCs w:val="32"/>
          <w:shd w:val="clear" w:fill="FFFFFF"/>
          <w:lang w:val="en-US" w:eastAsia="zh-CN" w:bidi="ar"/>
        </w:rPr>
        <w:t>一是加强组织领导。我镇成立由镇长任组长，党政办主任为副组长的领导小组。明确了我镇政府信息公开的工作内容、形式和公开、受理、回复的反馈机制，严格遵循政府信息公开基本原则开展信息公开工作。</w:t>
      </w:r>
    </w:p>
    <w:p w14:paraId="3F6B026B">
      <w:pPr>
        <w:pStyle w:val="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rPr>
          <w:rFonts w:hint="eastAsia" w:ascii="方正仿宋_GB2312" w:hAnsi="方正仿宋_GB2312" w:eastAsia="方正仿宋_GB2312" w:cs="方正仿宋_GB2312"/>
          <w:b w:val="0"/>
          <w:i w:val="0"/>
          <w:caps w:val="0"/>
          <w:color w:val="auto"/>
          <w:spacing w:val="0"/>
          <w:kern w:val="0"/>
          <w:sz w:val="32"/>
          <w:szCs w:val="32"/>
          <w:shd w:val="clear" w:fill="FFFFFF"/>
          <w:lang w:val="en-US" w:eastAsia="zh-CN" w:bidi="ar"/>
        </w:rPr>
      </w:pPr>
      <w:r>
        <w:rPr>
          <w:rFonts w:hint="eastAsia" w:ascii="方正仿宋_GB2312" w:hAnsi="方正仿宋_GB2312" w:eastAsia="方正仿宋_GB2312" w:cs="方正仿宋_GB2312"/>
          <w:b w:val="0"/>
          <w:i w:val="0"/>
          <w:caps w:val="0"/>
          <w:color w:val="auto"/>
          <w:spacing w:val="0"/>
          <w:kern w:val="0"/>
          <w:sz w:val="32"/>
          <w:szCs w:val="32"/>
          <w:shd w:val="clear" w:fill="FFFFFF"/>
          <w:lang w:val="en-US" w:eastAsia="zh-CN" w:bidi="ar"/>
        </w:rPr>
        <w:t>二是扎实开展工作。紧紧围绕全镇工作重点，提高发布信息的质量和实用性，方便群众了解情况、反映问题、解决问题。今年共公布各类信息63条（项）。</w:t>
      </w:r>
    </w:p>
    <w:p w14:paraId="3248BAE5">
      <w:pPr>
        <w:pStyle w:val="8"/>
        <w:keepNext w:val="0"/>
        <w:keepLines w:val="0"/>
        <w:pageBreakBefore w:val="0"/>
        <w:widowControl/>
        <w:numPr>
          <w:ilvl w:val="0"/>
          <w:numId w:val="0"/>
        </w:numPr>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left="0" w:leftChars="0" w:right="0" w:rightChars="0" w:firstLine="640" w:firstLineChars="200"/>
        <w:jc w:val="both"/>
        <w:textAlignment w:val="auto"/>
        <w:rPr>
          <w:rFonts w:hint="eastAsia" w:ascii="方正仿宋_GB2312" w:hAnsi="方正仿宋_GB2312" w:eastAsia="方正仿宋_GB2312" w:cs="方正仿宋_GB2312"/>
          <w:b w:val="0"/>
          <w:i w:val="0"/>
          <w:caps w:val="0"/>
          <w:color w:val="auto"/>
          <w:spacing w:val="0"/>
          <w:kern w:val="0"/>
          <w:sz w:val="32"/>
          <w:szCs w:val="32"/>
          <w:shd w:val="clear" w:fill="FFFFFF"/>
          <w:lang w:val="en-US" w:eastAsia="zh-CN" w:bidi="ar"/>
        </w:rPr>
      </w:pPr>
      <w:r>
        <w:rPr>
          <w:rFonts w:hint="eastAsia" w:ascii="方正仿宋_GB2312" w:hAnsi="方正仿宋_GB2312" w:eastAsia="方正仿宋_GB2312" w:cs="方正仿宋_GB2312"/>
          <w:b w:val="0"/>
          <w:i w:val="0"/>
          <w:caps w:val="0"/>
          <w:color w:val="auto"/>
          <w:spacing w:val="0"/>
          <w:kern w:val="0"/>
          <w:sz w:val="32"/>
          <w:szCs w:val="32"/>
          <w:shd w:val="clear" w:fill="FFFFFF"/>
          <w:lang w:val="en-US" w:eastAsia="zh-CN" w:bidi="ar"/>
        </w:rPr>
        <w:t>三是严格执行审查审批制度。做到既要积极贯彻落实《中华人民共和国政府信息公开条例》，将应公开的政府信息全面公开，又要严格遵循保密规定，严禁将涉及国家秘密、商业秘密和个人隐私及其他按规定不宜或不能公开的政府信息对外公开。建立健全政府信息公开审查审批制度，对拟对外公开的政府信息，按照《中华人民共和国保守国家秘密法》和《中华人民共和国政府信息公开条例》的要求严格审查把关。</w:t>
      </w:r>
    </w:p>
    <w:p w14:paraId="0BE50592">
      <w:pPr>
        <w:keepNext w:val="0"/>
        <w:keepLines w:val="0"/>
        <w:pageBreakBefore w:val="0"/>
        <w:widowControl w:val="0"/>
        <w:numPr>
          <w:ilvl w:val="0"/>
          <w:numId w:val="0"/>
        </w:numPr>
        <w:kinsoku/>
        <w:wordWrap/>
        <w:overflowPunct/>
        <w:topLinePunct w:val="0"/>
        <w:autoSpaceDE/>
        <w:autoSpaceDN/>
        <w:bidi w:val="0"/>
        <w:adjustRightInd/>
        <w:snapToGrid/>
        <w:spacing w:line="560" w:lineRule="exact"/>
        <w:ind w:left="0" w:leftChars="0" w:firstLine="640" w:firstLineChars="200"/>
        <w:textAlignment w:val="auto"/>
        <w:rPr>
          <w:rFonts w:hint="eastAsia" w:ascii="方正仿宋_GB2312" w:hAnsi="方正仿宋_GB2312" w:eastAsia="方正仿宋_GB2312" w:cs="方正仿宋_GB2312"/>
          <w:b w:val="0"/>
          <w:i w:val="0"/>
          <w:caps w:val="0"/>
          <w:color w:val="auto"/>
          <w:spacing w:val="0"/>
          <w:kern w:val="0"/>
          <w:sz w:val="32"/>
          <w:szCs w:val="32"/>
          <w:shd w:val="clear" w:fill="FFFFFF"/>
          <w:lang w:val="en-US" w:eastAsia="zh-CN" w:bidi="ar"/>
        </w:rPr>
      </w:pPr>
      <w:r>
        <w:rPr>
          <w:rFonts w:hint="eastAsia" w:ascii="方正仿宋_GB2312" w:hAnsi="方正仿宋_GB2312" w:eastAsia="方正仿宋_GB2312" w:cs="方正仿宋_GB2312"/>
          <w:b w:val="0"/>
          <w:i w:val="0"/>
          <w:caps w:val="0"/>
          <w:color w:val="auto"/>
          <w:spacing w:val="0"/>
          <w:kern w:val="0"/>
          <w:sz w:val="32"/>
          <w:szCs w:val="32"/>
          <w:shd w:val="clear" w:fill="FFFFFF"/>
          <w:lang w:val="en-US" w:eastAsia="zh-CN" w:bidi="ar"/>
        </w:rPr>
        <w:t xml:space="preserve"> 本年报中所列数据的统计期限自2023年1月1日起至2023年12月31日止。如对本年报有任何疑问，请与藁城区南营镇人民政府政务公开办公室联系，电话：0311--88099200，电子邮箱：</w:t>
      </w:r>
      <w:r>
        <w:rPr>
          <w:rFonts w:hint="eastAsia" w:ascii="方正仿宋_GB2312" w:hAnsi="方正仿宋_GB2312" w:eastAsia="方正仿宋_GB2312" w:cs="方正仿宋_GB2312"/>
          <w:b w:val="0"/>
          <w:i w:val="0"/>
          <w:caps w:val="0"/>
          <w:color w:val="auto"/>
          <w:spacing w:val="0"/>
          <w:kern w:val="0"/>
          <w:sz w:val="32"/>
          <w:szCs w:val="32"/>
          <w:shd w:val="clear" w:fill="FFFFFF"/>
          <w:lang w:val="en-US" w:eastAsia="zh-CN" w:bidi="ar"/>
        </w:rPr>
        <w:fldChar w:fldCharType="begin"/>
      </w:r>
      <w:r>
        <w:rPr>
          <w:rFonts w:hint="eastAsia" w:ascii="方正仿宋_GB2312" w:hAnsi="方正仿宋_GB2312" w:eastAsia="方正仿宋_GB2312" w:cs="方正仿宋_GB2312"/>
          <w:b w:val="0"/>
          <w:i w:val="0"/>
          <w:caps w:val="0"/>
          <w:color w:val="auto"/>
          <w:spacing w:val="0"/>
          <w:kern w:val="0"/>
          <w:sz w:val="32"/>
          <w:szCs w:val="32"/>
          <w:shd w:val="clear" w:fill="FFFFFF"/>
          <w:lang w:val="en-US" w:eastAsia="zh-CN" w:bidi="ar"/>
        </w:rPr>
        <w:instrText xml:space="preserve"> HYPERLINK "mailto:nyz8099200@163.com。" </w:instrText>
      </w:r>
      <w:r>
        <w:rPr>
          <w:rFonts w:hint="eastAsia" w:ascii="方正仿宋_GB2312" w:hAnsi="方正仿宋_GB2312" w:eastAsia="方正仿宋_GB2312" w:cs="方正仿宋_GB2312"/>
          <w:b w:val="0"/>
          <w:i w:val="0"/>
          <w:caps w:val="0"/>
          <w:color w:val="auto"/>
          <w:spacing w:val="0"/>
          <w:kern w:val="0"/>
          <w:sz w:val="32"/>
          <w:szCs w:val="32"/>
          <w:shd w:val="clear" w:fill="FFFFFF"/>
          <w:lang w:val="en-US" w:eastAsia="zh-CN" w:bidi="ar"/>
        </w:rPr>
        <w:fldChar w:fldCharType="separate"/>
      </w:r>
      <w:r>
        <w:rPr>
          <w:rStyle w:val="12"/>
          <w:rFonts w:hint="eastAsia" w:ascii="方正仿宋_GB2312" w:hAnsi="方正仿宋_GB2312" w:eastAsia="方正仿宋_GB2312" w:cs="方正仿宋_GB2312"/>
          <w:b w:val="0"/>
          <w:i w:val="0"/>
          <w:caps w:val="0"/>
          <w:spacing w:val="0"/>
          <w:kern w:val="0"/>
          <w:sz w:val="32"/>
          <w:szCs w:val="32"/>
          <w:shd w:val="clear" w:fill="FFFFFF"/>
          <w:lang w:val="en-US" w:eastAsia="zh-CN" w:bidi="ar"/>
        </w:rPr>
        <w:t>nyz8099200@163.com。</w:t>
      </w:r>
      <w:r>
        <w:rPr>
          <w:rFonts w:hint="eastAsia" w:ascii="方正仿宋_GB2312" w:hAnsi="方正仿宋_GB2312" w:eastAsia="方正仿宋_GB2312" w:cs="方正仿宋_GB2312"/>
          <w:b w:val="0"/>
          <w:i w:val="0"/>
          <w:caps w:val="0"/>
          <w:color w:val="auto"/>
          <w:spacing w:val="0"/>
          <w:kern w:val="0"/>
          <w:sz w:val="32"/>
          <w:szCs w:val="32"/>
          <w:shd w:val="clear" w:fill="FFFFFF"/>
          <w:lang w:val="en-US" w:eastAsia="zh-CN" w:bidi="ar"/>
        </w:rPr>
        <w:fldChar w:fldCharType="end"/>
      </w:r>
    </w:p>
    <w:p w14:paraId="73774384">
      <w:pPr>
        <w:pStyle w:val="2"/>
        <w:rPr>
          <w:rFonts w:hint="eastAsia"/>
          <w:lang w:val="en-US" w:eastAsia="zh-CN"/>
        </w:rPr>
      </w:pPr>
    </w:p>
    <w:p w14:paraId="6227E937">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92" w:afterAutospacing="0"/>
        <w:ind w:left="0" w:right="0" w:firstLine="1285" w:firstLineChars="400"/>
        <w:jc w:val="both"/>
        <w:rPr>
          <w:rFonts w:hint="eastAsia" w:ascii="黑体" w:hAnsi="黑体" w:eastAsia="黑体" w:cs="黑体"/>
          <w:b w:val="0"/>
          <w:i w:val="0"/>
          <w:caps w:val="0"/>
          <w:color w:val="000000"/>
          <w:spacing w:val="0"/>
          <w:sz w:val="32"/>
          <w:szCs w:val="32"/>
          <w:lang w:eastAsia="zh-CN"/>
        </w:rPr>
      </w:pPr>
      <w:r>
        <w:rPr>
          <w:rFonts w:hint="eastAsia" w:ascii="黑体" w:hAnsi="黑体" w:eastAsia="黑体" w:cs="黑体"/>
          <w:b/>
          <w:i w:val="0"/>
          <w:caps w:val="0"/>
          <w:color w:val="000000"/>
          <w:spacing w:val="0"/>
          <w:sz w:val="32"/>
          <w:szCs w:val="32"/>
        </w:rPr>
        <w:t>二、主动公开政府信息情况</w:t>
      </w:r>
    </w:p>
    <w:tbl>
      <w:tblPr>
        <w:tblStyle w:val="10"/>
        <w:tblW w:w="81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15" w:type="dxa"/>
          <w:left w:w="15" w:type="dxa"/>
          <w:bottom w:w="15" w:type="dxa"/>
          <w:right w:w="15" w:type="dxa"/>
        </w:tblCellMar>
      </w:tblPr>
      <w:tblGrid>
        <w:gridCol w:w="3113"/>
        <w:gridCol w:w="1875"/>
        <w:gridCol w:w="1271"/>
        <w:gridCol w:w="1881"/>
      </w:tblGrid>
      <w:tr w14:paraId="082A62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95" w:hRule="atLeast"/>
          <w:jc w:val="center"/>
        </w:trPr>
        <w:tc>
          <w:tcPr>
            <w:tcW w:w="8140" w:type="dxa"/>
            <w:gridSpan w:val="4"/>
            <w:tcBorders>
              <w:top w:val="single" w:color="auto" w:sz="8" w:space="0"/>
              <w:left w:val="single" w:color="auto" w:sz="8" w:space="0"/>
              <w:bottom w:val="single" w:color="auto" w:sz="8" w:space="0"/>
              <w:right w:val="single" w:color="auto" w:sz="8" w:space="0"/>
            </w:tcBorders>
            <w:shd w:val="clear" w:color="auto" w:fill="C6D9F1"/>
            <w:noWrap/>
            <w:tcMar>
              <w:top w:w="0" w:type="dxa"/>
              <w:left w:w="108" w:type="dxa"/>
              <w:bottom w:w="0" w:type="dxa"/>
              <w:right w:w="108" w:type="dxa"/>
            </w:tcMar>
            <w:vAlign w:val="center"/>
          </w:tcPr>
          <w:p w14:paraId="01DC93C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第二十条第（一）项</w:t>
            </w:r>
          </w:p>
        </w:tc>
      </w:tr>
      <w:tr w14:paraId="2B39AB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882" w:hRule="atLeast"/>
          <w:jc w:val="center"/>
        </w:trPr>
        <w:tc>
          <w:tcPr>
            <w:tcW w:w="3113" w:type="dxa"/>
            <w:tcBorders>
              <w:top w:val="nil"/>
              <w:left w:val="single" w:color="auto" w:sz="8" w:space="0"/>
              <w:bottom w:val="single" w:color="auto" w:sz="8" w:space="0"/>
              <w:right w:val="single" w:color="auto" w:sz="8" w:space="0"/>
            </w:tcBorders>
            <w:shd w:val="clear" w:color="auto" w:fill="E6F4FF"/>
            <w:noWrap/>
            <w:tcMar>
              <w:top w:w="0" w:type="dxa"/>
              <w:left w:w="108" w:type="dxa"/>
              <w:bottom w:w="0" w:type="dxa"/>
              <w:right w:w="108" w:type="dxa"/>
            </w:tcMar>
            <w:vAlign w:val="center"/>
          </w:tcPr>
          <w:p w14:paraId="6005962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信息内容</w:t>
            </w:r>
          </w:p>
        </w:tc>
        <w:tc>
          <w:tcPr>
            <w:tcW w:w="1875" w:type="dxa"/>
            <w:tcBorders>
              <w:top w:val="single" w:color="auto" w:sz="8" w:space="0"/>
              <w:left w:val="nil"/>
              <w:bottom w:val="single" w:color="auto" w:sz="8" w:space="0"/>
              <w:right w:val="single" w:color="auto" w:sz="8" w:space="0"/>
            </w:tcBorders>
            <w:shd w:val="clear" w:color="auto" w:fill="E6F4FF"/>
            <w:noWrap/>
            <w:tcMar>
              <w:top w:w="0" w:type="dxa"/>
              <w:left w:w="108" w:type="dxa"/>
              <w:bottom w:w="0" w:type="dxa"/>
              <w:right w:w="108" w:type="dxa"/>
            </w:tcMar>
            <w:vAlign w:val="center"/>
          </w:tcPr>
          <w:p w14:paraId="364B741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bidi="ar"/>
              </w:rPr>
              <w:t>本年制发件数</w:t>
            </w:r>
          </w:p>
        </w:tc>
        <w:tc>
          <w:tcPr>
            <w:tcW w:w="1271"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488969E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本年废止件数</w:t>
            </w:r>
          </w:p>
        </w:tc>
        <w:tc>
          <w:tcPr>
            <w:tcW w:w="1881" w:type="dxa"/>
            <w:tcBorders>
              <w:top w:val="nil"/>
              <w:left w:val="nil"/>
              <w:bottom w:val="single" w:color="auto" w:sz="8" w:space="0"/>
              <w:right w:val="single" w:color="auto" w:sz="8" w:space="0"/>
            </w:tcBorders>
            <w:shd w:val="clear" w:color="auto" w:fill="E6F4FF"/>
            <w:noWrap/>
            <w:tcMar>
              <w:top w:w="0" w:type="dxa"/>
              <w:left w:w="108" w:type="dxa"/>
              <w:bottom w:w="0" w:type="dxa"/>
              <w:right w:w="108" w:type="dxa"/>
            </w:tcMar>
            <w:vAlign w:val="center"/>
          </w:tcPr>
          <w:p w14:paraId="42A7775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bidi="ar"/>
              </w:rPr>
              <w:t>现行有效件数</w:t>
            </w:r>
          </w:p>
        </w:tc>
      </w:tr>
      <w:tr w14:paraId="2BFCFF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23" w:hRule="atLeast"/>
          <w:jc w:val="center"/>
        </w:trPr>
        <w:tc>
          <w:tcPr>
            <w:tcW w:w="3113" w:type="dxa"/>
            <w:tcBorders>
              <w:top w:val="nil"/>
              <w:left w:val="single" w:color="auto" w:sz="8" w:space="0"/>
              <w:bottom w:val="single" w:color="auto" w:sz="8" w:space="0"/>
              <w:right w:val="single" w:color="auto" w:sz="8" w:space="0"/>
            </w:tcBorders>
            <w:shd w:val="clear" w:color="auto" w:fill="E6F4FF"/>
            <w:noWrap/>
            <w:tcMar>
              <w:top w:w="0" w:type="dxa"/>
              <w:left w:w="108" w:type="dxa"/>
              <w:bottom w:w="0" w:type="dxa"/>
              <w:right w:w="108" w:type="dxa"/>
            </w:tcMar>
            <w:vAlign w:val="center"/>
          </w:tcPr>
          <w:p w14:paraId="2C5F8DC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规章</w:t>
            </w:r>
          </w:p>
        </w:tc>
        <w:tc>
          <w:tcPr>
            <w:tcW w:w="1875" w:type="dxa"/>
            <w:tcBorders>
              <w:top w:val="nil"/>
              <w:left w:val="nil"/>
              <w:bottom w:val="single" w:color="auto" w:sz="8" w:space="0"/>
              <w:right w:val="single" w:color="auto" w:sz="8" w:space="0"/>
            </w:tcBorders>
            <w:shd w:val="clear" w:color="auto" w:fill="E6F4FF"/>
            <w:noWrap/>
            <w:tcMar>
              <w:top w:w="0" w:type="dxa"/>
              <w:left w:w="108" w:type="dxa"/>
              <w:bottom w:w="0" w:type="dxa"/>
              <w:right w:w="108" w:type="dxa"/>
            </w:tcMar>
            <w:vAlign w:val="center"/>
          </w:tcPr>
          <w:p w14:paraId="46F9D5C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0</w:t>
            </w:r>
          </w:p>
        </w:tc>
        <w:tc>
          <w:tcPr>
            <w:tcW w:w="1271"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6ED4266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0</w:t>
            </w:r>
          </w:p>
        </w:tc>
        <w:tc>
          <w:tcPr>
            <w:tcW w:w="1881" w:type="dxa"/>
            <w:tcBorders>
              <w:top w:val="nil"/>
              <w:left w:val="nil"/>
              <w:bottom w:val="single" w:color="auto" w:sz="8" w:space="0"/>
              <w:right w:val="single" w:color="auto" w:sz="8" w:space="0"/>
            </w:tcBorders>
            <w:shd w:val="clear" w:color="auto" w:fill="E6F4FF"/>
            <w:noWrap/>
            <w:tcMar>
              <w:top w:w="0" w:type="dxa"/>
              <w:left w:w="108" w:type="dxa"/>
              <w:bottom w:w="0" w:type="dxa"/>
              <w:right w:w="108" w:type="dxa"/>
            </w:tcMar>
            <w:vAlign w:val="center"/>
          </w:tcPr>
          <w:p w14:paraId="77948AC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bidi="ar"/>
              </w:rPr>
              <w:t>0</w:t>
            </w:r>
          </w:p>
        </w:tc>
      </w:tr>
      <w:tr w14:paraId="3FA039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71" w:hRule="atLeast"/>
          <w:jc w:val="center"/>
        </w:trPr>
        <w:tc>
          <w:tcPr>
            <w:tcW w:w="3113" w:type="dxa"/>
            <w:tcBorders>
              <w:top w:val="nil"/>
              <w:left w:val="single" w:color="auto" w:sz="8" w:space="0"/>
              <w:bottom w:val="single" w:color="auto" w:sz="8" w:space="0"/>
              <w:right w:val="single" w:color="auto" w:sz="8" w:space="0"/>
            </w:tcBorders>
            <w:shd w:val="clear" w:color="auto" w:fill="E6F4FF"/>
            <w:noWrap/>
            <w:tcMar>
              <w:top w:w="0" w:type="dxa"/>
              <w:left w:w="108" w:type="dxa"/>
              <w:bottom w:w="0" w:type="dxa"/>
              <w:right w:w="108" w:type="dxa"/>
            </w:tcMar>
            <w:vAlign w:val="center"/>
          </w:tcPr>
          <w:p w14:paraId="34E53CE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规范性文件</w:t>
            </w:r>
          </w:p>
        </w:tc>
        <w:tc>
          <w:tcPr>
            <w:tcW w:w="1875" w:type="dxa"/>
            <w:tcBorders>
              <w:top w:val="nil"/>
              <w:left w:val="nil"/>
              <w:bottom w:val="single" w:color="auto" w:sz="8" w:space="0"/>
              <w:right w:val="single" w:color="auto" w:sz="8" w:space="0"/>
            </w:tcBorders>
            <w:shd w:val="clear" w:color="auto" w:fill="E6F4FF"/>
            <w:noWrap/>
            <w:tcMar>
              <w:top w:w="0" w:type="dxa"/>
              <w:left w:w="108" w:type="dxa"/>
              <w:bottom w:w="0" w:type="dxa"/>
              <w:right w:w="108" w:type="dxa"/>
            </w:tcMar>
            <w:vAlign w:val="center"/>
          </w:tcPr>
          <w:p w14:paraId="6AF4574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9</w:t>
            </w:r>
          </w:p>
        </w:tc>
        <w:tc>
          <w:tcPr>
            <w:tcW w:w="1271"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4B1497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0</w:t>
            </w:r>
          </w:p>
        </w:tc>
        <w:tc>
          <w:tcPr>
            <w:tcW w:w="1881" w:type="dxa"/>
            <w:tcBorders>
              <w:top w:val="nil"/>
              <w:left w:val="nil"/>
              <w:bottom w:val="single" w:color="auto" w:sz="8" w:space="0"/>
              <w:right w:val="single" w:color="auto" w:sz="8" w:space="0"/>
            </w:tcBorders>
            <w:shd w:val="clear" w:color="auto" w:fill="E6F4FF"/>
            <w:noWrap/>
            <w:tcMar>
              <w:top w:w="0" w:type="dxa"/>
              <w:left w:w="108" w:type="dxa"/>
              <w:bottom w:w="0" w:type="dxa"/>
              <w:right w:w="108" w:type="dxa"/>
            </w:tcMar>
            <w:vAlign w:val="center"/>
          </w:tcPr>
          <w:p w14:paraId="60A0580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31</w:t>
            </w:r>
          </w:p>
        </w:tc>
      </w:tr>
      <w:tr w14:paraId="10F4ADD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80" w:hRule="atLeast"/>
          <w:jc w:val="center"/>
        </w:trPr>
        <w:tc>
          <w:tcPr>
            <w:tcW w:w="8140" w:type="dxa"/>
            <w:gridSpan w:val="4"/>
            <w:tcBorders>
              <w:top w:val="nil"/>
              <w:left w:val="single" w:color="auto" w:sz="8" w:space="0"/>
              <w:bottom w:val="single" w:color="auto" w:sz="8" w:space="0"/>
              <w:right w:val="single" w:color="auto" w:sz="8" w:space="0"/>
            </w:tcBorders>
            <w:shd w:val="clear" w:color="auto" w:fill="C6D9F1"/>
            <w:noWrap/>
            <w:tcMar>
              <w:top w:w="0" w:type="dxa"/>
              <w:left w:w="108" w:type="dxa"/>
              <w:bottom w:w="0" w:type="dxa"/>
              <w:right w:w="108" w:type="dxa"/>
            </w:tcMar>
            <w:vAlign w:val="center"/>
          </w:tcPr>
          <w:p w14:paraId="5AF5C25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第二十条第（五）项</w:t>
            </w:r>
          </w:p>
        </w:tc>
      </w:tr>
      <w:tr w14:paraId="750B0D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34" w:hRule="atLeast"/>
          <w:jc w:val="center"/>
        </w:trPr>
        <w:tc>
          <w:tcPr>
            <w:tcW w:w="3113" w:type="dxa"/>
            <w:tcBorders>
              <w:top w:val="nil"/>
              <w:left w:val="single" w:color="auto" w:sz="8" w:space="0"/>
              <w:bottom w:val="single" w:color="auto" w:sz="8" w:space="0"/>
              <w:right w:val="single" w:color="auto" w:sz="8" w:space="0"/>
            </w:tcBorders>
            <w:shd w:val="clear" w:color="auto" w:fill="E6F4FF"/>
            <w:noWrap/>
            <w:tcMar>
              <w:top w:w="0" w:type="dxa"/>
              <w:left w:w="108" w:type="dxa"/>
              <w:bottom w:w="0" w:type="dxa"/>
              <w:right w:w="108" w:type="dxa"/>
            </w:tcMar>
            <w:vAlign w:val="center"/>
          </w:tcPr>
          <w:p w14:paraId="5B95E15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信息内容</w:t>
            </w:r>
          </w:p>
        </w:tc>
        <w:tc>
          <w:tcPr>
            <w:tcW w:w="5027" w:type="dxa"/>
            <w:gridSpan w:val="3"/>
            <w:tcBorders>
              <w:top w:val="single" w:color="auto" w:sz="8" w:space="0"/>
              <w:left w:val="nil"/>
              <w:bottom w:val="single" w:color="auto" w:sz="8" w:space="0"/>
              <w:right w:val="single" w:color="auto" w:sz="8" w:space="0"/>
            </w:tcBorders>
            <w:shd w:val="clear" w:color="auto" w:fill="E6F4FF"/>
            <w:noWrap/>
            <w:tcMar>
              <w:top w:w="0" w:type="dxa"/>
              <w:left w:w="108" w:type="dxa"/>
              <w:bottom w:w="0" w:type="dxa"/>
              <w:right w:w="108" w:type="dxa"/>
            </w:tcMar>
            <w:vAlign w:val="center"/>
          </w:tcPr>
          <w:p w14:paraId="67E5B37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本年处理决定事项</w:t>
            </w:r>
          </w:p>
        </w:tc>
      </w:tr>
      <w:tr w14:paraId="29BC8E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528" w:hRule="atLeast"/>
          <w:jc w:val="center"/>
        </w:trPr>
        <w:tc>
          <w:tcPr>
            <w:tcW w:w="3113" w:type="dxa"/>
            <w:tcBorders>
              <w:top w:val="nil"/>
              <w:left w:val="single" w:color="auto" w:sz="8" w:space="0"/>
              <w:bottom w:val="single" w:color="auto" w:sz="8" w:space="0"/>
              <w:right w:val="single" w:color="auto" w:sz="8" w:space="0"/>
            </w:tcBorders>
            <w:shd w:val="clear" w:color="auto" w:fill="E6F4FF"/>
            <w:noWrap/>
            <w:tcMar>
              <w:top w:w="0" w:type="dxa"/>
              <w:left w:w="108" w:type="dxa"/>
              <w:bottom w:w="0" w:type="dxa"/>
              <w:right w:w="108" w:type="dxa"/>
            </w:tcMar>
            <w:vAlign w:val="center"/>
          </w:tcPr>
          <w:p w14:paraId="229B586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行政许可</w:t>
            </w:r>
          </w:p>
        </w:tc>
        <w:tc>
          <w:tcPr>
            <w:tcW w:w="5027" w:type="dxa"/>
            <w:gridSpan w:val="3"/>
            <w:tcBorders>
              <w:top w:val="nil"/>
              <w:left w:val="nil"/>
              <w:bottom w:val="single" w:color="auto" w:sz="8" w:space="0"/>
              <w:right w:val="single" w:color="auto" w:sz="8" w:space="0"/>
            </w:tcBorders>
            <w:shd w:val="clear" w:color="auto" w:fill="E6F4FF"/>
            <w:noWrap/>
            <w:tcMar>
              <w:top w:w="0" w:type="dxa"/>
              <w:left w:w="108" w:type="dxa"/>
              <w:bottom w:w="0" w:type="dxa"/>
              <w:right w:w="108" w:type="dxa"/>
            </w:tcMar>
            <w:vAlign w:val="center"/>
          </w:tcPr>
          <w:p w14:paraId="7C93C65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0</w:t>
            </w:r>
          </w:p>
        </w:tc>
      </w:tr>
      <w:tr w14:paraId="58A0B4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06" w:hRule="atLeast"/>
          <w:jc w:val="center"/>
        </w:trPr>
        <w:tc>
          <w:tcPr>
            <w:tcW w:w="8140" w:type="dxa"/>
            <w:gridSpan w:val="4"/>
            <w:tcBorders>
              <w:top w:val="nil"/>
              <w:left w:val="single" w:color="auto" w:sz="8" w:space="0"/>
              <w:bottom w:val="single" w:color="auto" w:sz="8" w:space="0"/>
              <w:right w:val="single" w:color="auto" w:sz="8" w:space="0"/>
            </w:tcBorders>
            <w:shd w:val="clear" w:color="auto" w:fill="C6D9F1"/>
            <w:noWrap/>
            <w:tcMar>
              <w:top w:w="0" w:type="dxa"/>
              <w:left w:w="108" w:type="dxa"/>
              <w:bottom w:w="0" w:type="dxa"/>
              <w:right w:w="108" w:type="dxa"/>
            </w:tcMar>
            <w:vAlign w:val="center"/>
          </w:tcPr>
          <w:p w14:paraId="0AE0A15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第二十条第（六）项</w:t>
            </w:r>
          </w:p>
        </w:tc>
      </w:tr>
      <w:tr w14:paraId="2B74849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723" w:hRule="atLeast"/>
          <w:jc w:val="center"/>
        </w:trPr>
        <w:tc>
          <w:tcPr>
            <w:tcW w:w="3113" w:type="dxa"/>
            <w:tcBorders>
              <w:top w:val="nil"/>
              <w:left w:val="single" w:color="auto" w:sz="8" w:space="0"/>
              <w:bottom w:val="single" w:color="auto" w:sz="8" w:space="0"/>
              <w:right w:val="single" w:color="auto" w:sz="8" w:space="0"/>
            </w:tcBorders>
            <w:shd w:val="clear" w:color="auto" w:fill="E6F4FF"/>
            <w:noWrap/>
            <w:tcMar>
              <w:top w:w="0" w:type="dxa"/>
              <w:left w:w="108" w:type="dxa"/>
              <w:bottom w:w="0" w:type="dxa"/>
              <w:right w:w="108" w:type="dxa"/>
            </w:tcMar>
            <w:vAlign w:val="center"/>
          </w:tcPr>
          <w:p w14:paraId="6473240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信息内容</w:t>
            </w:r>
          </w:p>
        </w:tc>
        <w:tc>
          <w:tcPr>
            <w:tcW w:w="5027" w:type="dxa"/>
            <w:gridSpan w:val="3"/>
            <w:tcBorders>
              <w:top w:val="single" w:color="auto" w:sz="8" w:space="0"/>
              <w:left w:val="nil"/>
              <w:bottom w:val="single" w:color="auto" w:sz="8" w:space="0"/>
              <w:right w:val="single" w:color="auto" w:sz="8" w:space="0"/>
            </w:tcBorders>
            <w:shd w:val="clear" w:color="auto" w:fill="E6F4FF"/>
            <w:noWrap/>
            <w:tcMar>
              <w:top w:w="0" w:type="dxa"/>
              <w:left w:w="108" w:type="dxa"/>
              <w:bottom w:w="0" w:type="dxa"/>
              <w:right w:w="108" w:type="dxa"/>
            </w:tcMar>
            <w:vAlign w:val="center"/>
          </w:tcPr>
          <w:p w14:paraId="7F997CF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sz w:val="24"/>
                <w:szCs w:val="24"/>
                <w:lang w:val="en-US" w:eastAsia="zh-CN"/>
              </w:rPr>
              <w:t>本年处理决定事项</w:t>
            </w:r>
          </w:p>
        </w:tc>
      </w:tr>
      <w:tr w14:paraId="79915D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430" w:hRule="atLeast"/>
          <w:jc w:val="center"/>
        </w:trPr>
        <w:tc>
          <w:tcPr>
            <w:tcW w:w="3113" w:type="dxa"/>
            <w:tcBorders>
              <w:top w:val="nil"/>
              <w:left w:val="single" w:color="auto" w:sz="8" w:space="0"/>
              <w:bottom w:val="single" w:color="auto" w:sz="8" w:space="0"/>
              <w:right w:val="single" w:color="auto" w:sz="8" w:space="0"/>
            </w:tcBorders>
            <w:shd w:val="clear" w:color="auto" w:fill="E6F4FF"/>
            <w:noWrap/>
            <w:tcMar>
              <w:top w:w="0" w:type="dxa"/>
              <w:left w:w="108" w:type="dxa"/>
              <w:bottom w:w="0" w:type="dxa"/>
              <w:right w:w="108" w:type="dxa"/>
            </w:tcMar>
            <w:vAlign w:val="center"/>
          </w:tcPr>
          <w:p w14:paraId="7FB2DA9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行政处罚</w:t>
            </w:r>
          </w:p>
        </w:tc>
        <w:tc>
          <w:tcPr>
            <w:tcW w:w="5027" w:type="dxa"/>
            <w:gridSpan w:val="3"/>
            <w:tcBorders>
              <w:top w:val="nil"/>
              <w:left w:val="nil"/>
              <w:bottom w:val="single" w:color="auto" w:sz="8" w:space="0"/>
              <w:right w:val="single" w:color="auto" w:sz="8" w:space="0"/>
            </w:tcBorders>
            <w:shd w:val="clear" w:color="auto" w:fill="E6F4FF"/>
            <w:noWrap/>
            <w:tcMar>
              <w:top w:w="0" w:type="dxa"/>
              <w:left w:w="108" w:type="dxa"/>
              <w:bottom w:w="0" w:type="dxa"/>
              <w:right w:w="108" w:type="dxa"/>
            </w:tcMar>
            <w:vAlign w:val="center"/>
          </w:tcPr>
          <w:p w14:paraId="6DA79AB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37</w:t>
            </w:r>
          </w:p>
        </w:tc>
      </w:tr>
      <w:tr w14:paraId="13DE8F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09" w:hRule="atLeast"/>
          <w:jc w:val="center"/>
        </w:trPr>
        <w:tc>
          <w:tcPr>
            <w:tcW w:w="3113" w:type="dxa"/>
            <w:tcBorders>
              <w:top w:val="nil"/>
              <w:left w:val="single" w:color="auto" w:sz="8" w:space="0"/>
              <w:bottom w:val="single" w:color="auto" w:sz="8" w:space="0"/>
              <w:right w:val="single" w:color="auto" w:sz="8" w:space="0"/>
            </w:tcBorders>
            <w:shd w:val="clear" w:color="auto" w:fill="E6F4FF"/>
            <w:noWrap/>
            <w:tcMar>
              <w:top w:w="0" w:type="dxa"/>
              <w:left w:w="108" w:type="dxa"/>
              <w:bottom w:w="0" w:type="dxa"/>
              <w:right w:w="108" w:type="dxa"/>
            </w:tcMar>
            <w:vAlign w:val="center"/>
          </w:tcPr>
          <w:p w14:paraId="45BDD85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行政强制</w:t>
            </w:r>
          </w:p>
        </w:tc>
        <w:tc>
          <w:tcPr>
            <w:tcW w:w="5027" w:type="dxa"/>
            <w:gridSpan w:val="3"/>
            <w:tcBorders>
              <w:top w:val="nil"/>
              <w:left w:val="nil"/>
              <w:bottom w:val="single" w:color="auto" w:sz="8" w:space="0"/>
              <w:right w:val="single" w:color="auto" w:sz="8" w:space="0"/>
            </w:tcBorders>
            <w:shd w:val="clear" w:color="auto" w:fill="E6F4FF"/>
            <w:noWrap/>
            <w:tcMar>
              <w:top w:w="0" w:type="dxa"/>
              <w:left w:w="108" w:type="dxa"/>
              <w:bottom w:w="0" w:type="dxa"/>
              <w:right w:w="108" w:type="dxa"/>
            </w:tcMar>
            <w:vAlign w:val="center"/>
          </w:tcPr>
          <w:p w14:paraId="4062C85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0</w:t>
            </w:r>
          </w:p>
        </w:tc>
      </w:tr>
      <w:tr w14:paraId="256496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74" w:hRule="atLeast"/>
          <w:jc w:val="center"/>
        </w:trPr>
        <w:tc>
          <w:tcPr>
            <w:tcW w:w="8140" w:type="dxa"/>
            <w:gridSpan w:val="4"/>
            <w:tcBorders>
              <w:top w:val="nil"/>
              <w:left w:val="single" w:color="auto" w:sz="8" w:space="0"/>
              <w:bottom w:val="single" w:color="auto" w:sz="8" w:space="0"/>
              <w:right w:val="single" w:color="auto" w:sz="8" w:space="0"/>
            </w:tcBorders>
            <w:shd w:val="clear" w:color="auto" w:fill="C6D9F1"/>
            <w:noWrap/>
            <w:tcMar>
              <w:top w:w="0" w:type="dxa"/>
              <w:left w:w="108" w:type="dxa"/>
              <w:bottom w:w="0" w:type="dxa"/>
              <w:right w:w="108" w:type="dxa"/>
            </w:tcMar>
            <w:vAlign w:val="center"/>
          </w:tcPr>
          <w:p w14:paraId="7DB9385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第二十条第（八）项</w:t>
            </w:r>
          </w:p>
        </w:tc>
      </w:tr>
      <w:tr w14:paraId="6D626B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15" w:type="dxa"/>
            <w:left w:w="15" w:type="dxa"/>
            <w:bottom w:w="15" w:type="dxa"/>
            <w:right w:w="15" w:type="dxa"/>
          </w:tblCellMar>
        </w:tblPrEx>
        <w:trPr>
          <w:trHeight w:val="270" w:hRule="atLeast"/>
          <w:jc w:val="center"/>
        </w:trPr>
        <w:tc>
          <w:tcPr>
            <w:tcW w:w="3113" w:type="dxa"/>
            <w:tcBorders>
              <w:top w:val="nil"/>
              <w:left w:val="single" w:color="auto" w:sz="8" w:space="0"/>
              <w:bottom w:val="single" w:color="auto" w:sz="8" w:space="0"/>
              <w:right w:val="single" w:color="auto" w:sz="8" w:space="0"/>
            </w:tcBorders>
            <w:shd w:val="clear" w:color="auto" w:fill="E6F4FF"/>
            <w:noWrap/>
            <w:tcMar>
              <w:top w:w="0" w:type="dxa"/>
              <w:left w:w="108" w:type="dxa"/>
              <w:bottom w:w="0" w:type="dxa"/>
              <w:right w:w="108" w:type="dxa"/>
            </w:tcMar>
            <w:vAlign w:val="center"/>
          </w:tcPr>
          <w:p w14:paraId="6B77D77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信息内容</w:t>
            </w:r>
          </w:p>
        </w:tc>
        <w:tc>
          <w:tcPr>
            <w:tcW w:w="5027" w:type="dxa"/>
            <w:gridSpan w:val="3"/>
            <w:tcBorders>
              <w:top w:val="nil"/>
              <w:left w:val="nil"/>
              <w:bottom w:val="single" w:color="auto" w:sz="8" w:space="0"/>
              <w:right w:val="single" w:color="000000" w:sz="8" w:space="0"/>
            </w:tcBorders>
            <w:shd w:val="clear" w:color="auto" w:fill="E6F4FF"/>
            <w:noWrap/>
            <w:tcMar>
              <w:top w:w="0" w:type="dxa"/>
              <w:left w:w="108" w:type="dxa"/>
              <w:bottom w:w="0" w:type="dxa"/>
              <w:right w:w="108" w:type="dxa"/>
            </w:tcMar>
            <w:vAlign w:val="center"/>
          </w:tcPr>
          <w:p w14:paraId="2D4C306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ascii="微软雅黑" w:hAnsi="微软雅黑" w:eastAsia="微软雅黑" w:cs="微软雅黑"/>
                <w:i w:val="0"/>
                <w:caps w:val="0"/>
                <w:color w:val="212121"/>
                <w:spacing w:val="0"/>
                <w:sz w:val="24"/>
                <w:szCs w:val="24"/>
                <w:shd w:val="clear" w:fill="E6F4FF"/>
              </w:rPr>
              <w:t>本年收费金额(单位:万元)</w:t>
            </w:r>
          </w:p>
        </w:tc>
      </w:tr>
      <w:tr w14:paraId="396BE0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551" w:hRule="atLeast"/>
          <w:jc w:val="center"/>
        </w:trPr>
        <w:tc>
          <w:tcPr>
            <w:tcW w:w="3113" w:type="dxa"/>
            <w:tcBorders>
              <w:top w:val="nil"/>
              <w:left w:val="single" w:color="auto" w:sz="8" w:space="0"/>
              <w:bottom w:val="single" w:color="auto" w:sz="8" w:space="0"/>
              <w:right w:val="single" w:color="auto" w:sz="8" w:space="0"/>
            </w:tcBorders>
            <w:shd w:val="clear" w:color="auto" w:fill="E6F4FF"/>
            <w:noWrap/>
            <w:tcMar>
              <w:top w:w="0" w:type="dxa"/>
              <w:left w:w="108" w:type="dxa"/>
              <w:bottom w:w="0" w:type="dxa"/>
              <w:right w:w="108" w:type="dxa"/>
            </w:tcMar>
            <w:vAlign w:val="center"/>
          </w:tcPr>
          <w:p w14:paraId="7D8CD13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行政事业性收费</w:t>
            </w:r>
          </w:p>
        </w:tc>
        <w:tc>
          <w:tcPr>
            <w:tcW w:w="5027" w:type="dxa"/>
            <w:gridSpan w:val="3"/>
            <w:tcBorders>
              <w:top w:val="nil"/>
              <w:left w:val="nil"/>
              <w:bottom w:val="single" w:color="auto" w:sz="8" w:space="0"/>
              <w:right w:val="single" w:color="000000" w:sz="8" w:space="0"/>
            </w:tcBorders>
            <w:shd w:val="clear" w:color="auto" w:fill="E6F4FF"/>
            <w:noWrap/>
            <w:tcMar>
              <w:top w:w="0" w:type="dxa"/>
              <w:left w:w="108" w:type="dxa"/>
              <w:bottom w:w="0" w:type="dxa"/>
              <w:right w:w="108" w:type="dxa"/>
            </w:tcMar>
            <w:vAlign w:val="center"/>
          </w:tcPr>
          <w:p w14:paraId="43B3027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0</w:t>
            </w:r>
          </w:p>
        </w:tc>
      </w:tr>
    </w:tbl>
    <w:p w14:paraId="35EC42C0">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92" w:afterAutospacing="0"/>
        <w:ind w:right="0" w:firstLine="643" w:firstLineChars="200"/>
        <w:jc w:val="both"/>
        <w:rPr>
          <w:rFonts w:hint="eastAsia" w:ascii="黑体" w:hAnsi="黑体" w:eastAsia="黑体" w:cs="黑体"/>
          <w:b w:val="0"/>
          <w:i w:val="0"/>
          <w:caps w:val="0"/>
          <w:color w:val="auto"/>
          <w:spacing w:val="0"/>
          <w:sz w:val="32"/>
          <w:szCs w:val="32"/>
        </w:rPr>
      </w:pPr>
      <w:r>
        <w:rPr>
          <w:rFonts w:hint="eastAsia" w:ascii="黑体" w:hAnsi="黑体" w:eastAsia="黑体" w:cs="黑体"/>
          <w:b/>
          <w:i w:val="0"/>
          <w:caps w:val="0"/>
          <w:color w:val="auto"/>
          <w:spacing w:val="0"/>
          <w:sz w:val="32"/>
          <w:szCs w:val="32"/>
        </w:rPr>
        <w:t>三、收到和处理政府信息公开申请情况</w:t>
      </w:r>
    </w:p>
    <w:tbl>
      <w:tblPr>
        <w:tblStyle w:val="10"/>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15" w:type="dxa"/>
          <w:left w:w="15" w:type="dxa"/>
          <w:bottom w:w="15" w:type="dxa"/>
          <w:right w:w="15" w:type="dxa"/>
        </w:tblCellMar>
      </w:tblPr>
      <w:tblGrid>
        <w:gridCol w:w="856"/>
        <w:gridCol w:w="1176"/>
        <w:gridCol w:w="1904"/>
        <w:gridCol w:w="774"/>
        <w:gridCol w:w="724"/>
        <w:gridCol w:w="724"/>
        <w:gridCol w:w="774"/>
        <w:gridCol w:w="909"/>
        <w:gridCol w:w="687"/>
        <w:gridCol w:w="543"/>
      </w:tblGrid>
      <w:tr w14:paraId="636FE31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3936" w:type="dxa"/>
            <w:gridSpan w:val="3"/>
            <w:vMerge w:val="restart"/>
            <w:tcBorders>
              <w:top w:val="single" w:color="auto" w:sz="8" w:space="0"/>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647B292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（本列数据的勾稽关系为：第一项加第二项之和，等于第三项加第四项之和）</w:t>
            </w:r>
          </w:p>
        </w:tc>
        <w:tc>
          <w:tcPr>
            <w:tcW w:w="5135" w:type="dxa"/>
            <w:gridSpan w:val="7"/>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66FD036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申请人情况</w:t>
            </w:r>
          </w:p>
        </w:tc>
      </w:tr>
      <w:tr w14:paraId="7518D03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3936" w:type="dxa"/>
            <w:gridSpan w:val="3"/>
            <w:vMerge w:val="continue"/>
            <w:tcBorders>
              <w:top w:val="single" w:color="auto" w:sz="8" w:space="0"/>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4EE840FD">
            <w:pPr>
              <w:rPr>
                <w:rFonts w:hint="eastAsia" w:ascii="仿宋" w:hAnsi="仿宋" w:eastAsia="仿宋" w:cs="仿宋"/>
                <w:color w:val="auto"/>
                <w:sz w:val="24"/>
                <w:szCs w:val="24"/>
              </w:rPr>
            </w:pPr>
          </w:p>
        </w:tc>
        <w:tc>
          <w:tcPr>
            <w:tcW w:w="774" w:type="dxa"/>
            <w:vMerge w:val="restart"/>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2493D7E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自然人</w:t>
            </w:r>
          </w:p>
        </w:tc>
        <w:tc>
          <w:tcPr>
            <w:tcW w:w="3818" w:type="dxa"/>
            <w:gridSpan w:val="5"/>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6F4A3FE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法人或其他组织</w:t>
            </w:r>
          </w:p>
        </w:tc>
        <w:tc>
          <w:tcPr>
            <w:tcW w:w="543" w:type="dxa"/>
            <w:vMerge w:val="restart"/>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1917646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总计</w:t>
            </w:r>
          </w:p>
        </w:tc>
      </w:tr>
      <w:tr w14:paraId="4ADFFBC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3936" w:type="dxa"/>
            <w:gridSpan w:val="3"/>
            <w:vMerge w:val="continue"/>
            <w:tcBorders>
              <w:top w:val="single" w:color="auto" w:sz="8" w:space="0"/>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2D3F71E0">
            <w:pPr>
              <w:rPr>
                <w:rFonts w:hint="eastAsia" w:ascii="仿宋" w:hAnsi="仿宋" w:eastAsia="仿宋" w:cs="仿宋"/>
                <w:color w:val="auto"/>
                <w:sz w:val="24"/>
                <w:szCs w:val="24"/>
              </w:rPr>
            </w:pPr>
          </w:p>
        </w:tc>
        <w:tc>
          <w:tcPr>
            <w:tcW w:w="774"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9AC198B">
            <w:pPr>
              <w:rPr>
                <w:rFonts w:hint="eastAsia" w:ascii="仿宋" w:hAnsi="仿宋" w:eastAsia="仿宋" w:cs="仿宋"/>
                <w:color w:val="auto"/>
                <w:sz w:val="24"/>
                <w:szCs w:val="24"/>
              </w:rPr>
            </w:pP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543C5FA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商业企业</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1D2B07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科研机构</w:t>
            </w:r>
          </w:p>
        </w:tc>
        <w:tc>
          <w:tcPr>
            <w:tcW w:w="774"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68C12C7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社会公益组织</w:t>
            </w:r>
          </w:p>
        </w:tc>
        <w:tc>
          <w:tcPr>
            <w:tcW w:w="909"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6A0F1CE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法律服务机构</w:t>
            </w:r>
          </w:p>
        </w:tc>
        <w:tc>
          <w:tcPr>
            <w:tcW w:w="687"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63F6E9B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其他</w:t>
            </w:r>
          </w:p>
        </w:tc>
        <w:tc>
          <w:tcPr>
            <w:tcW w:w="543" w:type="dxa"/>
            <w:vMerge w:val="continue"/>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2552DD80">
            <w:pPr>
              <w:rPr>
                <w:rFonts w:hint="eastAsia" w:ascii="仿宋" w:hAnsi="仿宋" w:eastAsia="仿宋" w:cs="仿宋"/>
                <w:color w:val="auto"/>
                <w:sz w:val="24"/>
                <w:szCs w:val="24"/>
              </w:rPr>
            </w:pPr>
          </w:p>
        </w:tc>
      </w:tr>
      <w:tr w14:paraId="183811B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3936" w:type="dxa"/>
            <w:gridSpan w:val="3"/>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2C9424A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一、本年新收政府信息公开申请数量</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45B18CC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bidi="ar"/>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18E4A9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bidi="ar"/>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2877DBE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bidi="ar"/>
              </w:rPr>
              <w:t>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17E0BD0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D1097B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549E941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bidi="ar"/>
              </w:rPr>
              <w:t>0</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C7EDC7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r>
      <w:tr w14:paraId="3D79AE0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3936" w:type="dxa"/>
            <w:gridSpan w:val="3"/>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53B2840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二、上年结转政府信息公开申请数量</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12E1EB2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bidi="ar"/>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5A50847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21720C2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bidi="ar"/>
              </w:rPr>
              <w:t>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42A2713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bidi="ar"/>
              </w:rPr>
              <w:t>0</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4131DC4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bidi="ar"/>
              </w:rPr>
              <w:t>0</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5700360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EE7DC5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bidi="ar"/>
              </w:rPr>
              <w:t>0</w:t>
            </w:r>
          </w:p>
        </w:tc>
      </w:tr>
      <w:tr w14:paraId="460A846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856" w:type="dxa"/>
            <w:vMerge w:val="restart"/>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1E95501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三、本年度办理结果</w:t>
            </w:r>
          </w:p>
        </w:tc>
        <w:tc>
          <w:tcPr>
            <w:tcW w:w="3080"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2AD1F7F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（一）予以公开</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3287C53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bidi="ar"/>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4C780E3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bidi="ar"/>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49C8DDF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bidi="ar"/>
              </w:rPr>
              <w:t>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21F8BA0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bidi="ar"/>
              </w:rPr>
              <w:t>0</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411ABD5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bidi="ar"/>
              </w:rPr>
              <w:t>0</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24B363D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bidi="ar"/>
              </w:rPr>
              <w:t>0</w:t>
            </w:r>
          </w:p>
        </w:tc>
        <w:tc>
          <w:tcPr>
            <w:tcW w:w="543"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381F78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r>
      <w:tr w14:paraId="1836488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7752F06E">
            <w:pPr>
              <w:rPr>
                <w:rFonts w:hint="eastAsia" w:ascii="仿宋" w:hAnsi="仿宋" w:eastAsia="仿宋" w:cs="仿宋"/>
                <w:color w:val="auto"/>
                <w:sz w:val="24"/>
                <w:szCs w:val="24"/>
              </w:rPr>
            </w:pPr>
          </w:p>
        </w:tc>
        <w:tc>
          <w:tcPr>
            <w:tcW w:w="3080"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140C07A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bidi="ar"/>
              </w:rPr>
              <w:t>（二）部分公开（区分处理的，只计这一情形，不计其他情形）</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3132D4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bidi="ar"/>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65982A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C67033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2AEC1F2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bidi="ar"/>
              </w:rPr>
              <w:t>0</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3FC537B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3DBF1C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510C566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r>
      <w:tr w14:paraId="290DC44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6F436107">
            <w:pPr>
              <w:rPr>
                <w:rFonts w:hint="eastAsia" w:ascii="仿宋" w:hAnsi="仿宋" w:eastAsia="仿宋" w:cs="仿宋"/>
                <w:color w:val="auto"/>
                <w:sz w:val="24"/>
                <w:szCs w:val="24"/>
              </w:rPr>
            </w:pPr>
          </w:p>
        </w:tc>
        <w:tc>
          <w:tcPr>
            <w:tcW w:w="1176" w:type="dxa"/>
            <w:vMerge w:val="restart"/>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2CCA6DC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（三）不予公开</w:t>
            </w: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33FA09F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1.属于国家秘密</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17EC6E5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bidi="ar"/>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1ABCC8E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bidi="ar"/>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431EAB1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bidi="ar"/>
              </w:rPr>
              <w:t>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15658F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bidi="ar"/>
              </w:rPr>
              <w:t>0</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1609170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bidi="ar"/>
              </w:rPr>
              <w:t>0</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3BE8328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bidi="ar"/>
              </w:rPr>
              <w:t>0</w:t>
            </w:r>
          </w:p>
        </w:tc>
        <w:tc>
          <w:tcPr>
            <w:tcW w:w="543"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B75703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r>
      <w:tr w14:paraId="5A01053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6F047BEB">
            <w:pPr>
              <w:rPr>
                <w:rFonts w:hint="eastAsia" w:ascii="仿宋" w:hAnsi="仿宋" w:eastAsia="仿宋" w:cs="仿宋"/>
                <w:color w:val="auto"/>
                <w:sz w:val="24"/>
                <w:szCs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3B9168AC">
            <w:pPr>
              <w:rPr>
                <w:rFonts w:hint="eastAsia" w:ascii="仿宋" w:hAnsi="仿宋" w:eastAsia="仿宋" w:cs="仿宋"/>
                <w:color w:val="auto"/>
                <w:sz w:val="24"/>
                <w:szCs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1AF1240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2.其他法律行政法规禁止公开</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6789C79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bidi="ar"/>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27B9D83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473DDC2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157C978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8B7B91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1E36542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689F3A0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bidi="ar"/>
              </w:rPr>
              <w:t>0</w:t>
            </w:r>
          </w:p>
        </w:tc>
      </w:tr>
      <w:tr w14:paraId="32DBC5E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6F189EA8">
            <w:pPr>
              <w:rPr>
                <w:rFonts w:hint="eastAsia" w:ascii="仿宋" w:hAnsi="仿宋" w:eastAsia="仿宋" w:cs="仿宋"/>
                <w:color w:val="auto"/>
                <w:sz w:val="24"/>
                <w:szCs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1399C4D">
            <w:pPr>
              <w:rPr>
                <w:rFonts w:hint="eastAsia" w:ascii="仿宋" w:hAnsi="仿宋" w:eastAsia="仿宋" w:cs="仿宋"/>
                <w:color w:val="auto"/>
                <w:sz w:val="24"/>
                <w:szCs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2C200FE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3.危及“三安全一稳定”</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3FC0A6D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B38620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6874F75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1D8EB41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39AB0F5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83DDDE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1502B7F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bidi="ar"/>
              </w:rPr>
              <w:t>0</w:t>
            </w:r>
          </w:p>
        </w:tc>
      </w:tr>
      <w:tr w14:paraId="209DEC4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353FF5FB">
            <w:pPr>
              <w:rPr>
                <w:rFonts w:hint="eastAsia" w:ascii="仿宋" w:hAnsi="仿宋" w:eastAsia="仿宋" w:cs="仿宋"/>
                <w:color w:val="auto"/>
                <w:sz w:val="24"/>
                <w:szCs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665476C3">
            <w:pPr>
              <w:rPr>
                <w:rFonts w:hint="eastAsia" w:ascii="仿宋" w:hAnsi="仿宋" w:eastAsia="仿宋" w:cs="仿宋"/>
                <w:color w:val="auto"/>
                <w:sz w:val="24"/>
                <w:szCs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23FE703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4.保护第三方合法权益</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3048DF7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3196178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6D30270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EDA2C8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675C3BF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044A2B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635DE91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bidi="ar"/>
              </w:rPr>
              <w:t>0</w:t>
            </w:r>
          </w:p>
        </w:tc>
      </w:tr>
      <w:tr w14:paraId="2C886FE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65663A84">
            <w:pPr>
              <w:rPr>
                <w:rFonts w:hint="eastAsia" w:ascii="仿宋" w:hAnsi="仿宋" w:eastAsia="仿宋" w:cs="仿宋"/>
                <w:color w:val="auto"/>
                <w:sz w:val="24"/>
                <w:szCs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61535238">
            <w:pPr>
              <w:rPr>
                <w:rFonts w:hint="eastAsia" w:ascii="仿宋" w:hAnsi="仿宋" w:eastAsia="仿宋" w:cs="仿宋"/>
                <w:color w:val="auto"/>
                <w:sz w:val="24"/>
                <w:szCs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17079F0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5.属于三类内部事务信息</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526F81B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4566A6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2E642D0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6A7ABDE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46661D9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6D767C5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33B3F19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bidi="ar"/>
              </w:rPr>
              <w:t>0</w:t>
            </w:r>
          </w:p>
        </w:tc>
      </w:tr>
      <w:tr w14:paraId="34B7F339">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0178EB7B">
            <w:pPr>
              <w:rPr>
                <w:rFonts w:hint="eastAsia" w:ascii="仿宋" w:hAnsi="仿宋" w:eastAsia="仿宋" w:cs="仿宋"/>
                <w:color w:val="auto"/>
                <w:sz w:val="24"/>
                <w:szCs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313CF6F3">
            <w:pPr>
              <w:rPr>
                <w:rFonts w:hint="eastAsia" w:ascii="仿宋" w:hAnsi="仿宋" w:eastAsia="仿宋" w:cs="仿宋"/>
                <w:color w:val="auto"/>
                <w:sz w:val="24"/>
                <w:szCs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322B693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6.属于四类过程性信息</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750DF4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2CCFCE1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2AD6A8F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56741CF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350CBE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B3BA39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0BB6E9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bidi="ar"/>
              </w:rPr>
              <w:t>0</w:t>
            </w:r>
          </w:p>
        </w:tc>
      </w:tr>
      <w:tr w14:paraId="5ECB904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7B2B7591">
            <w:pPr>
              <w:rPr>
                <w:rFonts w:hint="eastAsia" w:ascii="仿宋" w:hAnsi="仿宋" w:eastAsia="仿宋" w:cs="仿宋"/>
                <w:color w:val="auto"/>
                <w:sz w:val="24"/>
                <w:szCs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5396B006">
            <w:pPr>
              <w:rPr>
                <w:rFonts w:hint="eastAsia" w:ascii="仿宋" w:hAnsi="仿宋" w:eastAsia="仿宋" w:cs="仿宋"/>
                <w:color w:val="auto"/>
                <w:sz w:val="24"/>
                <w:szCs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556811D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7.属于行政执法案卷</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3AFE0FC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608BDE8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2A691F6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4AD4B4A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150E2C0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3BF48A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191BE56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bidi="ar"/>
              </w:rPr>
              <w:t>0</w:t>
            </w:r>
          </w:p>
        </w:tc>
      </w:tr>
      <w:tr w14:paraId="07B730B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586FBCF3">
            <w:pPr>
              <w:rPr>
                <w:rFonts w:hint="eastAsia" w:ascii="仿宋" w:hAnsi="仿宋" w:eastAsia="仿宋" w:cs="仿宋"/>
                <w:color w:val="auto"/>
                <w:sz w:val="24"/>
                <w:szCs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1E6C2A5C">
            <w:pPr>
              <w:rPr>
                <w:rFonts w:hint="eastAsia" w:ascii="仿宋" w:hAnsi="仿宋" w:eastAsia="仿宋" w:cs="仿宋"/>
                <w:color w:val="auto"/>
                <w:sz w:val="24"/>
                <w:szCs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1A027C6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8.属于行政查询事项</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55077AB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58BE0D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C4D289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AEEEC4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4CBD4F7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543063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2219D4C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bidi="ar"/>
              </w:rPr>
              <w:t>0</w:t>
            </w:r>
          </w:p>
        </w:tc>
      </w:tr>
      <w:tr w14:paraId="3D518AF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2517119B">
            <w:pPr>
              <w:rPr>
                <w:rFonts w:hint="eastAsia" w:ascii="仿宋" w:hAnsi="仿宋" w:eastAsia="仿宋" w:cs="仿宋"/>
                <w:color w:val="auto"/>
                <w:sz w:val="24"/>
                <w:szCs w:val="24"/>
              </w:rPr>
            </w:pPr>
          </w:p>
        </w:tc>
        <w:tc>
          <w:tcPr>
            <w:tcW w:w="1176" w:type="dxa"/>
            <w:vMerge w:val="restart"/>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6053893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（四）无法提供</w:t>
            </w: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6D772C1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1.本机关不掌握相关政府信息</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DD8223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1EB3901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66C5853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350A279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3F699D6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6FDBF9D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35A02E4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r>
      <w:tr w14:paraId="2529946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085E59C1">
            <w:pPr>
              <w:rPr>
                <w:rFonts w:hint="eastAsia" w:ascii="仿宋" w:hAnsi="仿宋" w:eastAsia="仿宋" w:cs="仿宋"/>
                <w:color w:val="auto"/>
                <w:sz w:val="24"/>
                <w:szCs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09B2A20">
            <w:pPr>
              <w:rPr>
                <w:rFonts w:hint="eastAsia" w:ascii="仿宋" w:hAnsi="仿宋" w:eastAsia="仿宋" w:cs="仿宋"/>
                <w:color w:val="auto"/>
                <w:sz w:val="24"/>
                <w:szCs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3FC9788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2.没有现成信息需要另行制作</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14C3613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14A2852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6E1707E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E396C4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14487AE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477D694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3F17DC7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bidi="ar"/>
              </w:rPr>
              <w:t>0</w:t>
            </w:r>
          </w:p>
        </w:tc>
      </w:tr>
      <w:tr w14:paraId="08E52D5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4331A59F">
            <w:pPr>
              <w:rPr>
                <w:rFonts w:hint="eastAsia" w:ascii="仿宋" w:hAnsi="仿宋" w:eastAsia="仿宋" w:cs="仿宋"/>
                <w:color w:val="auto"/>
                <w:sz w:val="24"/>
                <w:szCs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698164DF">
            <w:pPr>
              <w:rPr>
                <w:rFonts w:hint="eastAsia" w:ascii="仿宋" w:hAnsi="仿宋" w:eastAsia="仿宋" w:cs="仿宋"/>
                <w:color w:val="auto"/>
                <w:sz w:val="24"/>
                <w:szCs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5E0F302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bidi="ar"/>
              </w:rPr>
              <w:t>3.补正后申请内容仍不明确</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16443C5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3016CE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EBDBC3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CC8479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1D1A0A6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5AD9722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48FA960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bidi="ar"/>
              </w:rPr>
              <w:t>0</w:t>
            </w:r>
          </w:p>
        </w:tc>
      </w:tr>
      <w:tr w14:paraId="3D9E9F6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790FF91D">
            <w:pPr>
              <w:rPr>
                <w:rFonts w:hint="eastAsia" w:ascii="仿宋" w:hAnsi="仿宋" w:eastAsia="仿宋" w:cs="仿宋"/>
                <w:color w:val="auto"/>
                <w:sz w:val="24"/>
                <w:szCs w:val="24"/>
              </w:rPr>
            </w:pPr>
          </w:p>
        </w:tc>
        <w:tc>
          <w:tcPr>
            <w:tcW w:w="1176" w:type="dxa"/>
            <w:vMerge w:val="restart"/>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1994268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（五）不予处理</w:t>
            </w: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381A97C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1.信访举报投诉类申请</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1493BDE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3D88196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58289F1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549776A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358624D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4B0C52D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4DC4A94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bidi="ar"/>
              </w:rPr>
              <w:t>0</w:t>
            </w:r>
          </w:p>
        </w:tc>
      </w:tr>
      <w:tr w14:paraId="5E4CC15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760D5D94">
            <w:pPr>
              <w:rPr>
                <w:rFonts w:hint="eastAsia" w:ascii="仿宋" w:hAnsi="仿宋" w:eastAsia="仿宋" w:cs="仿宋"/>
                <w:color w:val="auto"/>
                <w:sz w:val="24"/>
                <w:szCs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D656C9D">
            <w:pPr>
              <w:rPr>
                <w:rFonts w:hint="eastAsia" w:ascii="仿宋" w:hAnsi="仿宋" w:eastAsia="仿宋" w:cs="仿宋"/>
                <w:color w:val="auto"/>
                <w:sz w:val="24"/>
                <w:szCs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3B66884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2.重复申请</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13B54B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C8797F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36AD7E8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564C3A2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4A8055A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275C8C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6F0F9EC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bidi="ar"/>
              </w:rPr>
              <w:t>0</w:t>
            </w:r>
          </w:p>
        </w:tc>
      </w:tr>
      <w:tr w14:paraId="3B08C88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6503277B">
            <w:pPr>
              <w:rPr>
                <w:rFonts w:hint="eastAsia" w:ascii="仿宋" w:hAnsi="仿宋" w:eastAsia="仿宋" w:cs="仿宋"/>
                <w:color w:val="auto"/>
                <w:sz w:val="24"/>
                <w:szCs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4D17692E">
            <w:pPr>
              <w:rPr>
                <w:rFonts w:hint="eastAsia" w:ascii="仿宋" w:hAnsi="仿宋" w:eastAsia="仿宋" w:cs="仿宋"/>
                <w:color w:val="auto"/>
                <w:sz w:val="24"/>
                <w:szCs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4801BFD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3.要求提供公开出版物</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FC006A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393D101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1C04E97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218CE83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1A10C14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72CCDC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78780B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bidi="ar"/>
              </w:rPr>
              <w:t>0</w:t>
            </w:r>
          </w:p>
        </w:tc>
      </w:tr>
      <w:tr w14:paraId="7CB435C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17781BB3">
            <w:pPr>
              <w:rPr>
                <w:rFonts w:hint="eastAsia" w:ascii="仿宋" w:hAnsi="仿宋" w:eastAsia="仿宋" w:cs="仿宋"/>
                <w:color w:val="auto"/>
                <w:sz w:val="24"/>
                <w:szCs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1D4D971">
            <w:pPr>
              <w:rPr>
                <w:rFonts w:hint="eastAsia" w:ascii="仿宋" w:hAnsi="仿宋" w:eastAsia="仿宋" w:cs="仿宋"/>
                <w:color w:val="auto"/>
                <w:sz w:val="24"/>
                <w:szCs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394A63B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4.无正当理由大量反复申请</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66AB235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6AAD7B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14F3662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9DCC53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D1E72F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5CA9323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154844D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bidi="ar"/>
              </w:rPr>
              <w:t>0</w:t>
            </w:r>
          </w:p>
        </w:tc>
      </w:tr>
      <w:tr w14:paraId="77E332B5">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0F35EBB0">
            <w:pPr>
              <w:rPr>
                <w:rFonts w:hint="eastAsia" w:ascii="仿宋" w:hAnsi="仿宋" w:eastAsia="仿宋" w:cs="仿宋"/>
                <w:color w:val="auto"/>
                <w:sz w:val="24"/>
                <w:szCs w:val="24"/>
              </w:rPr>
            </w:pPr>
          </w:p>
        </w:tc>
        <w:tc>
          <w:tcPr>
            <w:tcW w:w="1176"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413E8539">
            <w:pPr>
              <w:rPr>
                <w:rFonts w:hint="eastAsia" w:ascii="仿宋" w:hAnsi="仿宋" w:eastAsia="仿宋" w:cs="仿宋"/>
                <w:color w:val="auto"/>
                <w:sz w:val="24"/>
                <w:szCs w:val="24"/>
              </w:rPr>
            </w:pPr>
          </w:p>
        </w:tc>
        <w:tc>
          <w:tcPr>
            <w:tcW w:w="19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40BFDA3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5.要求行政机关确认或重新出具已获取信息</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59AE26E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548402F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69962EB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4250D01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BA038E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5BDC349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2AD337B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r>
      <w:tr w14:paraId="0D3DBF0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2CF469B8">
            <w:pPr>
              <w:rPr>
                <w:rFonts w:hint="eastAsia" w:ascii="仿宋" w:hAnsi="仿宋" w:eastAsia="仿宋" w:cs="仿宋"/>
                <w:color w:val="auto"/>
                <w:sz w:val="24"/>
                <w:szCs w:val="24"/>
              </w:rPr>
            </w:pPr>
          </w:p>
        </w:tc>
        <w:tc>
          <w:tcPr>
            <w:tcW w:w="3080"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65BF8D3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（六）其他处理</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4E6D3E8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55521ED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2059968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4B0425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1521562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C271BC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4832E50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r>
      <w:tr w14:paraId="2F023E9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856"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430C884A">
            <w:pPr>
              <w:rPr>
                <w:rFonts w:hint="eastAsia" w:ascii="仿宋" w:hAnsi="仿宋" w:eastAsia="仿宋" w:cs="仿宋"/>
                <w:color w:val="auto"/>
                <w:sz w:val="24"/>
                <w:szCs w:val="24"/>
              </w:rPr>
            </w:pPr>
          </w:p>
        </w:tc>
        <w:tc>
          <w:tcPr>
            <w:tcW w:w="3080" w:type="dxa"/>
            <w:gridSpan w:val="2"/>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2138A0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（七）总计</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64A07C1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3FD2E5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3305AAF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ADFAE4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4CFA876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600664B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546129C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r>
      <w:tr w14:paraId="7369A20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3936" w:type="dxa"/>
            <w:gridSpan w:val="3"/>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54EAB58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四、结转下年度继续办理</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62CAD1F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64152EF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72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B87D13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77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6BEADCB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909"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22E38F4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687"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5FCCE13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543"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B5E4083">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0</w:t>
            </w:r>
          </w:p>
        </w:tc>
      </w:tr>
    </w:tbl>
    <w:p w14:paraId="10BE327D">
      <w:pPr>
        <w:pStyle w:val="8"/>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right="0" w:firstLine="643" w:firstLineChars="200"/>
        <w:jc w:val="both"/>
        <w:rPr>
          <w:rFonts w:hint="eastAsia" w:ascii="仿宋" w:hAnsi="仿宋" w:eastAsia="仿宋" w:cs="仿宋"/>
          <w:b w:val="0"/>
          <w:i w:val="0"/>
          <w:caps w:val="0"/>
          <w:color w:val="auto"/>
          <w:spacing w:val="0"/>
          <w:sz w:val="32"/>
          <w:szCs w:val="32"/>
        </w:rPr>
      </w:pPr>
      <w:r>
        <w:rPr>
          <w:rFonts w:hint="eastAsia" w:ascii="黑体" w:hAnsi="黑体" w:eastAsia="黑体" w:cs="黑体"/>
          <w:b/>
          <w:i w:val="0"/>
          <w:caps w:val="0"/>
          <w:color w:val="auto"/>
          <w:spacing w:val="0"/>
          <w:sz w:val="32"/>
          <w:szCs w:val="32"/>
        </w:rPr>
        <w:t>四、政府信息公开行政复议、行政诉讼情况</w:t>
      </w:r>
    </w:p>
    <w:tbl>
      <w:tblPr>
        <w:tblStyle w:val="10"/>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fixed"/>
        <w:tblCellMar>
          <w:top w:w="15" w:type="dxa"/>
          <w:left w:w="15" w:type="dxa"/>
          <w:bottom w:w="15" w:type="dxa"/>
          <w:right w:w="15" w:type="dxa"/>
        </w:tblCellMar>
      </w:tblPr>
      <w:tblGrid>
        <w:gridCol w:w="604"/>
        <w:gridCol w:w="604"/>
        <w:gridCol w:w="604"/>
        <w:gridCol w:w="604"/>
        <w:gridCol w:w="658"/>
        <w:gridCol w:w="550"/>
        <w:gridCol w:w="605"/>
        <w:gridCol w:w="605"/>
        <w:gridCol w:w="605"/>
        <w:gridCol w:w="605"/>
        <w:gridCol w:w="605"/>
        <w:gridCol w:w="605"/>
        <w:gridCol w:w="605"/>
        <w:gridCol w:w="606"/>
        <w:gridCol w:w="606"/>
      </w:tblGrid>
      <w:tr w14:paraId="04DF009C">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PrEx>
        <w:trPr>
          <w:jc w:val="center"/>
        </w:trPr>
        <w:tc>
          <w:tcPr>
            <w:tcW w:w="3074" w:type="dxa"/>
            <w:gridSpan w:val="5"/>
            <w:tcBorders>
              <w:top w:val="single" w:color="auto" w:sz="8" w:space="0"/>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5A893AC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行政复议</w:t>
            </w:r>
          </w:p>
        </w:tc>
        <w:tc>
          <w:tcPr>
            <w:tcW w:w="5997" w:type="dxa"/>
            <w:gridSpan w:val="10"/>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02621A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行政诉讼</w:t>
            </w:r>
          </w:p>
        </w:tc>
      </w:tr>
      <w:tr w14:paraId="372256C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604" w:type="dxa"/>
            <w:vMerge w:val="restart"/>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5BF3D72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结果维持</w:t>
            </w:r>
          </w:p>
        </w:tc>
        <w:tc>
          <w:tcPr>
            <w:tcW w:w="604" w:type="dxa"/>
            <w:vMerge w:val="restart"/>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1398243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结果纠正</w:t>
            </w:r>
          </w:p>
        </w:tc>
        <w:tc>
          <w:tcPr>
            <w:tcW w:w="604" w:type="dxa"/>
            <w:vMerge w:val="restart"/>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4F3AF8D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其他结果</w:t>
            </w:r>
          </w:p>
        </w:tc>
        <w:tc>
          <w:tcPr>
            <w:tcW w:w="604" w:type="dxa"/>
            <w:vMerge w:val="restart"/>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6875172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尚未审结</w:t>
            </w:r>
          </w:p>
        </w:tc>
        <w:tc>
          <w:tcPr>
            <w:tcW w:w="658" w:type="dxa"/>
            <w:vMerge w:val="restart"/>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1D48E1A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总计</w:t>
            </w:r>
          </w:p>
        </w:tc>
        <w:tc>
          <w:tcPr>
            <w:tcW w:w="2970" w:type="dxa"/>
            <w:gridSpan w:val="5"/>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E288A8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未经复议直接起诉</w:t>
            </w:r>
          </w:p>
        </w:tc>
        <w:tc>
          <w:tcPr>
            <w:tcW w:w="3027" w:type="dxa"/>
            <w:gridSpan w:val="5"/>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1DFF8CA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复议后起诉</w:t>
            </w:r>
          </w:p>
        </w:tc>
      </w:tr>
      <w:tr w14:paraId="7B6AF25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PrEx>
        <w:trPr>
          <w:jc w:val="center"/>
        </w:trPr>
        <w:tc>
          <w:tcPr>
            <w:tcW w:w="604" w:type="dxa"/>
            <w:vMerge w:val="continue"/>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7247AAAA">
            <w:pPr>
              <w:rPr>
                <w:rFonts w:hint="eastAsia" w:ascii="仿宋" w:hAnsi="仿宋" w:eastAsia="仿宋" w:cs="仿宋"/>
                <w:color w:val="auto"/>
                <w:sz w:val="24"/>
                <w:szCs w:val="24"/>
              </w:rPr>
            </w:pPr>
          </w:p>
        </w:tc>
        <w:tc>
          <w:tcPr>
            <w:tcW w:w="604" w:type="dxa"/>
            <w:vMerge w:val="continue"/>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6261EDD">
            <w:pPr>
              <w:rPr>
                <w:rFonts w:hint="eastAsia" w:ascii="仿宋" w:hAnsi="仿宋" w:eastAsia="仿宋" w:cs="仿宋"/>
                <w:color w:val="auto"/>
                <w:sz w:val="24"/>
                <w:szCs w:val="24"/>
              </w:rPr>
            </w:pPr>
          </w:p>
        </w:tc>
        <w:tc>
          <w:tcPr>
            <w:tcW w:w="604" w:type="dxa"/>
            <w:vMerge w:val="continue"/>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17643CA">
            <w:pPr>
              <w:rPr>
                <w:rFonts w:hint="eastAsia" w:ascii="仿宋" w:hAnsi="仿宋" w:eastAsia="仿宋" w:cs="仿宋"/>
                <w:color w:val="auto"/>
                <w:sz w:val="24"/>
                <w:szCs w:val="24"/>
              </w:rPr>
            </w:pPr>
          </w:p>
        </w:tc>
        <w:tc>
          <w:tcPr>
            <w:tcW w:w="604" w:type="dxa"/>
            <w:vMerge w:val="continue"/>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10BFB682">
            <w:pPr>
              <w:rPr>
                <w:rFonts w:hint="eastAsia" w:ascii="仿宋" w:hAnsi="仿宋" w:eastAsia="仿宋" w:cs="仿宋"/>
                <w:color w:val="auto"/>
                <w:sz w:val="24"/>
                <w:szCs w:val="24"/>
              </w:rPr>
            </w:pPr>
          </w:p>
        </w:tc>
        <w:tc>
          <w:tcPr>
            <w:tcW w:w="658" w:type="dxa"/>
            <w:vMerge w:val="continue"/>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2769E720">
            <w:pPr>
              <w:rPr>
                <w:rFonts w:hint="eastAsia" w:ascii="仿宋" w:hAnsi="仿宋" w:eastAsia="仿宋" w:cs="仿宋"/>
                <w:color w:val="auto"/>
                <w:sz w:val="24"/>
                <w:szCs w:val="24"/>
              </w:rPr>
            </w:pPr>
          </w:p>
        </w:tc>
        <w:tc>
          <w:tcPr>
            <w:tcW w:w="55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6010B52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结果维持</w:t>
            </w:r>
          </w:p>
        </w:tc>
        <w:tc>
          <w:tcPr>
            <w:tcW w:w="60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D28447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结果纠正</w:t>
            </w:r>
          </w:p>
        </w:tc>
        <w:tc>
          <w:tcPr>
            <w:tcW w:w="605"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D40FD0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其他结果</w:t>
            </w:r>
          </w:p>
        </w:tc>
        <w:tc>
          <w:tcPr>
            <w:tcW w:w="605"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39C816D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尚未审结</w:t>
            </w:r>
          </w:p>
        </w:tc>
        <w:tc>
          <w:tcPr>
            <w:tcW w:w="605"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6530E1F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总计</w:t>
            </w:r>
          </w:p>
        </w:tc>
        <w:tc>
          <w:tcPr>
            <w:tcW w:w="605"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16E7122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结果维持</w:t>
            </w:r>
          </w:p>
        </w:tc>
        <w:tc>
          <w:tcPr>
            <w:tcW w:w="605"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2C7D6F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结果纠正</w:t>
            </w:r>
          </w:p>
        </w:tc>
        <w:tc>
          <w:tcPr>
            <w:tcW w:w="605"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10BEEB5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其他结果</w:t>
            </w:r>
          </w:p>
        </w:tc>
        <w:tc>
          <w:tcPr>
            <w:tcW w:w="606"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518C531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尚未审结</w:t>
            </w:r>
          </w:p>
        </w:tc>
        <w:tc>
          <w:tcPr>
            <w:tcW w:w="606" w:type="dxa"/>
            <w:tcBorders>
              <w:top w:val="single" w:color="auto" w:sz="8" w:space="0"/>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2EBC8E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总计</w:t>
            </w:r>
          </w:p>
        </w:tc>
      </w:tr>
      <w:tr w14:paraId="2401E1A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15" w:type="dxa"/>
            <w:left w:w="15" w:type="dxa"/>
            <w:bottom w:w="15" w:type="dxa"/>
            <w:right w:w="15" w:type="dxa"/>
          </w:tblCellMar>
        </w:tblPrEx>
        <w:trPr>
          <w:jc w:val="center"/>
        </w:trPr>
        <w:tc>
          <w:tcPr>
            <w:tcW w:w="604" w:type="dxa"/>
            <w:tcBorders>
              <w:top w:val="nil"/>
              <w:left w:val="single" w:color="auto" w:sz="8" w:space="0"/>
              <w:bottom w:val="single" w:color="auto" w:sz="8" w:space="0"/>
              <w:right w:val="single" w:color="auto" w:sz="8" w:space="0"/>
            </w:tcBorders>
            <w:shd w:val="clear" w:color="auto" w:fill="E6F4FF"/>
            <w:tcMar>
              <w:top w:w="0" w:type="dxa"/>
              <w:left w:w="108" w:type="dxa"/>
              <w:bottom w:w="0" w:type="dxa"/>
              <w:right w:w="108" w:type="dxa"/>
            </w:tcMar>
            <w:vAlign w:val="center"/>
          </w:tcPr>
          <w:p w14:paraId="3633B3F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6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46BBD98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bidi="ar"/>
              </w:rPr>
              <w:t>0</w:t>
            </w:r>
          </w:p>
        </w:tc>
        <w:tc>
          <w:tcPr>
            <w:tcW w:w="6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E51437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bidi="ar"/>
              </w:rPr>
              <w:t>0</w:t>
            </w:r>
          </w:p>
        </w:tc>
        <w:tc>
          <w:tcPr>
            <w:tcW w:w="604"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CFACEB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658"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4699978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bidi="ar"/>
              </w:rPr>
              <w:t>0</w:t>
            </w:r>
          </w:p>
        </w:tc>
        <w:tc>
          <w:tcPr>
            <w:tcW w:w="550"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052FED8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bidi="ar"/>
              </w:rPr>
              <w:t>0</w:t>
            </w:r>
          </w:p>
        </w:tc>
        <w:tc>
          <w:tcPr>
            <w:tcW w:w="60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D8D6AC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bidi="ar"/>
              </w:rPr>
              <w:t>0</w:t>
            </w:r>
          </w:p>
        </w:tc>
        <w:tc>
          <w:tcPr>
            <w:tcW w:w="60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215C4F3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bidi="ar"/>
              </w:rPr>
              <w:t>0</w:t>
            </w:r>
          </w:p>
        </w:tc>
        <w:tc>
          <w:tcPr>
            <w:tcW w:w="60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54663C1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60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DD10AD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bidi="ar"/>
              </w:rPr>
              <w:t>0</w:t>
            </w:r>
          </w:p>
        </w:tc>
        <w:tc>
          <w:tcPr>
            <w:tcW w:w="60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44DFC9C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60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476E88D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605"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461E9DE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eastAsia" w:ascii="仿宋" w:hAnsi="仿宋" w:eastAsia="仿宋" w:cs="仿宋"/>
                <w:color w:val="auto"/>
                <w:sz w:val="24"/>
                <w:szCs w:val="24"/>
              </w:rPr>
            </w:pPr>
            <w:r>
              <w:rPr>
                <w:rFonts w:hint="eastAsia" w:ascii="仿宋" w:hAnsi="仿宋" w:eastAsia="仿宋" w:cs="仿宋"/>
                <w:color w:val="auto"/>
                <w:kern w:val="0"/>
                <w:sz w:val="24"/>
                <w:szCs w:val="24"/>
                <w:lang w:val="en-US" w:eastAsia="zh-CN" w:bidi="ar"/>
              </w:rPr>
              <w:t>0</w:t>
            </w:r>
          </w:p>
        </w:tc>
        <w:tc>
          <w:tcPr>
            <w:tcW w:w="606"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50046BA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仿宋" w:hAnsi="仿宋" w:eastAsia="仿宋" w:cs="仿宋"/>
                <w:color w:val="auto"/>
                <w:sz w:val="24"/>
                <w:szCs w:val="24"/>
                <w:lang w:val="en-US"/>
              </w:rPr>
            </w:pPr>
            <w:r>
              <w:rPr>
                <w:rFonts w:hint="eastAsia" w:ascii="仿宋" w:hAnsi="仿宋" w:eastAsia="仿宋" w:cs="仿宋"/>
                <w:color w:val="auto"/>
                <w:kern w:val="0"/>
                <w:sz w:val="24"/>
                <w:szCs w:val="24"/>
                <w:lang w:val="en-US" w:eastAsia="zh-CN" w:bidi="ar"/>
              </w:rPr>
              <w:t>0</w:t>
            </w:r>
          </w:p>
        </w:tc>
        <w:tc>
          <w:tcPr>
            <w:tcW w:w="606" w:type="dxa"/>
            <w:tcBorders>
              <w:top w:val="nil"/>
              <w:left w:val="nil"/>
              <w:bottom w:val="single" w:color="auto" w:sz="8" w:space="0"/>
              <w:right w:val="single" w:color="auto" w:sz="8" w:space="0"/>
            </w:tcBorders>
            <w:shd w:val="clear" w:color="auto" w:fill="E6F4FF"/>
            <w:tcMar>
              <w:top w:w="0" w:type="dxa"/>
              <w:left w:w="108" w:type="dxa"/>
              <w:bottom w:w="0" w:type="dxa"/>
              <w:right w:w="108" w:type="dxa"/>
            </w:tcMar>
            <w:vAlign w:val="center"/>
          </w:tcPr>
          <w:p w14:paraId="7614B599">
            <w:pPr>
              <w:jc w:val="center"/>
              <w:rPr>
                <w:rFonts w:hint="eastAsia" w:ascii="仿宋" w:hAnsi="仿宋" w:eastAsia="仿宋" w:cs="仿宋"/>
                <w:color w:val="auto"/>
                <w:sz w:val="24"/>
                <w:szCs w:val="24"/>
                <w:lang w:val="en-US" w:eastAsia="zh-CN"/>
              </w:rPr>
            </w:pPr>
            <w:r>
              <w:rPr>
                <w:rFonts w:hint="eastAsia" w:ascii="仿宋" w:hAnsi="仿宋" w:eastAsia="仿宋" w:cs="仿宋"/>
                <w:color w:val="auto"/>
                <w:sz w:val="24"/>
                <w:szCs w:val="24"/>
                <w:lang w:val="en-US" w:eastAsia="zh-CN"/>
              </w:rPr>
              <w:t>0</w:t>
            </w:r>
          </w:p>
        </w:tc>
      </w:tr>
    </w:tbl>
    <w:p w14:paraId="0B4B4D5A">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60" w:lineRule="exact"/>
        <w:ind w:right="0" w:firstLine="643" w:firstLineChars="200"/>
        <w:jc w:val="both"/>
        <w:textAlignment w:val="auto"/>
        <w:rPr>
          <w:rFonts w:hint="eastAsia" w:ascii="黑体" w:hAnsi="黑体" w:eastAsia="黑体" w:cs="黑体"/>
          <w:b w:val="0"/>
          <w:i w:val="0"/>
          <w:caps w:val="0"/>
          <w:color w:val="000000"/>
          <w:spacing w:val="0"/>
          <w:sz w:val="32"/>
          <w:szCs w:val="32"/>
        </w:rPr>
      </w:pPr>
      <w:r>
        <w:rPr>
          <w:rFonts w:hint="eastAsia" w:ascii="黑体" w:hAnsi="黑体" w:eastAsia="黑体" w:cs="黑体"/>
          <w:b/>
          <w:i w:val="0"/>
          <w:caps w:val="0"/>
          <w:color w:val="000000"/>
          <w:spacing w:val="0"/>
          <w:sz w:val="32"/>
          <w:szCs w:val="32"/>
        </w:rPr>
        <w:t>五、存在的主要问题及改进情况</w:t>
      </w:r>
    </w:p>
    <w:p w14:paraId="4F43A8BE">
      <w:pPr>
        <w:keepNext w:val="0"/>
        <w:keepLines w:val="0"/>
        <w:pageBreakBefore w:val="0"/>
        <w:numPr>
          <w:ilvl w:val="0"/>
          <w:numId w:val="0"/>
        </w:numPr>
        <w:kinsoku/>
        <w:wordWrap/>
        <w:overflowPunct/>
        <w:topLinePunct w:val="0"/>
        <w:autoSpaceDE/>
        <w:autoSpaceDN/>
        <w:bidi w:val="0"/>
        <w:adjustRightInd/>
        <w:snapToGrid/>
        <w:spacing w:afterAutospacing="0" w:line="560" w:lineRule="exact"/>
        <w:ind w:firstLine="640" w:firstLineChars="200"/>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2023年存在的重要问题:</w:t>
      </w:r>
      <w:r>
        <w:rPr>
          <w:rFonts w:hint="default" w:ascii="仿宋_GB2312" w:hAnsi="仿宋_GB2312" w:eastAsia="仿宋_GB2312" w:cs="仿宋_GB2312"/>
          <w:sz w:val="32"/>
          <w:szCs w:val="32"/>
          <w:lang w:val="en-US" w:eastAsia="zh-CN"/>
        </w:rPr>
        <w:t>一是</w:t>
      </w:r>
      <w:r>
        <w:rPr>
          <w:rFonts w:hint="eastAsia" w:ascii="仿宋_GB2312" w:hAnsi="仿宋_GB2312" w:eastAsia="仿宋_GB2312" w:cs="仿宋_GB2312"/>
          <w:sz w:val="32"/>
          <w:szCs w:val="32"/>
          <w:lang w:val="en-US" w:eastAsia="zh-CN"/>
        </w:rPr>
        <w:t>思想重视仍需继续提高</w:t>
      </w:r>
      <w:r>
        <w:rPr>
          <w:rFonts w:hint="default" w:ascii="仿宋_GB2312" w:hAnsi="仿宋_GB2312" w:eastAsia="仿宋_GB2312" w:cs="仿宋_GB2312"/>
          <w:sz w:val="32"/>
          <w:szCs w:val="32"/>
          <w:lang w:val="en-US" w:eastAsia="zh-CN"/>
        </w:rPr>
        <w:t>；二是</w:t>
      </w:r>
      <w:r>
        <w:rPr>
          <w:rFonts w:hint="eastAsia" w:ascii="仿宋_GB2312" w:hAnsi="仿宋_GB2312" w:eastAsia="仿宋_GB2312" w:cs="仿宋_GB2312"/>
          <w:sz w:val="32"/>
          <w:szCs w:val="32"/>
          <w:lang w:val="en-US" w:eastAsia="zh-CN"/>
        </w:rPr>
        <w:t>公开栏目较少，内容和形式相对单一，内容不够全面。三是工作标准不高，仍然存在错敏字的情况。</w:t>
      </w:r>
    </w:p>
    <w:p w14:paraId="780E8E2E">
      <w:pPr>
        <w:pStyle w:val="8"/>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jc w:val="left"/>
        <w:textAlignment w:val="auto"/>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接下来，我镇将重点做好以下几项工作。一是思想再重视，</w:t>
      </w:r>
      <w:r>
        <w:rPr>
          <w:rFonts w:hint="eastAsia" w:ascii="仿宋_GB2312" w:eastAsia="仿宋_GB2312"/>
          <w:sz w:val="32"/>
          <w:szCs w:val="32"/>
          <w:lang w:eastAsia="zh-CN"/>
        </w:rPr>
        <w:t>坚持把</w:t>
      </w:r>
      <w:r>
        <w:rPr>
          <w:rFonts w:hint="eastAsia" w:ascii="仿宋_GB2312" w:eastAsia="仿宋_GB2312"/>
          <w:sz w:val="32"/>
          <w:szCs w:val="32"/>
        </w:rPr>
        <w:t>信息公开作为一项长期工作</w:t>
      </w:r>
      <w:r>
        <w:rPr>
          <w:rFonts w:hint="eastAsia" w:ascii="仿宋_GB2312" w:eastAsia="仿宋_GB2312"/>
          <w:sz w:val="32"/>
          <w:szCs w:val="32"/>
          <w:lang w:eastAsia="zh-CN"/>
        </w:rPr>
        <w:t>，不断</w:t>
      </w:r>
      <w:r>
        <w:rPr>
          <w:rFonts w:hint="eastAsia" w:ascii="仿宋_GB2312" w:eastAsia="仿宋_GB2312"/>
          <w:sz w:val="32"/>
          <w:szCs w:val="32"/>
        </w:rPr>
        <w:t>完善领导组织</w:t>
      </w:r>
      <w:r>
        <w:rPr>
          <w:rFonts w:hint="eastAsia" w:ascii="仿宋_GB2312" w:eastAsia="仿宋_GB2312"/>
          <w:sz w:val="32"/>
          <w:szCs w:val="32"/>
          <w:lang w:eastAsia="zh-CN"/>
        </w:rPr>
        <w:t>，增强</w:t>
      </w:r>
      <w:r>
        <w:rPr>
          <w:rFonts w:hint="eastAsia" w:ascii="仿宋_GB2312" w:eastAsia="仿宋_GB2312"/>
          <w:sz w:val="32"/>
          <w:szCs w:val="32"/>
        </w:rPr>
        <w:t>工作</w:t>
      </w:r>
      <w:r>
        <w:rPr>
          <w:rFonts w:hint="eastAsia" w:ascii="仿宋_GB2312" w:eastAsia="仿宋_GB2312"/>
          <w:sz w:val="32"/>
          <w:szCs w:val="32"/>
          <w:lang w:eastAsia="zh-CN"/>
        </w:rPr>
        <w:t>效果</w:t>
      </w:r>
      <w:r>
        <w:rPr>
          <w:rFonts w:hint="eastAsia" w:ascii="仿宋_GB2312" w:hAnsi="仿宋_GB2312" w:eastAsia="仿宋_GB2312" w:cs="仿宋_GB2312"/>
          <w:sz w:val="32"/>
          <w:szCs w:val="32"/>
          <w:lang w:val="en-US" w:eastAsia="zh-CN"/>
        </w:rPr>
        <w:t>。二是加强队伍建设，加大工作人员的培训力度，不断提高思想认识，提高平业务能力水平。三是提高工作标准，主动对标先进乡镇和单位，进一步完善公开栏目，丰富公开形式和内容。</w:t>
      </w:r>
    </w:p>
    <w:p w14:paraId="47840893">
      <w:pPr>
        <w:pStyle w:val="8"/>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560" w:lineRule="exact"/>
        <w:ind w:left="0" w:right="0" w:firstLine="643" w:firstLineChars="200"/>
        <w:jc w:val="both"/>
        <w:textAlignment w:val="auto"/>
        <w:rPr>
          <w:rFonts w:hint="eastAsia" w:ascii="黑体" w:hAnsi="宋体" w:eastAsia="黑体" w:cs="黑体"/>
          <w:b/>
          <w:bCs/>
          <w:sz w:val="32"/>
          <w:szCs w:val="32"/>
        </w:rPr>
      </w:pPr>
      <w:r>
        <w:rPr>
          <w:rFonts w:hint="eastAsia" w:ascii="黑体" w:hAnsi="宋体" w:eastAsia="黑体" w:cs="黑体"/>
          <w:b/>
          <w:bCs/>
          <w:sz w:val="32"/>
          <w:szCs w:val="32"/>
          <w:lang w:val="en-US" w:eastAsia="zh-CN"/>
        </w:rPr>
        <w:t>六、其他需要报告的事项</w:t>
      </w:r>
    </w:p>
    <w:p w14:paraId="236E3626">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560" w:lineRule="exact"/>
        <w:ind w:left="0" w:right="0" w:firstLine="640" w:firstLineChars="200"/>
        <w:jc w:val="both"/>
        <w:textAlignment w:val="auto"/>
        <w:rPr>
          <w:rFonts w:hint="default" w:ascii="Calibri" w:hAnsi="Calibri" w:cs="Calibri"/>
          <w:i w:val="0"/>
          <w:iCs w:val="0"/>
          <w:caps w:val="0"/>
          <w:color w:val="212121"/>
          <w:spacing w:val="0"/>
          <w:sz w:val="21"/>
          <w:szCs w:val="21"/>
        </w:rPr>
      </w:pPr>
      <w:r>
        <w:rPr>
          <w:rFonts w:ascii="仿宋_GB2312" w:hAnsi="Calibri" w:eastAsia="仿宋_GB2312" w:cs="仿宋_GB2312"/>
          <w:i w:val="0"/>
          <w:iCs w:val="0"/>
          <w:caps w:val="0"/>
          <w:color w:val="212121"/>
          <w:spacing w:val="0"/>
          <w:kern w:val="0"/>
          <w:sz w:val="32"/>
          <w:szCs w:val="32"/>
          <w:shd w:val="clear" w:fill="FFFFFF"/>
          <w:lang w:val="en-US" w:eastAsia="zh-CN" w:bidi="ar"/>
        </w:rPr>
        <w:t>无</w:t>
      </w:r>
    </w:p>
    <w:p w14:paraId="23A6FF0B">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560" w:lineRule="exact"/>
        <w:ind w:right="0" w:firstLine="640" w:firstLineChars="200"/>
        <w:jc w:val="left"/>
        <w:textAlignment w:val="auto"/>
        <w:rPr>
          <w:rFonts w:hint="eastAsia" w:ascii="仿宋_GB2312" w:hAnsi="仿宋_GB2312" w:eastAsia="仿宋_GB2312" w:cs="仿宋_GB2312"/>
          <w:b w:val="0"/>
          <w:bCs/>
          <w:i w:val="0"/>
          <w:caps w:val="0"/>
          <w:color w:val="000000"/>
          <w:spacing w:val="0"/>
          <w:kern w:val="0"/>
          <w:sz w:val="32"/>
          <w:szCs w:val="32"/>
          <w:shd w:val="clear" w:fill="FFFFFF"/>
          <w:lang w:val="en-US" w:eastAsia="zh-CN" w:bidi="ar"/>
        </w:rPr>
      </w:pPr>
    </w:p>
    <w:p w14:paraId="5A8EDF2F">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560" w:lineRule="exact"/>
        <w:ind w:right="0" w:firstLine="640" w:firstLineChars="200"/>
        <w:jc w:val="center"/>
        <w:textAlignment w:val="auto"/>
        <w:rPr>
          <w:rFonts w:hint="default" w:ascii="仿宋_GB2312" w:hAnsi="仿宋_GB2312" w:eastAsia="仿宋_GB2312" w:cs="仿宋_GB2312"/>
          <w:b w:val="0"/>
          <w:bCs/>
          <w:i w:val="0"/>
          <w:caps w:val="0"/>
          <w:color w:val="000000"/>
          <w:spacing w:val="0"/>
          <w:kern w:val="0"/>
          <w:sz w:val="32"/>
          <w:szCs w:val="32"/>
          <w:shd w:val="clear" w:fill="FFFFFF"/>
          <w:lang w:val="en-US" w:eastAsia="zh-CN" w:bidi="ar"/>
        </w:rPr>
      </w:pPr>
      <w:r>
        <w:rPr>
          <w:rFonts w:hint="eastAsia" w:ascii="仿宋_GB2312" w:hAnsi="仿宋_GB2312" w:eastAsia="仿宋_GB2312" w:cs="仿宋_GB2312"/>
          <w:b w:val="0"/>
          <w:bCs/>
          <w:i w:val="0"/>
          <w:caps w:val="0"/>
          <w:color w:val="000000"/>
          <w:spacing w:val="0"/>
          <w:kern w:val="0"/>
          <w:sz w:val="32"/>
          <w:szCs w:val="32"/>
          <w:shd w:val="clear" w:fill="FFFFFF"/>
          <w:lang w:val="en-US" w:eastAsia="zh-CN" w:bidi="ar"/>
        </w:rPr>
        <w:t xml:space="preserve">                        南营镇人民政府</w:t>
      </w:r>
    </w:p>
    <w:p w14:paraId="1CEE56F5">
      <w:pPr>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Autospacing="0" w:line="560" w:lineRule="exact"/>
        <w:ind w:left="0" w:right="0" w:firstLine="5440" w:firstLineChars="1700"/>
        <w:jc w:val="left"/>
        <w:textAlignment w:val="auto"/>
        <w:rPr>
          <w:rFonts w:hint="eastAsia" w:ascii="仿宋_GB2312" w:hAnsi="仿宋_GB2312" w:eastAsia="仿宋_GB2312" w:cs="仿宋_GB2312"/>
          <w:b w:val="0"/>
          <w:bCs/>
          <w:i w:val="0"/>
          <w:caps w:val="0"/>
          <w:color w:val="000000"/>
          <w:spacing w:val="0"/>
          <w:kern w:val="0"/>
          <w:sz w:val="32"/>
          <w:szCs w:val="32"/>
          <w:shd w:val="clear" w:fill="FFFFFF"/>
          <w:lang w:val="en-US" w:eastAsia="zh-CN" w:bidi="ar"/>
        </w:rPr>
      </w:pPr>
      <w:r>
        <w:rPr>
          <w:rFonts w:hint="eastAsia" w:ascii="仿宋_GB2312" w:hAnsi="仿宋_GB2312" w:eastAsia="仿宋_GB2312" w:cs="仿宋_GB2312"/>
          <w:b w:val="0"/>
          <w:bCs/>
          <w:i w:val="0"/>
          <w:caps w:val="0"/>
          <w:color w:val="000000"/>
          <w:spacing w:val="0"/>
          <w:kern w:val="0"/>
          <w:sz w:val="32"/>
          <w:szCs w:val="32"/>
          <w:shd w:val="clear" w:fill="FFFFFF"/>
          <w:lang w:val="en-US" w:eastAsia="zh-CN" w:bidi="ar"/>
        </w:rPr>
        <w:t>2024年1月12日 </w:t>
      </w:r>
    </w:p>
    <w:p w14:paraId="7CC736E1">
      <w:pPr>
        <w:keepNext w:val="0"/>
        <w:keepLines w:val="0"/>
        <w:pageBreakBefore w:val="0"/>
        <w:kinsoku/>
        <w:wordWrap/>
        <w:overflowPunct/>
        <w:topLinePunct w:val="0"/>
        <w:autoSpaceDE/>
        <w:autoSpaceDN/>
        <w:bidi w:val="0"/>
        <w:adjustRightInd/>
        <w:snapToGrid/>
        <w:spacing w:line="560" w:lineRule="exact"/>
        <w:textAlignment w:val="auto"/>
        <w:rPr>
          <w:rFonts w:hint="eastAsia" w:ascii="方正仿宋_GB2312" w:hAnsi="方正仿宋_GB2312" w:eastAsia="方正仿宋_GB2312" w:cs="方正仿宋_GB2312"/>
          <w:color w:val="auto"/>
          <w:sz w:val="32"/>
          <w:szCs w:val="32"/>
        </w:rPr>
      </w:pPr>
    </w:p>
    <w:sectPr>
      <w:footerReference r:id="rId3" w:type="default"/>
      <w:pgSz w:w="11906" w:h="16838"/>
      <w:pgMar w:top="2098" w:right="1474" w:bottom="1984"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F47C9CEB-DB5E-4029-8885-F2B2EF40DF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embedRegular r:id="rId2" w:fontKey="{143D8985-28AE-4599-A121-06C89C454740}"/>
  </w:font>
  <w:font w:name="等线 Light">
    <w:panose1 w:val="02010600030101010101"/>
    <w:charset w:val="86"/>
    <w:family w:val="auto"/>
    <w:pitch w:val="default"/>
    <w:sig w:usb0="A00002BF" w:usb1="38CF7CFA" w:usb2="00000016" w:usb3="00000000" w:csb0="0004000F" w:csb1="00000000"/>
  </w:font>
  <w:font w:name="方正公文小标宋">
    <w:panose1 w:val="02000500000000000000"/>
    <w:charset w:val="86"/>
    <w:family w:val="auto"/>
    <w:pitch w:val="default"/>
    <w:sig w:usb0="A00002BF" w:usb1="38CF7CFA" w:usb2="00000016" w:usb3="00000000" w:csb0="00040001" w:csb1="00000000"/>
    <w:embedRegular r:id="rId3" w:fontKey="{E640164E-30CA-46A8-B76A-E3D738730192}"/>
  </w:font>
  <w:font w:name="方正仿宋_GB2312">
    <w:panose1 w:val="02000000000000000000"/>
    <w:charset w:val="86"/>
    <w:family w:val="auto"/>
    <w:pitch w:val="default"/>
    <w:sig w:usb0="A00002BF" w:usb1="184F6CFA" w:usb2="00000012" w:usb3="00000000" w:csb0="00040001" w:csb1="00000000"/>
    <w:embedRegular r:id="rId4" w:fontKey="{09F57A7D-1922-47F6-9893-70DE2CA2BBD8}"/>
  </w:font>
  <w:font w:name="仿宋">
    <w:panose1 w:val="02010609060101010101"/>
    <w:charset w:val="86"/>
    <w:family w:val="auto"/>
    <w:pitch w:val="default"/>
    <w:sig w:usb0="800002BF" w:usb1="38CF7CFA" w:usb2="00000016" w:usb3="00000000" w:csb0="00040001" w:csb1="00000000"/>
    <w:embedRegular r:id="rId5" w:fontKey="{A524CBEE-DC40-4607-ABA5-EBDCCA4D641D}"/>
  </w:font>
  <w:font w:name="微软雅黑">
    <w:panose1 w:val="020B0503020204020204"/>
    <w:charset w:val="86"/>
    <w:family w:val="auto"/>
    <w:pitch w:val="default"/>
    <w:sig w:usb0="80000287" w:usb1="2ACF3C50" w:usb2="00000016" w:usb3="00000000" w:csb0="0004001F" w:csb1="00000000"/>
    <w:embedRegular r:id="rId6" w:fontKey="{CB48F8BC-70D6-47A6-9852-B7DE3A8643FD}"/>
  </w:font>
  <w:font w:name="仿宋_GB2312">
    <w:panose1 w:val="02010609030101010101"/>
    <w:charset w:val="86"/>
    <w:family w:val="auto"/>
    <w:pitch w:val="default"/>
    <w:sig w:usb0="00000001" w:usb1="080E0000" w:usb2="00000000" w:usb3="00000000" w:csb0="00040000" w:csb1="00000000"/>
    <w:embedRegular r:id="rId7" w:fontKey="{9D4DB6DB-F806-4446-A9D8-C3B0403793BD}"/>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49FD05">
    <w:pPr>
      <w:pStyle w:val="6"/>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25E84A39">
                          <w:pPr>
                            <w:pStyle w:val="6"/>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25E84A39">
                    <w:pPr>
                      <w:pStyle w:val="6"/>
                      <w:rPr>
                        <w:rFonts w:hint="eastAsia" w:eastAsiaTheme="minorEastAsia"/>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8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43423816"/>
    <w:rsid w:val="00042B15"/>
    <w:rsid w:val="006059FA"/>
    <w:rsid w:val="00775C71"/>
    <w:rsid w:val="00BB1FE3"/>
    <w:rsid w:val="00E64433"/>
    <w:rsid w:val="010167D9"/>
    <w:rsid w:val="011B1D65"/>
    <w:rsid w:val="014917AF"/>
    <w:rsid w:val="01632780"/>
    <w:rsid w:val="017B4F19"/>
    <w:rsid w:val="01850B16"/>
    <w:rsid w:val="018557B5"/>
    <w:rsid w:val="018B599A"/>
    <w:rsid w:val="018C7395"/>
    <w:rsid w:val="01943E98"/>
    <w:rsid w:val="01C03827"/>
    <w:rsid w:val="022D6A13"/>
    <w:rsid w:val="02414C13"/>
    <w:rsid w:val="028043EE"/>
    <w:rsid w:val="02A77EC6"/>
    <w:rsid w:val="02B658F2"/>
    <w:rsid w:val="02DC07D0"/>
    <w:rsid w:val="02FA7AC0"/>
    <w:rsid w:val="030D2458"/>
    <w:rsid w:val="031A2269"/>
    <w:rsid w:val="03703351"/>
    <w:rsid w:val="037A5854"/>
    <w:rsid w:val="03ED4501"/>
    <w:rsid w:val="04221138"/>
    <w:rsid w:val="042F4FFF"/>
    <w:rsid w:val="04415E9A"/>
    <w:rsid w:val="04517A96"/>
    <w:rsid w:val="046C263D"/>
    <w:rsid w:val="048F0910"/>
    <w:rsid w:val="04AB12EA"/>
    <w:rsid w:val="04DD53E8"/>
    <w:rsid w:val="05AF528D"/>
    <w:rsid w:val="05CE001B"/>
    <w:rsid w:val="05DA7275"/>
    <w:rsid w:val="06406859"/>
    <w:rsid w:val="06645C4C"/>
    <w:rsid w:val="06686734"/>
    <w:rsid w:val="066F43D4"/>
    <w:rsid w:val="06B20F73"/>
    <w:rsid w:val="076631C5"/>
    <w:rsid w:val="07B042C9"/>
    <w:rsid w:val="08072329"/>
    <w:rsid w:val="0836172E"/>
    <w:rsid w:val="085251E3"/>
    <w:rsid w:val="08707959"/>
    <w:rsid w:val="08A5378A"/>
    <w:rsid w:val="08D14FA0"/>
    <w:rsid w:val="08D50159"/>
    <w:rsid w:val="090848A2"/>
    <w:rsid w:val="091D763F"/>
    <w:rsid w:val="096041E4"/>
    <w:rsid w:val="098E041C"/>
    <w:rsid w:val="099B16DA"/>
    <w:rsid w:val="09BF43B9"/>
    <w:rsid w:val="09E12139"/>
    <w:rsid w:val="09EC26CD"/>
    <w:rsid w:val="0A004DA1"/>
    <w:rsid w:val="0A26741E"/>
    <w:rsid w:val="0A2E6F93"/>
    <w:rsid w:val="0A327396"/>
    <w:rsid w:val="0A66084E"/>
    <w:rsid w:val="0A766873"/>
    <w:rsid w:val="0AA7652F"/>
    <w:rsid w:val="0AC44124"/>
    <w:rsid w:val="0B0562D9"/>
    <w:rsid w:val="0B106555"/>
    <w:rsid w:val="0B2A62EA"/>
    <w:rsid w:val="0BD4498D"/>
    <w:rsid w:val="0C061BA7"/>
    <w:rsid w:val="0C0B2134"/>
    <w:rsid w:val="0C12211B"/>
    <w:rsid w:val="0D0738F6"/>
    <w:rsid w:val="0D20151D"/>
    <w:rsid w:val="0D5A6985"/>
    <w:rsid w:val="0E1400CF"/>
    <w:rsid w:val="0E2B48D0"/>
    <w:rsid w:val="0E397136"/>
    <w:rsid w:val="0E6377E4"/>
    <w:rsid w:val="0E6C5F26"/>
    <w:rsid w:val="0EA26CBF"/>
    <w:rsid w:val="0EA939D8"/>
    <w:rsid w:val="0EAB19E0"/>
    <w:rsid w:val="0EAC232C"/>
    <w:rsid w:val="0F015D26"/>
    <w:rsid w:val="0F0A3495"/>
    <w:rsid w:val="0F4A44E8"/>
    <w:rsid w:val="0FF13F1E"/>
    <w:rsid w:val="0FF836C2"/>
    <w:rsid w:val="1019229C"/>
    <w:rsid w:val="10554402"/>
    <w:rsid w:val="108F6F31"/>
    <w:rsid w:val="10BD5FD6"/>
    <w:rsid w:val="110C5A88"/>
    <w:rsid w:val="11266894"/>
    <w:rsid w:val="11496571"/>
    <w:rsid w:val="11813498"/>
    <w:rsid w:val="11836D68"/>
    <w:rsid w:val="119C4B97"/>
    <w:rsid w:val="11E3316C"/>
    <w:rsid w:val="12213F5E"/>
    <w:rsid w:val="122A6F5E"/>
    <w:rsid w:val="123F5795"/>
    <w:rsid w:val="125671B2"/>
    <w:rsid w:val="12604D88"/>
    <w:rsid w:val="12741A64"/>
    <w:rsid w:val="12C90AB4"/>
    <w:rsid w:val="130F3D81"/>
    <w:rsid w:val="135E5991"/>
    <w:rsid w:val="140C38E3"/>
    <w:rsid w:val="141359E2"/>
    <w:rsid w:val="142F46E5"/>
    <w:rsid w:val="147A50BE"/>
    <w:rsid w:val="148E6679"/>
    <w:rsid w:val="14B1564F"/>
    <w:rsid w:val="1557038B"/>
    <w:rsid w:val="156057BC"/>
    <w:rsid w:val="1599539A"/>
    <w:rsid w:val="15AB3F4D"/>
    <w:rsid w:val="16A24DED"/>
    <w:rsid w:val="16A458A9"/>
    <w:rsid w:val="16D20FB9"/>
    <w:rsid w:val="17322C4F"/>
    <w:rsid w:val="174E6D02"/>
    <w:rsid w:val="176F2457"/>
    <w:rsid w:val="17911029"/>
    <w:rsid w:val="179E11DB"/>
    <w:rsid w:val="17A94DC5"/>
    <w:rsid w:val="17BF6728"/>
    <w:rsid w:val="182F2398"/>
    <w:rsid w:val="186E05D7"/>
    <w:rsid w:val="18CA2B34"/>
    <w:rsid w:val="18E97121"/>
    <w:rsid w:val="194312CF"/>
    <w:rsid w:val="194F0117"/>
    <w:rsid w:val="197C2EC1"/>
    <w:rsid w:val="197F1F58"/>
    <w:rsid w:val="19836AB1"/>
    <w:rsid w:val="19CD1A90"/>
    <w:rsid w:val="19EB3A0B"/>
    <w:rsid w:val="1A17043B"/>
    <w:rsid w:val="1A3003B3"/>
    <w:rsid w:val="1A3519B5"/>
    <w:rsid w:val="1A4E585E"/>
    <w:rsid w:val="1A877167"/>
    <w:rsid w:val="1ACE614D"/>
    <w:rsid w:val="1AFD7D6F"/>
    <w:rsid w:val="1B263BC1"/>
    <w:rsid w:val="1B2D0B76"/>
    <w:rsid w:val="1BA148B2"/>
    <w:rsid w:val="1BAE4443"/>
    <w:rsid w:val="1BB12B20"/>
    <w:rsid w:val="1BE75F16"/>
    <w:rsid w:val="1C3A739E"/>
    <w:rsid w:val="1CAC237E"/>
    <w:rsid w:val="1CE94533"/>
    <w:rsid w:val="1D04029F"/>
    <w:rsid w:val="1D1356AB"/>
    <w:rsid w:val="1D941FF0"/>
    <w:rsid w:val="1D9D580D"/>
    <w:rsid w:val="1DC06C13"/>
    <w:rsid w:val="1DD50408"/>
    <w:rsid w:val="1E137D89"/>
    <w:rsid w:val="1E2D62A3"/>
    <w:rsid w:val="1E7F621D"/>
    <w:rsid w:val="1E967ECB"/>
    <w:rsid w:val="1EC3154A"/>
    <w:rsid w:val="1EF80536"/>
    <w:rsid w:val="1F317DD6"/>
    <w:rsid w:val="1F786034"/>
    <w:rsid w:val="1FCF057E"/>
    <w:rsid w:val="1FDA0ED5"/>
    <w:rsid w:val="20271B80"/>
    <w:rsid w:val="205E31BE"/>
    <w:rsid w:val="20923824"/>
    <w:rsid w:val="211C6250"/>
    <w:rsid w:val="21FD459A"/>
    <w:rsid w:val="2209454B"/>
    <w:rsid w:val="226E1C1E"/>
    <w:rsid w:val="2273706F"/>
    <w:rsid w:val="229228D8"/>
    <w:rsid w:val="22DE5F80"/>
    <w:rsid w:val="23EA49D3"/>
    <w:rsid w:val="241A757F"/>
    <w:rsid w:val="24594884"/>
    <w:rsid w:val="24A82197"/>
    <w:rsid w:val="24D45465"/>
    <w:rsid w:val="24F96D2E"/>
    <w:rsid w:val="251A7750"/>
    <w:rsid w:val="251D7688"/>
    <w:rsid w:val="25242820"/>
    <w:rsid w:val="252834B3"/>
    <w:rsid w:val="255D3253"/>
    <w:rsid w:val="256E2358"/>
    <w:rsid w:val="2576659B"/>
    <w:rsid w:val="258C7BED"/>
    <w:rsid w:val="25B61460"/>
    <w:rsid w:val="25BE5F8E"/>
    <w:rsid w:val="25F052F1"/>
    <w:rsid w:val="263B70C4"/>
    <w:rsid w:val="26415588"/>
    <w:rsid w:val="26537F58"/>
    <w:rsid w:val="26777002"/>
    <w:rsid w:val="26D457A1"/>
    <w:rsid w:val="27155BA8"/>
    <w:rsid w:val="2733679B"/>
    <w:rsid w:val="27545D93"/>
    <w:rsid w:val="27872DD2"/>
    <w:rsid w:val="27C737AE"/>
    <w:rsid w:val="28092EF1"/>
    <w:rsid w:val="28351ECB"/>
    <w:rsid w:val="28731671"/>
    <w:rsid w:val="287C58BF"/>
    <w:rsid w:val="28CA1842"/>
    <w:rsid w:val="28EE6F0C"/>
    <w:rsid w:val="292662BA"/>
    <w:rsid w:val="2973348D"/>
    <w:rsid w:val="29866223"/>
    <w:rsid w:val="29A642E0"/>
    <w:rsid w:val="2A042790"/>
    <w:rsid w:val="2A13330C"/>
    <w:rsid w:val="2A156326"/>
    <w:rsid w:val="2A94402E"/>
    <w:rsid w:val="2B227685"/>
    <w:rsid w:val="2B7316C2"/>
    <w:rsid w:val="2C3D40E2"/>
    <w:rsid w:val="2C522FEF"/>
    <w:rsid w:val="2C7341E3"/>
    <w:rsid w:val="2C9F1576"/>
    <w:rsid w:val="2CC4276F"/>
    <w:rsid w:val="2CE0555B"/>
    <w:rsid w:val="2D8E2A67"/>
    <w:rsid w:val="2D9A1C91"/>
    <w:rsid w:val="2DEB2626"/>
    <w:rsid w:val="2E125507"/>
    <w:rsid w:val="2E387FAB"/>
    <w:rsid w:val="2E6D0B4E"/>
    <w:rsid w:val="2E7C1EE7"/>
    <w:rsid w:val="2E903AC8"/>
    <w:rsid w:val="2ED108A2"/>
    <w:rsid w:val="2EEF0B45"/>
    <w:rsid w:val="2F035604"/>
    <w:rsid w:val="2F124848"/>
    <w:rsid w:val="2F287FDF"/>
    <w:rsid w:val="2FA542AC"/>
    <w:rsid w:val="2FC560BF"/>
    <w:rsid w:val="2FF96EEC"/>
    <w:rsid w:val="3025742F"/>
    <w:rsid w:val="305E0568"/>
    <w:rsid w:val="306F6602"/>
    <w:rsid w:val="307605BC"/>
    <w:rsid w:val="30B51552"/>
    <w:rsid w:val="31270399"/>
    <w:rsid w:val="317068EA"/>
    <w:rsid w:val="32094169"/>
    <w:rsid w:val="321006E3"/>
    <w:rsid w:val="32462507"/>
    <w:rsid w:val="325A4093"/>
    <w:rsid w:val="325C694D"/>
    <w:rsid w:val="327C163A"/>
    <w:rsid w:val="329B7DCC"/>
    <w:rsid w:val="32D8440B"/>
    <w:rsid w:val="33095A0F"/>
    <w:rsid w:val="331F0D77"/>
    <w:rsid w:val="33523E72"/>
    <w:rsid w:val="33D125A4"/>
    <w:rsid w:val="33E606F7"/>
    <w:rsid w:val="340A7D83"/>
    <w:rsid w:val="345702DB"/>
    <w:rsid w:val="34CF54C0"/>
    <w:rsid w:val="34D7568E"/>
    <w:rsid w:val="34FF6B99"/>
    <w:rsid w:val="350538A0"/>
    <w:rsid w:val="350804FC"/>
    <w:rsid w:val="354B7549"/>
    <w:rsid w:val="35556982"/>
    <w:rsid w:val="35825396"/>
    <w:rsid w:val="35AC574D"/>
    <w:rsid w:val="35B962F3"/>
    <w:rsid w:val="361821DF"/>
    <w:rsid w:val="36A82A79"/>
    <w:rsid w:val="36AB6560"/>
    <w:rsid w:val="36D05D16"/>
    <w:rsid w:val="36DF08FF"/>
    <w:rsid w:val="36E43587"/>
    <w:rsid w:val="372E5168"/>
    <w:rsid w:val="373A4E61"/>
    <w:rsid w:val="378E7076"/>
    <w:rsid w:val="37CE3679"/>
    <w:rsid w:val="37D751FE"/>
    <w:rsid w:val="37F92D80"/>
    <w:rsid w:val="38312DE8"/>
    <w:rsid w:val="38420144"/>
    <w:rsid w:val="385B08CC"/>
    <w:rsid w:val="38994544"/>
    <w:rsid w:val="389D0DC3"/>
    <w:rsid w:val="38D103D4"/>
    <w:rsid w:val="38EC1637"/>
    <w:rsid w:val="391F5AC9"/>
    <w:rsid w:val="393D1C37"/>
    <w:rsid w:val="394B1232"/>
    <w:rsid w:val="395B6852"/>
    <w:rsid w:val="39764158"/>
    <w:rsid w:val="39791E4B"/>
    <w:rsid w:val="39B32B93"/>
    <w:rsid w:val="39EE3C33"/>
    <w:rsid w:val="39EF0BF8"/>
    <w:rsid w:val="3A19116E"/>
    <w:rsid w:val="3A261B55"/>
    <w:rsid w:val="3A26518A"/>
    <w:rsid w:val="3A275B73"/>
    <w:rsid w:val="3A8D3E5C"/>
    <w:rsid w:val="3A975266"/>
    <w:rsid w:val="3A9D671E"/>
    <w:rsid w:val="3AA26319"/>
    <w:rsid w:val="3AC53FD5"/>
    <w:rsid w:val="3AD925D7"/>
    <w:rsid w:val="3ADF0DD9"/>
    <w:rsid w:val="3B087B2B"/>
    <w:rsid w:val="3B4E6938"/>
    <w:rsid w:val="3B6608DE"/>
    <w:rsid w:val="3B8806E0"/>
    <w:rsid w:val="3BA04FF9"/>
    <w:rsid w:val="3BB040CF"/>
    <w:rsid w:val="3BB1506B"/>
    <w:rsid w:val="3C3712C5"/>
    <w:rsid w:val="3CBB1A69"/>
    <w:rsid w:val="3CBE592E"/>
    <w:rsid w:val="3CBF4AEA"/>
    <w:rsid w:val="3CF857FF"/>
    <w:rsid w:val="3D55637F"/>
    <w:rsid w:val="3D77037F"/>
    <w:rsid w:val="3D930F22"/>
    <w:rsid w:val="3D9E6D70"/>
    <w:rsid w:val="3DA80CD3"/>
    <w:rsid w:val="3DAE6DA2"/>
    <w:rsid w:val="3DDF1E33"/>
    <w:rsid w:val="3E153453"/>
    <w:rsid w:val="3E1F41CB"/>
    <w:rsid w:val="3E7C4FA2"/>
    <w:rsid w:val="3EB20144"/>
    <w:rsid w:val="3EBD0004"/>
    <w:rsid w:val="3F0A2594"/>
    <w:rsid w:val="3F374DAF"/>
    <w:rsid w:val="3F3B4F94"/>
    <w:rsid w:val="3F4449E5"/>
    <w:rsid w:val="3F5A218D"/>
    <w:rsid w:val="3F6C3B05"/>
    <w:rsid w:val="3F6F131C"/>
    <w:rsid w:val="3F75444D"/>
    <w:rsid w:val="3F9927AF"/>
    <w:rsid w:val="3FA71940"/>
    <w:rsid w:val="3FAD1FC2"/>
    <w:rsid w:val="3FB6311F"/>
    <w:rsid w:val="3FE470A5"/>
    <w:rsid w:val="400B2AAC"/>
    <w:rsid w:val="401F71D1"/>
    <w:rsid w:val="40255CC9"/>
    <w:rsid w:val="40646B7C"/>
    <w:rsid w:val="40BC4B3F"/>
    <w:rsid w:val="40CD195A"/>
    <w:rsid w:val="40F538E5"/>
    <w:rsid w:val="4102118F"/>
    <w:rsid w:val="410A2327"/>
    <w:rsid w:val="411E2209"/>
    <w:rsid w:val="417A463F"/>
    <w:rsid w:val="418903FC"/>
    <w:rsid w:val="419E44E1"/>
    <w:rsid w:val="41BD2DE3"/>
    <w:rsid w:val="41C618AE"/>
    <w:rsid w:val="41C73550"/>
    <w:rsid w:val="42175097"/>
    <w:rsid w:val="423122BF"/>
    <w:rsid w:val="427960B7"/>
    <w:rsid w:val="42A1783C"/>
    <w:rsid w:val="42C60C21"/>
    <w:rsid w:val="42F805DB"/>
    <w:rsid w:val="431C63A8"/>
    <w:rsid w:val="431D7AB3"/>
    <w:rsid w:val="43423816"/>
    <w:rsid w:val="434814E3"/>
    <w:rsid w:val="434A6CA7"/>
    <w:rsid w:val="434C5B13"/>
    <w:rsid w:val="43846E17"/>
    <w:rsid w:val="43F00780"/>
    <w:rsid w:val="441A0ED7"/>
    <w:rsid w:val="442F1BB8"/>
    <w:rsid w:val="44327D00"/>
    <w:rsid w:val="44AC00B9"/>
    <w:rsid w:val="44CA777F"/>
    <w:rsid w:val="4503028A"/>
    <w:rsid w:val="45051029"/>
    <w:rsid w:val="451D3E8D"/>
    <w:rsid w:val="454545D5"/>
    <w:rsid w:val="45BF67B9"/>
    <w:rsid w:val="45CB7BAA"/>
    <w:rsid w:val="45EC186D"/>
    <w:rsid w:val="46270C6B"/>
    <w:rsid w:val="469B08D3"/>
    <w:rsid w:val="46CF695A"/>
    <w:rsid w:val="471B270D"/>
    <w:rsid w:val="47374AAA"/>
    <w:rsid w:val="47800C28"/>
    <w:rsid w:val="478D7AB6"/>
    <w:rsid w:val="47D743FF"/>
    <w:rsid w:val="47E62246"/>
    <w:rsid w:val="48491874"/>
    <w:rsid w:val="484C5FE6"/>
    <w:rsid w:val="486B5D1B"/>
    <w:rsid w:val="48CA7F25"/>
    <w:rsid w:val="48CF5FF4"/>
    <w:rsid w:val="48F227EA"/>
    <w:rsid w:val="48F830D1"/>
    <w:rsid w:val="48FA081F"/>
    <w:rsid w:val="49310877"/>
    <w:rsid w:val="49792023"/>
    <w:rsid w:val="498274B6"/>
    <w:rsid w:val="4A475772"/>
    <w:rsid w:val="4A591130"/>
    <w:rsid w:val="4A745D91"/>
    <w:rsid w:val="4A902060"/>
    <w:rsid w:val="4AD65521"/>
    <w:rsid w:val="4B1D48BF"/>
    <w:rsid w:val="4B942BC9"/>
    <w:rsid w:val="4B9A43C3"/>
    <w:rsid w:val="4BA61AA7"/>
    <w:rsid w:val="4BF674DC"/>
    <w:rsid w:val="4C3A1712"/>
    <w:rsid w:val="4C3C6376"/>
    <w:rsid w:val="4C717A3E"/>
    <w:rsid w:val="4CFF26A8"/>
    <w:rsid w:val="4D182908"/>
    <w:rsid w:val="4D5905B2"/>
    <w:rsid w:val="4DE808E3"/>
    <w:rsid w:val="4E490DE0"/>
    <w:rsid w:val="4E586F19"/>
    <w:rsid w:val="4E5E67F1"/>
    <w:rsid w:val="4E7972D8"/>
    <w:rsid w:val="4E986C00"/>
    <w:rsid w:val="4EA27E8D"/>
    <w:rsid w:val="4F067986"/>
    <w:rsid w:val="4F306124"/>
    <w:rsid w:val="4F373534"/>
    <w:rsid w:val="4F4E25E4"/>
    <w:rsid w:val="4F5077FE"/>
    <w:rsid w:val="4F9B478C"/>
    <w:rsid w:val="4FD25BC8"/>
    <w:rsid w:val="5006357C"/>
    <w:rsid w:val="500B46EE"/>
    <w:rsid w:val="512A05E7"/>
    <w:rsid w:val="512D0695"/>
    <w:rsid w:val="51654227"/>
    <w:rsid w:val="519F23DE"/>
    <w:rsid w:val="51A158C3"/>
    <w:rsid w:val="51A83E58"/>
    <w:rsid w:val="52042448"/>
    <w:rsid w:val="52397AFA"/>
    <w:rsid w:val="52980D47"/>
    <w:rsid w:val="52A92C72"/>
    <w:rsid w:val="52B2616E"/>
    <w:rsid w:val="52BC1160"/>
    <w:rsid w:val="52E82148"/>
    <w:rsid w:val="52EA241C"/>
    <w:rsid w:val="52FB7DC6"/>
    <w:rsid w:val="532E70A0"/>
    <w:rsid w:val="536C785D"/>
    <w:rsid w:val="53AC0722"/>
    <w:rsid w:val="53B60A1B"/>
    <w:rsid w:val="53D37009"/>
    <w:rsid w:val="53D3701C"/>
    <w:rsid w:val="54045143"/>
    <w:rsid w:val="54336310"/>
    <w:rsid w:val="54814062"/>
    <w:rsid w:val="54B34F85"/>
    <w:rsid w:val="5552433D"/>
    <w:rsid w:val="557241B1"/>
    <w:rsid w:val="55D945A7"/>
    <w:rsid w:val="567116D3"/>
    <w:rsid w:val="567D59A4"/>
    <w:rsid w:val="568D2BD3"/>
    <w:rsid w:val="569B3C93"/>
    <w:rsid w:val="56CF44F4"/>
    <w:rsid w:val="56D96D80"/>
    <w:rsid w:val="56FA02DC"/>
    <w:rsid w:val="574B480B"/>
    <w:rsid w:val="575A67DF"/>
    <w:rsid w:val="576238C9"/>
    <w:rsid w:val="57802C79"/>
    <w:rsid w:val="57BC3EA8"/>
    <w:rsid w:val="57D9044A"/>
    <w:rsid w:val="58031224"/>
    <w:rsid w:val="584B3CA1"/>
    <w:rsid w:val="58501822"/>
    <w:rsid w:val="58A025AE"/>
    <w:rsid w:val="592218E5"/>
    <w:rsid w:val="594E0F69"/>
    <w:rsid w:val="59513691"/>
    <w:rsid w:val="59631CDA"/>
    <w:rsid w:val="59783E08"/>
    <w:rsid w:val="59A1632F"/>
    <w:rsid w:val="59A66B50"/>
    <w:rsid w:val="59ED2E71"/>
    <w:rsid w:val="5A1163E4"/>
    <w:rsid w:val="5A411534"/>
    <w:rsid w:val="5A94275C"/>
    <w:rsid w:val="5AD27024"/>
    <w:rsid w:val="5ADE5144"/>
    <w:rsid w:val="5B1A583C"/>
    <w:rsid w:val="5B2457E8"/>
    <w:rsid w:val="5B314B9F"/>
    <w:rsid w:val="5B6E3FA7"/>
    <w:rsid w:val="5BA51952"/>
    <w:rsid w:val="5BC14D51"/>
    <w:rsid w:val="5C0B60C1"/>
    <w:rsid w:val="5C307BB6"/>
    <w:rsid w:val="5C56480A"/>
    <w:rsid w:val="5C8D0B38"/>
    <w:rsid w:val="5C90353E"/>
    <w:rsid w:val="5C951BEF"/>
    <w:rsid w:val="5C9A4C77"/>
    <w:rsid w:val="5C9D3AD0"/>
    <w:rsid w:val="5CBF052F"/>
    <w:rsid w:val="5CDE248F"/>
    <w:rsid w:val="5CFD66D9"/>
    <w:rsid w:val="5D0D02F8"/>
    <w:rsid w:val="5D115851"/>
    <w:rsid w:val="5D156528"/>
    <w:rsid w:val="5D343923"/>
    <w:rsid w:val="5D641828"/>
    <w:rsid w:val="5DE548E2"/>
    <w:rsid w:val="5DED6D60"/>
    <w:rsid w:val="5E010C61"/>
    <w:rsid w:val="5E34037F"/>
    <w:rsid w:val="5E463C13"/>
    <w:rsid w:val="5E90005D"/>
    <w:rsid w:val="5EC65DEA"/>
    <w:rsid w:val="5F147C27"/>
    <w:rsid w:val="5F2B2557"/>
    <w:rsid w:val="5F5045FD"/>
    <w:rsid w:val="5F516BA7"/>
    <w:rsid w:val="5F540FE2"/>
    <w:rsid w:val="5F796201"/>
    <w:rsid w:val="5F8019D4"/>
    <w:rsid w:val="5F846899"/>
    <w:rsid w:val="5F9E74EF"/>
    <w:rsid w:val="5FAB1800"/>
    <w:rsid w:val="5FAC21D2"/>
    <w:rsid w:val="600774E8"/>
    <w:rsid w:val="605A009B"/>
    <w:rsid w:val="60612FC0"/>
    <w:rsid w:val="607E2EF6"/>
    <w:rsid w:val="609644C5"/>
    <w:rsid w:val="60C25221"/>
    <w:rsid w:val="60D2369A"/>
    <w:rsid w:val="60D40D05"/>
    <w:rsid w:val="60D42FEC"/>
    <w:rsid w:val="610D0924"/>
    <w:rsid w:val="61394832"/>
    <w:rsid w:val="613D6169"/>
    <w:rsid w:val="61421462"/>
    <w:rsid w:val="61730730"/>
    <w:rsid w:val="61AD0AF3"/>
    <w:rsid w:val="623C4A9B"/>
    <w:rsid w:val="624A239A"/>
    <w:rsid w:val="62546BF4"/>
    <w:rsid w:val="628853AC"/>
    <w:rsid w:val="62A422D8"/>
    <w:rsid w:val="631A79D9"/>
    <w:rsid w:val="631C58FA"/>
    <w:rsid w:val="63BF5C7E"/>
    <w:rsid w:val="64173E8E"/>
    <w:rsid w:val="64655680"/>
    <w:rsid w:val="647F0DD8"/>
    <w:rsid w:val="651D2CFC"/>
    <w:rsid w:val="6528499D"/>
    <w:rsid w:val="65980D90"/>
    <w:rsid w:val="65D90973"/>
    <w:rsid w:val="65EA1C84"/>
    <w:rsid w:val="66013C46"/>
    <w:rsid w:val="66330931"/>
    <w:rsid w:val="664F00B2"/>
    <w:rsid w:val="666D622C"/>
    <w:rsid w:val="668B0BE1"/>
    <w:rsid w:val="669B67BB"/>
    <w:rsid w:val="66F60ABC"/>
    <w:rsid w:val="66F70D86"/>
    <w:rsid w:val="67212944"/>
    <w:rsid w:val="673B13E9"/>
    <w:rsid w:val="6765505A"/>
    <w:rsid w:val="67655CC9"/>
    <w:rsid w:val="677703F6"/>
    <w:rsid w:val="67886BD0"/>
    <w:rsid w:val="67996BCD"/>
    <w:rsid w:val="67AE1F28"/>
    <w:rsid w:val="67E730AD"/>
    <w:rsid w:val="67FB633C"/>
    <w:rsid w:val="683C34C6"/>
    <w:rsid w:val="68461C44"/>
    <w:rsid w:val="686F4B89"/>
    <w:rsid w:val="68E3677E"/>
    <w:rsid w:val="68FF5CE9"/>
    <w:rsid w:val="69021B53"/>
    <w:rsid w:val="69322F23"/>
    <w:rsid w:val="6935348C"/>
    <w:rsid w:val="69367121"/>
    <w:rsid w:val="69624A28"/>
    <w:rsid w:val="697A4985"/>
    <w:rsid w:val="6A154120"/>
    <w:rsid w:val="6A190486"/>
    <w:rsid w:val="6A607C86"/>
    <w:rsid w:val="6A846B74"/>
    <w:rsid w:val="6A9D49FE"/>
    <w:rsid w:val="6AC50FD6"/>
    <w:rsid w:val="6ACB4331"/>
    <w:rsid w:val="6ADD754B"/>
    <w:rsid w:val="6B385D53"/>
    <w:rsid w:val="6B9C0871"/>
    <w:rsid w:val="6BE433A9"/>
    <w:rsid w:val="6BF97101"/>
    <w:rsid w:val="6C252F45"/>
    <w:rsid w:val="6C4623CE"/>
    <w:rsid w:val="6CAF04E2"/>
    <w:rsid w:val="6CE374C6"/>
    <w:rsid w:val="6CEB50B2"/>
    <w:rsid w:val="6CF13469"/>
    <w:rsid w:val="6D134BD3"/>
    <w:rsid w:val="6D1A15C8"/>
    <w:rsid w:val="6D2D18EB"/>
    <w:rsid w:val="6D466028"/>
    <w:rsid w:val="6D6633C7"/>
    <w:rsid w:val="6D6A4D52"/>
    <w:rsid w:val="6D7E2DE3"/>
    <w:rsid w:val="6D862054"/>
    <w:rsid w:val="6DBF7D41"/>
    <w:rsid w:val="6DC32F0A"/>
    <w:rsid w:val="6E942EF6"/>
    <w:rsid w:val="6E950916"/>
    <w:rsid w:val="6EEE77DF"/>
    <w:rsid w:val="6EFE7CE5"/>
    <w:rsid w:val="6F410782"/>
    <w:rsid w:val="6F4A6FDE"/>
    <w:rsid w:val="6F564395"/>
    <w:rsid w:val="6F6D1C9A"/>
    <w:rsid w:val="6F7F2CFB"/>
    <w:rsid w:val="6FC004E3"/>
    <w:rsid w:val="6FE96946"/>
    <w:rsid w:val="704E58C4"/>
    <w:rsid w:val="708657FC"/>
    <w:rsid w:val="70981624"/>
    <w:rsid w:val="70EA6902"/>
    <w:rsid w:val="71103536"/>
    <w:rsid w:val="714B4B74"/>
    <w:rsid w:val="71630203"/>
    <w:rsid w:val="7188106E"/>
    <w:rsid w:val="723102EA"/>
    <w:rsid w:val="72607018"/>
    <w:rsid w:val="7263080F"/>
    <w:rsid w:val="7269400D"/>
    <w:rsid w:val="72B95BB8"/>
    <w:rsid w:val="72CA39C3"/>
    <w:rsid w:val="72CF08CC"/>
    <w:rsid w:val="7323192B"/>
    <w:rsid w:val="73FD1101"/>
    <w:rsid w:val="7401056B"/>
    <w:rsid w:val="746E565C"/>
    <w:rsid w:val="748E48B7"/>
    <w:rsid w:val="74B00E2B"/>
    <w:rsid w:val="74E56DA7"/>
    <w:rsid w:val="750F2B00"/>
    <w:rsid w:val="75172438"/>
    <w:rsid w:val="7538748E"/>
    <w:rsid w:val="754375F7"/>
    <w:rsid w:val="75955BEF"/>
    <w:rsid w:val="760C2E6A"/>
    <w:rsid w:val="76172759"/>
    <w:rsid w:val="76E544DD"/>
    <w:rsid w:val="77245C10"/>
    <w:rsid w:val="772E33B4"/>
    <w:rsid w:val="77407041"/>
    <w:rsid w:val="777B3F6D"/>
    <w:rsid w:val="778207EF"/>
    <w:rsid w:val="77AE3351"/>
    <w:rsid w:val="77F5444A"/>
    <w:rsid w:val="7839328E"/>
    <w:rsid w:val="783B6634"/>
    <w:rsid w:val="7858222B"/>
    <w:rsid w:val="785F75ED"/>
    <w:rsid w:val="79015D1B"/>
    <w:rsid w:val="791671E6"/>
    <w:rsid w:val="79505BCD"/>
    <w:rsid w:val="799864AE"/>
    <w:rsid w:val="7A172A60"/>
    <w:rsid w:val="7A24192E"/>
    <w:rsid w:val="7A434A88"/>
    <w:rsid w:val="7A4D3433"/>
    <w:rsid w:val="7A97717C"/>
    <w:rsid w:val="7AB8467F"/>
    <w:rsid w:val="7B24746C"/>
    <w:rsid w:val="7B553044"/>
    <w:rsid w:val="7B684634"/>
    <w:rsid w:val="7B9516AF"/>
    <w:rsid w:val="7B9C4048"/>
    <w:rsid w:val="7BD51ABF"/>
    <w:rsid w:val="7C19028A"/>
    <w:rsid w:val="7C4E52FA"/>
    <w:rsid w:val="7CBB33EA"/>
    <w:rsid w:val="7CFA5565"/>
    <w:rsid w:val="7D074E49"/>
    <w:rsid w:val="7D154E21"/>
    <w:rsid w:val="7D2B59B6"/>
    <w:rsid w:val="7D900BB3"/>
    <w:rsid w:val="7DA45AC7"/>
    <w:rsid w:val="7DCA5C11"/>
    <w:rsid w:val="7DEF6CF1"/>
    <w:rsid w:val="7E447AD4"/>
    <w:rsid w:val="7E6839D7"/>
    <w:rsid w:val="7EB967D5"/>
    <w:rsid w:val="7EF34AB3"/>
    <w:rsid w:val="7F2426EF"/>
    <w:rsid w:val="7F416CB5"/>
    <w:rsid w:val="7F46179C"/>
    <w:rsid w:val="7F836298"/>
    <w:rsid w:val="7F861542"/>
    <w:rsid w:val="7F9B2254"/>
    <w:rsid w:val="7FA80AE4"/>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4">
    <w:name w:val="heading 2"/>
    <w:basedOn w:val="1"/>
    <w:next w:val="1"/>
    <w:autoRedefine/>
    <w:semiHidden/>
    <w:unhideWhenUsed/>
    <w:qFormat/>
    <w:uiPriority w:val="0"/>
    <w:pPr>
      <w:spacing w:before="0" w:beforeAutospacing="1" w:after="0" w:afterAutospacing="1"/>
      <w:jc w:val="left"/>
    </w:pPr>
    <w:rPr>
      <w:rFonts w:hint="eastAsia" w:ascii="宋体" w:hAnsi="宋体" w:eastAsia="宋体" w:cs="宋体"/>
      <w:b/>
      <w:kern w:val="0"/>
      <w:sz w:val="36"/>
      <w:szCs w:val="36"/>
      <w:lang w:val="en-US" w:eastAsia="zh-CN" w:bidi="ar"/>
    </w:rPr>
  </w:style>
  <w:style w:type="character" w:default="1" w:styleId="11">
    <w:name w:val="Default Paragraph Font"/>
    <w:autoRedefine/>
    <w:semiHidden/>
    <w:qFormat/>
    <w:uiPriority w:val="0"/>
  </w:style>
  <w:style w:type="table" w:default="1" w:styleId="10">
    <w:name w:val="Normal Table"/>
    <w:autoRedefine/>
    <w:semiHidden/>
    <w:qFormat/>
    <w:uiPriority w:val="0"/>
    <w:tblPr>
      <w:tblCellMar>
        <w:top w:w="0" w:type="dxa"/>
        <w:left w:w="108" w:type="dxa"/>
        <w:bottom w:w="0" w:type="dxa"/>
        <w:right w:w="108" w:type="dxa"/>
      </w:tblCellMar>
    </w:tblPr>
  </w:style>
  <w:style w:type="paragraph" w:styleId="2">
    <w:name w:val="Body Text First Indent 2"/>
    <w:basedOn w:val="3"/>
    <w:autoRedefine/>
    <w:qFormat/>
    <w:uiPriority w:val="0"/>
    <w:pPr>
      <w:ind w:firstLine="420"/>
    </w:pPr>
  </w:style>
  <w:style w:type="paragraph" w:styleId="3">
    <w:name w:val="Body Text Indent"/>
    <w:basedOn w:val="1"/>
    <w:autoRedefine/>
    <w:qFormat/>
    <w:uiPriority w:val="0"/>
    <w:pPr>
      <w:spacing w:after="120"/>
      <w:ind w:left="420" w:leftChars="200"/>
    </w:pPr>
  </w:style>
  <w:style w:type="paragraph" w:styleId="5">
    <w:name w:val="Normal Indent"/>
    <w:basedOn w:val="1"/>
    <w:autoRedefine/>
    <w:qFormat/>
    <w:uiPriority w:val="0"/>
    <w:pPr>
      <w:ind w:firstLine="420" w:firstLineChars="200"/>
    </w:pPr>
  </w:style>
  <w:style w:type="paragraph" w:styleId="6">
    <w:name w:val="footer"/>
    <w:basedOn w:val="1"/>
    <w:autoRedefine/>
    <w:qFormat/>
    <w:uiPriority w:val="0"/>
    <w:pPr>
      <w:tabs>
        <w:tab w:val="center" w:pos="4153"/>
        <w:tab w:val="right" w:pos="8306"/>
      </w:tabs>
      <w:snapToGrid w:val="0"/>
      <w:jc w:val="left"/>
    </w:pPr>
    <w:rPr>
      <w:sz w:val="18"/>
    </w:rPr>
  </w:style>
  <w:style w:type="paragraph" w:styleId="7">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8">
    <w:name w:val="Normal (Web)"/>
    <w:basedOn w:val="1"/>
    <w:autoRedefine/>
    <w:qFormat/>
    <w:uiPriority w:val="0"/>
    <w:pPr>
      <w:spacing w:before="0" w:beforeAutospacing="1" w:after="0" w:afterAutospacing="1"/>
      <w:ind w:left="0" w:right="0"/>
      <w:jc w:val="left"/>
    </w:pPr>
    <w:rPr>
      <w:kern w:val="0"/>
      <w:sz w:val="24"/>
      <w:lang w:val="en-US" w:eastAsia="zh-CN" w:bidi="ar"/>
    </w:rPr>
  </w:style>
  <w:style w:type="paragraph" w:styleId="9">
    <w:name w:val="Title"/>
    <w:basedOn w:val="1"/>
    <w:next w:val="1"/>
    <w:autoRedefine/>
    <w:qFormat/>
    <w:uiPriority w:val="0"/>
    <w:pPr>
      <w:spacing w:before="240" w:after="60"/>
      <w:jc w:val="center"/>
    </w:pPr>
    <w:rPr>
      <w:rFonts w:ascii="等线 Light" w:hAnsi="等线 Light" w:eastAsia="等线 Light" w:cs="Times New Roman"/>
      <w:b/>
      <w:bCs/>
      <w:sz w:val="32"/>
      <w:szCs w:val="32"/>
    </w:rPr>
  </w:style>
  <w:style w:type="character" w:styleId="12">
    <w:name w:val="Hyperlink"/>
    <w:basedOn w:val="11"/>
    <w:autoRedefine/>
    <w:qFormat/>
    <w:uiPriority w:val="0"/>
    <w:rPr>
      <w:color w:val="0000FF"/>
      <w:u w:val="singl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1716</Words>
  <Characters>1794</Characters>
  <Lines>0</Lines>
  <Paragraphs>0</Paragraphs>
  <TotalTime>4</TotalTime>
  <ScaleCrop>false</ScaleCrop>
  <LinksUpToDate>false</LinksUpToDate>
  <CharactersWithSpaces>1821</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2023-01-03T07:26:00Z</dcterms:created>
  <dc:creator>牛渊</dc:creator>
  <cp:lastModifiedBy> </cp:lastModifiedBy>
  <cp:lastPrinted>2023-01-12T02:40:00Z</cp:lastPrinted>
  <dcterms:modified xsi:type="dcterms:W3CDTF">2024-09-21T08:24:43Z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D102BF1447354B8E89874807C6A689B9_13</vt:lpwstr>
  </property>
</Properties>
</file>