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 w:val="0"/>
          <w:bCs w:val="0"/>
          <w:i w:val="0"/>
          <w:caps w:val="0"/>
          <w:color w:val="212121"/>
          <w:spacing w:val="0"/>
          <w:sz w:val="44"/>
          <w:szCs w:val="44"/>
          <w:shd w:val="clear" w:fill="FFFFFF"/>
          <w:lang w:eastAsia="zh-CN"/>
        </w:rPr>
      </w:pPr>
      <w:r>
        <w:rPr>
          <w:rFonts w:hint="default" w:ascii="Times New Roman" w:hAnsi="Times New Roman" w:eastAsia="方正小标宋简体" w:cs="Times New Roman"/>
          <w:b w:val="0"/>
          <w:bCs w:val="0"/>
          <w:i w:val="0"/>
          <w:caps w:val="0"/>
          <w:color w:val="212121"/>
          <w:spacing w:val="0"/>
          <w:sz w:val="44"/>
          <w:szCs w:val="44"/>
          <w:shd w:val="clear" w:fill="FFFFFF"/>
          <w:lang w:val="en-US" w:eastAsia="zh-CN"/>
        </w:rPr>
        <w:t>贾市庄镇人民政府</w:t>
      </w:r>
    </w:p>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210" w:beforeAutospacing="0" w:after="210" w:afterAutospacing="0" w:line="560" w:lineRule="exact"/>
        <w:ind w:left="0" w:right="0"/>
        <w:jc w:val="center"/>
        <w:textAlignment w:val="auto"/>
        <w:rPr>
          <w:rFonts w:hint="default" w:ascii="Times New Roman" w:hAnsi="Times New Roman" w:eastAsia="方正小标宋简体" w:cs="Times New Roman"/>
          <w:b w:val="0"/>
          <w:bCs w:val="0"/>
          <w:i w:val="0"/>
          <w:caps w:val="0"/>
          <w:color w:val="212121"/>
          <w:spacing w:val="0"/>
          <w:sz w:val="44"/>
          <w:szCs w:val="44"/>
          <w:shd w:val="clear" w:fill="FFFFFF"/>
        </w:rPr>
      </w:pPr>
      <w:r>
        <w:rPr>
          <w:rFonts w:hint="default" w:ascii="Times New Roman" w:hAnsi="Times New Roman" w:eastAsia="方正小标宋简体" w:cs="Times New Roman"/>
          <w:b w:val="0"/>
          <w:bCs w:val="0"/>
          <w:i w:val="0"/>
          <w:caps w:val="0"/>
          <w:color w:val="212121"/>
          <w:spacing w:val="0"/>
          <w:sz w:val="44"/>
          <w:szCs w:val="44"/>
          <w:shd w:val="clear" w:fill="FFFFFF"/>
        </w:rPr>
        <w:t>202</w:t>
      </w:r>
      <w:r>
        <w:rPr>
          <w:rFonts w:hint="default" w:ascii="Times New Roman" w:hAnsi="Times New Roman" w:eastAsia="方正小标宋简体" w:cs="Times New Roman"/>
          <w:b w:val="0"/>
          <w:bCs w:val="0"/>
          <w:i w:val="0"/>
          <w:caps w:val="0"/>
          <w:color w:val="212121"/>
          <w:spacing w:val="0"/>
          <w:sz w:val="44"/>
          <w:szCs w:val="44"/>
          <w:shd w:val="clear" w:fill="FFFFFF"/>
          <w:lang w:val="en-US" w:eastAsia="zh-CN"/>
        </w:rPr>
        <w:t>3</w:t>
      </w:r>
      <w:r>
        <w:rPr>
          <w:rFonts w:hint="default" w:ascii="Times New Roman" w:hAnsi="Times New Roman" w:eastAsia="方正小标宋简体" w:cs="Times New Roman"/>
          <w:b w:val="0"/>
          <w:bCs w:val="0"/>
          <w:i w:val="0"/>
          <w:caps w:val="0"/>
          <w:color w:val="212121"/>
          <w:spacing w:val="0"/>
          <w:sz w:val="44"/>
          <w:szCs w:val="44"/>
          <w:shd w:val="clear" w:fill="FFFFFF"/>
        </w:rPr>
        <w:t>年政府信息公开工作年度报告</w:t>
      </w:r>
    </w:p>
    <w:p>
      <w:pPr>
        <w:keepNext w:val="0"/>
        <w:keepLines w:val="0"/>
        <w:pageBreakBefore w:val="0"/>
        <w:kinsoku/>
        <w:wordWrap/>
        <w:overflowPunct/>
        <w:topLinePunct w:val="0"/>
        <w:autoSpaceDE/>
        <w:autoSpaceDN/>
        <w:bidi w:val="0"/>
        <w:adjustRightInd/>
        <w:snapToGrid/>
        <w:spacing w:line="560" w:lineRule="exact"/>
        <w:ind w:firstLine="420" w:firstLineChars="200"/>
        <w:textAlignment w:val="auto"/>
        <w:rPr>
          <w:rFonts w:hint="default" w:ascii="Times New Roman" w:hAnsi="Times New Roman" w:eastAsia="宋体" w:cs="Times New Roman"/>
          <w:i w:val="0"/>
          <w:caps w:val="0"/>
          <w:color w:val="666666"/>
          <w:spacing w:val="0"/>
          <w:sz w:val="21"/>
          <w:szCs w:val="21"/>
          <w:shd w:val="clear" w:fill="FFFFFF"/>
        </w:rPr>
      </w:pP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i w:val="0"/>
          <w:caps w:val="0"/>
          <w:color w:val="212121"/>
          <w:spacing w:val="0"/>
          <w:kern w:val="0"/>
          <w:sz w:val="32"/>
          <w:szCs w:val="32"/>
          <w:u w:val="none"/>
          <w:shd w:val="clear" w:fill="FFFFFF"/>
          <w:lang w:val="en-US" w:eastAsia="zh-CN" w:bidi="ar"/>
        </w:rPr>
      </w:pPr>
      <w:r>
        <w:rPr>
          <w:rFonts w:hint="default" w:ascii="Times New Roman" w:hAnsi="Times New Roman" w:eastAsia="仿宋_GB2312" w:cs="Times New Roman"/>
          <w:b w:val="0"/>
          <w:i w:val="0"/>
          <w:caps w:val="0"/>
          <w:color w:val="212121"/>
          <w:spacing w:val="0"/>
          <w:kern w:val="0"/>
          <w:sz w:val="32"/>
          <w:szCs w:val="32"/>
          <w:shd w:val="clear" w:fill="FFFFFF"/>
          <w:lang w:val="en-US" w:eastAsia="zh-CN" w:bidi="ar"/>
        </w:rPr>
        <w:t>按照《中华人民共和国政府信息公开条例》和《中华人民共和国政府信息公开工作年度报告格式》要求，发布本年度报告。报告中所列数据的统计期限为2023年1月1日至2023年12月31日。</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黑体" w:cs="Times New Roman"/>
          <w:b w:val="0"/>
          <w:i w:val="0"/>
          <w:caps w:val="0"/>
          <w:color w:val="212121"/>
          <w:spacing w:val="0"/>
          <w:kern w:val="0"/>
          <w:sz w:val="32"/>
          <w:szCs w:val="32"/>
          <w:shd w:val="clear" w:fill="FFFFFF"/>
          <w:lang w:val="en-US" w:eastAsia="zh-CN" w:bidi="ar"/>
        </w:rPr>
      </w:pPr>
      <w:r>
        <w:rPr>
          <w:rFonts w:hint="default" w:ascii="Times New Roman" w:hAnsi="Times New Roman" w:eastAsia="黑体" w:cs="Times New Roman"/>
          <w:b w:val="0"/>
          <w:i w:val="0"/>
          <w:caps w:val="0"/>
          <w:color w:val="212121"/>
          <w:spacing w:val="0"/>
          <w:kern w:val="0"/>
          <w:sz w:val="32"/>
          <w:szCs w:val="32"/>
          <w:shd w:val="clear" w:fill="FFFFFF"/>
          <w:lang w:val="en-US" w:eastAsia="zh-CN" w:bidi="ar"/>
        </w:rPr>
        <w:t>一、总体情况</w:t>
      </w:r>
    </w:p>
    <w:p>
      <w:pPr>
        <w:pStyle w:val="8"/>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both"/>
        <w:textAlignment w:val="auto"/>
        <w:rPr>
          <w:rFonts w:hint="default" w:ascii="Times New Roman" w:hAnsi="Times New Roman" w:eastAsia="仿宋_GB2312" w:cs="Times New Roman"/>
          <w:b w:val="0"/>
          <w:i w:val="0"/>
          <w:caps w:val="0"/>
          <w:color w:val="212121"/>
          <w:spacing w:val="0"/>
          <w:kern w:val="0"/>
          <w:sz w:val="32"/>
          <w:szCs w:val="32"/>
          <w:shd w:val="clear" w:fill="FFFFFF"/>
          <w:lang w:val="en-US" w:eastAsia="zh-CN" w:bidi="ar"/>
        </w:rPr>
      </w:pPr>
      <w:r>
        <w:rPr>
          <w:rFonts w:hint="default" w:ascii="Times New Roman" w:hAnsi="Times New Roman" w:eastAsia="仿宋_GB2312" w:cs="Times New Roman"/>
          <w:b w:val="0"/>
          <w:i w:val="0"/>
          <w:caps w:val="0"/>
          <w:color w:val="212121"/>
          <w:spacing w:val="0"/>
          <w:kern w:val="0"/>
          <w:sz w:val="32"/>
          <w:szCs w:val="32"/>
          <w:shd w:val="clear" w:fill="FFFFFF"/>
          <w:lang w:val="en-US" w:eastAsia="zh-CN" w:bidi="ar"/>
        </w:rPr>
        <w:t>2023年，贾市庄镇人民政府认真贯彻落实上级关于政务公开工作决策部署和区委、区政府工作安排，坚持以习近平新时代中国特色社会主义思想为指导，深入学习贯彻党的二十大精神，坚持以人民为中心的发展思想，全面贯彻落实《条例》和省、市、区政务公开工作要点，聚焦优化营商环境，积极深化主动公开，持续提高政策解读质量，扩大政务开放参与，有力回应群众关切，全面推进政务公开，提升政务公开实效。</w:t>
      </w:r>
    </w:p>
    <w:p>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i w:val="0"/>
          <w:caps w:val="0"/>
          <w:color w:val="auto"/>
          <w:spacing w:val="0"/>
          <w:kern w:val="0"/>
          <w:sz w:val="32"/>
          <w:szCs w:val="32"/>
          <w:highlight w:val="none"/>
          <w:shd w:val="clear" w:fill="FFFFFF"/>
          <w:lang w:val="en-US" w:eastAsia="zh-CN" w:bidi="ar"/>
        </w:rPr>
      </w:pPr>
      <w:r>
        <w:rPr>
          <w:rFonts w:hint="default" w:ascii="Times New Roman" w:hAnsi="Times New Roman" w:eastAsia="仿宋_GB2312" w:cs="Times New Roman"/>
          <w:b w:val="0"/>
          <w:i w:val="0"/>
          <w:caps w:val="0"/>
          <w:color w:val="auto"/>
          <w:spacing w:val="0"/>
          <w:kern w:val="0"/>
          <w:sz w:val="32"/>
          <w:szCs w:val="32"/>
          <w:shd w:val="clear" w:fill="FFFFFF"/>
          <w:lang w:val="en-US" w:eastAsia="zh-CN" w:bidi="ar"/>
        </w:rPr>
        <w:t>（一）</w:t>
      </w:r>
      <w:r>
        <w:rPr>
          <w:rFonts w:hint="default" w:ascii="Times New Roman" w:hAnsi="Times New Roman" w:eastAsia="仿宋_GB2312" w:cs="Times New Roman"/>
          <w:b w:val="0"/>
          <w:i w:val="0"/>
          <w:caps w:val="0"/>
          <w:color w:val="auto"/>
          <w:spacing w:val="0"/>
          <w:kern w:val="0"/>
          <w:sz w:val="32"/>
          <w:szCs w:val="32"/>
          <w:highlight w:val="none"/>
          <w:shd w:val="clear" w:fill="FFFFFF"/>
          <w:lang w:val="en-US" w:eastAsia="zh-CN" w:bidi="ar"/>
        </w:rPr>
        <w:t>主动公开方面。坚持权责透明，推动信息公开。做好各类规划主动公开，将各类规划发布、财务信息公开、疫情防控信息公开、政策解读、基层政务公开等工作分解落实到具体科室。</w:t>
      </w:r>
    </w:p>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仿宋_GB2312" w:cs="Times New Roman"/>
          <w:b w:val="0"/>
          <w:i w:val="0"/>
          <w:caps w:val="0"/>
          <w:color w:val="212121"/>
          <w:spacing w:val="0"/>
          <w:kern w:val="0"/>
          <w:sz w:val="32"/>
          <w:szCs w:val="32"/>
          <w:shd w:val="clear" w:fill="FFFFFF"/>
          <w:lang w:val="en-US" w:eastAsia="zh-CN" w:bidi="ar"/>
        </w:rPr>
      </w:pPr>
      <w:r>
        <w:rPr>
          <w:rFonts w:hint="default" w:ascii="Times New Roman" w:hAnsi="Times New Roman" w:eastAsia="仿宋_GB2312" w:cs="Times New Roman"/>
          <w:b w:val="0"/>
          <w:i w:val="0"/>
          <w:caps w:val="0"/>
          <w:color w:val="212121"/>
          <w:spacing w:val="0"/>
          <w:kern w:val="0"/>
          <w:sz w:val="32"/>
          <w:szCs w:val="32"/>
          <w:shd w:val="clear" w:fill="FFFFFF"/>
          <w:lang w:val="en-US" w:eastAsia="zh-CN" w:bidi="ar"/>
        </w:rPr>
        <w:t>（二）政府信息公开平台建设方面。指导村民委员会编制公开事项清单，使镇政务公开与村务公开有效衔接，同时通过村务公开衔接专栏和政务新媒体，公开两委分工、村级财务、社会保障等涉及基层群众利益方面的内容。</w:t>
      </w:r>
    </w:p>
    <w:p>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color w:val="auto"/>
          <w:sz w:val="32"/>
          <w:szCs w:val="32"/>
          <w:highlight w:val="none"/>
          <w:lang w:val="en-US" w:eastAsia="zh-CN"/>
        </w:rPr>
        <w:t>（三）监督保障方面。一是完善考核评议机制，提高考核的针对性和科学性，明确考核的范围、标准、环节、程序，强化结果运用。利用民意调查等方式，开展基层政务公开社会评议，聚焦群众需求，完善公开方式，提升公开质量。二是针对基层缺乏稳定专职人员，人才培养明显滞后于工作需要的情况，加强对政务公开工作人员业务培训指导。三是精心组织安排各种形式的业务培训活动，不断</w:t>
      </w:r>
      <w:r>
        <w:rPr>
          <w:rFonts w:hint="eastAsia" w:ascii="Times New Roman" w:hAnsi="Times New Roman" w:eastAsia="仿宋_GB2312" w:cs="Times New Roman"/>
          <w:color w:val="auto"/>
          <w:sz w:val="32"/>
          <w:szCs w:val="32"/>
          <w:highlight w:val="none"/>
          <w:lang w:val="en-US" w:eastAsia="zh-CN"/>
        </w:rPr>
        <w:t>提升</w:t>
      </w:r>
      <w:r>
        <w:rPr>
          <w:rFonts w:hint="default" w:ascii="Times New Roman" w:hAnsi="Times New Roman" w:eastAsia="仿宋_GB2312" w:cs="Times New Roman"/>
          <w:color w:val="auto"/>
          <w:sz w:val="32"/>
          <w:szCs w:val="32"/>
          <w:highlight w:val="none"/>
          <w:lang w:val="en-US" w:eastAsia="zh-CN"/>
        </w:rPr>
        <w:t>从业人员业务能力和水平，着力建设一支熟悉法规政策、业务流程，熟悉目录体系与指标要求的政务公开队伍。</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default" w:ascii="Times New Roman" w:hAnsi="Times New Roman" w:eastAsia="黑体" w:cs="Times New Roman"/>
          <w:b w:val="0"/>
          <w:i w:val="0"/>
          <w:caps w:val="0"/>
          <w:color w:val="212121"/>
          <w:spacing w:val="0"/>
          <w:kern w:val="0"/>
          <w:sz w:val="32"/>
          <w:szCs w:val="32"/>
          <w:shd w:val="clear" w:fill="FFFFFF"/>
          <w:lang w:val="en-US" w:eastAsia="zh-CN" w:bidi="ar"/>
        </w:rPr>
      </w:pPr>
      <w:r>
        <w:rPr>
          <w:rFonts w:hint="default" w:ascii="Times New Roman" w:hAnsi="Times New Roman" w:eastAsia="黑体" w:cs="Times New Roman"/>
          <w:b w:val="0"/>
          <w:i w:val="0"/>
          <w:caps w:val="0"/>
          <w:color w:val="212121"/>
          <w:spacing w:val="0"/>
          <w:kern w:val="0"/>
          <w:sz w:val="32"/>
          <w:szCs w:val="32"/>
          <w:shd w:val="clear" w:fill="FFFFFF"/>
          <w:lang w:val="en-US" w:eastAsia="zh-CN" w:bidi="ar"/>
        </w:rPr>
        <w:t>二、主动公开政府信息情况</w:t>
      </w:r>
    </w:p>
    <w:tbl>
      <w:tblPr>
        <w:tblStyle w:val="10"/>
        <w:tblW w:w="8458" w:type="dxa"/>
        <w:tblInd w:w="0" w:type="dxa"/>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
      <w:tblGrid>
        <w:gridCol w:w="2130"/>
        <w:gridCol w:w="885"/>
        <w:gridCol w:w="165"/>
        <w:gridCol w:w="1740"/>
        <w:gridCol w:w="1485"/>
        <w:gridCol w:w="2053"/>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8458" w:type="dxa"/>
            <w:gridSpan w:val="6"/>
            <w:tcBorders>
              <w:top w:val="single" w:color="auto" w:sz="6" w:space="0"/>
              <w:left w:val="single" w:color="auto" w:sz="6" w:space="0"/>
              <w:bottom w:val="single" w:color="auto" w:sz="6" w:space="0"/>
              <w:right w:val="single" w:color="auto" w:sz="6" w:space="0"/>
            </w:tcBorders>
            <w:shd w:val="clear" w:color="auto" w:fill="auto"/>
            <w:noWrap/>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第二十条第（一）项</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3015" w:type="dxa"/>
            <w:gridSpan w:val="2"/>
            <w:tcBorders>
              <w:top w:val="nil"/>
              <w:left w:val="single" w:color="auto" w:sz="6" w:space="0"/>
              <w:bottom w:val="single" w:color="auto" w:sz="6" w:space="0"/>
              <w:right w:val="single" w:color="auto" w:sz="6" w:space="0"/>
            </w:tcBorders>
            <w:shd w:val="clear" w:color="auto" w:fill="auto"/>
            <w:noWrap/>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信息内容</w:t>
            </w:r>
          </w:p>
        </w:tc>
        <w:tc>
          <w:tcPr>
            <w:tcW w:w="1905" w:type="dxa"/>
            <w:gridSpan w:val="2"/>
            <w:tcBorders>
              <w:top w:val="single" w:color="auto" w:sz="6" w:space="0"/>
              <w:left w:val="nil"/>
              <w:bottom w:val="single" w:color="auto" w:sz="6" w:space="0"/>
              <w:right w:val="single" w:color="auto" w:sz="6" w:space="0"/>
            </w:tcBorders>
            <w:shd w:val="clear" w:color="auto" w:fill="auto"/>
            <w:noWrap/>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本年制发件数</w:t>
            </w:r>
          </w:p>
        </w:tc>
        <w:tc>
          <w:tcPr>
            <w:tcW w:w="1485" w:type="dxa"/>
            <w:tcBorders>
              <w:top w:val="single" w:color="auto" w:sz="6" w:space="0"/>
              <w:left w:val="nil"/>
              <w:bottom w:val="single" w:color="auto" w:sz="6" w:space="0"/>
              <w:right w:val="single" w:color="auto" w:sz="6" w:space="0"/>
            </w:tcBorders>
            <w:shd w:val="clear" w:color="auto" w:fill="auto"/>
            <w:noWrap/>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本年废止件数</w:t>
            </w:r>
          </w:p>
        </w:tc>
        <w:tc>
          <w:tcPr>
            <w:tcW w:w="2053" w:type="dxa"/>
            <w:tcBorders>
              <w:top w:val="single" w:color="auto" w:sz="6" w:space="0"/>
              <w:left w:val="nil"/>
              <w:bottom w:val="single" w:color="auto" w:sz="6" w:space="0"/>
              <w:right w:val="single" w:color="auto" w:sz="6" w:space="0"/>
            </w:tcBorders>
            <w:shd w:val="clear" w:color="auto" w:fill="auto"/>
            <w:noWrap/>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现行有效件数</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3015" w:type="dxa"/>
            <w:gridSpan w:val="2"/>
            <w:tcBorders>
              <w:top w:val="nil"/>
              <w:left w:val="single" w:color="auto" w:sz="6" w:space="0"/>
              <w:bottom w:val="single" w:color="auto" w:sz="6" w:space="0"/>
              <w:right w:val="single" w:color="auto" w:sz="6" w:space="0"/>
            </w:tcBorders>
            <w:shd w:val="clear" w:color="auto" w:fill="auto"/>
            <w:noWrap/>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规章</w:t>
            </w:r>
          </w:p>
        </w:tc>
        <w:tc>
          <w:tcPr>
            <w:tcW w:w="1905" w:type="dxa"/>
            <w:gridSpan w:val="2"/>
            <w:tcBorders>
              <w:top w:val="nil"/>
              <w:left w:val="nil"/>
              <w:bottom w:val="single" w:color="auto" w:sz="6" w:space="0"/>
              <w:right w:val="single" w:color="auto" w:sz="6" w:space="0"/>
            </w:tcBorders>
            <w:shd w:val="clear" w:color="auto" w:fill="auto"/>
            <w:noWrap/>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1485" w:type="dxa"/>
            <w:tcBorders>
              <w:top w:val="nil"/>
              <w:left w:val="nil"/>
              <w:bottom w:val="single" w:color="auto" w:sz="6" w:space="0"/>
              <w:right w:val="single" w:color="auto" w:sz="6" w:space="0"/>
            </w:tcBorders>
            <w:shd w:val="clear" w:color="auto" w:fill="auto"/>
            <w:noWrap/>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2053" w:type="dxa"/>
            <w:tcBorders>
              <w:top w:val="nil"/>
              <w:left w:val="nil"/>
              <w:bottom w:val="single" w:color="auto" w:sz="6" w:space="0"/>
              <w:right w:val="single" w:color="auto" w:sz="6" w:space="0"/>
            </w:tcBorders>
            <w:shd w:val="clear" w:color="auto" w:fill="auto"/>
            <w:noWrap/>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3015" w:type="dxa"/>
            <w:gridSpan w:val="2"/>
            <w:tcBorders>
              <w:top w:val="nil"/>
              <w:left w:val="single" w:color="auto" w:sz="6" w:space="0"/>
              <w:bottom w:val="single" w:color="auto" w:sz="6" w:space="0"/>
              <w:right w:val="single" w:color="auto" w:sz="6" w:space="0"/>
            </w:tcBorders>
            <w:shd w:val="clear" w:color="auto" w:fill="auto"/>
            <w:noWrap/>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规范性文件</w:t>
            </w:r>
          </w:p>
        </w:tc>
        <w:tc>
          <w:tcPr>
            <w:tcW w:w="1905" w:type="dxa"/>
            <w:gridSpan w:val="2"/>
            <w:tcBorders>
              <w:top w:val="nil"/>
              <w:left w:val="nil"/>
              <w:bottom w:val="single" w:color="auto" w:sz="6" w:space="0"/>
              <w:right w:val="single" w:color="auto" w:sz="6" w:space="0"/>
            </w:tcBorders>
            <w:shd w:val="clear" w:color="auto" w:fill="auto"/>
            <w:noWrap/>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0</w:t>
            </w:r>
          </w:p>
        </w:tc>
        <w:tc>
          <w:tcPr>
            <w:tcW w:w="1485" w:type="dxa"/>
            <w:tcBorders>
              <w:top w:val="nil"/>
              <w:left w:val="nil"/>
              <w:bottom w:val="single" w:color="auto" w:sz="6" w:space="0"/>
              <w:right w:val="single" w:color="auto" w:sz="6" w:space="0"/>
            </w:tcBorders>
            <w:shd w:val="clear" w:color="auto" w:fill="auto"/>
            <w:noWrap/>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0</w:t>
            </w:r>
          </w:p>
        </w:tc>
        <w:tc>
          <w:tcPr>
            <w:tcW w:w="2053" w:type="dxa"/>
            <w:tcBorders>
              <w:top w:val="nil"/>
              <w:left w:val="nil"/>
              <w:bottom w:val="single" w:color="auto" w:sz="6" w:space="0"/>
              <w:right w:val="single" w:color="auto" w:sz="6" w:space="0"/>
            </w:tcBorders>
            <w:shd w:val="clear" w:color="auto" w:fill="auto"/>
            <w:noWrap/>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8458" w:type="dxa"/>
            <w:gridSpan w:val="6"/>
            <w:tcBorders>
              <w:top w:val="nil"/>
              <w:left w:val="single" w:color="auto" w:sz="6" w:space="0"/>
              <w:bottom w:val="single" w:color="auto" w:sz="6" w:space="0"/>
              <w:right w:val="single" w:color="auto" w:sz="6" w:space="0"/>
            </w:tcBorders>
            <w:shd w:val="clear" w:color="auto" w:fill="auto"/>
            <w:noWrap/>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第二十条第（五）项</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3180" w:type="dxa"/>
            <w:gridSpan w:val="3"/>
            <w:tcBorders>
              <w:top w:val="nil"/>
              <w:left w:val="single" w:color="auto" w:sz="6" w:space="0"/>
              <w:bottom w:val="single" w:color="auto" w:sz="6" w:space="0"/>
              <w:right w:val="single" w:color="auto" w:sz="6" w:space="0"/>
            </w:tcBorders>
            <w:shd w:val="clear" w:color="auto" w:fill="auto"/>
            <w:noWrap/>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信息内容</w:t>
            </w:r>
          </w:p>
        </w:tc>
        <w:tc>
          <w:tcPr>
            <w:tcW w:w="5278" w:type="dxa"/>
            <w:gridSpan w:val="3"/>
            <w:tcBorders>
              <w:top w:val="single" w:color="auto" w:sz="6" w:space="0"/>
              <w:left w:val="nil"/>
              <w:bottom w:val="single" w:color="auto" w:sz="6" w:space="0"/>
              <w:right w:val="single" w:color="auto" w:sz="6" w:space="0"/>
            </w:tcBorders>
            <w:shd w:val="clear" w:color="auto" w:fill="auto"/>
            <w:noWrap/>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本年处理决定数量</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417" w:hRule="atLeast"/>
        </w:trPr>
        <w:tc>
          <w:tcPr>
            <w:tcW w:w="3180" w:type="dxa"/>
            <w:gridSpan w:val="3"/>
            <w:tcBorders>
              <w:top w:val="nil"/>
              <w:left w:val="single" w:color="auto" w:sz="6" w:space="0"/>
              <w:bottom w:val="single" w:color="auto" w:sz="6" w:space="0"/>
              <w:right w:val="single" w:color="auto" w:sz="6" w:space="0"/>
            </w:tcBorders>
            <w:shd w:val="clear" w:color="auto" w:fill="auto"/>
            <w:noWrap/>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行政许可</w:t>
            </w:r>
          </w:p>
        </w:tc>
        <w:tc>
          <w:tcPr>
            <w:tcW w:w="5278" w:type="dxa"/>
            <w:gridSpan w:val="3"/>
            <w:tcBorders>
              <w:top w:val="nil"/>
              <w:left w:val="nil"/>
              <w:bottom w:val="single" w:color="auto" w:sz="6" w:space="0"/>
              <w:right w:val="single" w:color="auto" w:sz="6" w:space="0"/>
            </w:tcBorders>
            <w:shd w:val="clear" w:color="auto" w:fill="auto"/>
            <w:noWrap/>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1314</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8458" w:type="dxa"/>
            <w:gridSpan w:val="6"/>
            <w:tcBorders>
              <w:top w:val="nil"/>
              <w:left w:val="single" w:color="auto" w:sz="6" w:space="0"/>
              <w:bottom w:val="single" w:color="auto" w:sz="6" w:space="0"/>
              <w:right w:val="single" w:color="auto" w:sz="6" w:space="0"/>
            </w:tcBorders>
            <w:shd w:val="clear" w:color="auto" w:fill="auto"/>
            <w:noWrap/>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第二十条第（六）项</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2130" w:type="dxa"/>
            <w:tcBorders>
              <w:top w:val="nil"/>
              <w:left w:val="single" w:color="auto" w:sz="6" w:space="0"/>
              <w:bottom w:val="single" w:color="auto" w:sz="6" w:space="0"/>
              <w:right w:val="single" w:color="auto" w:sz="6" w:space="0"/>
            </w:tcBorders>
            <w:shd w:val="clear" w:color="auto" w:fill="auto"/>
            <w:noWrap/>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信息内容</w:t>
            </w:r>
          </w:p>
        </w:tc>
        <w:tc>
          <w:tcPr>
            <w:tcW w:w="6328" w:type="dxa"/>
            <w:gridSpan w:val="5"/>
            <w:tcBorders>
              <w:top w:val="single" w:color="auto" w:sz="6" w:space="0"/>
              <w:left w:val="nil"/>
              <w:bottom w:val="single" w:color="auto" w:sz="6" w:space="0"/>
              <w:right w:val="single" w:color="auto" w:sz="6" w:space="0"/>
            </w:tcBorders>
            <w:shd w:val="clear" w:color="auto" w:fill="auto"/>
            <w:noWrap/>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本年处理决定数量</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2130" w:type="dxa"/>
            <w:tcBorders>
              <w:top w:val="nil"/>
              <w:left w:val="single" w:color="auto" w:sz="6" w:space="0"/>
              <w:bottom w:val="single" w:color="auto" w:sz="6" w:space="0"/>
              <w:right w:val="single" w:color="auto" w:sz="6" w:space="0"/>
            </w:tcBorders>
            <w:shd w:val="clear" w:color="auto" w:fill="auto"/>
            <w:noWrap/>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行政处罚</w:t>
            </w:r>
          </w:p>
        </w:tc>
        <w:tc>
          <w:tcPr>
            <w:tcW w:w="6328" w:type="dxa"/>
            <w:gridSpan w:val="5"/>
            <w:tcBorders>
              <w:top w:val="nil"/>
              <w:left w:val="nil"/>
              <w:bottom w:val="single" w:color="auto" w:sz="6" w:space="0"/>
              <w:right w:val="single" w:color="auto" w:sz="6" w:space="0"/>
            </w:tcBorders>
            <w:shd w:val="clear" w:color="auto" w:fill="auto"/>
            <w:noWrap/>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9</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2130" w:type="dxa"/>
            <w:tcBorders>
              <w:top w:val="nil"/>
              <w:left w:val="single" w:color="auto" w:sz="6" w:space="0"/>
              <w:bottom w:val="single" w:color="auto" w:sz="6" w:space="0"/>
              <w:right w:val="single" w:color="auto" w:sz="6" w:space="0"/>
            </w:tcBorders>
            <w:shd w:val="clear" w:color="auto" w:fill="auto"/>
            <w:noWrap/>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行政强制</w:t>
            </w:r>
          </w:p>
        </w:tc>
        <w:tc>
          <w:tcPr>
            <w:tcW w:w="6328" w:type="dxa"/>
            <w:gridSpan w:val="5"/>
            <w:tcBorders>
              <w:top w:val="nil"/>
              <w:left w:val="nil"/>
              <w:bottom w:val="single" w:color="auto" w:sz="6" w:space="0"/>
              <w:right w:val="single" w:color="auto" w:sz="6" w:space="0"/>
            </w:tcBorders>
            <w:shd w:val="clear" w:color="auto" w:fill="auto"/>
            <w:noWrap/>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8458" w:type="dxa"/>
            <w:gridSpan w:val="6"/>
            <w:tcBorders>
              <w:top w:val="nil"/>
              <w:left w:val="single" w:color="auto" w:sz="6" w:space="0"/>
              <w:bottom w:val="single" w:color="auto" w:sz="6" w:space="0"/>
              <w:right w:val="single" w:color="auto" w:sz="6" w:space="0"/>
            </w:tcBorders>
            <w:shd w:val="clear" w:color="auto" w:fill="auto"/>
            <w:noWrap/>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第二十条第（八）项</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PrEx>
        <w:tc>
          <w:tcPr>
            <w:tcW w:w="2130" w:type="dxa"/>
            <w:tcBorders>
              <w:top w:val="nil"/>
              <w:left w:val="single" w:color="auto" w:sz="6" w:space="0"/>
              <w:bottom w:val="single" w:color="auto" w:sz="6" w:space="0"/>
              <w:right w:val="single" w:color="auto" w:sz="6" w:space="0"/>
            </w:tcBorders>
            <w:shd w:val="clear" w:color="auto" w:fill="auto"/>
            <w:noWrap/>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信息内容</w:t>
            </w:r>
          </w:p>
        </w:tc>
        <w:tc>
          <w:tcPr>
            <w:tcW w:w="6328" w:type="dxa"/>
            <w:gridSpan w:val="5"/>
            <w:tcBorders>
              <w:top w:val="single" w:color="auto" w:sz="6" w:space="0"/>
              <w:left w:val="nil"/>
              <w:bottom w:val="single" w:color="auto" w:sz="6" w:space="0"/>
              <w:right w:val="single" w:color="auto" w:sz="6" w:space="0"/>
            </w:tcBorders>
            <w:shd w:val="clear" w:color="auto" w:fill="auto"/>
            <w:noWrap/>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本年收费金额（单位：万元）</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2130" w:type="dxa"/>
            <w:tcBorders>
              <w:top w:val="nil"/>
              <w:left w:val="single" w:color="auto" w:sz="6" w:space="0"/>
              <w:bottom w:val="single" w:color="auto" w:sz="6" w:space="0"/>
              <w:right w:val="single" w:color="auto" w:sz="6" w:space="0"/>
            </w:tcBorders>
            <w:shd w:val="clear" w:color="auto" w:fill="auto"/>
            <w:noWrap/>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行政事业性收费</w:t>
            </w:r>
          </w:p>
        </w:tc>
        <w:tc>
          <w:tcPr>
            <w:tcW w:w="6328" w:type="dxa"/>
            <w:gridSpan w:val="5"/>
            <w:tcBorders>
              <w:top w:val="nil"/>
              <w:left w:val="nil"/>
              <w:bottom w:val="single" w:color="auto" w:sz="6" w:space="0"/>
              <w:right w:val="single" w:color="auto" w:sz="6" w:space="0"/>
            </w:tcBorders>
            <w:shd w:val="clear" w:color="auto" w:fill="auto"/>
            <w:noWrap/>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r>
    </w:tbl>
    <w:p>
      <w:pPr>
        <w:rPr>
          <w:rFonts w:hint="default" w:ascii="Times New Roman" w:hAnsi="Times New Roman" w:eastAsia="黑体" w:cs="Times New Roman"/>
          <w:b w:val="0"/>
          <w:i w:val="0"/>
          <w:caps w:val="0"/>
          <w:color w:val="212121"/>
          <w:spacing w:val="0"/>
          <w:kern w:val="0"/>
          <w:sz w:val="32"/>
          <w:szCs w:val="32"/>
          <w:shd w:val="clear" w:fill="FFFFFF"/>
          <w:lang w:val="en-US" w:eastAsia="zh-CN" w:bidi="ar"/>
        </w:rPr>
      </w:pPr>
    </w:p>
    <w:p>
      <w:pPr>
        <w:rPr>
          <w:rFonts w:hint="default" w:ascii="Times New Roman" w:hAnsi="Times New Roman" w:eastAsia="黑体" w:cs="Times New Roman"/>
          <w:b w:val="0"/>
          <w:i w:val="0"/>
          <w:caps w:val="0"/>
          <w:color w:val="212121"/>
          <w:spacing w:val="0"/>
          <w:kern w:val="0"/>
          <w:sz w:val="32"/>
          <w:szCs w:val="32"/>
          <w:shd w:val="clear" w:fill="FFFFFF"/>
          <w:lang w:val="en-US" w:eastAsia="zh-CN" w:bidi="ar"/>
        </w:rPr>
      </w:pPr>
      <w:r>
        <w:rPr>
          <w:rFonts w:hint="default" w:ascii="Times New Roman" w:hAnsi="Times New Roman" w:eastAsia="黑体" w:cs="Times New Roman"/>
          <w:b w:val="0"/>
          <w:i w:val="0"/>
          <w:caps w:val="0"/>
          <w:color w:val="212121"/>
          <w:spacing w:val="0"/>
          <w:kern w:val="0"/>
          <w:sz w:val="32"/>
          <w:szCs w:val="32"/>
          <w:shd w:val="clear" w:fill="FFFFFF"/>
          <w:lang w:val="en-US" w:eastAsia="zh-CN" w:bidi="ar"/>
        </w:rPr>
        <w:t>三、收到和处理政府信息公开申请情况</w:t>
      </w:r>
    </w:p>
    <w:tbl>
      <w:tblPr>
        <w:tblStyle w:val="10"/>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Layout w:type="fixed"/>
        <w:tblCellMar>
          <w:top w:w="15" w:type="dxa"/>
          <w:left w:w="15" w:type="dxa"/>
          <w:bottom w:w="15" w:type="dxa"/>
          <w:right w:w="15" w:type="dxa"/>
        </w:tblCellMar>
      </w:tblPr>
      <w:tblGrid>
        <w:gridCol w:w="716"/>
        <w:gridCol w:w="1031"/>
        <w:gridCol w:w="2356"/>
        <w:gridCol w:w="785"/>
        <w:gridCol w:w="703"/>
        <w:gridCol w:w="703"/>
        <w:gridCol w:w="900"/>
        <w:gridCol w:w="900"/>
        <w:gridCol w:w="434"/>
        <w:gridCol w:w="543"/>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4103" w:type="dxa"/>
            <w:gridSpan w:val="3"/>
            <w:vMerge w:val="restart"/>
            <w:tcBorders>
              <w:top w:val="single" w:color="auto" w:sz="8" w:space="0"/>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（本列数据的勾稽关系为：第一项加第二项之和，等于第三项加第四项之和）</w:t>
            </w:r>
          </w:p>
        </w:tc>
        <w:tc>
          <w:tcPr>
            <w:tcW w:w="4968" w:type="dxa"/>
            <w:gridSpan w:val="7"/>
            <w:tcBorders>
              <w:top w:val="single" w:color="auto" w:sz="8" w:space="0"/>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申请人情况</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0" w:hRule="atLeast"/>
          <w:jc w:val="center"/>
        </w:trPr>
        <w:tc>
          <w:tcPr>
            <w:tcW w:w="4103" w:type="dxa"/>
            <w:gridSpan w:val="3"/>
            <w:vMerge w:val="continue"/>
            <w:tcBorders>
              <w:top w:val="single" w:color="auto" w:sz="8" w:space="0"/>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p>
        </w:tc>
        <w:tc>
          <w:tcPr>
            <w:tcW w:w="785" w:type="dxa"/>
            <w:vMerge w:val="restart"/>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自然人</w:t>
            </w:r>
          </w:p>
        </w:tc>
        <w:tc>
          <w:tcPr>
            <w:tcW w:w="3640" w:type="dxa"/>
            <w:gridSpan w:val="5"/>
            <w:tcBorders>
              <w:top w:val="single" w:color="auto" w:sz="8" w:space="0"/>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法人或其他组织</w:t>
            </w:r>
          </w:p>
        </w:tc>
        <w:tc>
          <w:tcPr>
            <w:tcW w:w="543" w:type="dxa"/>
            <w:vMerge w:val="restart"/>
            <w:tcBorders>
              <w:top w:val="single" w:color="auto" w:sz="8" w:space="0"/>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4103" w:type="dxa"/>
            <w:gridSpan w:val="3"/>
            <w:vMerge w:val="continue"/>
            <w:tcBorders>
              <w:top w:val="single" w:color="auto" w:sz="8" w:space="0"/>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p>
        </w:tc>
        <w:tc>
          <w:tcPr>
            <w:tcW w:w="785" w:type="dxa"/>
            <w:vMerge w:val="continue"/>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商业企业</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科研机构</w:t>
            </w:r>
          </w:p>
        </w:tc>
        <w:tc>
          <w:tcPr>
            <w:tcW w:w="900" w:type="dxa"/>
            <w:tcBorders>
              <w:top w:val="single" w:color="auto" w:sz="8" w:space="0"/>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社会公益组织</w:t>
            </w:r>
          </w:p>
        </w:tc>
        <w:tc>
          <w:tcPr>
            <w:tcW w:w="900" w:type="dxa"/>
            <w:tcBorders>
              <w:top w:val="single" w:color="auto" w:sz="8" w:space="0"/>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法律服务机构</w:t>
            </w:r>
          </w:p>
        </w:tc>
        <w:tc>
          <w:tcPr>
            <w:tcW w:w="434" w:type="dxa"/>
            <w:tcBorders>
              <w:top w:val="single" w:color="auto" w:sz="8" w:space="0"/>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其他</w:t>
            </w:r>
          </w:p>
        </w:tc>
        <w:tc>
          <w:tcPr>
            <w:tcW w:w="543" w:type="dxa"/>
            <w:vMerge w:val="continue"/>
            <w:tcBorders>
              <w:top w:val="single" w:color="auto" w:sz="8" w:space="0"/>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4103" w:type="dxa"/>
            <w:gridSpan w:val="3"/>
            <w:tcBorders>
              <w:top w:val="nil"/>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一、本年新收政府信息公开申请数量</w:t>
            </w:r>
          </w:p>
        </w:tc>
        <w:tc>
          <w:tcPr>
            <w:tcW w:w="785"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434"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54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0" w:hRule="atLeast"/>
          <w:jc w:val="center"/>
        </w:trPr>
        <w:tc>
          <w:tcPr>
            <w:tcW w:w="4103" w:type="dxa"/>
            <w:gridSpan w:val="3"/>
            <w:tcBorders>
              <w:top w:val="nil"/>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二、上年结转政府信息公开申请数量</w:t>
            </w:r>
          </w:p>
        </w:tc>
        <w:tc>
          <w:tcPr>
            <w:tcW w:w="785"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434"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54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0" w:hRule="atLeast"/>
          <w:jc w:val="center"/>
        </w:trPr>
        <w:tc>
          <w:tcPr>
            <w:tcW w:w="716" w:type="dxa"/>
            <w:vMerge w:val="restart"/>
            <w:tcBorders>
              <w:top w:val="nil"/>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三、本年度办理结果</w:t>
            </w:r>
          </w:p>
        </w:tc>
        <w:tc>
          <w:tcPr>
            <w:tcW w:w="3387" w:type="dxa"/>
            <w:gridSpan w:val="2"/>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（一）予已公开</w:t>
            </w:r>
          </w:p>
        </w:tc>
        <w:tc>
          <w:tcPr>
            <w:tcW w:w="785"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434"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543" w:type="dxa"/>
            <w:tcBorders>
              <w:top w:val="single" w:color="auto" w:sz="8" w:space="0"/>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p>
        </w:tc>
        <w:tc>
          <w:tcPr>
            <w:tcW w:w="3387" w:type="dxa"/>
            <w:gridSpan w:val="2"/>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（二）部分公开（区分处理的，只计这一情形，不计其他情形）</w:t>
            </w:r>
          </w:p>
        </w:tc>
        <w:tc>
          <w:tcPr>
            <w:tcW w:w="785"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434"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54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p>
        </w:tc>
        <w:tc>
          <w:tcPr>
            <w:tcW w:w="1031" w:type="dxa"/>
            <w:vMerge w:val="restart"/>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（三）</w:t>
            </w:r>
          </w:p>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不予</w:t>
            </w:r>
          </w:p>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公开</w:t>
            </w:r>
          </w:p>
        </w:tc>
        <w:tc>
          <w:tcPr>
            <w:tcW w:w="2356"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1.属于国家秘密</w:t>
            </w:r>
          </w:p>
        </w:tc>
        <w:tc>
          <w:tcPr>
            <w:tcW w:w="785"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434"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543" w:type="dxa"/>
            <w:tcBorders>
              <w:top w:val="single" w:color="auto" w:sz="8" w:space="0"/>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p>
        </w:tc>
        <w:tc>
          <w:tcPr>
            <w:tcW w:w="1031" w:type="dxa"/>
            <w:vMerge w:val="continue"/>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p>
        </w:tc>
        <w:tc>
          <w:tcPr>
            <w:tcW w:w="2356"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其他法律行政法规禁止公开</w:t>
            </w:r>
          </w:p>
        </w:tc>
        <w:tc>
          <w:tcPr>
            <w:tcW w:w="785"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434"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54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p>
        </w:tc>
        <w:tc>
          <w:tcPr>
            <w:tcW w:w="1031" w:type="dxa"/>
            <w:vMerge w:val="continue"/>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p>
        </w:tc>
        <w:tc>
          <w:tcPr>
            <w:tcW w:w="2356"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3.危及“三安全一稳定”</w:t>
            </w:r>
          </w:p>
        </w:tc>
        <w:tc>
          <w:tcPr>
            <w:tcW w:w="785"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434"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54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p>
        </w:tc>
        <w:tc>
          <w:tcPr>
            <w:tcW w:w="1031" w:type="dxa"/>
            <w:vMerge w:val="continue"/>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p>
        </w:tc>
        <w:tc>
          <w:tcPr>
            <w:tcW w:w="2356"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4.保护第三方合法权益</w:t>
            </w:r>
          </w:p>
        </w:tc>
        <w:tc>
          <w:tcPr>
            <w:tcW w:w="785"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434"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54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p>
        </w:tc>
        <w:tc>
          <w:tcPr>
            <w:tcW w:w="1031" w:type="dxa"/>
            <w:vMerge w:val="continue"/>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p>
        </w:tc>
        <w:tc>
          <w:tcPr>
            <w:tcW w:w="2356"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5.属于三类内部事务信息</w:t>
            </w:r>
          </w:p>
        </w:tc>
        <w:tc>
          <w:tcPr>
            <w:tcW w:w="785"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434"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54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p>
        </w:tc>
        <w:tc>
          <w:tcPr>
            <w:tcW w:w="1031" w:type="dxa"/>
            <w:vMerge w:val="continue"/>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p>
        </w:tc>
        <w:tc>
          <w:tcPr>
            <w:tcW w:w="2356"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6.属于四类过程性信息</w:t>
            </w:r>
          </w:p>
        </w:tc>
        <w:tc>
          <w:tcPr>
            <w:tcW w:w="785"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434"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54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p>
        </w:tc>
        <w:tc>
          <w:tcPr>
            <w:tcW w:w="1031" w:type="dxa"/>
            <w:vMerge w:val="continue"/>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p>
        </w:tc>
        <w:tc>
          <w:tcPr>
            <w:tcW w:w="2356"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7.属于行政执法案卷</w:t>
            </w:r>
          </w:p>
        </w:tc>
        <w:tc>
          <w:tcPr>
            <w:tcW w:w="785"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434"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54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p>
        </w:tc>
        <w:tc>
          <w:tcPr>
            <w:tcW w:w="1031" w:type="dxa"/>
            <w:vMerge w:val="continue"/>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p>
        </w:tc>
        <w:tc>
          <w:tcPr>
            <w:tcW w:w="2356"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8.属于行政查询事项</w:t>
            </w:r>
          </w:p>
        </w:tc>
        <w:tc>
          <w:tcPr>
            <w:tcW w:w="785"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434"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54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p>
        </w:tc>
        <w:tc>
          <w:tcPr>
            <w:tcW w:w="1031" w:type="dxa"/>
            <w:vMerge w:val="restart"/>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（四）</w:t>
            </w:r>
          </w:p>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无法</w:t>
            </w:r>
          </w:p>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提供</w:t>
            </w:r>
          </w:p>
        </w:tc>
        <w:tc>
          <w:tcPr>
            <w:tcW w:w="2356"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numPr>
                <w:ilvl w:val="0"/>
                <w:numId w:val="2"/>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本机关不掌握相关政府</w:t>
            </w:r>
          </w:p>
          <w:p>
            <w:pPr>
              <w:pStyle w:val="8"/>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0" w:right="0" w:right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信息</w:t>
            </w:r>
          </w:p>
        </w:tc>
        <w:tc>
          <w:tcPr>
            <w:tcW w:w="785"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434"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54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p>
        </w:tc>
        <w:tc>
          <w:tcPr>
            <w:tcW w:w="1031" w:type="dxa"/>
            <w:vMerge w:val="continue"/>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p>
        </w:tc>
        <w:tc>
          <w:tcPr>
            <w:tcW w:w="2356"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2.没有现成信息需要另行制作</w:t>
            </w:r>
          </w:p>
        </w:tc>
        <w:tc>
          <w:tcPr>
            <w:tcW w:w="785"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434"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54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p>
        </w:tc>
        <w:tc>
          <w:tcPr>
            <w:tcW w:w="1031" w:type="dxa"/>
            <w:vMerge w:val="continue"/>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p>
        </w:tc>
        <w:tc>
          <w:tcPr>
            <w:tcW w:w="2356"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3.补正后申请内容仍不明确</w:t>
            </w:r>
          </w:p>
        </w:tc>
        <w:tc>
          <w:tcPr>
            <w:tcW w:w="785"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434"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54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p>
        </w:tc>
        <w:tc>
          <w:tcPr>
            <w:tcW w:w="1031" w:type="dxa"/>
            <w:vMerge w:val="restart"/>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（五）</w:t>
            </w:r>
          </w:p>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不予</w:t>
            </w:r>
          </w:p>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处理</w:t>
            </w:r>
          </w:p>
        </w:tc>
        <w:tc>
          <w:tcPr>
            <w:tcW w:w="2356"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1.信访举报投诉类申请</w:t>
            </w:r>
          </w:p>
        </w:tc>
        <w:tc>
          <w:tcPr>
            <w:tcW w:w="785"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434"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54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p>
        </w:tc>
        <w:tc>
          <w:tcPr>
            <w:tcW w:w="1031" w:type="dxa"/>
            <w:vMerge w:val="continue"/>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p>
        </w:tc>
        <w:tc>
          <w:tcPr>
            <w:tcW w:w="2356"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2.重复申请</w:t>
            </w:r>
          </w:p>
        </w:tc>
        <w:tc>
          <w:tcPr>
            <w:tcW w:w="785"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434"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54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p>
        </w:tc>
        <w:tc>
          <w:tcPr>
            <w:tcW w:w="1031" w:type="dxa"/>
            <w:vMerge w:val="continue"/>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p>
        </w:tc>
        <w:tc>
          <w:tcPr>
            <w:tcW w:w="2356"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3.要求提供公开出版物</w:t>
            </w:r>
          </w:p>
        </w:tc>
        <w:tc>
          <w:tcPr>
            <w:tcW w:w="785"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434"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54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p>
        </w:tc>
        <w:tc>
          <w:tcPr>
            <w:tcW w:w="1031" w:type="dxa"/>
            <w:vMerge w:val="continue"/>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p>
        </w:tc>
        <w:tc>
          <w:tcPr>
            <w:tcW w:w="2356"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4.无正当理由大量反复申请</w:t>
            </w:r>
          </w:p>
        </w:tc>
        <w:tc>
          <w:tcPr>
            <w:tcW w:w="785"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434"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54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p>
        </w:tc>
        <w:tc>
          <w:tcPr>
            <w:tcW w:w="1031" w:type="dxa"/>
            <w:vMerge w:val="continue"/>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p>
        </w:tc>
        <w:tc>
          <w:tcPr>
            <w:tcW w:w="2356"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5.要求行政机关确认或重新出具已获取信息</w:t>
            </w:r>
          </w:p>
        </w:tc>
        <w:tc>
          <w:tcPr>
            <w:tcW w:w="785"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434"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54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p>
        </w:tc>
        <w:tc>
          <w:tcPr>
            <w:tcW w:w="1031" w:type="dxa"/>
            <w:vMerge w:val="restart"/>
            <w:tcBorders>
              <w:top w:val="nil"/>
              <w:left w:val="nil"/>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（六）</w:t>
            </w:r>
          </w:p>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其他</w:t>
            </w:r>
          </w:p>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处理</w:t>
            </w:r>
          </w:p>
        </w:tc>
        <w:tc>
          <w:tcPr>
            <w:tcW w:w="2356"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1.申请人无正当理由逾期不补正、行政机关不再处理其政府信息公开申请</w:t>
            </w:r>
          </w:p>
        </w:tc>
        <w:tc>
          <w:tcPr>
            <w:tcW w:w="785"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434"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54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p>
        </w:tc>
        <w:tc>
          <w:tcPr>
            <w:tcW w:w="1031" w:type="dxa"/>
            <w:vMerge w:val="continue"/>
            <w:tcBorders>
              <w:left w:val="nil"/>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p>
        </w:tc>
        <w:tc>
          <w:tcPr>
            <w:tcW w:w="2356"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2.申请人逾期未按收费通知要求缴纳费用、行政机关不再处理其政府信息公开申请</w:t>
            </w:r>
          </w:p>
        </w:tc>
        <w:tc>
          <w:tcPr>
            <w:tcW w:w="785"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tabs>
                <w:tab w:val="left" w:pos="212"/>
              </w:tabs>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left"/>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ab/>
            </w:r>
            <w:r>
              <w:rPr>
                <w:rFonts w:hint="default" w:ascii="Times New Roman" w:hAnsi="Times New Roman" w:eastAsia="仿宋_GB2312" w:cs="Times New Roman"/>
                <w:sz w:val="32"/>
                <w:szCs w:val="32"/>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tabs>
                <w:tab w:val="left" w:pos="493"/>
              </w:tabs>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left"/>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   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tabs>
                <w:tab w:val="left" w:pos="503"/>
              </w:tabs>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left"/>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   0</w:t>
            </w:r>
            <w:r>
              <w:rPr>
                <w:rFonts w:hint="default" w:ascii="Times New Roman" w:hAnsi="Times New Roman" w:eastAsia="仿宋_GB2312" w:cs="Times New Roman"/>
                <w:sz w:val="32"/>
                <w:szCs w:val="32"/>
                <w:lang w:val="en-US" w:eastAsia="zh-CN"/>
              </w:rPr>
              <w:tab/>
            </w:r>
          </w:p>
        </w:tc>
        <w:tc>
          <w:tcPr>
            <w:tcW w:w="434"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54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p>
        </w:tc>
        <w:tc>
          <w:tcPr>
            <w:tcW w:w="1031" w:type="dxa"/>
            <w:vMerge w:val="continue"/>
            <w:tcBorders>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p>
        </w:tc>
        <w:tc>
          <w:tcPr>
            <w:tcW w:w="2356"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3.其他</w:t>
            </w:r>
          </w:p>
        </w:tc>
        <w:tc>
          <w:tcPr>
            <w:tcW w:w="785"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434"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54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p>
        </w:tc>
        <w:tc>
          <w:tcPr>
            <w:tcW w:w="3387" w:type="dxa"/>
            <w:gridSpan w:val="2"/>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（七）总计</w:t>
            </w:r>
          </w:p>
        </w:tc>
        <w:tc>
          <w:tcPr>
            <w:tcW w:w="785"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434"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54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4103" w:type="dxa"/>
            <w:gridSpan w:val="3"/>
            <w:tcBorders>
              <w:top w:val="nil"/>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四、结转下年度继续办理</w:t>
            </w:r>
          </w:p>
        </w:tc>
        <w:tc>
          <w:tcPr>
            <w:tcW w:w="785"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tabs>
                <w:tab w:val="left" w:pos="493"/>
              </w:tabs>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tabs>
                <w:tab w:val="left" w:pos="472"/>
              </w:tabs>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434"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54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r>
    </w:tbl>
    <w:p>
      <w:pPr>
        <w:pStyle w:val="5"/>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eastAsia="仿宋_GB2312" w:cs="Times New Roman"/>
          <w:sz w:val="32"/>
          <w:szCs w:val="32"/>
          <w:lang w:val="en-US" w:eastAsia="zh-CN"/>
        </w:rPr>
      </w:pPr>
    </w:p>
    <w:p>
      <w:pPr>
        <w:pStyle w:val="5"/>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eastAsia="仿宋_GB2312" w:cs="Times New Roman"/>
          <w:sz w:val="32"/>
          <w:szCs w:val="32"/>
          <w:lang w:val="en-US" w:eastAsia="zh-CN"/>
        </w:rPr>
      </w:pPr>
    </w:p>
    <w:p>
      <w:pPr>
        <w:pStyle w:val="5"/>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eastAsia="仿宋_GB2312" w:cs="Times New Roman"/>
          <w:sz w:val="32"/>
          <w:szCs w:val="32"/>
          <w:lang w:val="en-US" w:eastAsia="zh-CN"/>
        </w:rPr>
      </w:pP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default" w:ascii="Times New Roman" w:hAnsi="Times New Roman" w:eastAsia="黑体" w:cs="Times New Roman"/>
          <w:b w:val="0"/>
          <w:i w:val="0"/>
          <w:caps w:val="0"/>
          <w:color w:val="212121"/>
          <w:spacing w:val="0"/>
          <w:kern w:val="0"/>
          <w:sz w:val="32"/>
          <w:szCs w:val="32"/>
          <w:shd w:val="clear" w:fill="FFFFFF"/>
          <w:lang w:val="en-US" w:eastAsia="zh-CN" w:bidi="ar"/>
        </w:rPr>
      </w:pPr>
      <w:r>
        <w:rPr>
          <w:rFonts w:hint="default" w:ascii="Times New Roman" w:hAnsi="Times New Roman" w:eastAsia="黑体" w:cs="Times New Roman"/>
          <w:b w:val="0"/>
          <w:i w:val="0"/>
          <w:caps w:val="0"/>
          <w:color w:val="212121"/>
          <w:spacing w:val="0"/>
          <w:kern w:val="0"/>
          <w:sz w:val="32"/>
          <w:szCs w:val="32"/>
          <w:shd w:val="clear" w:fill="FFFFFF"/>
          <w:lang w:val="en-US" w:eastAsia="zh-CN" w:bidi="ar"/>
        </w:rPr>
        <w:t>四、政府信息公开行政复议、行政诉讼情况</w:t>
      </w:r>
    </w:p>
    <w:tbl>
      <w:tblPr>
        <w:tblStyle w:val="10"/>
        <w:tblW w:w="8642"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
      <w:tblGrid>
        <w:gridCol w:w="540"/>
        <w:gridCol w:w="540"/>
        <w:gridCol w:w="495"/>
        <w:gridCol w:w="549"/>
        <w:gridCol w:w="548"/>
        <w:gridCol w:w="682"/>
        <w:gridCol w:w="600"/>
        <w:gridCol w:w="600"/>
        <w:gridCol w:w="600"/>
        <w:gridCol w:w="503"/>
        <w:gridCol w:w="712"/>
        <w:gridCol w:w="600"/>
        <w:gridCol w:w="600"/>
        <w:gridCol w:w="600"/>
        <w:gridCol w:w="473"/>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2672" w:type="dxa"/>
            <w:gridSpan w:val="5"/>
            <w:tcBorders>
              <w:top w:val="single" w:color="auto" w:sz="6" w:space="0"/>
              <w:left w:val="single" w:color="auto" w:sz="6" w:space="0"/>
              <w:bottom w:val="single" w:color="auto" w:sz="6" w:space="0"/>
              <w:right w:val="single" w:color="auto" w:sz="6" w:space="0"/>
            </w:tcBorders>
            <w:shd w:val="clear" w:color="auto" w:fill="auto"/>
            <w:noWrap/>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行政复议</w:t>
            </w:r>
          </w:p>
        </w:tc>
        <w:tc>
          <w:tcPr>
            <w:tcW w:w="5970" w:type="dxa"/>
            <w:gridSpan w:val="10"/>
            <w:tcBorders>
              <w:top w:val="single" w:color="auto" w:sz="6" w:space="0"/>
              <w:left w:val="nil"/>
              <w:bottom w:val="single" w:color="auto" w:sz="6" w:space="0"/>
              <w:right w:val="single" w:color="auto" w:sz="6" w:space="0"/>
            </w:tcBorders>
            <w:shd w:val="clear" w:color="auto" w:fill="auto"/>
            <w:noWrap/>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540" w:type="dxa"/>
            <w:vMerge w:val="restart"/>
            <w:tcBorders>
              <w:top w:val="nil"/>
              <w:left w:val="single" w:color="auto" w:sz="6" w:space="0"/>
              <w:bottom w:val="single" w:color="auto" w:sz="6" w:space="0"/>
              <w:right w:val="single" w:color="auto" w:sz="6" w:space="0"/>
            </w:tcBorders>
            <w:shd w:val="clear" w:color="auto" w:fill="auto"/>
            <w:noWrap/>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结果维持</w:t>
            </w:r>
          </w:p>
        </w:tc>
        <w:tc>
          <w:tcPr>
            <w:tcW w:w="540" w:type="dxa"/>
            <w:vMerge w:val="restart"/>
            <w:tcBorders>
              <w:top w:val="nil"/>
              <w:left w:val="nil"/>
              <w:bottom w:val="single" w:color="auto" w:sz="6" w:space="0"/>
              <w:right w:val="single" w:color="auto" w:sz="6" w:space="0"/>
            </w:tcBorders>
            <w:shd w:val="clear" w:color="auto" w:fill="auto"/>
            <w:noWrap/>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结果纠正</w:t>
            </w:r>
          </w:p>
        </w:tc>
        <w:tc>
          <w:tcPr>
            <w:tcW w:w="495" w:type="dxa"/>
            <w:vMerge w:val="restart"/>
            <w:tcBorders>
              <w:top w:val="single" w:color="auto" w:sz="6" w:space="0"/>
              <w:left w:val="nil"/>
              <w:bottom w:val="single" w:color="auto" w:sz="6" w:space="0"/>
              <w:right w:val="single" w:color="auto" w:sz="6" w:space="0"/>
            </w:tcBorders>
            <w:shd w:val="clear" w:color="auto" w:fill="auto"/>
            <w:noWrap/>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其他结果</w:t>
            </w:r>
          </w:p>
        </w:tc>
        <w:tc>
          <w:tcPr>
            <w:tcW w:w="549" w:type="dxa"/>
            <w:vMerge w:val="restart"/>
            <w:tcBorders>
              <w:top w:val="single" w:color="auto" w:sz="6" w:space="0"/>
              <w:left w:val="nil"/>
              <w:bottom w:val="single" w:color="auto" w:sz="6" w:space="0"/>
              <w:right w:val="single" w:color="auto" w:sz="6" w:space="0"/>
            </w:tcBorders>
            <w:shd w:val="clear" w:color="auto" w:fill="auto"/>
            <w:noWrap/>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尚未审结</w:t>
            </w:r>
          </w:p>
        </w:tc>
        <w:tc>
          <w:tcPr>
            <w:tcW w:w="548" w:type="dxa"/>
            <w:vMerge w:val="restart"/>
            <w:tcBorders>
              <w:top w:val="single" w:color="auto" w:sz="6" w:space="0"/>
              <w:left w:val="nil"/>
              <w:bottom w:val="single" w:color="auto" w:sz="6" w:space="0"/>
              <w:right w:val="single" w:color="auto" w:sz="6" w:space="0"/>
            </w:tcBorders>
            <w:shd w:val="clear" w:color="auto" w:fill="auto"/>
            <w:noWrap/>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总计</w:t>
            </w:r>
          </w:p>
        </w:tc>
        <w:tc>
          <w:tcPr>
            <w:tcW w:w="2985" w:type="dxa"/>
            <w:gridSpan w:val="5"/>
            <w:tcBorders>
              <w:top w:val="single" w:color="auto" w:sz="6" w:space="0"/>
              <w:left w:val="nil"/>
              <w:bottom w:val="single" w:color="auto" w:sz="6" w:space="0"/>
              <w:right w:val="single" w:color="auto" w:sz="6" w:space="0"/>
            </w:tcBorders>
            <w:shd w:val="clear" w:color="auto" w:fill="auto"/>
            <w:noWrap/>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未经复议直接起诉</w:t>
            </w:r>
          </w:p>
        </w:tc>
        <w:tc>
          <w:tcPr>
            <w:tcW w:w="2985" w:type="dxa"/>
            <w:gridSpan w:val="5"/>
            <w:tcBorders>
              <w:top w:val="single" w:color="auto" w:sz="6" w:space="0"/>
              <w:left w:val="nil"/>
              <w:bottom w:val="single" w:color="auto" w:sz="6" w:space="0"/>
              <w:right w:val="single" w:color="auto" w:sz="6" w:space="0"/>
            </w:tcBorders>
            <w:shd w:val="clear" w:color="auto" w:fill="auto"/>
            <w:noWrap/>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复议后起诉</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540" w:type="dxa"/>
            <w:vMerge w:val="continue"/>
            <w:tcBorders>
              <w:top w:val="nil"/>
              <w:left w:val="single" w:color="auto" w:sz="6" w:space="0"/>
              <w:bottom w:val="single" w:color="auto" w:sz="6" w:space="0"/>
              <w:right w:val="single" w:color="auto" w:sz="6" w:space="0"/>
            </w:tcBorders>
            <w:shd w:val="clear" w:color="auto" w:fill="auto"/>
            <w:noWrap/>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p>
        </w:tc>
        <w:tc>
          <w:tcPr>
            <w:tcW w:w="540" w:type="dxa"/>
            <w:vMerge w:val="continue"/>
            <w:tcBorders>
              <w:top w:val="nil"/>
              <w:left w:val="nil"/>
              <w:bottom w:val="single" w:color="auto" w:sz="6" w:space="0"/>
              <w:right w:val="single" w:color="auto" w:sz="6" w:space="0"/>
            </w:tcBorders>
            <w:shd w:val="clear" w:color="auto" w:fill="auto"/>
            <w:noWrap/>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p>
        </w:tc>
        <w:tc>
          <w:tcPr>
            <w:tcW w:w="495" w:type="dxa"/>
            <w:vMerge w:val="continue"/>
            <w:tcBorders>
              <w:top w:val="single" w:color="auto" w:sz="6" w:space="0"/>
              <w:left w:val="nil"/>
              <w:bottom w:val="single" w:color="auto" w:sz="6" w:space="0"/>
              <w:right w:val="single" w:color="auto" w:sz="6" w:space="0"/>
            </w:tcBorders>
            <w:shd w:val="clear" w:color="auto" w:fill="auto"/>
            <w:noWrap/>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p>
        </w:tc>
        <w:tc>
          <w:tcPr>
            <w:tcW w:w="549" w:type="dxa"/>
            <w:vMerge w:val="continue"/>
            <w:tcBorders>
              <w:top w:val="single" w:color="auto" w:sz="6" w:space="0"/>
              <w:left w:val="nil"/>
              <w:bottom w:val="single" w:color="auto" w:sz="6" w:space="0"/>
              <w:right w:val="single" w:color="auto" w:sz="6" w:space="0"/>
            </w:tcBorders>
            <w:shd w:val="clear" w:color="auto" w:fill="auto"/>
            <w:noWrap/>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p>
        </w:tc>
        <w:tc>
          <w:tcPr>
            <w:tcW w:w="548" w:type="dxa"/>
            <w:vMerge w:val="continue"/>
            <w:tcBorders>
              <w:top w:val="single" w:color="auto" w:sz="6" w:space="0"/>
              <w:left w:val="nil"/>
              <w:bottom w:val="single" w:color="auto" w:sz="6" w:space="0"/>
              <w:right w:val="single" w:color="auto" w:sz="6" w:space="0"/>
            </w:tcBorders>
            <w:shd w:val="clear" w:color="auto" w:fill="auto"/>
            <w:noWrap/>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p>
        </w:tc>
        <w:tc>
          <w:tcPr>
            <w:tcW w:w="682" w:type="dxa"/>
            <w:tcBorders>
              <w:top w:val="nil"/>
              <w:left w:val="nil"/>
              <w:bottom w:val="single" w:color="auto" w:sz="6" w:space="0"/>
              <w:right w:val="single" w:color="auto" w:sz="6" w:space="0"/>
            </w:tcBorders>
            <w:shd w:val="clear" w:color="auto" w:fill="auto"/>
            <w:noWrap/>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结果</w:t>
            </w:r>
          </w:p>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维持</w:t>
            </w:r>
          </w:p>
        </w:tc>
        <w:tc>
          <w:tcPr>
            <w:tcW w:w="600" w:type="dxa"/>
            <w:tcBorders>
              <w:top w:val="nil"/>
              <w:left w:val="nil"/>
              <w:bottom w:val="single" w:color="auto" w:sz="6" w:space="0"/>
              <w:right w:val="single" w:color="auto" w:sz="6" w:space="0"/>
            </w:tcBorders>
            <w:shd w:val="clear" w:color="auto" w:fill="auto"/>
            <w:noWrap/>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结果</w:t>
            </w:r>
          </w:p>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纠正</w:t>
            </w:r>
          </w:p>
        </w:tc>
        <w:tc>
          <w:tcPr>
            <w:tcW w:w="600" w:type="dxa"/>
            <w:tcBorders>
              <w:top w:val="single" w:color="auto" w:sz="6" w:space="0"/>
              <w:left w:val="nil"/>
              <w:bottom w:val="single" w:color="auto" w:sz="6" w:space="0"/>
              <w:right w:val="single" w:color="auto" w:sz="6" w:space="0"/>
            </w:tcBorders>
            <w:shd w:val="clear" w:color="auto" w:fill="auto"/>
            <w:noWrap/>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其他</w:t>
            </w:r>
          </w:p>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结果</w:t>
            </w:r>
          </w:p>
        </w:tc>
        <w:tc>
          <w:tcPr>
            <w:tcW w:w="600" w:type="dxa"/>
            <w:tcBorders>
              <w:top w:val="single" w:color="auto" w:sz="6" w:space="0"/>
              <w:left w:val="nil"/>
              <w:bottom w:val="single" w:color="auto" w:sz="6" w:space="0"/>
              <w:right w:val="single" w:color="auto" w:sz="6" w:space="0"/>
            </w:tcBorders>
            <w:shd w:val="clear" w:color="auto" w:fill="auto"/>
            <w:noWrap/>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尚未</w:t>
            </w:r>
          </w:p>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审结</w:t>
            </w:r>
          </w:p>
        </w:tc>
        <w:tc>
          <w:tcPr>
            <w:tcW w:w="503" w:type="dxa"/>
            <w:tcBorders>
              <w:top w:val="single" w:color="auto" w:sz="6" w:space="0"/>
              <w:left w:val="nil"/>
              <w:bottom w:val="single" w:color="auto" w:sz="6" w:space="0"/>
              <w:right w:val="single" w:color="auto" w:sz="6" w:space="0"/>
            </w:tcBorders>
            <w:shd w:val="clear" w:color="auto" w:fill="auto"/>
            <w:noWrap/>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总计</w:t>
            </w:r>
          </w:p>
        </w:tc>
        <w:tc>
          <w:tcPr>
            <w:tcW w:w="712" w:type="dxa"/>
            <w:tcBorders>
              <w:top w:val="single" w:color="auto" w:sz="6" w:space="0"/>
              <w:left w:val="nil"/>
              <w:bottom w:val="single" w:color="auto" w:sz="6" w:space="0"/>
              <w:right w:val="single" w:color="auto" w:sz="6" w:space="0"/>
            </w:tcBorders>
            <w:shd w:val="clear" w:color="auto" w:fill="auto"/>
            <w:noWrap/>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结果</w:t>
            </w:r>
          </w:p>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维持</w:t>
            </w:r>
          </w:p>
        </w:tc>
        <w:tc>
          <w:tcPr>
            <w:tcW w:w="600" w:type="dxa"/>
            <w:tcBorders>
              <w:top w:val="single" w:color="auto" w:sz="6" w:space="0"/>
              <w:left w:val="nil"/>
              <w:bottom w:val="single" w:color="auto" w:sz="6" w:space="0"/>
              <w:right w:val="single" w:color="auto" w:sz="6" w:space="0"/>
            </w:tcBorders>
            <w:shd w:val="clear" w:color="auto" w:fill="auto"/>
            <w:noWrap/>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结果</w:t>
            </w:r>
          </w:p>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纠正</w:t>
            </w:r>
          </w:p>
        </w:tc>
        <w:tc>
          <w:tcPr>
            <w:tcW w:w="600" w:type="dxa"/>
            <w:tcBorders>
              <w:top w:val="single" w:color="auto" w:sz="6" w:space="0"/>
              <w:left w:val="nil"/>
              <w:bottom w:val="single" w:color="auto" w:sz="6" w:space="0"/>
              <w:right w:val="single" w:color="auto" w:sz="6" w:space="0"/>
            </w:tcBorders>
            <w:shd w:val="clear" w:color="auto" w:fill="auto"/>
            <w:noWrap/>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其他</w:t>
            </w:r>
          </w:p>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结果</w:t>
            </w:r>
          </w:p>
        </w:tc>
        <w:tc>
          <w:tcPr>
            <w:tcW w:w="600" w:type="dxa"/>
            <w:tcBorders>
              <w:top w:val="single" w:color="auto" w:sz="6" w:space="0"/>
              <w:left w:val="nil"/>
              <w:bottom w:val="single" w:color="auto" w:sz="6" w:space="0"/>
              <w:right w:val="single" w:color="auto" w:sz="6" w:space="0"/>
            </w:tcBorders>
            <w:shd w:val="clear" w:color="auto" w:fill="auto"/>
            <w:noWrap/>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尚未</w:t>
            </w:r>
          </w:p>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审结</w:t>
            </w:r>
          </w:p>
        </w:tc>
        <w:tc>
          <w:tcPr>
            <w:tcW w:w="473" w:type="dxa"/>
            <w:tcBorders>
              <w:top w:val="single" w:color="auto" w:sz="6" w:space="0"/>
              <w:left w:val="nil"/>
              <w:bottom w:val="single" w:color="auto" w:sz="6" w:space="0"/>
              <w:right w:val="single" w:color="auto" w:sz="6" w:space="0"/>
            </w:tcBorders>
            <w:shd w:val="clear" w:color="auto" w:fill="auto"/>
            <w:noWrap/>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540" w:type="dxa"/>
            <w:tcBorders>
              <w:top w:val="nil"/>
              <w:left w:val="single" w:color="auto" w:sz="6" w:space="0"/>
              <w:bottom w:val="single" w:color="auto" w:sz="6" w:space="0"/>
              <w:right w:val="single" w:color="auto" w:sz="6" w:space="0"/>
            </w:tcBorders>
            <w:shd w:val="clear" w:color="auto" w:fill="auto"/>
            <w:noWrap/>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540" w:type="dxa"/>
            <w:tcBorders>
              <w:top w:val="nil"/>
              <w:left w:val="nil"/>
              <w:bottom w:val="single" w:color="auto" w:sz="6" w:space="0"/>
              <w:right w:val="single" w:color="auto" w:sz="6" w:space="0"/>
            </w:tcBorders>
            <w:shd w:val="clear" w:color="auto" w:fill="auto"/>
            <w:noWrap/>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495" w:type="dxa"/>
            <w:tcBorders>
              <w:top w:val="nil"/>
              <w:left w:val="nil"/>
              <w:bottom w:val="single" w:color="auto" w:sz="6" w:space="0"/>
              <w:right w:val="single" w:color="auto" w:sz="6" w:space="0"/>
            </w:tcBorders>
            <w:shd w:val="clear" w:color="auto" w:fill="auto"/>
            <w:noWrap/>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549" w:type="dxa"/>
            <w:tcBorders>
              <w:top w:val="nil"/>
              <w:left w:val="nil"/>
              <w:bottom w:val="single" w:color="auto" w:sz="6" w:space="0"/>
              <w:right w:val="single" w:color="auto" w:sz="6" w:space="0"/>
            </w:tcBorders>
            <w:shd w:val="clear" w:color="auto" w:fill="auto"/>
            <w:noWrap/>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548" w:type="dxa"/>
            <w:tcBorders>
              <w:top w:val="nil"/>
              <w:left w:val="nil"/>
              <w:bottom w:val="single" w:color="auto" w:sz="6" w:space="0"/>
              <w:right w:val="single" w:color="auto" w:sz="6" w:space="0"/>
            </w:tcBorders>
            <w:shd w:val="clear" w:color="auto" w:fill="auto"/>
            <w:noWrap/>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682" w:type="dxa"/>
            <w:tcBorders>
              <w:top w:val="nil"/>
              <w:left w:val="nil"/>
              <w:bottom w:val="single" w:color="auto" w:sz="6" w:space="0"/>
              <w:right w:val="single" w:color="auto" w:sz="6" w:space="0"/>
            </w:tcBorders>
            <w:shd w:val="clear" w:color="auto" w:fill="auto"/>
            <w:noWrap/>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600" w:type="dxa"/>
            <w:tcBorders>
              <w:top w:val="nil"/>
              <w:left w:val="nil"/>
              <w:bottom w:val="single" w:color="auto" w:sz="6" w:space="0"/>
              <w:right w:val="single" w:color="auto" w:sz="6" w:space="0"/>
            </w:tcBorders>
            <w:shd w:val="clear" w:color="auto" w:fill="auto"/>
            <w:noWrap/>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600" w:type="dxa"/>
            <w:tcBorders>
              <w:top w:val="nil"/>
              <w:left w:val="nil"/>
              <w:bottom w:val="single" w:color="auto" w:sz="6" w:space="0"/>
              <w:right w:val="single" w:color="auto" w:sz="6" w:space="0"/>
            </w:tcBorders>
            <w:shd w:val="clear" w:color="auto" w:fill="auto"/>
            <w:noWrap/>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600" w:type="dxa"/>
            <w:tcBorders>
              <w:top w:val="nil"/>
              <w:left w:val="nil"/>
              <w:bottom w:val="single" w:color="auto" w:sz="6" w:space="0"/>
              <w:right w:val="single" w:color="auto" w:sz="6" w:space="0"/>
            </w:tcBorders>
            <w:shd w:val="clear" w:color="auto" w:fill="auto"/>
            <w:noWrap/>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503" w:type="dxa"/>
            <w:tcBorders>
              <w:top w:val="nil"/>
              <w:left w:val="nil"/>
              <w:bottom w:val="single" w:color="auto" w:sz="6" w:space="0"/>
              <w:right w:val="single" w:color="auto" w:sz="6" w:space="0"/>
            </w:tcBorders>
            <w:shd w:val="clear" w:color="auto" w:fill="auto"/>
            <w:noWrap/>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712" w:type="dxa"/>
            <w:tcBorders>
              <w:top w:val="nil"/>
              <w:left w:val="nil"/>
              <w:bottom w:val="single" w:color="auto" w:sz="6" w:space="0"/>
              <w:right w:val="single" w:color="auto" w:sz="6" w:space="0"/>
            </w:tcBorders>
            <w:shd w:val="clear" w:color="auto" w:fill="auto"/>
            <w:noWrap/>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600" w:type="dxa"/>
            <w:tcBorders>
              <w:top w:val="nil"/>
              <w:left w:val="nil"/>
              <w:bottom w:val="single" w:color="auto" w:sz="6" w:space="0"/>
              <w:right w:val="single" w:color="auto" w:sz="6" w:space="0"/>
            </w:tcBorders>
            <w:shd w:val="clear" w:color="auto" w:fill="auto"/>
            <w:noWrap/>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600" w:type="dxa"/>
            <w:tcBorders>
              <w:top w:val="nil"/>
              <w:left w:val="nil"/>
              <w:bottom w:val="single" w:color="auto" w:sz="6" w:space="0"/>
              <w:right w:val="single" w:color="auto" w:sz="6" w:space="0"/>
            </w:tcBorders>
            <w:shd w:val="clear" w:color="auto" w:fill="auto"/>
            <w:noWrap/>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600" w:type="dxa"/>
            <w:tcBorders>
              <w:top w:val="nil"/>
              <w:left w:val="nil"/>
              <w:bottom w:val="single" w:color="auto" w:sz="6" w:space="0"/>
              <w:right w:val="single" w:color="auto" w:sz="6" w:space="0"/>
            </w:tcBorders>
            <w:shd w:val="clear" w:color="auto" w:fill="auto"/>
            <w:noWrap/>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c>
          <w:tcPr>
            <w:tcW w:w="473" w:type="dxa"/>
            <w:tcBorders>
              <w:top w:val="nil"/>
              <w:left w:val="nil"/>
              <w:bottom w:val="single" w:color="auto" w:sz="6" w:space="0"/>
              <w:right w:val="single" w:color="auto" w:sz="6" w:space="0"/>
            </w:tcBorders>
            <w:shd w:val="clear" w:color="auto" w:fill="auto"/>
            <w:noWrap/>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0</w:t>
            </w:r>
          </w:p>
        </w:tc>
      </w:tr>
    </w:tbl>
    <w:p>
      <w:pPr>
        <w:pStyle w:val="5"/>
        <w:keepNext w:val="0"/>
        <w:keepLines w:val="0"/>
        <w:pageBreakBefore w:val="0"/>
        <w:kinsoku/>
        <w:wordWrap/>
        <w:overflowPunct/>
        <w:topLinePunct w:val="0"/>
        <w:autoSpaceDE/>
        <w:autoSpaceDN/>
        <w:bidi w:val="0"/>
        <w:adjustRightInd/>
        <w:snapToGrid/>
        <w:spacing w:line="560" w:lineRule="exact"/>
        <w:ind w:left="0" w:leftChars="0" w:firstLine="0" w:firstLineChars="0"/>
        <w:textAlignment w:val="auto"/>
        <w:rPr>
          <w:rFonts w:hint="default" w:ascii="Times New Roman" w:hAnsi="Times New Roman" w:eastAsia="仿宋_GB2312" w:cs="Times New Roman"/>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黑体" w:cs="Times New Roman"/>
          <w:b w:val="0"/>
          <w:i w:val="0"/>
          <w:caps w:val="0"/>
          <w:color w:val="212121"/>
          <w:spacing w:val="0"/>
          <w:kern w:val="0"/>
          <w:sz w:val="32"/>
          <w:szCs w:val="32"/>
          <w:shd w:val="clear" w:fill="FFFFFF"/>
          <w:lang w:val="en-US" w:eastAsia="zh-CN" w:bidi="ar"/>
        </w:rPr>
      </w:pPr>
      <w:r>
        <w:rPr>
          <w:rFonts w:hint="default" w:ascii="Times New Roman" w:hAnsi="Times New Roman" w:eastAsia="黑体" w:cs="Times New Roman"/>
          <w:b w:val="0"/>
          <w:i w:val="0"/>
          <w:caps w:val="0"/>
          <w:color w:val="212121"/>
          <w:spacing w:val="0"/>
          <w:kern w:val="0"/>
          <w:sz w:val="32"/>
          <w:szCs w:val="32"/>
          <w:shd w:val="clear" w:fill="FFFFFF"/>
          <w:lang w:val="en-US" w:eastAsia="zh-CN" w:bidi="ar"/>
        </w:rPr>
        <w:t>五、存在的问题及改进情况</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i w:val="0"/>
          <w:caps w:val="0"/>
          <w:color w:val="212121"/>
          <w:spacing w:val="0"/>
          <w:kern w:val="0"/>
          <w:sz w:val="32"/>
          <w:szCs w:val="32"/>
          <w:shd w:val="clear" w:fill="FFFFFF"/>
          <w:lang w:val="en-US" w:eastAsia="zh-CN" w:bidi="ar"/>
        </w:rPr>
      </w:pPr>
      <w:r>
        <w:rPr>
          <w:rFonts w:hint="default" w:ascii="Times New Roman" w:hAnsi="Times New Roman" w:eastAsia="仿宋_GB2312" w:cs="Times New Roman"/>
          <w:b w:val="0"/>
          <w:i w:val="0"/>
          <w:caps w:val="0"/>
          <w:color w:val="212121"/>
          <w:spacing w:val="0"/>
          <w:kern w:val="0"/>
          <w:sz w:val="32"/>
          <w:szCs w:val="32"/>
          <w:shd w:val="clear" w:fill="FFFFFF"/>
          <w:lang w:val="en-US" w:eastAsia="zh-CN" w:bidi="ar"/>
        </w:rPr>
        <w:t>存在的问题：一是日常工作繁忙，投入到政务公开的时间不够。二是政务信息公开的信息质量不高，重点不突出，同时发布不够及时</w:t>
      </w:r>
      <w:r>
        <w:rPr>
          <w:rFonts w:hint="eastAsia" w:ascii="Times New Roman" w:hAnsi="Times New Roman" w:eastAsia="仿宋_GB2312" w:cs="Times New Roman"/>
          <w:b w:val="0"/>
          <w:i w:val="0"/>
          <w:caps w:val="0"/>
          <w:color w:val="212121"/>
          <w:spacing w:val="0"/>
          <w:kern w:val="0"/>
          <w:sz w:val="32"/>
          <w:szCs w:val="32"/>
          <w:shd w:val="clear" w:fill="FFFFFF"/>
          <w:lang w:val="en-US" w:eastAsia="zh-CN" w:bidi="ar"/>
        </w:rPr>
        <w:t>。三是公开便民性</w:t>
      </w:r>
      <w:bookmarkStart w:id="0" w:name="_GoBack"/>
      <w:bookmarkEnd w:id="0"/>
      <w:r>
        <w:rPr>
          <w:rFonts w:hint="eastAsia" w:ascii="Times New Roman" w:hAnsi="Times New Roman" w:eastAsia="仿宋_GB2312" w:cs="Times New Roman"/>
          <w:b w:val="0"/>
          <w:i w:val="0"/>
          <w:caps w:val="0"/>
          <w:color w:val="212121"/>
          <w:spacing w:val="0"/>
          <w:kern w:val="0"/>
          <w:sz w:val="32"/>
          <w:szCs w:val="32"/>
          <w:shd w:val="clear" w:fill="FFFFFF"/>
          <w:lang w:val="en-US" w:eastAsia="zh-CN" w:bidi="ar"/>
        </w:rPr>
        <w:t>有待提高。公开形式还不够丰富公开内容还不够贴近群众生产生活。四是监督机制还有待进一步健全、监督力度还有待进一步加强。监督形式大多为被动接受上级检查，自觉进行自查和抽查的少。</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i w:val="0"/>
          <w:caps w:val="0"/>
          <w:color w:val="212121"/>
          <w:spacing w:val="0"/>
          <w:kern w:val="0"/>
          <w:sz w:val="32"/>
          <w:szCs w:val="32"/>
          <w:shd w:val="clear" w:fill="FFFFFF"/>
          <w:lang w:val="en-US" w:eastAsia="zh-CN" w:bidi="ar"/>
        </w:rPr>
      </w:pPr>
      <w:r>
        <w:rPr>
          <w:rFonts w:hint="default" w:ascii="Times New Roman" w:hAnsi="Times New Roman" w:eastAsia="仿宋_GB2312" w:cs="Times New Roman"/>
          <w:b w:val="0"/>
          <w:i w:val="0"/>
          <w:caps w:val="0"/>
          <w:color w:val="212121"/>
          <w:spacing w:val="0"/>
          <w:kern w:val="0"/>
          <w:sz w:val="32"/>
          <w:szCs w:val="32"/>
          <w:shd w:val="clear" w:fill="FFFFFF"/>
          <w:lang w:val="en-US" w:eastAsia="zh-CN" w:bidi="ar"/>
        </w:rPr>
        <w:t>改进情况：</w:t>
      </w:r>
      <w:r>
        <w:rPr>
          <w:rFonts w:hint="eastAsia" w:ascii="Times New Roman" w:hAnsi="Times New Roman" w:eastAsia="仿宋_GB2312" w:cs="Times New Roman"/>
          <w:b w:val="0"/>
          <w:i w:val="0"/>
          <w:caps w:val="0"/>
          <w:color w:val="212121"/>
          <w:spacing w:val="0"/>
          <w:kern w:val="0"/>
          <w:sz w:val="32"/>
          <w:szCs w:val="32"/>
          <w:shd w:val="clear" w:fill="FFFFFF"/>
          <w:lang w:val="en-US" w:eastAsia="zh-CN" w:bidi="ar"/>
        </w:rPr>
        <w:t>一是</w:t>
      </w:r>
      <w:r>
        <w:rPr>
          <w:rFonts w:hint="default" w:ascii="Times New Roman" w:hAnsi="Times New Roman" w:eastAsia="仿宋_GB2312" w:cs="Times New Roman"/>
          <w:b w:val="0"/>
          <w:i w:val="0"/>
          <w:caps w:val="0"/>
          <w:color w:val="212121"/>
          <w:spacing w:val="0"/>
          <w:kern w:val="0"/>
          <w:sz w:val="32"/>
          <w:szCs w:val="32"/>
          <w:shd w:val="clear" w:fill="FFFFFF"/>
          <w:lang w:val="en-US" w:eastAsia="zh-CN" w:bidi="ar"/>
        </w:rPr>
        <w:t>持续加强队伍建设。坚持定期组织开展政务公开业务培训和研讨交流，重点围绕政务公开测评反馈问题，剖析工作短板，梳理亟待改进的公开领域，明确重点任务，提高公开内容质量。</w:t>
      </w:r>
      <w:r>
        <w:rPr>
          <w:rFonts w:hint="eastAsia" w:ascii="Times New Roman" w:hAnsi="Times New Roman" w:eastAsia="仿宋_GB2312" w:cs="Times New Roman"/>
          <w:b w:val="0"/>
          <w:i w:val="0"/>
          <w:caps w:val="0"/>
          <w:color w:val="212121"/>
          <w:spacing w:val="0"/>
          <w:kern w:val="0"/>
          <w:sz w:val="32"/>
          <w:szCs w:val="32"/>
          <w:shd w:val="clear" w:fill="FFFFFF"/>
          <w:lang w:val="en-US" w:eastAsia="zh-CN" w:bidi="ar"/>
        </w:rPr>
        <w:t>二是强化科室沟通协作。强化与各科室联动，增强信息发布时效性、准确性，以标准化规范化公开不断满足群众信息需求。三是优化专区各项功能。充分利用线下政务公开专区、场地等优势，对一些群众关注度高的工作，拓展更加丰富多样的政民互动和公众参与形式，组织相关部门开展政策解读及系列主题活动，提升便民利民服务能力。</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黑体" w:cs="Times New Roman"/>
          <w:b w:val="0"/>
          <w:i w:val="0"/>
          <w:caps w:val="0"/>
          <w:color w:val="212121"/>
          <w:spacing w:val="0"/>
          <w:kern w:val="0"/>
          <w:sz w:val="32"/>
          <w:szCs w:val="32"/>
          <w:shd w:val="clear" w:fill="FFFFFF"/>
          <w:lang w:val="en-US" w:eastAsia="zh-CN" w:bidi="ar"/>
        </w:rPr>
      </w:pPr>
      <w:r>
        <w:rPr>
          <w:rFonts w:hint="default" w:ascii="Times New Roman" w:hAnsi="Times New Roman" w:eastAsia="黑体" w:cs="Times New Roman"/>
          <w:b w:val="0"/>
          <w:i w:val="0"/>
          <w:caps w:val="0"/>
          <w:color w:val="212121"/>
          <w:spacing w:val="0"/>
          <w:kern w:val="0"/>
          <w:sz w:val="32"/>
          <w:szCs w:val="32"/>
          <w:shd w:val="clear" w:fill="FFFFFF"/>
          <w:lang w:val="en-US" w:eastAsia="zh-CN" w:bidi="ar"/>
        </w:rPr>
        <w:t>六、其他需要报告的事项</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i w:val="0"/>
          <w:caps w:val="0"/>
          <w:color w:val="212121"/>
          <w:spacing w:val="0"/>
          <w:kern w:val="0"/>
          <w:sz w:val="32"/>
          <w:szCs w:val="32"/>
          <w:shd w:val="clear" w:fill="FFFFFF"/>
          <w:lang w:val="en-US" w:eastAsia="zh-CN" w:bidi="ar"/>
        </w:rPr>
      </w:pPr>
      <w:r>
        <w:rPr>
          <w:rFonts w:hint="default" w:ascii="Times New Roman" w:hAnsi="Times New Roman" w:eastAsia="仿宋_GB2312" w:cs="Times New Roman"/>
          <w:b w:val="0"/>
          <w:i w:val="0"/>
          <w:caps w:val="0"/>
          <w:color w:val="212121"/>
          <w:spacing w:val="0"/>
          <w:kern w:val="0"/>
          <w:sz w:val="32"/>
          <w:szCs w:val="32"/>
          <w:shd w:val="clear" w:fill="FFFFFF"/>
          <w:lang w:val="en-US" w:eastAsia="zh-CN" w:bidi="ar"/>
        </w:rPr>
        <w:t>无其他需要报告的事项。</w:t>
      </w:r>
    </w:p>
    <w:p>
      <w:pPr>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eastAsia="仿宋_GB2312" w:cs="Times New Roman"/>
          <w:sz w:val="32"/>
          <w:szCs w:val="32"/>
        </w:rPr>
      </w:pP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方正小标宋简体">
    <w:panose1 w:val="02000000000000000000"/>
    <w:charset w:val="86"/>
    <w:family w:val="auto"/>
    <w:pitch w:val="default"/>
    <w:sig w:usb0="A00002BF" w:usb1="184F6CFA" w:usb2="00000012" w:usb3="00000000" w:csb0="00040001" w:csb1="00000000"/>
  </w:font>
  <w:font w:name="楷体_GB2312">
    <w:panose1 w:val="02010609030101010101"/>
    <w:charset w:val="86"/>
    <w:family w:val="auto"/>
    <w:pitch w:val="default"/>
    <w:sig w:usb0="00000001" w:usb1="080E0000" w:usb2="00000000" w:usb3="00000000" w:csb0="00040000" w:csb1="00000000"/>
  </w:font>
  <w:font w:name="华文彩云">
    <w:panose1 w:val="02010800040101010101"/>
    <w:charset w:val="86"/>
    <w:family w:val="auto"/>
    <w:pitch w:val="default"/>
    <w:sig w:usb0="00000001" w:usb1="080F0000" w:usb2="00000000" w:usb3="00000000" w:csb0="00040000" w:csb1="00000000"/>
  </w:font>
  <w:font w:name="新宋体">
    <w:panose1 w:val="02010609030101010101"/>
    <w:charset w:val="86"/>
    <w:family w:val="auto"/>
    <w:pitch w:val="default"/>
    <w:sig w:usb0="00000203" w:usb1="288F0000" w:usb2="00000006" w:usb3="00000000" w:csb0="00040001" w:csb1="00000000"/>
  </w:font>
  <w:font w:name="Microsoft JhengHei UI">
    <w:panose1 w:val="020B0604030504040204"/>
    <w:charset w:val="88"/>
    <w:family w:val="auto"/>
    <w:pitch w:val="default"/>
    <w:sig w:usb0="000002A7" w:usb1="28CF4400" w:usb2="00000016" w:usb3="00000000" w:csb0="00100009" w:csb1="00000000"/>
  </w:font>
  <w:font w:name="Microsoft YaHei UI">
    <w:panose1 w:val="020B0503020204020204"/>
    <w:charset w:val="86"/>
    <w:family w:val="auto"/>
    <w:pitch w:val="default"/>
    <w:sig w:usb0="80000287" w:usb1="2ACF3C50" w:usb2="00000016" w:usb3="00000000" w:csb0="0004001F" w:csb1="00000000"/>
  </w:font>
  <w:font w:name="Yu Gothic UI Semilight">
    <w:panose1 w:val="020B0400000000000000"/>
    <w:charset w:val="80"/>
    <w:family w:val="auto"/>
    <w:pitch w:val="default"/>
    <w:sig w:usb0="E00002FF" w:usb1="2AC7FDFF" w:usb2="00000016" w:usb3="00000000" w:csb0="2002009F" w:csb1="00000000"/>
  </w:font>
  <w:font w:name="Yu Gothic">
    <w:panose1 w:val="020B0400000000000000"/>
    <w:charset w:val="80"/>
    <w:family w:val="auto"/>
    <w:pitch w:val="default"/>
    <w:sig w:usb0="E00002FF" w:usb1="2AC7FDFF" w:usb2="00000016" w:usb3="00000000" w:csb0="2002009F" w:csb1="00000000"/>
  </w:font>
  <w:font w:name="Bahnschrift SemiBold SemiCondensed">
    <w:panose1 w:val="020B0502040204020203"/>
    <w:charset w:val="00"/>
    <w:family w:val="auto"/>
    <w:pitch w:val="default"/>
    <w:sig w:usb0="A00002C7" w:usb1="00000002" w:usb2="00000000" w:usb3="00000000" w:csb0="2000019F" w:csb1="00000000"/>
  </w:font>
  <w:font w:name="Bernard MT Condensed">
    <w:panose1 w:val="02050806060905020404"/>
    <w:charset w:val="00"/>
    <w:family w:val="auto"/>
    <w:pitch w:val="default"/>
    <w:sig w:usb0="00000003" w:usb1="00000000" w:usb2="00000000" w:usb3="00000000" w:csb0="20000001" w:csb1="00000000"/>
  </w:font>
  <w:font w:name="Californian FB">
    <w:panose1 w:val="0207040306080B030204"/>
    <w:charset w:val="00"/>
    <w:family w:val="auto"/>
    <w:pitch w:val="default"/>
    <w:sig w:usb0="00000003" w:usb1="00000000" w:usb2="00000000" w:usb3="00000000" w:csb0="20000001" w:csb1="00000000"/>
  </w:font>
  <w:font w:name="Segoe UI Variable Small Semilight">
    <w:panose1 w:val="00000000000000000000"/>
    <w:charset w:val="00"/>
    <w:family w:val="auto"/>
    <w:pitch w:val="default"/>
    <w:sig w:usb0="A00002FF" w:usb1="0000000B" w:usb2="00000000" w:usb3="00000000" w:csb0="2000019F" w:csb1="00000000"/>
  </w:font>
  <w:font w:name="Sitka Banner">
    <w:panose1 w:val="00000000000000000000"/>
    <w:charset w:val="00"/>
    <w:family w:val="auto"/>
    <w:pitch w:val="default"/>
    <w:sig w:usb0="A00002EF" w:usb1="4000204B" w:usb2="00000000" w:usb3="00000000" w:csb0="2000019F" w:csb1="00000000"/>
  </w:font>
  <w:font w:name="Snap ITC">
    <w:panose1 w:val="04040A07060A02020202"/>
    <w:charset w:val="00"/>
    <w:family w:val="auto"/>
    <w:pitch w:val="default"/>
    <w:sig w:usb0="00000003" w:usb1="00000000" w:usb2="00000000" w:usb3="00000000" w:csb0="20000001" w:csb1="00000000"/>
  </w:font>
  <w:font w:name="Tw Cen MT">
    <w:panose1 w:val="020B0602020104020603"/>
    <w:charset w:val="00"/>
    <w:family w:val="auto"/>
    <w:pitch w:val="default"/>
    <w:sig w:usb0="00000003" w:usb1="00000000" w:usb2="00000000" w:usb3="00000000" w:csb0="20000003" w:csb1="00000000"/>
  </w:font>
  <w:font w:name="Tempus Sans ITC">
    <w:panose1 w:val="04020404030D07020202"/>
    <w:charset w:val="00"/>
    <w:family w:val="auto"/>
    <w:pitch w:val="default"/>
    <w:sig w:usb0="00000003" w:usb1="00000000" w:usb2="00000000" w:usb3="00000000" w:csb0="2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6"/>
                            <w:rPr>
                              <w:rFonts w:hint="eastAsia" w:asciiTheme="majorEastAsia" w:hAnsiTheme="majorEastAsia" w:eastAsiaTheme="majorEastAsia" w:cstheme="majorEastAsia"/>
                              <w:sz w:val="28"/>
                              <w:szCs w:val="28"/>
                              <w:lang w:eastAsia="zh-CN"/>
                            </w:rPr>
                          </w:pPr>
                          <w:r>
                            <w:rPr>
                              <w:rFonts w:hint="eastAsia" w:asciiTheme="majorEastAsia" w:hAnsiTheme="majorEastAsia" w:eastAsiaTheme="majorEastAsia" w:cstheme="majorEastAsia"/>
                              <w:sz w:val="28"/>
                              <w:szCs w:val="28"/>
                              <w:lang w:eastAsia="zh-CN"/>
                            </w:rPr>
                            <w:fldChar w:fldCharType="begin"/>
                          </w:r>
                          <w:r>
                            <w:rPr>
                              <w:rFonts w:hint="eastAsia" w:asciiTheme="majorEastAsia" w:hAnsiTheme="majorEastAsia" w:eastAsiaTheme="majorEastAsia" w:cstheme="majorEastAsia"/>
                              <w:sz w:val="28"/>
                              <w:szCs w:val="28"/>
                              <w:lang w:eastAsia="zh-CN"/>
                            </w:rPr>
                            <w:instrText xml:space="preserve"> PAGE  \* MERGEFORMAT </w:instrText>
                          </w:r>
                          <w:r>
                            <w:rPr>
                              <w:rFonts w:hint="eastAsia" w:asciiTheme="majorEastAsia" w:hAnsiTheme="majorEastAsia" w:eastAsiaTheme="majorEastAsia" w:cstheme="majorEastAsia"/>
                              <w:sz w:val="28"/>
                              <w:szCs w:val="28"/>
                              <w:lang w:eastAsia="zh-CN"/>
                            </w:rPr>
                            <w:fldChar w:fldCharType="separate"/>
                          </w:r>
                          <w:r>
                            <w:rPr>
                              <w:rFonts w:hint="eastAsia" w:asciiTheme="majorEastAsia" w:hAnsiTheme="majorEastAsia" w:eastAsiaTheme="majorEastAsia" w:cstheme="majorEastAsia"/>
                              <w:sz w:val="28"/>
                              <w:szCs w:val="28"/>
                              <w:lang w:eastAsia="zh-CN"/>
                            </w:rPr>
                            <w:t>1</w:t>
                          </w:r>
                          <w:r>
                            <w:rPr>
                              <w:rFonts w:hint="eastAsia" w:asciiTheme="majorEastAsia" w:hAnsiTheme="majorEastAsia" w:eastAsiaTheme="majorEastAsia" w:cstheme="majorEastAsia"/>
                              <w:sz w:val="28"/>
                              <w:szCs w:val="2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6"/>
                      <w:rPr>
                        <w:rFonts w:hint="eastAsia" w:asciiTheme="majorEastAsia" w:hAnsiTheme="majorEastAsia" w:eastAsiaTheme="majorEastAsia" w:cstheme="majorEastAsia"/>
                        <w:sz w:val="28"/>
                        <w:szCs w:val="28"/>
                        <w:lang w:eastAsia="zh-CN"/>
                      </w:rPr>
                    </w:pPr>
                    <w:r>
                      <w:rPr>
                        <w:rFonts w:hint="eastAsia" w:asciiTheme="majorEastAsia" w:hAnsiTheme="majorEastAsia" w:eastAsiaTheme="majorEastAsia" w:cstheme="majorEastAsia"/>
                        <w:sz w:val="28"/>
                        <w:szCs w:val="28"/>
                        <w:lang w:eastAsia="zh-CN"/>
                      </w:rPr>
                      <w:fldChar w:fldCharType="begin"/>
                    </w:r>
                    <w:r>
                      <w:rPr>
                        <w:rFonts w:hint="eastAsia" w:asciiTheme="majorEastAsia" w:hAnsiTheme="majorEastAsia" w:eastAsiaTheme="majorEastAsia" w:cstheme="majorEastAsia"/>
                        <w:sz w:val="28"/>
                        <w:szCs w:val="28"/>
                        <w:lang w:eastAsia="zh-CN"/>
                      </w:rPr>
                      <w:instrText xml:space="preserve"> PAGE  \* MERGEFORMAT </w:instrText>
                    </w:r>
                    <w:r>
                      <w:rPr>
                        <w:rFonts w:hint="eastAsia" w:asciiTheme="majorEastAsia" w:hAnsiTheme="majorEastAsia" w:eastAsiaTheme="majorEastAsia" w:cstheme="majorEastAsia"/>
                        <w:sz w:val="28"/>
                        <w:szCs w:val="28"/>
                        <w:lang w:eastAsia="zh-CN"/>
                      </w:rPr>
                      <w:fldChar w:fldCharType="separate"/>
                    </w:r>
                    <w:r>
                      <w:rPr>
                        <w:rFonts w:hint="eastAsia" w:asciiTheme="majorEastAsia" w:hAnsiTheme="majorEastAsia" w:eastAsiaTheme="majorEastAsia" w:cstheme="majorEastAsia"/>
                        <w:sz w:val="28"/>
                        <w:szCs w:val="28"/>
                        <w:lang w:eastAsia="zh-CN"/>
                      </w:rPr>
                      <w:t>1</w:t>
                    </w:r>
                    <w:r>
                      <w:rPr>
                        <w:rFonts w:hint="eastAsia" w:asciiTheme="majorEastAsia" w:hAnsiTheme="majorEastAsia" w:eastAsiaTheme="majorEastAsia" w:cstheme="majorEastAsia"/>
                        <w:sz w:val="28"/>
                        <w:szCs w:val="28"/>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95F8BD0"/>
    <w:multiLevelType w:val="singleLevel"/>
    <w:tmpl w:val="995F8BD0"/>
    <w:lvl w:ilvl="0" w:tentative="0">
      <w:start w:val="2"/>
      <w:numFmt w:val="decimal"/>
      <w:lvlText w:val="%1."/>
      <w:lvlJc w:val="left"/>
      <w:pPr>
        <w:tabs>
          <w:tab w:val="left" w:pos="312"/>
        </w:tabs>
      </w:pPr>
    </w:lvl>
  </w:abstractNum>
  <w:abstractNum w:abstractNumId="1">
    <w:nsid w:val="DC16339F"/>
    <w:multiLevelType w:val="singleLevel"/>
    <w:tmpl w:val="DC16339F"/>
    <w:lvl w:ilvl="0" w:tentative="0">
      <w:start w:val="1"/>
      <w:numFmt w:val="decimal"/>
      <w:lvlText w:val="%1."/>
      <w:lvlJc w:val="left"/>
      <w:pPr>
        <w:tabs>
          <w:tab w:val="left" w:pos="312"/>
        </w:tabs>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BhNDQ0YWZiY2Y0YjQyNmQxNTg5NTU5NTI1ZjdjNzAifQ=="/>
  </w:docVars>
  <w:rsids>
    <w:rsidRoot w:val="43423816"/>
    <w:rsid w:val="00042B15"/>
    <w:rsid w:val="006059FA"/>
    <w:rsid w:val="00775C71"/>
    <w:rsid w:val="00BB1FE3"/>
    <w:rsid w:val="00E64433"/>
    <w:rsid w:val="010167D9"/>
    <w:rsid w:val="011B1D65"/>
    <w:rsid w:val="014917AF"/>
    <w:rsid w:val="01632780"/>
    <w:rsid w:val="017B4F19"/>
    <w:rsid w:val="018557B5"/>
    <w:rsid w:val="018B599A"/>
    <w:rsid w:val="018C7395"/>
    <w:rsid w:val="01C03827"/>
    <w:rsid w:val="022D6A13"/>
    <w:rsid w:val="02414C13"/>
    <w:rsid w:val="028043EE"/>
    <w:rsid w:val="02A77EC6"/>
    <w:rsid w:val="02B658F2"/>
    <w:rsid w:val="02DC07D0"/>
    <w:rsid w:val="02FA7AC0"/>
    <w:rsid w:val="030D2458"/>
    <w:rsid w:val="031A2269"/>
    <w:rsid w:val="03703351"/>
    <w:rsid w:val="037A5854"/>
    <w:rsid w:val="03ED4501"/>
    <w:rsid w:val="04221138"/>
    <w:rsid w:val="042F4FFF"/>
    <w:rsid w:val="04415E9A"/>
    <w:rsid w:val="04517A96"/>
    <w:rsid w:val="046C263D"/>
    <w:rsid w:val="048F0910"/>
    <w:rsid w:val="04AB12EA"/>
    <w:rsid w:val="04DD53E8"/>
    <w:rsid w:val="05AF528D"/>
    <w:rsid w:val="05CE001B"/>
    <w:rsid w:val="05DA7275"/>
    <w:rsid w:val="06406859"/>
    <w:rsid w:val="06645C4C"/>
    <w:rsid w:val="06686734"/>
    <w:rsid w:val="066F43D4"/>
    <w:rsid w:val="06B20F73"/>
    <w:rsid w:val="076631C5"/>
    <w:rsid w:val="07B042C9"/>
    <w:rsid w:val="08072329"/>
    <w:rsid w:val="0836172E"/>
    <w:rsid w:val="085251E3"/>
    <w:rsid w:val="08707959"/>
    <w:rsid w:val="08A5378A"/>
    <w:rsid w:val="08D14FA0"/>
    <w:rsid w:val="08D50159"/>
    <w:rsid w:val="090848A2"/>
    <w:rsid w:val="091D763F"/>
    <w:rsid w:val="096041E4"/>
    <w:rsid w:val="098E041C"/>
    <w:rsid w:val="099B16DA"/>
    <w:rsid w:val="09BF43B9"/>
    <w:rsid w:val="09E12139"/>
    <w:rsid w:val="09EC26CD"/>
    <w:rsid w:val="0A004DA1"/>
    <w:rsid w:val="0A26741E"/>
    <w:rsid w:val="0A2E6F93"/>
    <w:rsid w:val="0A327396"/>
    <w:rsid w:val="0A66084E"/>
    <w:rsid w:val="0A766873"/>
    <w:rsid w:val="0AA7652F"/>
    <w:rsid w:val="0AC44124"/>
    <w:rsid w:val="0B0562D9"/>
    <w:rsid w:val="0B106555"/>
    <w:rsid w:val="0B2A62EA"/>
    <w:rsid w:val="0BD4498D"/>
    <w:rsid w:val="0C061BA7"/>
    <w:rsid w:val="0C0B2134"/>
    <w:rsid w:val="0C12211B"/>
    <w:rsid w:val="0D0738F6"/>
    <w:rsid w:val="0D20151D"/>
    <w:rsid w:val="0D5A6985"/>
    <w:rsid w:val="0E1400CF"/>
    <w:rsid w:val="0E2B48D0"/>
    <w:rsid w:val="0E397136"/>
    <w:rsid w:val="0E6377E4"/>
    <w:rsid w:val="0E6C5F26"/>
    <w:rsid w:val="0EA26CBF"/>
    <w:rsid w:val="0EA939D8"/>
    <w:rsid w:val="0EAB19E0"/>
    <w:rsid w:val="0EAC232C"/>
    <w:rsid w:val="0F015D26"/>
    <w:rsid w:val="0F0A3495"/>
    <w:rsid w:val="0F4A44E8"/>
    <w:rsid w:val="0FF13F1E"/>
    <w:rsid w:val="0FF836C2"/>
    <w:rsid w:val="10554402"/>
    <w:rsid w:val="108F6F31"/>
    <w:rsid w:val="10BD5FD6"/>
    <w:rsid w:val="110C5A88"/>
    <w:rsid w:val="11266894"/>
    <w:rsid w:val="11496571"/>
    <w:rsid w:val="11813498"/>
    <w:rsid w:val="11836D68"/>
    <w:rsid w:val="119C4B97"/>
    <w:rsid w:val="11E3316C"/>
    <w:rsid w:val="12213F5E"/>
    <w:rsid w:val="122A6F5E"/>
    <w:rsid w:val="123F5795"/>
    <w:rsid w:val="125671B2"/>
    <w:rsid w:val="12604D88"/>
    <w:rsid w:val="12741A64"/>
    <w:rsid w:val="12C90AB4"/>
    <w:rsid w:val="130F3D81"/>
    <w:rsid w:val="135E5991"/>
    <w:rsid w:val="140C38E3"/>
    <w:rsid w:val="141359E2"/>
    <w:rsid w:val="142F46E5"/>
    <w:rsid w:val="147A50BE"/>
    <w:rsid w:val="148E6679"/>
    <w:rsid w:val="14B1564F"/>
    <w:rsid w:val="1557038B"/>
    <w:rsid w:val="156057BC"/>
    <w:rsid w:val="1599539A"/>
    <w:rsid w:val="15AB3F4D"/>
    <w:rsid w:val="16821567"/>
    <w:rsid w:val="16A24DED"/>
    <w:rsid w:val="16D20FB9"/>
    <w:rsid w:val="17322C4F"/>
    <w:rsid w:val="174E6D02"/>
    <w:rsid w:val="176F2457"/>
    <w:rsid w:val="179E11DB"/>
    <w:rsid w:val="17A94DC5"/>
    <w:rsid w:val="17BF6728"/>
    <w:rsid w:val="182F2398"/>
    <w:rsid w:val="186E05D7"/>
    <w:rsid w:val="18CA2B34"/>
    <w:rsid w:val="18E97121"/>
    <w:rsid w:val="194312CF"/>
    <w:rsid w:val="194F0117"/>
    <w:rsid w:val="197C2EC1"/>
    <w:rsid w:val="197F1F58"/>
    <w:rsid w:val="19836AB1"/>
    <w:rsid w:val="19CD1A90"/>
    <w:rsid w:val="19EB3A0B"/>
    <w:rsid w:val="1A17043B"/>
    <w:rsid w:val="1A3003B3"/>
    <w:rsid w:val="1A3519B5"/>
    <w:rsid w:val="1A4E585E"/>
    <w:rsid w:val="1A877167"/>
    <w:rsid w:val="1ACE614D"/>
    <w:rsid w:val="1AFD7D6F"/>
    <w:rsid w:val="1B263BC1"/>
    <w:rsid w:val="1B2D0B76"/>
    <w:rsid w:val="1BA148B2"/>
    <w:rsid w:val="1BAE4443"/>
    <w:rsid w:val="1BB12B20"/>
    <w:rsid w:val="1BE75F16"/>
    <w:rsid w:val="1C3A739E"/>
    <w:rsid w:val="1CAC237E"/>
    <w:rsid w:val="1CE94533"/>
    <w:rsid w:val="1D04029F"/>
    <w:rsid w:val="1D1356AB"/>
    <w:rsid w:val="1D941FF0"/>
    <w:rsid w:val="1D9D580D"/>
    <w:rsid w:val="1DC06C13"/>
    <w:rsid w:val="1DD50408"/>
    <w:rsid w:val="1E137D89"/>
    <w:rsid w:val="1E2D62A3"/>
    <w:rsid w:val="1E7F621D"/>
    <w:rsid w:val="1E967ECB"/>
    <w:rsid w:val="1EC3154A"/>
    <w:rsid w:val="1EF80536"/>
    <w:rsid w:val="1F317DD6"/>
    <w:rsid w:val="1F786034"/>
    <w:rsid w:val="1FCF057E"/>
    <w:rsid w:val="1FDA0ED5"/>
    <w:rsid w:val="20271B80"/>
    <w:rsid w:val="205E31BE"/>
    <w:rsid w:val="20923824"/>
    <w:rsid w:val="211C6250"/>
    <w:rsid w:val="21FD459A"/>
    <w:rsid w:val="2209454B"/>
    <w:rsid w:val="226E1C1E"/>
    <w:rsid w:val="2273706F"/>
    <w:rsid w:val="229228D8"/>
    <w:rsid w:val="22DE5F80"/>
    <w:rsid w:val="23EA49D3"/>
    <w:rsid w:val="2412476A"/>
    <w:rsid w:val="241A757F"/>
    <w:rsid w:val="24594884"/>
    <w:rsid w:val="24A82197"/>
    <w:rsid w:val="24D45465"/>
    <w:rsid w:val="24F96D2E"/>
    <w:rsid w:val="251A7750"/>
    <w:rsid w:val="251D7688"/>
    <w:rsid w:val="25242820"/>
    <w:rsid w:val="252834B3"/>
    <w:rsid w:val="255D3253"/>
    <w:rsid w:val="256E2358"/>
    <w:rsid w:val="2576659B"/>
    <w:rsid w:val="258C7BED"/>
    <w:rsid w:val="25B61460"/>
    <w:rsid w:val="25BE5F8E"/>
    <w:rsid w:val="25F052F1"/>
    <w:rsid w:val="263B70C4"/>
    <w:rsid w:val="26415588"/>
    <w:rsid w:val="26537F58"/>
    <w:rsid w:val="26777002"/>
    <w:rsid w:val="26D457A1"/>
    <w:rsid w:val="27155BA8"/>
    <w:rsid w:val="2733679B"/>
    <w:rsid w:val="27545D93"/>
    <w:rsid w:val="27872DD2"/>
    <w:rsid w:val="27C737AE"/>
    <w:rsid w:val="28092EF1"/>
    <w:rsid w:val="28351ECB"/>
    <w:rsid w:val="28731671"/>
    <w:rsid w:val="287C58BF"/>
    <w:rsid w:val="28CA1842"/>
    <w:rsid w:val="28EE6F0C"/>
    <w:rsid w:val="292662BA"/>
    <w:rsid w:val="2973348D"/>
    <w:rsid w:val="29866223"/>
    <w:rsid w:val="29A642E0"/>
    <w:rsid w:val="2A042790"/>
    <w:rsid w:val="2A13330C"/>
    <w:rsid w:val="2A156326"/>
    <w:rsid w:val="2A94402E"/>
    <w:rsid w:val="2B227685"/>
    <w:rsid w:val="2B7316C2"/>
    <w:rsid w:val="2C3D40E2"/>
    <w:rsid w:val="2C522FEF"/>
    <w:rsid w:val="2C7341E3"/>
    <w:rsid w:val="2C9F1576"/>
    <w:rsid w:val="2CC4276F"/>
    <w:rsid w:val="2CE0555B"/>
    <w:rsid w:val="2D8E2A67"/>
    <w:rsid w:val="2D9A1C91"/>
    <w:rsid w:val="2DEB2626"/>
    <w:rsid w:val="2E125507"/>
    <w:rsid w:val="2E387FAB"/>
    <w:rsid w:val="2E6D0B4E"/>
    <w:rsid w:val="2E7C1EE7"/>
    <w:rsid w:val="2E903AC8"/>
    <w:rsid w:val="2ED108A2"/>
    <w:rsid w:val="2EEF0B45"/>
    <w:rsid w:val="2F035604"/>
    <w:rsid w:val="2F124848"/>
    <w:rsid w:val="2F287FDF"/>
    <w:rsid w:val="2FA542AC"/>
    <w:rsid w:val="2FC560BF"/>
    <w:rsid w:val="2FF96EEC"/>
    <w:rsid w:val="3025742F"/>
    <w:rsid w:val="305E0568"/>
    <w:rsid w:val="306F6602"/>
    <w:rsid w:val="307605BC"/>
    <w:rsid w:val="30B51552"/>
    <w:rsid w:val="31270399"/>
    <w:rsid w:val="317068EA"/>
    <w:rsid w:val="32094169"/>
    <w:rsid w:val="321006E3"/>
    <w:rsid w:val="32462507"/>
    <w:rsid w:val="325A4093"/>
    <w:rsid w:val="325C694D"/>
    <w:rsid w:val="327C163A"/>
    <w:rsid w:val="329B7DCC"/>
    <w:rsid w:val="32D8440B"/>
    <w:rsid w:val="33095A0F"/>
    <w:rsid w:val="331F0D77"/>
    <w:rsid w:val="33523E72"/>
    <w:rsid w:val="33C341A1"/>
    <w:rsid w:val="33D125A4"/>
    <w:rsid w:val="33E606F7"/>
    <w:rsid w:val="340A7D83"/>
    <w:rsid w:val="345702DB"/>
    <w:rsid w:val="34CF54C0"/>
    <w:rsid w:val="34D7568E"/>
    <w:rsid w:val="34FF6B99"/>
    <w:rsid w:val="350538A0"/>
    <w:rsid w:val="350804FC"/>
    <w:rsid w:val="354B7549"/>
    <w:rsid w:val="35556982"/>
    <w:rsid w:val="35825396"/>
    <w:rsid w:val="35AC574D"/>
    <w:rsid w:val="35B962F3"/>
    <w:rsid w:val="361821DF"/>
    <w:rsid w:val="363C023B"/>
    <w:rsid w:val="36A82A79"/>
    <w:rsid w:val="36AB6560"/>
    <w:rsid w:val="36D05D16"/>
    <w:rsid w:val="36DF08FF"/>
    <w:rsid w:val="36E43587"/>
    <w:rsid w:val="372E5168"/>
    <w:rsid w:val="373A4E61"/>
    <w:rsid w:val="378E7076"/>
    <w:rsid w:val="37CE3679"/>
    <w:rsid w:val="37D751FE"/>
    <w:rsid w:val="37F92D80"/>
    <w:rsid w:val="38312DE8"/>
    <w:rsid w:val="38420144"/>
    <w:rsid w:val="385B08CC"/>
    <w:rsid w:val="38994544"/>
    <w:rsid w:val="389D0DC3"/>
    <w:rsid w:val="38AD6AE5"/>
    <w:rsid w:val="38D103D4"/>
    <w:rsid w:val="38EC1637"/>
    <w:rsid w:val="391F5AC9"/>
    <w:rsid w:val="393D1C37"/>
    <w:rsid w:val="394B1232"/>
    <w:rsid w:val="395B6852"/>
    <w:rsid w:val="39764158"/>
    <w:rsid w:val="39791E4B"/>
    <w:rsid w:val="39B32B93"/>
    <w:rsid w:val="39EE3C33"/>
    <w:rsid w:val="39EF0BF8"/>
    <w:rsid w:val="3A19116E"/>
    <w:rsid w:val="3A261B55"/>
    <w:rsid w:val="3A26518A"/>
    <w:rsid w:val="3A275B73"/>
    <w:rsid w:val="3A8D3E5C"/>
    <w:rsid w:val="3A975266"/>
    <w:rsid w:val="3A9D671E"/>
    <w:rsid w:val="3AA26319"/>
    <w:rsid w:val="3AC53FD5"/>
    <w:rsid w:val="3AD925D7"/>
    <w:rsid w:val="3ADF0DD9"/>
    <w:rsid w:val="3B087B2B"/>
    <w:rsid w:val="3B4E6938"/>
    <w:rsid w:val="3B6608DE"/>
    <w:rsid w:val="3B8806E0"/>
    <w:rsid w:val="3BA04FF9"/>
    <w:rsid w:val="3BB040CF"/>
    <w:rsid w:val="3BB1506B"/>
    <w:rsid w:val="3C3712C5"/>
    <w:rsid w:val="3CBB1A69"/>
    <w:rsid w:val="3CBE592E"/>
    <w:rsid w:val="3CBF4AEA"/>
    <w:rsid w:val="3CF857FF"/>
    <w:rsid w:val="3D55637F"/>
    <w:rsid w:val="3D77037F"/>
    <w:rsid w:val="3D930F22"/>
    <w:rsid w:val="3D9E6D70"/>
    <w:rsid w:val="3DA80CD3"/>
    <w:rsid w:val="3DAE6DA2"/>
    <w:rsid w:val="3DDF1E33"/>
    <w:rsid w:val="3E153453"/>
    <w:rsid w:val="3E1F41CB"/>
    <w:rsid w:val="3EB20144"/>
    <w:rsid w:val="3EBD0004"/>
    <w:rsid w:val="3F0A2594"/>
    <w:rsid w:val="3F374DAF"/>
    <w:rsid w:val="3F3B4F94"/>
    <w:rsid w:val="3F4449E5"/>
    <w:rsid w:val="3F5A218D"/>
    <w:rsid w:val="3F6C3B05"/>
    <w:rsid w:val="3F6F131C"/>
    <w:rsid w:val="3F75444D"/>
    <w:rsid w:val="3F9927AF"/>
    <w:rsid w:val="3FA71940"/>
    <w:rsid w:val="3FAD1FC2"/>
    <w:rsid w:val="3FB6311F"/>
    <w:rsid w:val="3FE470A5"/>
    <w:rsid w:val="400B2AAC"/>
    <w:rsid w:val="401F71D1"/>
    <w:rsid w:val="40255CC9"/>
    <w:rsid w:val="40646B7C"/>
    <w:rsid w:val="40BC4B3F"/>
    <w:rsid w:val="40CD195A"/>
    <w:rsid w:val="40F538E5"/>
    <w:rsid w:val="4102118F"/>
    <w:rsid w:val="410A2327"/>
    <w:rsid w:val="411E2209"/>
    <w:rsid w:val="417A463F"/>
    <w:rsid w:val="418903FC"/>
    <w:rsid w:val="419E44E1"/>
    <w:rsid w:val="41BD2DE3"/>
    <w:rsid w:val="41C618AE"/>
    <w:rsid w:val="41C73550"/>
    <w:rsid w:val="42175097"/>
    <w:rsid w:val="423122BF"/>
    <w:rsid w:val="427960B7"/>
    <w:rsid w:val="42865EF0"/>
    <w:rsid w:val="42A1783C"/>
    <w:rsid w:val="42C60C21"/>
    <w:rsid w:val="42F805DB"/>
    <w:rsid w:val="431C63A8"/>
    <w:rsid w:val="431D7AB3"/>
    <w:rsid w:val="43423816"/>
    <w:rsid w:val="434814E3"/>
    <w:rsid w:val="434A6CA7"/>
    <w:rsid w:val="434C5B13"/>
    <w:rsid w:val="43846E17"/>
    <w:rsid w:val="43F00780"/>
    <w:rsid w:val="441A0ED7"/>
    <w:rsid w:val="442F1BB8"/>
    <w:rsid w:val="44327D00"/>
    <w:rsid w:val="44CA777F"/>
    <w:rsid w:val="4503028A"/>
    <w:rsid w:val="45051029"/>
    <w:rsid w:val="451D3E8D"/>
    <w:rsid w:val="454545D5"/>
    <w:rsid w:val="45BF67B9"/>
    <w:rsid w:val="45CB7BAA"/>
    <w:rsid w:val="45EC186D"/>
    <w:rsid w:val="46270C6B"/>
    <w:rsid w:val="469B08D3"/>
    <w:rsid w:val="46CF695A"/>
    <w:rsid w:val="471B270D"/>
    <w:rsid w:val="47374AAA"/>
    <w:rsid w:val="47800C28"/>
    <w:rsid w:val="478D7AB6"/>
    <w:rsid w:val="47D743FF"/>
    <w:rsid w:val="47E62246"/>
    <w:rsid w:val="48491874"/>
    <w:rsid w:val="484C5FE6"/>
    <w:rsid w:val="486B5D1B"/>
    <w:rsid w:val="48CA7F25"/>
    <w:rsid w:val="48CF5FF4"/>
    <w:rsid w:val="48F227EA"/>
    <w:rsid w:val="48F830D1"/>
    <w:rsid w:val="48FA081F"/>
    <w:rsid w:val="49310877"/>
    <w:rsid w:val="49792023"/>
    <w:rsid w:val="498274B6"/>
    <w:rsid w:val="4A475772"/>
    <w:rsid w:val="4A591130"/>
    <w:rsid w:val="4A745D91"/>
    <w:rsid w:val="4A902060"/>
    <w:rsid w:val="4AD65521"/>
    <w:rsid w:val="4B1D48BF"/>
    <w:rsid w:val="4B942BC9"/>
    <w:rsid w:val="4B9A43C3"/>
    <w:rsid w:val="4BA61AA7"/>
    <w:rsid w:val="4BF674DC"/>
    <w:rsid w:val="4C3A1712"/>
    <w:rsid w:val="4C3C6376"/>
    <w:rsid w:val="4C717A3E"/>
    <w:rsid w:val="4CFF26A8"/>
    <w:rsid w:val="4D182908"/>
    <w:rsid w:val="4DE808E3"/>
    <w:rsid w:val="4E490DE0"/>
    <w:rsid w:val="4E586F19"/>
    <w:rsid w:val="4E5E67F1"/>
    <w:rsid w:val="4E7972D8"/>
    <w:rsid w:val="4E986C00"/>
    <w:rsid w:val="4EA27E8D"/>
    <w:rsid w:val="4F067986"/>
    <w:rsid w:val="4F306124"/>
    <w:rsid w:val="4F373534"/>
    <w:rsid w:val="4F4E25E4"/>
    <w:rsid w:val="4F5077FE"/>
    <w:rsid w:val="4F9B478C"/>
    <w:rsid w:val="4FD25BC8"/>
    <w:rsid w:val="5006357C"/>
    <w:rsid w:val="500B46EE"/>
    <w:rsid w:val="512A05E7"/>
    <w:rsid w:val="51654227"/>
    <w:rsid w:val="519F23DE"/>
    <w:rsid w:val="51A158C3"/>
    <w:rsid w:val="51A83E58"/>
    <w:rsid w:val="52042448"/>
    <w:rsid w:val="52397AFA"/>
    <w:rsid w:val="52980D47"/>
    <w:rsid w:val="52A92C72"/>
    <w:rsid w:val="52B2616E"/>
    <w:rsid w:val="52BC1160"/>
    <w:rsid w:val="52E82148"/>
    <w:rsid w:val="52EA241C"/>
    <w:rsid w:val="52FB7DC6"/>
    <w:rsid w:val="532E70A0"/>
    <w:rsid w:val="536C785D"/>
    <w:rsid w:val="53AC0722"/>
    <w:rsid w:val="53B60A1B"/>
    <w:rsid w:val="53D37009"/>
    <w:rsid w:val="53D3701C"/>
    <w:rsid w:val="54045143"/>
    <w:rsid w:val="54336310"/>
    <w:rsid w:val="54814062"/>
    <w:rsid w:val="54B34F85"/>
    <w:rsid w:val="5552433D"/>
    <w:rsid w:val="557241B1"/>
    <w:rsid w:val="55D945A7"/>
    <w:rsid w:val="567116D3"/>
    <w:rsid w:val="567D59A4"/>
    <w:rsid w:val="568D2BD3"/>
    <w:rsid w:val="569B3C93"/>
    <w:rsid w:val="56CF44F4"/>
    <w:rsid w:val="56D96D80"/>
    <w:rsid w:val="56FA02DC"/>
    <w:rsid w:val="574B480B"/>
    <w:rsid w:val="575A67DF"/>
    <w:rsid w:val="576238C9"/>
    <w:rsid w:val="57802C79"/>
    <w:rsid w:val="57BC3EA8"/>
    <w:rsid w:val="57D9044A"/>
    <w:rsid w:val="57E43954"/>
    <w:rsid w:val="58031224"/>
    <w:rsid w:val="584B3CA1"/>
    <w:rsid w:val="58501822"/>
    <w:rsid w:val="58A025AE"/>
    <w:rsid w:val="592218E5"/>
    <w:rsid w:val="594E0F69"/>
    <w:rsid w:val="59513691"/>
    <w:rsid w:val="59631CDA"/>
    <w:rsid w:val="59783E08"/>
    <w:rsid w:val="59A1632F"/>
    <w:rsid w:val="59A66B50"/>
    <w:rsid w:val="59ED2E71"/>
    <w:rsid w:val="5A1163E4"/>
    <w:rsid w:val="5A411534"/>
    <w:rsid w:val="5A94275C"/>
    <w:rsid w:val="5AD27024"/>
    <w:rsid w:val="5B1A583C"/>
    <w:rsid w:val="5B2457E8"/>
    <w:rsid w:val="5B314B9F"/>
    <w:rsid w:val="5B6E3FA7"/>
    <w:rsid w:val="5BA51952"/>
    <w:rsid w:val="5BC14D51"/>
    <w:rsid w:val="5C0B60C1"/>
    <w:rsid w:val="5C307BB6"/>
    <w:rsid w:val="5C56480A"/>
    <w:rsid w:val="5C8D0B38"/>
    <w:rsid w:val="5C90353E"/>
    <w:rsid w:val="5C951BEF"/>
    <w:rsid w:val="5C9A4C77"/>
    <w:rsid w:val="5C9D3AD0"/>
    <w:rsid w:val="5CBF052F"/>
    <w:rsid w:val="5CDE248F"/>
    <w:rsid w:val="5CFD66D9"/>
    <w:rsid w:val="5D0D02F8"/>
    <w:rsid w:val="5D115851"/>
    <w:rsid w:val="5D156528"/>
    <w:rsid w:val="5D343923"/>
    <w:rsid w:val="5D3E4715"/>
    <w:rsid w:val="5D641828"/>
    <w:rsid w:val="5DE548E2"/>
    <w:rsid w:val="5DED6D60"/>
    <w:rsid w:val="5E010C61"/>
    <w:rsid w:val="5E34037F"/>
    <w:rsid w:val="5E463C13"/>
    <w:rsid w:val="5E90005D"/>
    <w:rsid w:val="5EC65DEA"/>
    <w:rsid w:val="5F147C27"/>
    <w:rsid w:val="5F2B2557"/>
    <w:rsid w:val="5F5045FD"/>
    <w:rsid w:val="5F516BA7"/>
    <w:rsid w:val="5F540FE2"/>
    <w:rsid w:val="5F796201"/>
    <w:rsid w:val="5F8019D4"/>
    <w:rsid w:val="5F846899"/>
    <w:rsid w:val="5F9E74EF"/>
    <w:rsid w:val="5FAB1800"/>
    <w:rsid w:val="5FAC21D2"/>
    <w:rsid w:val="600774E8"/>
    <w:rsid w:val="605A009B"/>
    <w:rsid w:val="60612FC0"/>
    <w:rsid w:val="607E2EF6"/>
    <w:rsid w:val="609644C5"/>
    <w:rsid w:val="60C25221"/>
    <w:rsid w:val="60D2369A"/>
    <w:rsid w:val="60D40D05"/>
    <w:rsid w:val="60D42FEC"/>
    <w:rsid w:val="610D0924"/>
    <w:rsid w:val="6136100F"/>
    <w:rsid w:val="61394832"/>
    <w:rsid w:val="613D6169"/>
    <w:rsid w:val="61421462"/>
    <w:rsid w:val="61730730"/>
    <w:rsid w:val="61AD0AF3"/>
    <w:rsid w:val="623C4A9B"/>
    <w:rsid w:val="624A239A"/>
    <w:rsid w:val="62546BF4"/>
    <w:rsid w:val="628853AC"/>
    <w:rsid w:val="62A422D8"/>
    <w:rsid w:val="631A79D9"/>
    <w:rsid w:val="631C58FA"/>
    <w:rsid w:val="63BF5C7E"/>
    <w:rsid w:val="64173E8E"/>
    <w:rsid w:val="64655680"/>
    <w:rsid w:val="647F0DD8"/>
    <w:rsid w:val="651D2CFC"/>
    <w:rsid w:val="6528499D"/>
    <w:rsid w:val="65980D90"/>
    <w:rsid w:val="65D90973"/>
    <w:rsid w:val="65EA1C84"/>
    <w:rsid w:val="66013C46"/>
    <w:rsid w:val="66330931"/>
    <w:rsid w:val="664F00B2"/>
    <w:rsid w:val="666D622C"/>
    <w:rsid w:val="668B0BE1"/>
    <w:rsid w:val="669B67BB"/>
    <w:rsid w:val="66F60ABC"/>
    <w:rsid w:val="66F70D86"/>
    <w:rsid w:val="67212944"/>
    <w:rsid w:val="673B13E9"/>
    <w:rsid w:val="6765505A"/>
    <w:rsid w:val="67655CC9"/>
    <w:rsid w:val="677703F6"/>
    <w:rsid w:val="67886BD0"/>
    <w:rsid w:val="67996BCD"/>
    <w:rsid w:val="67AE1F28"/>
    <w:rsid w:val="67E730AD"/>
    <w:rsid w:val="67FB633C"/>
    <w:rsid w:val="683C34C6"/>
    <w:rsid w:val="68461C44"/>
    <w:rsid w:val="686F4B89"/>
    <w:rsid w:val="68E3677E"/>
    <w:rsid w:val="68FF5CE9"/>
    <w:rsid w:val="69021B53"/>
    <w:rsid w:val="69322F23"/>
    <w:rsid w:val="6935348C"/>
    <w:rsid w:val="69367121"/>
    <w:rsid w:val="69624A28"/>
    <w:rsid w:val="697A4985"/>
    <w:rsid w:val="6A154120"/>
    <w:rsid w:val="6A190486"/>
    <w:rsid w:val="6A607C86"/>
    <w:rsid w:val="6A846B74"/>
    <w:rsid w:val="6A9D49FE"/>
    <w:rsid w:val="6AC50FD6"/>
    <w:rsid w:val="6ACB4331"/>
    <w:rsid w:val="6ADD754B"/>
    <w:rsid w:val="6B385D53"/>
    <w:rsid w:val="6B9C0871"/>
    <w:rsid w:val="6BE433A9"/>
    <w:rsid w:val="6BF97101"/>
    <w:rsid w:val="6C252F45"/>
    <w:rsid w:val="6C4623CE"/>
    <w:rsid w:val="6CAF04E2"/>
    <w:rsid w:val="6CE374C6"/>
    <w:rsid w:val="6CEB50B2"/>
    <w:rsid w:val="6CF13469"/>
    <w:rsid w:val="6D134BD3"/>
    <w:rsid w:val="6D1A15C8"/>
    <w:rsid w:val="6D2D18EB"/>
    <w:rsid w:val="6D466028"/>
    <w:rsid w:val="6D6633C7"/>
    <w:rsid w:val="6D6A4D52"/>
    <w:rsid w:val="6D7E2DE3"/>
    <w:rsid w:val="6D862054"/>
    <w:rsid w:val="6DBF7D41"/>
    <w:rsid w:val="6DC32F0A"/>
    <w:rsid w:val="6E942EF6"/>
    <w:rsid w:val="6E950916"/>
    <w:rsid w:val="6EEE77DF"/>
    <w:rsid w:val="6EFE7CE5"/>
    <w:rsid w:val="6F410782"/>
    <w:rsid w:val="6F4A6FDE"/>
    <w:rsid w:val="6F564395"/>
    <w:rsid w:val="6F6D1C9A"/>
    <w:rsid w:val="6F7F2CFB"/>
    <w:rsid w:val="6FC004E3"/>
    <w:rsid w:val="6FE96946"/>
    <w:rsid w:val="704E58C4"/>
    <w:rsid w:val="708657FC"/>
    <w:rsid w:val="70981624"/>
    <w:rsid w:val="70EA6902"/>
    <w:rsid w:val="70F31CED"/>
    <w:rsid w:val="71103536"/>
    <w:rsid w:val="714B4B74"/>
    <w:rsid w:val="71630203"/>
    <w:rsid w:val="7188106E"/>
    <w:rsid w:val="723102EA"/>
    <w:rsid w:val="72607018"/>
    <w:rsid w:val="7263080F"/>
    <w:rsid w:val="7269400D"/>
    <w:rsid w:val="72B95BB8"/>
    <w:rsid w:val="72CA39C3"/>
    <w:rsid w:val="72CF08CC"/>
    <w:rsid w:val="7323192B"/>
    <w:rsid w:val="73FD1101"/>
    <w:rsid w:val="7401056B"/>
    <w:rsid w:val="746E565C"/>
    <w:rsid w:val="748E48B7"/>
    <w:rsid w:val="74B00E2B"/>
    <w:rsid w:val="74E56DA7"/>
    <w:rsid w:val="750F2B00"/>
    <w:rsid w:val="75172438"/>
    <w:rsid w:val="7538748E"/>
    <w:rsid w:val="754375F7"/>
    <w:rsid w:val="75955BEF"/>
    <w:rsid w:val="760C2E6A"/>
    <w:rsid w:val="76172759"/>
    <w:rsid w:val="76E544DD"/>
    <w:rsid w:val="77245C10"/>
    <w:rsid w:val="772E33B4"/>
    <w:rsid w:val="77407041"/>
    <w:rsid w:val="777B3F6D"/>
    <w:rsid w:val="778207EF"/>
    <w:rsid w:val="77AE3351"/>
    <w:rsid w:val="77F5444A"/>
    <w:rsid w:val="7839328E"/>
    <w:rsid w:val="783B6634"/>
    <w:rsid w:val="7858222B"/>
    <w:rsid w:val="785F75ED"/>
    <w:rsid w:val="79015D1B"/>
    <w:rsid w:val="791671E6"/>
    <w:rsid w:val="79505BCD"/>
    <w:rsid w:val="799864AE"/>
    <w:rsid w:val="7A172A60"/>
    <w:rsid w:val="7A24192E"/>
    <w:rsid w:val="7A434A88"/>
    <w:rsid w:val="7A4D3433"/>
    <w:rsid w:val="7A97717C"/>
    <w:rsid w:val="7AB8467F"/>
    <w:rsid w:val="7B24746C"/>
    <w:rsid w:val="7B553044"/>
    <w:rsid w:val="7B684634"/>
    <w:rsid w:val="7B9516AF"/>
    <w:rsid w:val="7B9C4048"/>
    <w:rsid w:val="7BD51ABF"/>
    <w:rsid w:val="7C19028A"/>
    <w:rsid w:val="7C4E52FA"/>
    <w:rsid w:val="7CBB33EA"/>
    <w:rsid w:val="7CFA5565"/>
    <w:rsid w:val="7D074E49"/>
    <w:rsid w:val="7D154E21"/>
    <w:rsid w:val="7D2B59B6"/>
    <w:rsid w:val="7D900BB3"/>
    <w:rsid w:val="7DA45AC7"/>
    <w:rsid w:val="7DCA5C11"/>
    <w:rsid w:val="7DEF6CF1"/>
    <w:rsid w:val="7E447AD4"/>
    <w:rsid w:val="7E6839D7"/>
    <w:rsid w:val="7EB967D5"/>
    <w:rsid w:val="7EF34AB3"/>
    <w:rsid w:val="7F2426EF"/>
    <w:rsid w:val="7F416CB5"/>
    <w:rsid w:val="7F46179C"/>
    <w:rsid w:val="7F4D0C2B"/>
    <w:rsid w:val="7F836298"/>
    <w:rsid w:val="7F861542"/>
    <w:rsid w:val="7F9B2254"/>
    <w:rsid w:val="7FA80AE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4">
    <w:name w:val="heading 2"/>
    <w:basedOn w:val="1"/>
    <w:next w:val="1"/>
    <w:semiHidden/>
    <w:unhideWhenUsed/>
    <w:qFormat/>
    <w:uiPriority w:val="0"/>
    <w:pPr>
      <w:spacing w:before="0" w:beforeAutospacing="1" w:after="0" w:afterAutospacing="1"/>
      <w:jc w:val="left"/>
    </w:pPr>
    <w:rPr>
      <w:rFonts w:hint="eastAsia" w:ascii="宋体" w:hAnsi="宋体" w:eastAsia="宋体" w:cs="宋体"/>
      <w:b/>
      <w:kern w:val="0"/>
      <w:sz w:val="36"/>
      <w:szCs w:val="36"/>
      <w:lang w:val="en-US" w:eastAsia="zh-CN" w:bidi="ar"/>
    </w:rPr>
  </w:style>
  <w:style w:type="character" w:default="1" w:styleId="11">
    <w:name w:val="Default Paragraph Font"/>
    <w:semiHidden/>
    <w:qFormat/>
    <w:uiPriority w:val="0"/>
  </w:style>
  <w:style w:type="table" w:default="1" w:styleId="10">
    <w:name w:val="Normal Table"/>
    <w:semiHidden/>
    <w:qFormat/>
    <w:uiPriority w:val="0"/>
    <w:tblPr>
      <w:tblCellMar>
        <w:top w:w="0" w:type="dxa"/>
        <w:left w:w="108" w:type="dxa"/>
        <w:bottom w:w="0" w:type="dxa"/>
        <w:right w:w="108" w:type="dxa"/>
      </w:tblCellMar>
    </w:tblPr>
  </w:style>
  <w:style w:type="paragraph" w:styleId="2">
    <w:name w:val="Body Text First Indent 2"/>
    <w:basedOn w:val="3"/>
    <w:qFormat/>
    <w:uiPriority w:val="0"/>
    <w:pPr>
      <w:ind w:firstLine="420"/>
    </w:pPr>
  </w:style>
  <w:style w:type="paragraph" w:styleId="3">
    <w:name w:val="Body Text Indent"/>
    <w:basedOn w:val="1"/>
    <w:qFormat/>
    <w:uiPriority w:val="0"/>
    <w:pPr>
      <w:spacing w:after="120"/>
      <w:ind w:left="420" w:leftChars="200"/>
    </w:pPr>
  </w:style>
  <w:style w:type="paragraph" w:styleId="5">
    <w:name w:val="Normal Indent"/>
    <w:basedOn w:val="1"/>
    <w:qFormat/>
    <w:uiPriority w:val="0"/>
    <w:pPr>
      <w:ind w:firstLine="420" w:firstLineChars="200"/>
    </w:p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8">
    <w:name w:val="Normal (Web)"/>
    <w:basedOn w:val="1"/>
    <w:qFormat/>
    <w:uiPriority w:val="0"/>
    <w:pPr>
      <w:spacing w:before="0" w:beforeAutospacing="1" w:after="0" w:afterAutospacing="1"/>
      <w:ind w:left="0" w:right="0"/>
      <w:jc w:val="left"/>
    </w:pPr>
    <w:rPr>
      <w:kern w:val="0"/>
      <w:sz w:val="24"/>
      <w:lang w:val="en-US" w:eastAsia="zh-CN" w:bidi="ar"/>
    </w:rPr>
  </w:style>
  <w:style w:type="paragraph" w:styleId="9">
    <w:name w:val="Title"/>
    <w:basedOn w:val="1"/>
    <w:next w:val="1"/>
    <w:qFormat/>
    <w:uiPriority w:val="0"/>
    <w:pPr>
      <w:spacing w:before="240" w:after="60"/>
      <w:jc w:val="center"/>
    </w:pPr>
    <w:rPr>
      <w:rFonts w:ascii="等线 Light" w:hAnsi="等线 Light" w:eastAsia="等线 Light" w:cs="Times New Roman"/>
      <w:b/>
      <w:bCs/>
      <w:sz w:val="32"/>
      <w:szCs w:val="32"/>
    </w:rPr>
  </w:style>
  <w:style w:type="character" w:styleId="12">
    <w:name w:val="Hyperlink"/>
    <w:basedOn w:val="11"/>
    <w:qFormat/>
    <w:uiPriority w:val="0"/>
    <w:rPr>
      <w:color w:val="0000FF"/>
      <w:u w:val="singl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145</TotalTime>
  <ScaleCrop>false</ScaleCrop>
  <LinksUpToDate>false</LinksUpToDate>
  <CharactersWithSpaces>0</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2023-01-03T07:26:00Z</dcterms:created>
  <dc:creator>牛渊</dc:creator>
  <cp:lastModifiedBy>S</cp:lastModifiedBy>
  <cp:lastPrinted>2023-01-12T02:40:00Z</cp:lastPrinted>
  <dcterms:modified xsi:type="dcterms:W3CDTF">2024-01-29T03:48:09Z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B70583F5C1F04098A9294C2FA0C0D4C4_12</vt:lpwstr>
  </property>
</Properties>
</file>