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emf" ContentType="image/x-emf"/>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group id="_x0000_s1064" o:spid="_x0000_s1064" o:spt="203" style="position:absolute;left:0pt;margin-left:1.25pt;margin-top:764.95pt;height:21.45pt;width:595.25pt;z-index:251694080;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v:rect id="矩形 6" o:spid="_x0000_s1065"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_x0000_s1066" o:spid="_x0000_s106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60" o:spid="_x0000_s1060" o:spt="203" style="position:absolute;left:0pt;margin-left:-0.25pt;margin-top:-56.5pt;height:308.5pt;width:600.25pt;z-index:-251623424;mso-width-relative:page;mso-height-relative:page;" coordorigin="13622,283" coordsize="12005,6170"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v:rect id="矩形 5" o:spid="_x0000_s1061"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62" o:spid="_x0000_s1062"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二〇二〇年十月</w:t>
                  </w:r>
                </w:p>
              </w:txbxContent>
            </v:textbox>
          </v:shape>
        </w:pict>
      </w:r>
      <w:r>
        <w:pict>
          <v:shape id="椭圆 8" o:spid="_x0000_s1046"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path/>
            <v:fill on="t" focussize="0,0"/>
            <v:stroke on="f" weight="1pt" joinstyle="miter"/>
            <v:imagedata o:title=""/>
            <o:lock v:ext="edit"/>
            <v:textbox>
              <w:txbxContent>
                <w:p>
                  <w:pPr>
                    <w:jc w:val="center"/>
                  </w:pPr>
                </w:p>
              </w:txbxContent>
            </v:textbox>
          </v:shape>
        </w:pict>
      </w:r>
      <w:r>
        <w:pict>
          <v:rect id="矩形 14" o:spid="_x0000_s1045"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4"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path/>
            <v:fill on="t" focussize="0,0"/>
            <v:stroke on="f" weight="1pt" joinstyle="miter"/>
            <v:imagedata o:title=""/>
            <o:lock v:ext="edit"/>
            <v:textbox>
              <w:txbxContent>
                <w:p>
                  <w:pPr>
                    <w:jc w:val="center"/>
                  </w:pPr>
                </w:p>
              </w:txbxContent>
            </v:textbox>
          </v:shape>
        </w:pict>
      </w:r>
      <w:r>
        <w:pict>
          <v:group id="_x0000_s1041" o:spid="_x0000_s1041" o:spt="203" style="position:absolute;left:0pt;margin-left:1.25pt;margin-top:821.7pt;height:21.45pt;width:595.25pt;z-index:251662336;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v:rect id="矩形 6" o:spid="_x0000_s1043"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42"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pict>
          <v:group id="_x0000_s1068" o:spid="_x0000_s1068" o:spt="203" style="position:absolute;left:0pt;margin-left:-76.3pt;margin-top:640.2pt;height:21.45pt;width:595.25pt;z-index:251695104;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v:rect id="矩形 6" o:spid="_x0000_s1069"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_x0000_s1070" o:spid="_x0000_s1070"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rect id="矩形 11" o:spid="_x0000_s1037" o:spt="1" style="position:absolute;left:0pt;margin-left:108.2pt;margin-top:152.95pt;height:31.65pt;width:34.25pt;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path/>
            <v:fill on="f" focussize="0,0"/>
            <v:stroke on="f"/>
            <v:imagedata o:title=""/>
            <o:lock v:ext="edit"/>
            <v:textbox>
              <w:txbxContent>
                <w:p/>
              </w:txbxContent>
            </v:textbox>
          </v:rect>
        </w:pict>
      </w: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sz w:val="44"/>
          <w:szCs w:val="44"/>
        </w:rPr>
      </w:pPr>
      <w:r>
        <w:rPr>
          <w:rFonts w:hint="eastAsia" w:ascii="楷体_GB2312" w:hAnsi="楷体_GB2312" w:eastAsia="楷体_GB2312" w:cs="楷体_GB2312"/>
          <w:sz w:val="44"/>
          <w:szCs w:val="44"/>
        </w:rPr>
        <w:t xml:space="preserve"> 石家庄市藁城区工商业联合会</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二〇二〇年十月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36" o:spid="_x0000_s1036" o:spt="202" type="#_x0000_t202" style="position:absolute;left:0pt;margin-left:-85.7pt;margin-top:80.7pt;height:263.1pt;width:613.65pt;z-index:25166745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path/>
            <v:fill type="pattern" on="t" color2="#FFFFFF" o:title="5%" focussize="0,0" r:id="rId31"/>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autoSpaceDE w:val="0"/>
        <w:autoSpaceDN w:val="0"/>
        <w:adjustRightInd w:val="0"/>
        <w:spacing w:line="560" w:lineRule="exact"/>
        <w:ind w:firstLine="640" w:firstLineChars="200"/>
        <w:jc w:val="left"/>
        <w:rPr>
          <w:rFonts w:ascii="仿宋" w:hAnsi="仿宋" w:eastAsia="仿宋" w:cs="仿宋"/>
          <w:color w:val="000000"/>
          <w:sz w:val="32"/>
          <w:szCs w:val="32"/>
        </w:rPr>
      </w:pPr>
      <w:bookmarkStart w:id="0" w:name="_Toc441517131"/>
      <w:bookmarkStart w:id="1" w:name="_Toc441517130"/>
      <w:r>
        <w:rPr>
          <w:rFonts w:hint="eastAsia" w:ascii="仿宋" w:hAnsi="仿宋" w:eastAsia="仿宋" w:cs="仿宋"/>
          <w:sz w:val="32"/>
          <w:szCs w:val="32"/>
        </w:rPr>
        <w:t>1、对会员进行团结、帮助、教育、引导，提高会员素质。</w:t>
      </w:r>
    </w:p>
    <w:p>
      <w:pPr>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t>2、</w:t>
      </w:r>
      <w:r>
        <w:rPr>
          <w:rFonts w:hint="eastAsia" w:ascii="仿宋" w:hAnsi="仿宋" w:eastAsia="仿宋" w:cs="仿宋"/>
          <w:sz w:val="32"/>
          <w:szCs w:val="32"/>
        </w:rPr>
        <w:t>维护会员的合法权益，反映会员的意见、要求和建议，在会员政府之间发挥桥梁作用，当好政府管理非公有制经济的 助手。</w:t>
      </w:r>
    </w:p>
    <w:p>
      <w:pPr>
        <w:ind w:firstLine="640"/>
        <w:rPr>
          <w:rFonts w:ascii="仿宋" w:hAnsi="仿宋" w:eastAsia="仿宋" w:cs="仿宋"/>
          <w:sz w:val="32"/>
          <w:szCs w:val="32"/>
        </w:rPr>
      </w:pPr>
      <w:r>
        <w:rPr>
          <w:rFonts w:hint="eastAsia" w:ascii="仿宋" w:hAnsi="仿宋" w:eastAsia="仿宋" w:cs="仿宋"/>
          <w:sz w:val="32"/>
          <w:szCs w:val="32"/>
        </w:rPr>
        <w:t>3、开展工商专业培训，提供信息、科技法律咨询等服务；</w:t>
      </w:r>
    </w:p>
    <w:p>
      <w:pPr>
        <w:ind w:firstLine="627" w:firstLineChars="196"/>
        <w:rPr>
          <w:rFonts w:ascii="仿宋" w:hAnsi="仿宋" w:eastAsia="仿宋" w:cs="仿宋"/>
          <w:color w:val="000000"/>
          <w:sz w:val="32"/>
          <w:szCs w:val="32"/>
        </w:rPr>
      </w:pPr>
      <w:r>
        <w:rPr>
          <w:rFonts w:hint="eastAsia" w:ascii="仿宋" w:hAnsi="仿宋" w:eastAsia="仿宋" w:cs="仿宋"/>
          <w:sz w:val="32"/>
          <w:szCs w:val="32"/>
        </w:rPr>
        <w:t>4、组织会员举办和参加各种展销会、交易会，开拓国内、国际市场，加强与国外工商社团的联系，引进人才、资金技术。</w:t>
      </w:r>
    </w:p>
    <w:p>
      <w:pPr>
        <w:pStyle w:val="15"/>
        <w:spacing w:line="360" w:lineRule="auto"/>
        <w:ind w:firstLine="640"/>
        <w:rPr>
          <w:rFonts w:ascii="仿宋" w:hAnsi="仿宋" w:eastAsia="仿宋" w:cs="仿宋"/>
          <w:sz w:val="32"/>
          <w:szCs w:val="32"/>
        </w:rPr>
      </w:pPr>
      <w:r>
        <w:rPr>
          <w:rFonts w:hint="eastAsia" w:ascii="仿宋" w:hAnsi="仿宋" w:eastAsia="仿宋" w:cs="仿宋"/>
          <w:sz w:val="32"/>
          <w:szCs w:val="32"/>
        </w:rPr>
        <w:t>5、做好工商界代表人士政治安排的推荐工作。</w:t>
      </w:r>
    </w:p>
    <w:p>
      <w:pPr>
        <w:pStyle w:val="15"/>
        <w:spacing w:line="360" w:lineRule="auto"/>
        <w:ind w:firstLine="640"/>
        <w:rPr>
          <w:rFonts w:ascii="仿宋" w:hAnsi="仿宋" w:eastAsia="仿宋" w:cs="仿宋"/>
          <w:sz w:val="32"/>
          <w:szCs w:val="32"/>
        </w:rPr>
      </w:pPr>
      <w:r>
        <w:rPr>
          <w:rFonts w:hint="eastAsia" w:ascii="仿宋" w:hAnsi="仿宋" w:eastAsia="仿宋" w:cs="仿宋"/>
          <w:sz w:val="32"/>
          <w:szCs w:val="32"/>
        </w:rPr>
        <w:t>6、为会员提供有关证明，协调关系，调解纠纷。</w:t>
      </w:r>
    </w:p>
    <w:p>
      <w:pPr>
        <w:pStyle w:val="15"/>
        <w:spacing w:line="360" w:lineRule="auto"/>
        <w:ind w:firstLine="640"/>
        <w:rPr>
          <w:rFonts w:ascii="仿宋" w:hAnsi="仿宋" w:eastAsia="仿宋" w:cs="仿宋"/>
          <w:sz w:val="32"/>
          <w:szCs w:val="32"/>
        </w:rPr>
      </w:pPr>
      <w:r>
        <w:rPr>
          <w:rFonts w:hint="eastAsia" w:ascii="仿宋" w:hAnsi="仿宋" w:eastAsia="仿宋" w:cs="仿宋"/>
          <w:sz w:val="32"/>
          <w:szCs w:val="32"/>
        </w:rPr>
        <w:t>7、承办政府和有关部门委托的事项。</w:t>
      </w:r>
    </w:p>
    <w:bookmarkEnd w:id="0"/>
    <w:bookmarkEnd w:id="1"/>
    <w:p>
      <w:pPr>
        <w:autoSpaceDE w:val="0"/>
        <w:autoSpaceDN w:val="0"/>
        <w:adjustRightInd w:val="0"/>
        <w:spacing w:line="560" w:lineRule="exact"/>
        <w:ind w:firstLine="640" w:firstLineChars="200"/>
        <w:jc w:val="left"/>
        <w:rPr>
          <w:rFonts w:ascii="仿宋" w:hAnsi="仿宋" w:eastAsia="仿宋" w:cs="仿宋"/>
          <w:color w:val="000000"/>
          <w:sz w:val="32"/>
          <w:szCs w:val="32"/>
        </w:rPr>
      </w:pPr>
      <w:r>
        <w:rPr>
          <w:rFonts w:hint="eastAsia" w:ascii="仿宋" w:hAnsi="仿宋" w:eastAsia="仿宋" w:cs="仿宋"/>
          <w:sz w:val="32"/>
          <w:szCs w:val="32"/>
        </w:rPr>
        <w:t>1、对会员进行团结、帮助、教育、引导，提高会员素质。</w:t>
      </w:r>
    </w:p>
    <w:p>
      <w:pPr>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t>2、</w:t>
      </w:r>
      <w:r>
        <w:rPr>
          <w:rFonts w:hint="eastAsia" w:ascii="仿宋" w:hAnsi="仿宋" w:eastAsia="仿宋" w:cs="仿宋"/>
          <w:sz w:val="32"/>
          <w:szCs w:val="32"/>
        </w:rPr>
        <w:t>维护会员的合法权益，反映会员的意见、要求和建议，在会员政府之间发挥桥梁作用，当好政府管理非公有制经济的 助手。</w:t>
      </w:r>
    </w:p>
    <w:p>
      <w:pPr>
        <w:ind w:firstLine="640"/>
        <w:rPr>
          <w:rFonts w:ascii="仿宋" w:hAnsi="仿宋" w:eastAsia="仿宋" w:cs="仿宋"/>
          <w:sz w:val="32"/>
          <w:szCs w:val="32"/>
        </w:rPr>
      </w:pPr>
      <w:r>
        <w:rPr>
          <w:rFonts w:hint="eastAsia" w:ascii="仿宋" w:hAnsi="仿宋" w:eastAsia="仿宋" w:cs="仿宋"/>
          <w:sz w:val="32"/>
          <w:szCs w:val="32"/>
        </w:rPr>
        <w:t>3、开展工商专业培训，提供信息、科技法律咨询等服务；</w:t>
      </w:r>
    </w:p>
    <w:p>
      <w:pPr>
        <w:ind w:firstLine="627" w:firstLineChars="196"/>
        <w:rPr>
          <w:rFonts w:ascii="仿宋" w:hAnsi="仿宋" w:eastAsia="仿宋" w:cs="仿宋"/>
          <w:color w:val="000000"/>
          <w:sz w:val="32"/>
          <w:szCs w:val="32"/>
        </w:rPr>
      </w:pPr>
      <w:r>
        <w:rPr>
          <w:rFonts w:hint="eastAsia" w:ascii="仿宋" w:hAnsi="仿宋" w:eastAsia="仿宋" w:cs="仿宋"/>
          <w:sz w:val="32"/>
          <w:szCs w:val="32"/>
        </w:rPr>
        <w:t>4、组织会员举办和参加各种展销会、交易会，开拓国内、国际市场，加强与国外工商社团的联系，引进人才、资金技术。</w:t>
      </w:r>
    </w:p>
    <w:p>
      <w:pPr>
        <w:pStyle w:val="15"/>
        <w:spacing w:line="360" w:lineRule="auto"/>
        <w:ind w:firstLine="640"/>
        <w:rPr>
          <w:rFonts w:ascii="仿宋" w:hAnsi="仿宋" w:eastAsia="仿宋" w:cs="仿宋"/>
          <w:sz w:val="32"/>
          <w:szCs w:val="32"/>
        </w:rPr>
      </w:pPr>
      <w:r>
        <w:rPr>
          <w:rFonts w:hint="eastAsia" w:ascii="仿宋" w:hAnsi="仿宋" w:eastAsia="仿宋" w:cs="仿宋"/>
          <w:sz w:val="32"/>
          <w:szCs w:val="32"/>
        </w:rPr>
        <w:t>5、做好工商界代表人士政治安排的推荐工作。</w:t>
      </w:r>
    </w:p>
    <w:p>
      <w:pPr>
        <w:pStyle w:val="15"/>
        <w:spacing w:line="360" w:lineRule="auto"/>
        <w:ind w:firstLine="640"/>
        <w:rPr>
          <w:rFonts w:ascii="仿宋" w:hAnsi="仿宋" w:eastAsia="仿宋" w:cs="仿宋"/>
          <w:sz w:val="32"/>
          <w:szCs w:val="32"/>
        </w:rPr>
      </w:pPr>
      <w:r>
        <w:rPr>
          <w:rFonts w:hint="eastAsia" w:ascii="仿宋" w:hAnsi="仿宋" w:eastAsia="仿宋" w:cs="仿宋"/>
          <w:sz w:val="32"/>
          <w:szCs w:val="32"/>
        </w:rPr>
        <w:t>6、为会员提供有关证明，协调关系，调解纠纷。</w:t>
      </w:r>
    </w:p>
    <w:p>
      <w:pPr>
        <w:pStyle w:val="15"/>
        <w:spacing w:line="360" w:lineRule="auto"/>
        <w:ind w:firstLine="640"/>
        <w:rPr>
          <w:rFonts w:ascii="仿宋_GB2312" w:hAnsi="仿宋_GB2312" w:eastAsia="仿宋_GB2312" w:cs="仿宋_GB2312"/>
          <w:sz w:val="32"/>
          <w:szCs w:val="32"/>
        </w:rPr>
      </w:pPr>
      <w:r>
        <w:rPr>
          <w:rFonts w:hint="eastAsia" w:ascii="仿宋" w:hAnsi="仿宋" w:eastAsia="仿宋" w:cs="仿宋"/>
          <w:sz w:val="32"/>
          <w:szCs w:val="32"/>
        </w:rPr>
        <w:t>7、承办政府和有关部门委托的事项。</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藁城区工商业联合会</w:t>
            </w:r>
          </w:p>
        </w:tc>
        <w:tc>
          <w:tcPr>
            <w:tcW w:w="2445" w:type="dxa"/>
          </w:tcPr>
          <w:p>
            <w:pPr>
              <w:spacing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pPr>
              <w:spacing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35" o:spid="_x0000_s1035" o:spt="202" type="#_x0000_t202" style="position:absolute;left:0pt;margin-left:-85.7pt;margin-top:238.15pt;height:173.25pt;width:613.65pt;z-index:25167155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4" o:spid="_x0000_s1034" o:spt="202" type="#_x0000_t202" style="position:absolute;left:0pt;margin-left:-90.8pt;margin-top:4.35pt;height:263.1pt;width:613.65pt;z-index:25168486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path/>
            <v:fill type="pattern" on="t" color2="#FFFFFF" o:title="5%"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本部门2019年度收支总计（含结转和结余）63.29万元。与2018年度决算相比，收支各减少2.53万元，下降1.8%，主要原因是</w:t>
      </w:r>
      <w:r>
        <w:rPr>
          <w:rFonts w:hint="eastAsia" w:ascii="仿宋_GB2312" w:eastAsia="仿宋_GB2312" w:cs="DengXian-Regular"/>
          <w:sz w:val="32"/>
          <w:szCs w:val="32"/>
        </w:rPr>
        <w:t>压减支出，厉行节约。</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本部门2019年度本年收入合计63.29万元，其中：财政拨款收入63.29万元，占100%。</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eastAsia="仿宋_GB2312" w:cs="DengXian-Regular"/>
          <w:sz w:val="32"/>
          <w:szCs w:val="32"/>
        </w:rPr>
        <w:pict>
          <v:shape id="_x0000_s1030" o:spid="_x0000_s1030" o:spt="75" type="#_x0000_t75" style="position:absolute;left:0pt;margin-left:126.7pt;margin-top:34.25pt;height:150.7pt;width:180pt;mso-wrap-distance-bottom:0pt;mso-wrap-distance-top:0pt;z-index:251692032;mso-width-relative:page;mso-height-relative:page;" o:ole="t" filled="f" o:preferrelative="t" stroked="f" coordsize="21600,21600">
            <v:path/>
            <v:fill on="f" focussize="0,0"/>
            <v:stroke on="f" joinstyle="miter"/>
            <v:imagedata r:id="rId33" o:title=""/>
            <o:lock v:ext="edit" aspectratio="t"/>
            <w10:wrap type="topAndBottom"/>
          </v:shape>
          <o:OLEObject Type="Embed" ProgID="Excel.Chart.8" ShapeID="_x0000_s1030" DrawAspect="Content" ObjectID="_1468075725" r:id="rId32">
            <o:LockedField>false</o:LockedField>
          </o:OLEObject>
        </w:pict>
      </w: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本部门2019年度本年支出合计63.29万元，其中：基本支出58.29万元，占92.1%；项目支出5万元，占7.9%；经营支出0万元，占0%。如图所示：</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ascii="仿宋_GB2312" w:eastAsia="仿宋_GB2312" w:cs="DengXian-Regular"/>
          <w:sz w:val="32"/>
          <w:szCs w:val="32"/>
        </w:rPr>
        <w:pict>
          <v:shape id="_x0000_s1029" o:spid="_x0000_s1029" o:spt="75" type="#_x0000_t75" style="position:absolute;left:0pt;margin-left:127.5pt;margin-top:10.95pt;height:161.95pt;width:204.85pt;mso-wrap-distance-bottom:0pt;mso-wrap-distance-top:0pt;z-index:251691008;mso-width-relative:page;mso-height-relative:page;" o:ole="t" filled="f" o:preferrelative="t" stroked="f" coordsize="21600,21600">
            <v:path/>
            <v:fill on="f" focussize="0,0"/>
            <v:stroke on="f" joinstyle="miter"/>
            <v:imagedata r:id="rId35" o:title=""/>
            <o:lock v:ext="edit" aspectratio="t"/>
            <w10:wrap type="topAndBottom"/>
          </v:shape>
          <o:OLEObject Type="Embed" ProgID="Excel.Chart.8" ShapeID="_x0000_s1029" DrawAspect="Content" ObjectID="_1468075726" r:id="rId34">
            <o:LockedField>false</o:LockedField>
          </o:OLEObject>
        </w:pict>
      </w:r>
    </w:p>
    <w:p>
      <w:pPr>
        <w:adjustRightInd w:val="0"/>
        <w:snapToGrid w:val="0"/>
        <w:spacing w:line="580" w:lineRule="exact"/>
        <w:rPr>
          <w:rFonts w:ascii="仿宋_GB2312" w:hAnsi="Times New Roman" w:eastAsia="仿宋_GB2312" w:cs="DengXian-Regular"/>
          <w:sz w:val="32"/>
          <w:szCs w:val="32"/>
          <w:highlight w:val="yellow"/>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本部门2019年度形成的财政拨款收支均为一般公共预算财政拨款，其中本年收入63.29万元,比2018年度减少2.53万元，减少1.8%，主要是</w:t>
      </w:r>
      <w:r>
        <w:rPr>
          <w:rFonts w:hint="eastAsia" w:ascii="仿宋_GB2312" w:eastAsia="仿宋_GB2312" w:cs="DengXian-Regular"/>
          <w:sz w:val="32"/>
          <w:szCs w:val="32"/>
        </w:rPr>
        <w:t>压减支出；本年支出63.29万元，减少2.53万元，降低1.8%，主要是厉行节约，压减支出。</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drawing>
          <wp:anchor distT="0" distB="0" distL="114935" distR="114935" simplePos="0" relativeHeight="251688960" behindDoc="0" locked="0" layoutInCell="1" allowOverlap="1">
            <wp:simplePos x="0" y="0"/>
            <wp:positionH relativeFrom="column">
              <wp:posOffset>281940</wp:posOffset>
            </wp:positionH>
            <wp:positionV relativeFrom="paragraph">
              <wp:posOffset>183515</wp:posOffset>
            </wp:positionV>
            <wp:extent cx="5080000" cy="3810000"/>
            <wp:effectExtent l="19050" t="0" r="25400" b="0"/>
            <wp:wrapNone/>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本部门2019年度一般公共预算财政拨款收入63.29万元，完成年初预算的79.64%（如图三）,比年初预算减少16.18万元，决算数小于预算数主要原因是</w:t>
      </w:r>
      <w:r>
        <w:rPr>
          <w:rFonts w:hint="eastAsia" w:ascii="仿宋_GB2312" w:eastAsia="仿宋_GB2312" w:cs="DengXian-Regular"/>
          <w:sz w:val="32"/>
          <w:szCs w:val="32"/>
        </w:rPr>
        <w:t>压减支出；本年支出63.29万元，完成年初预算的79.64%,比年初预算减少16.18万元，决算数小于预算数主要原因是厉行节约，压减支出。</w:t>
      </w:r>
    </w:p>
    <w:p>
      <w:pPr>
        <w:adjustRightInd w:val="0"/>
        <w:snapToGrid w:val="0"/>
        <w:spacing w:line="580" w:lineRule="exact"/>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highlight w:val="yellow"/>
        </w:rPr>
        <w:drawing>
          <wp:anchor distT="0" distB="0" distL="114935" distR="114935" simplePos="0" relativeHeight="251689984" behindDoc="0" locked="0" layoutInCell="1" allowOverlap="1">
            <wp:simplePos x="0" y="0"/>
            <wp:positionH relativeFrom="column">
              <wp:posOffset>280670</wp:posOffset>
            </wp:positionH>
            <wp:positionV relativeFrom="paragraph">
              <wp:posOffset>153035</wp:posOffset>
            </wp:positionV>
            <wp:extent cx="5080000" cy="3810000"/>
            <wp:effectExtent l="4445" t="4445" r="20955" b="14605"/>
            <wp:wrapNone/>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年度财政拨款支出63.29万元，</w:t>
      </w:r>
      <w:r>
        <w:rPr>
          <w:rFonts w:hint="eastAsia" w:ascii="仿宋_GB2312" w:eastAsia="仿宋_GB2312" w:cs="DengXian-Regular"/>
          <w:sz w:val="32"/>
          <w:szCs w:val="32"/>
        </w:rPr>
        <w:t>主要用于一般公共服务（类）支出63.29万元，占100%。</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eastAsia="仿宋_GB2312" w:cs="DengXian-Regular"/>
          <w:sz w:val="32"/>
          <w:szCs w:val="32"/>
        </w:rPr>
        <w:t>2019 年度一般公共预算财政拨款基本支出63.29万元，其中：人员经费 52.33万元，主要包括基本工资、津贴补贴、奖金、机关事业单位基本养老保险缴费、职业年金缴费、职工基本医疗保险缴费、住房公积金、其他社会保障缴费、其他工资福利支出、奖励金、；公用经费 5.96万元，主要包括办公费、邮电费、取暖费、物业管理费、差旅费、工会经费、福利费、其他交通费用。</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本部门2019年度 “三公”经费支出共计0万元，</w:t>
      </w:r>
      <w:r>
        <w:rPr>
          <w:rFonts w:hint="eastAsia" w:ascii="仿宋_GB2312" w:eastAsia="仿宋_GB2312" w:cs="DengXian-Regular"/>
          <w:b/>
          <w:bCs/>
          <w:sz w:val="32"/>
          <w:szCs w:val="32"/>
        </w:rPr>
        <w:t>较年初预算持平，</w:t>
      </w:r>
      <w:r>
        <w:rPr>
          <w:rFonts w:hint="eastAsia" w:ascii="仿宋_GB2312" w:hAnsi="Times New Roman" w:eastAsia="仿宋_GB2312" w:cs="DengXian-Regular"/>
          <w:color w:val="000000"/>
          <w:sz w:val="32"/>
          <w:szCs w:val="32"/>
        </w:rPr>
        <w:t>与2018年度决算支出持平。</w:t>
      </w:r>
      <w:r>
        <w:rPr>
          <w:rFonts w:hint="eastAsia" w:ascii="仿宋_GB2312" w:eastAsia="仿宋_GB2312" w:cs="DengXian-Regular"/>
          <w:sz w:val="32"/>
          <w:szCs w:val="32"/>
        </w:rPr>
        <w:t>主要是认真贯彻落实中央</w:t>
      </w:r>
      <w:bookmarkStart w:id="2" w:name="_GoBack"/>
      <w:bookmarkEnd w:id="2"/>
      <w:r>
        <w:rPr>
          <w:rFonts w:hint="eastAsia" w:ascii="仿宋_GB2312" w:eastAsia="仿宋_GB2312" w:cs="DengXian-Regular"/>
          <w:sz w:val="32"/>
          <w:szCs w:val="32"/>
        </w:rPr>
        <w:t>八项规定精神和厉行节约要求，从严控制“三公”经费开支，全年实际支出比预算有所节约）。具体情况如下：</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本部门2019年度因公出国（境）团组0个、共0人/参加其他单位组织的因公出国（境）团组0个、共0人/无本单位组织的出国（境）团组。因公出国（境）费支出较年初预算持平，</w:t>
      </w:r>
      <w:r>
        <w:rPr>
          <w:rFonts w:hint="eastAsia" w:ascii="仿宋_GB2312" w:hAnsi="Times New Roman" w:eastAsia="仿宋_GB2312" w:cs="DengXian-Regular"/>
          <w:color w:val="000000"/>
          <w:sz w:val="32"/>
          <w:szCs w:val="32"/>
        </w:rPr>
        <w:t>与2018年度决算支出持平</w:t>
      </w:r>
      <w:r>
        <w:rPr>
          <w:rFonts w:hint="eastAsia" w:ascii="仿宋_GB2312" w:eastAsia="仿宋_GB2312" w:cs="DengXian-Regular"/>
          <w:sz w:val="32"/>
          <w:szCs w:val="32"/>
        </w:rPr>
        <w:t>。</w:t>
      </w:r>
    </w:p>
    <w:p>
      <w:pPr>
        <w:adjustRightInd w:val="0"/>
        <w:snapToGrid w:val="0"/>
        <w:spacing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本部门2019年度公务用车购置及运行维护费与年初预算无增减变化，</w:t>
      </w:r>
      <w:r>
        <w:rPr>
          <w:rFonts w:hint="eastAsia" w:ascii="仿宋_GB2312" w:hAnsi="Times New Roman" w:eastAsia="仿宋_GB2312" w:cs="DengXian-Regular"/>
          <w:color w:val="000000"/>
          <w:sz w:val="32"/>
          <w:szCs w:val="32"/>
        </w:rPr>
        <w:t>与2018年度决算</w:t>
      </w:r>
      <w:r>
        <w:rPr>
          <w:rFonts w:hint="eastAsia" w:ascii="仿宋_GB2312" w:eastAsia="仿宋_GB2312" w:cs="DengXian-Regular"/>
          <w:sz w:val="32"/>
          <w:szCs w:val="32"/>
        </w:rPr>
        <w:t>无增减变化。</w:t>
      </w:r>
      <w:r>
        <w:rPr>
          <w:rFonts w:hint="eastAsia" w:ascii="仿宋_GB2312" w:eastAsia="仿宋_GB2312" w:cs="DengXian-Bold"/>
          <w:b/>
          <w:bCs/>
          <w:sz w:val="32"/>
          <w:szCs w:val="32"/>
        </w:rPr>
        <w:t>其中：</w:t>
      </w:r>
    </w:p>
    <w:p>
      <w:pPr>
        <w:adjustRightInd w:val="0"/>
        <w:snapToGrid w:val="0"/>
        <w:spacing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本部门2019年度公务用车购置量0辆，未发生“公务用车购置”经费支出。公务用车购置费支出与年初预算持平，</w:t>
      </w:r>
      <w:r>
        <w:rPr>
          <w:rFonts w:hint="eastAsia" w:ascii="仿宋_GB2312" w:hAnsi="Times New Roman" w:eastAsia="仿宋_GB2312" w:cs="DengXian-Regular"/>
          <w:color w:val="000000"/>
          <w:sz w:val="32"/>
          <w:szCs w:val="32"/>
        </w:rPr>
        <w:t>与2018年度决算支出持平</w:t>
      </w:r>
      <w:r>
        <w:rPr>
          <w:rFonts w:hint="eastAsia" w:ascii="仿宋_GB2312" w:eastAsia="仿宋_GB2312" w:cs="DengXian-Regular"/>
          <w:sz w:val="32"/>
          <w:szCs w:val="32"/>
        </w:rPr>
        <w:t>。</w:t>
      </w:r>
    </w:p>
    <w:p>
      <w:pPr>
        <w:adjustRightInd w:val="0"/>
        <w:snapToGrid w:val="0"/>
        <w:spacing w:line="580" w:lineRule="exact"/>
        <w:ind w:firstLine="643" w:firstLineChars="200"/>
        <w:rPr>
          <w:rFonts w:ascii="仿宋_GB2312" w:hAnsi="Times New Roman" w:cs="DengXian-Bold"/>
          <w:b/>
          <w:bCs/>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本部门2019年度单位公务用车保有量0辆。公车运行维护费支出与年初预算持平，</w:t>
      </w:r>
      <w:r>
        <w:rPr>
          <w:rFonts w:hint="eastAsia" w:ascii="仿宋_GB2312" w:hAnsi="Times New Roman" w:eastAsia="仿宋_GB2312" w:cs="DengXian-Regular"/>
          <w:color w:val="000000"/>
          <w:sz w:val="32"/>
          <w:szCs w:val="32"/>
        </w:rPr>
        <w:t>与2018年度决算支出持平。</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本部门2019年度公务接待共0批次、0人次。公务接待费支出与年初预算持平，</w:t>
      </w:r>
      <w:r>
        <w:rPr>
          <w:rFonts w:hint="eastAsia" w:ascii="仿宋_GB2312" w:hAnsi="Times New Roman" w:eastAsia="仿宋_GB2312" w:cs="DengXian-Regular"/>
          <w:color w:val="000000"/>
          <w:sz w:val="32"/>
          <w:szCs w:val="32"/>
        </w:rPr>
        <w:t>与2018年度决算支出持平</w:t>
      </w:r>
      <w:r>
        <w:rPr>
          <w:rFonts w:hint="eastAsia" w:ascii="仿宋_GB2312" w:eastAsia="仿宋_GB2312" w:cs="DengXian-Regular"/>
          <w:sz w:val="32"/>
          <w:szCs w:val="32"/>
        </w:rPr>
        <w:t>。</w:t>
      </w:r>
    </w:p>
    <w:p>
      <w:pPr>
        <w:adjustRightInd w:val="0"/>
        <w:snapToGrid w:val="0"/>
        <w:spacing w:line="580" w:lineRule="exact"/>
        <w:rPr>
          <w:rFonts w:ascii="仿宋_GB2312" w:hAnsi="Times New Roman" w:eastAsia="仿宋_GB2312" w:cs="DengXian-Regular"/>
          <w:sz w:val="32"/>
          <w:szCs w:val="32"/>
        </w:rPr>
      </w:pP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 w:hAnsi="仿宋" w:eastAsia="仿宋"/>
          <w:sz w:val="32"/>
          <w:szCs w:val="32"/>
        </w:rPr>
        <w:t>根据《藁城区区级部门预算项目绩效自评管理办法》（藁财字[2020]23号），</w:t>
      </w:r>
      <w:r>
        <w:rPr>
          <w:rFonts w:hint="eastAsia" w:ascii="仿宋_GB2312" w:eastAsia="仿宋_GB2312" w:cs="DengXian-Regular"/>
          <w:sz w:val="32"/>
          <w:szCs w:val="32"/>
        </w:rPr>
        <w:t>本单位认真开展了预算绩效管理工作情况自查，对部门全面规范绩效预算编制、严格预算执行管理、推进绩效评价工作、推进预决算信息公开等方面进行了自评，考核结果为良好。</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00" w:lineRule="exact"/>
        <w:ind w:firstLine="640" w:firstLineChars="200"/>
        <w:rPr>
          <w:rFonts w:ascii="仿宋_GB2312" w:hAnsi="仿宋_GB2312" w:eastAsia="仿宋_GB2312" w:cs="仿宋_GB2312"/>
          <w:sz w:val="32"/>
          <w:szCs w:val="32"/>
        </w:rPr>
      </w:pPr>
      <w:r>
        <w:rPr>
          <w:rFonts w:hint="eastAsia" w:ascii="仿宋_GB2312" w:eastAsia="仿宋_GB2312" w:cs="DengXian-Regular"/>
          <w:sz w:val="32"/>
          <w:szCs w:val="32"/>
        </w:rPr>
        <w:t>根据预算绩效管理要求，本单位组织对2019年度一般公共预算项目支出全面开展绩效自评，涉及工商联执委活动1个项目，涉及资金5万元。从评价情况看，评价结果为优秀。</w:t>
      </w:r>
    </w:p>
    <w:p>
      <w:pPr>
        <w:adjustRightInd w:val="0"/>
        <w:snapToGrid w:val="0"/>
        <w:spacing w:line="560" w:lineRule="exact"/>
        <w:rPr>
          <w:rFonts w:ascii="仿宋_GB2312" w:hAnsi="仿宋_GB2312" w:eastAsia="仿宋_GB2312" w:cs="仿宋_GB2312"/>
          <w:sz w:val="32"/>
          <w:szCs w:val="32"/>
          <w:highlight w:val="yellow"/>
        </w:rPr>
      </w:pPr>
    </w:p>
    <w:p>
      <w:pPr>
        <w:adjustRightInd w:val="0"/>
        <w:snapToGrid w:val="0"/>
        <w:spacing w:line="560" w:lineRule="exact"/>
        <w:rPr>
          <w:rFonts w:ascii="仿宋_GB2312" w:hAnsi="仿宋_GB2312" w:eastAsia="仿宋_GB2312" w:cs="仿宋_GB2312"/>
          <w:sz w:val="32"/>
          <w:szCs w:val="32"/>
          <w:highlight w:val="yellow"/>
        </w:rPr>
      </w:pPr>
    </w:p>
    <w:p>
      <w:pPr>
        <w:rPr>
          <w:rFonts w:ascii="仿宋_GB2312" w:hAnsi="仿宋_GB2312" w:eastAsia="仿宋_GB2312" w:cs="仿宋_GB2312"/>
          <w:sz w:val="32"/>
          <w:szCs w:val="32"/>
          <w:highlight w:val="yellow"/>
        </w:rPr>
      </w:pPr>
    </w:p>
    <w:p>
      <w:pPr>
        <w:rPr>
          <w:rFonts w:ascii="仿宋_GB2312" w:hAnsi="仿宋_GB2312" w:eastAsia="仿宋_GB2312" w:cs="仿宋_GB2312"/>
          <w:sz w:val="32"/>
          <w:szCs w:val="32"/>
          <w:highlight w:val="yellow"/>
        </w:rPr>
        <w:sectPr>
          <w:type w:val="continuous"/>
          <w:pgSz w:w="11906" w:h="16838"/>
          <w:pgMar w:top="2098" w:right="1474" w:bottom="1984" w:left="1588" w:header="851" w:footer="992" w:gutter="0"/>
          <w:pgNumType w:fmt="numberInDash"/>
          <w:cols w:space="0" w:num="1"/>
          <w:docGrid w:type="lines" w:linePitch="312" w:charSpace="0"/>
        </w:sectPr>
      </w:pPr>
    </w:p>
    <w:tbl>
      <w:tblPr>
        <w:tblStyle w:val="7"/>
        <w:tblW w:w="10725" w:type="dxa"/>
        <w:tblInd w:w="0" w:type="dxa"/>
        <w:tblLayout w:type="autofit"/>
        <w:tblCellMar>
          <w:top w:w="0" w:type="dxa"/>
          <w:left w:w="0" w:type="dxa"/>
          <w:bottom w:w="0" w:type="dxa"/>
          <w:right w:w="0" w:type="dxa"/>
        </w:tblCellMar>
      </w:tblPr>
      <w:tblGrid>
        <w:gridCol w:w="2450"/>
        <w:gridCol w:w="1500"/>
        <w:gridCol w:w="990"/>
        <w:gridCol w:w="1410"/>
        <w:gridCol w:w="1080"/>
        <w:gridCol w:w="1320"/>
        <w:gridCol w:w="1275"/>
        <w:gridCol w:w="1545"/>
      </w:tblGrid>
      <w:tr>
        <w:trPr>
          <w:trHeight w:val="270" w:hRule="atLeast"/>
        </w:trPr>
        <w:tc>
          <w:tcPr>
            <w:tcW w:w="1605"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附件1</w:t>
            </w:r>
          </w:p>
        </w:tc>
        <w:tc>
          <w:tcPr>
            <w:tcW w:w="1500"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410"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080"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320"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275"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545"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r>
      <w:tr>
        <w:tblPrEx>
          <w:tblCellMar>
            <w:top w:w="0" w:type="dxa"/>
            <w:left w:w="0" w:type="dxa"/>
            <w:bottom w:w="0" w:type="dxa"/>
            <w:right w:w="0" w:type="dxa"/>
          </w:tblCellMar>
        </w:tblPrEx>
        <w:trPr>
          <w:trHeight w:val="624" w:hRule="atLeast"/>
        </w:trPr>
        <w:tc>
          <w:tcPr>
            <w:tcW w:w="0" w:type="auto"/>
            <w:gridSpan w:val="8"/>
            <w:vMerge w:val="restart"/>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36"/>
                <w:szCs w:val="36"/>
              </w:rPr>
            </w:pPr>
            <w:r>
              <w:rPr>
                <w:rFonts w:hint="eastAsia" w:ascii="宋体" w:hAnsi="宋体" w:eastAsia="宋体" w:cs="宋体"/>
                <w:b/>
                <w:color w:val="000000"/>
                <w:kern w:val="0"/>
                <w:sz w:val="36"/>
                <w:szCs w:val="36"/>
              </w:rPr>
              <w:t>石家庄市藁城区级部门预算项目绩效自评表</w:t>
            </w:r>
          </w:p>
        </w:tc>
      </w:tr>
      <w:tr>
        <w:tblPrEx>
          <w:tblCellMar>
            <w:top w:w="0" w:type="dxa"/>
            <w:left w:w="0" w:type="dxa"/>
            <w:bottom w:w="0" w:type="dxa"/>
            <w:right w:w="0" w:type="dxa"/>
          </w:tblCellMar>
        </w:tblPrEx>
        <w:trPr>
          <w:trHeight w:val="624" w:hRule="atLeast"/>
        </w:trPr>
        <w:tc>
          <w:tcPr>
            <w:tcW w:w="0" w:type="auto"/>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b/>
                <w:color w:val="000000"/>
                <w:sz w:val="36"/>
                <w:szCs w:val="36"/>
              </w:rPr>
            </w:pPr>
          </w:p>
        </w:tc>
      </w:tr>
      <w:tr>
        <w:tblPrEx>
          <w:tblCellMar>
            <w:top w:w="0" w:type="dxa"/>
            <w:left w:w="0" w:type="dxa"/>
            <w:bottom w:w="0" w:type="dxa"/>
            <w:right w:w="0" w:type="dxa"/>
          </w:tblCellMar>
        </w:tblPrEx>
        <w:trPr>
          <w:trHeight w:val="300" w:hRule="atLeast"/>
        </w:trPr>
        <w:tc>
          <w:tcPr>
            <w:tcW w:w="0" w:type="auto"/>
            <w:gridSpan w:val="8"/>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2019 年度）</w:t>
            </w:r>
          </w:p>
        </w:tc>
      </w:tr>
      <w:tr>
        <w:tblPrEx>
          <w:tblCellMar>
            <w:top w:w="0" w:type="dxa"/>
            <w:left w:w="0" w:type="dxa"/>
            <w:bottom w:w="0" w:type="dxa"/>
            <w:right w:w="0" w:type="dxa"/>
          </w:tblCellMar>
        </w:tblPrEx>
        <w:trPr>
          <w:trHeight w:val="36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填报单位：藁城区工商联</w:t>
            </w:r>
          </w:p>
        </w:tc>
        <w:tc>
          <w:tcPr>
            <w:tcW w:w="0" w:type="auto"/>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0" w:type="auto"/>
            <w:gridSpan w:val="2"/>
            <w:tcBorders>
              <w:top w:val="nil"/>
              <w:left w:val="nil"/>
              <w:bottom w:val="single" w:color="000000" w:sz="4" w:space="0"/>
              <w:right w:val="nil"/>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单位金额：万元</w:t>
            </w:r>
          </w:p>
        </w:tc>
      </w:tr>
      <w:tr>
        <w:tblPrEx>
          <w:tblCellMar>
            <w:top w:w="0" w:type="dxa"/>
            <w:left w:w="0" w:type="dxa"/>
            <w:bottom w:w="0" w:type="dxa"/>
            <w:right w:w="0"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一、基本情况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项目名称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执委活动经费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实施（主管单位）</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区工商联</w:t>
            </w:r>
          </w:p>
        </w:tc>
      </w:tr>
      <w:tr>
        <w:tblPrEx>
          <w:tblCellMar>
            <w:top w:w="0" w:type="dxa"/>
            <w:left w:w="0" w:type="dxa"/>
            <w:bottom w:w="0" w:type="dxa"/>
            <w:right w:w="0" w:type="dxa"/>
          </w:tblCellMar>
        </w:tblPrEx>
        <w:trPr>
          <w:trHeight w:val="420"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二、预算执行</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预算安排情况（调整后）</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资金到位情况</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资金执行情况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预算执行进度</w:t>
            </w:r>
          </w:p>
        </w:tc>
      </w:tr>
      <w:tr>
        <w:tblPrEx>
          <w:tblCellMar>
            <w:top w:w="0" w:type="dxa"/>
            <w:left w:w="0" w:type="dxa"/>
            <w:bottom w:w="0" w:type="dxa"/>
            <w:right w:w="0" w:type="dxa"/>
          </w:tblCellMar>
        </w:tblPrEx>
        <w:trPr>
          <w:trHeight w:val="60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到位数：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执行数：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r>
      <w:tr>
        <w:tblPrEx>
          <w:tblCellMar>
            <w:top w:w="0" w:type="dxa"/>
            <w:left w:w="0" w:type="dxa"/>
            <w:bottom w:w="0" w:type="dxa"/>
            <w:right w:w="0" w:type="dxa"/>
          </w:tblCellMar>
        </w:tblPrEx>
        <w:trPr>
          <w:trHeight w:val="6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52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5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20"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三、目标完成</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年度预算目标</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具体完成情况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总体完成率</w:t>
            </w:r>
          </w:p>
        </w:tc>
      </w:tr>
      <w:tr>
        <w:tblPrEx>
          <w:tblCellMar>
            <w:top w:w="0" w:type="dxa"/>
            <w:left w:w="0" w:type="dxa"/>
            <w:bottom w:w="0" w:type="dxa"/>
            <w:right w:w="0" w:type="dxa"/>
          </w:tblCellMar>
        </w:tblPrEx>
        <w:trPr>
          <w:trHeight w:val="82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1.召开工商联执常委会议2次，银企对接会2次，培训考察3次。</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全部完成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r>
      <w:tr>
        <w:tblPrEx>
          <w:tblCellMar>
            <w:top w:w="0" w:type="dxa"/>
            <w:left w:w="0" w:type="dxa"/>
            <w:bottom w:w="0" w:type="dxa"/>
            <w:right w:w="0" w:type="dxa"/>
          </w:tblCellMar>
        </w:tblPrEx>
        <w:trPr>
          <w:trHeight w:val="660"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四、年度绩效指标完成情况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二级指标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三级指标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预期指标值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实际完成值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自评得分</w:t>
            </w:r>
          </w:p>
        </w:tc>
      </w:tr>
      <w:tr>
        <w:tblPrEx>
          <w:tblCellMar>
            <w:top w:w="0" w:type="dxa"/>
            <w:left w:w="0" w:type="dxa"/>
            <w:bottom w:w="0" w:type="dxa"/>
            <w:right w:w="0" w:type="dxa"/>
          </w:tblCellMar>
        </w:tblPrEx>
        <w:trPr>
          <w:trHeight w:val="6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产出指标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数量指标</w:t>
            </w:r>
          </w:p>
        </w:tc>
        <w:tc>
          <w:tcPr>
            <w:tcW w:w="249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各类会议召开的次数</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微软雅黑" w:hAnsi="微软雅黑" w:eastAsia="微软雅黑" w:cs="微软雅黑"/>
                <w:color w:val="000000"/>
                <w:sz w:val="22"/>
              </w:rPr>
            </w:pPr>
            <w:r>
              <w:rPr>
                <w:rFonts w:hint="eastAsia" w:ascii="微软雅黑" w:hAnsi="微软雅黑" w:eastAsia="微软雅黑" w:cs="微软雅黑"/>
                <w:color w:val="000000"/>
                <w:kern w:val="0"/>
                <w:sz w:val="22"/>
              </w:rPr>
              <w:t>&gt;</w:t>
            </w:r>
            <w:r>
              <w:rPr>
                <w:rFonts w:hint="eastAsia" w:ascii="宋体" w:hAnsi="宋体" w:eastAsia="宋体" w:cs="宋体"/>
                <w:color w:val="000000"/>
                <w:kern w:val="0"/>
                <w:sz w:val="22"/>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6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49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调研、培训次数</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微软雅黑" w:hAnsi="微软雅黑" w:eastAsia="微软雅黑" w:cs="微软雅黑"/>
                <w:color w:val="000000"/>
                <w:sz w:val="22"/>
              </w:rPr>
            </w:pPr>
            <w:r>
              <w:rPr>
                <w:rFonts w:hint="eastAsia" w:ascii="微软雅黑" w:hAnsi="微软雅黑" w:eastAsia="微软雅黑" w:cs="微软雅黑"/>
                <w:color w:val="000000"/>
                <w:kern w:val="0"/>
                <w:sz w:val="22"/>
              </w:rPr>
              <w:t>&gt;</w:t>
            </w:r>
            <w:r>
              <w:rPr>
                <w:rFonts w:hint="eastAsia" w:ascii="宋体" w:hAnsi="宋体" w:eastAsia="宋体" w:cs="宋体"/>
                <w:color w:val="000000"/>
                <w:kern w:val="0"/>
                <w:sz w:val="22"/>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6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49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培训的出勤率</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62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质量指标</w:t>
            </w:r>
          </w:p>
        </w:tc>
        <w:tc>
          <w:tcPr>
            <w:tcW w:w="249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服务社会活动的覆盖率</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88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预算执行率指标（10分）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执行率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预算执行情况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98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效益指标 （40分）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社会效益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49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执委活动项目产生的社会效益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r>
      <w:tr>
        <w:tblPrEx>
          <w:tblCellMar>
            <w:top w:w="0" w:type="dxa"/>
            <w:left w:w="0" w:type="dxa"/>
            <w:bottom w:w="0" w:type="dxa"/>
            <w:right w:w="0" w:type="dxa"/>
          </w:tblCellMar>
        </w:tblPrEx>
        <w:trPr>
          <w:trHeight w:val="9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满意度指标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（10分）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满意度</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执委会培训会员满意度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Arial" w:hAnsi="Arial" w:eastAsia="宋体" w:cs="Arial"/>
                <w:color w:val="000000"/>
                <w:sz w:val="22"/>
              </w:rPr>
            </w:pPr>
            <w:r>
              <w:rPr>
                <w:rFonts w:ascii="Arial" w:hAnsi="Arial" w:eastAsia="宋体" w:cs="Arial"/>
                <w:color w:val="000000"/>
                <w:kern w:val="0"/>
                <w:sz w:val="22"/>
              </w:rPr>
              <w:t>≥</w:t>
            </w:r>
            <w:r>
              <w:rPr>
                <w:rFonts w:hint="eastAsia" w:ascii="宋体" w:hAnsi="宋体" w:eastAsia="宋体" w:cs="宋体"/>
                <w:color w:val="000000"/>
                <w:kern w:val="0"/>
                <w:sz w:val="22"/>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Arial" w:hAnsi="Arial" w:eastAsia="宋体" w:cs="Arial"/>
                <w:color w:val="000000"/>
                <w:sz w:val="22"/>
              </w:rPr>
            </w:pPr>
            <w:r>
              <w:rPr>
                <w:rFonts w:ascii="Arial" w:hAnsi="Arial" w:eastAsia="宋体" w:cs="Arial"/>
                <w:color w:val="000000"/>
                <w:kern w:val="0"/>
                <w:sz w:val="22"/>
              </w:rPr>
              <w:t>≥</w:t>
            </w:r>
            <w:r>
              <w:rPr>
                <w:rFonts w:hint="eastAsia" w:ascii="宋体" w:hAnsi="宋体" w:eastAsia="宋体" w:cs="宋体"/>
                <w:color w:val="000000"/>
                <w:kern w:val="0"/>
                <w:sz w:val="22"/>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9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总分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96</w:t>
            </w:r>
          </w:p>
        </w:tc>
      </w:tr>
    </w:tbl>
    <w:p>
      <w:pPr>
        <w:rPr>
          <w:rFonts w:ascii="仿宋_GB2312" w:hAnsi="仿宋_GB2312" w:eastAsia="仿宋_GB2312" w:cs="仿宋_GB2312"/>
          <w:sz w:val="32"/>
          <w:szCs w:val="32"/>
          <w:highlight w:val="yellow"/>
        </w:rPr>
        <w:sectPr>
          <w:pgSz w:w="16838" w:h="11906" w:orient="landscape"/>
          <w:pgMar w:top="1588" w:right="2098" w:bottom="1474" w:left="1984" w:header="851" w:footer="992" w:gutter="0"/>
          <w:pgNumType w:fmt="numberInDash"/>
          <w:cols w:space="0" w:num="1"/>
          <w:docGrid w:type="lines" w:linePitch="312" w:charSpace="0"/>
        </w:sectPr>
      </w:pPr>
    </w:p>
    <w:p>
      <w:pPr>
        <w:adjustRightInd w:val="0"/>
        <w:snapToGrid w:val="0"/>
        <w:spacing w:line="620" w:lineRule="exact"/>
        <w:ind w:firstLine="640" w:firstLineChars="200"/>
        <w:rPr>
          <w:rFonts w:ascii="仿宋" w:hAnsi="仿宋" w:eastAsia="仿宋"/>
          <w:sz w:val="32"/>
          <w:szCs w:val="32"/>
        </w:rPr>
      </w:pPr>
      <w:r>
        <w:rPr>
          <w:rFonts w:hint="eastAsia" w:ascii="仿宋_GB2312" w:hAnsi="仿宋_GB2312" w:eastAsia="仿宋_GB2312" w:cs="仿宋_GB2312"/>
          <w:sz w:val="32"/>
          <w:szCs w:val="32"/>
        </w:rPr>
        <w:t>执委活动经费项目绩效自评综述：</w:t>
      </w:r>
      <w:r>
        <w:rPr>
          <w:rFonts w:hint="eastAsia" w:ascii="仿宋" w:hAnsi="仿宋" w:eastAsia="仿宋"/>
          <w:sz w:val="32"/>
          <w:szCs w:val="32"/>
        </w:rPr>
        <w:t>绩效指标权重根据评价对象实际情况确定，总分设定为100分。一级指标权重设置为：产出指标40分（包含数量指标：各类会议召开的次数10分、培训调研的次数10分、培训的出勤率10分；质量指标:服务社会活动的覆盖率10分）、预算执行率指标10分、效益指标40分（包含执委活动项目产生的社会效益40分）、满意度指标10分。</w:t>
      </w:r>
    </w:p>
    <w:p>
      <w:pPr>
        <w:adjustRightInd w:val="0"/>
        <w:snapToGrid w:val="0"/>
        <w:spacing w:line="620" w:lineRule="exact"/>
        <w:ind w:firstLine="640" w:firstLineChars="200"/>
        <w:rPr>
          <w:rFonts w:ascii="仿宋_GB2312" w:hAnsi="仿宋_GB2312" w:eastAsia="仿宋" w:cs="仿宋_GB2312"/>
          <w:sz w:val="32"/>
          <w:szCs w:val="32"/>
        </w:rPr>
        <w:sectPr>
          <w:pgSz w:w="11906" w:h="16838"/>
          <w:pgMar w:top="2098" w:right="1474" w:bottom="1984" w:left="1588" w:header="851" w:footer="992" w:gutter="0"/>
          <w:pgNumType w:fmt="numberInDash"/>
          <w:cols w:space="0" w:num="1"/>
          <w:docGrid w:type="lines" w:linePitch="312" w:charSpace="0"/>
        </w:sectPr>
      </w:pPr>
      <w:r>
        <w:rPr>
          <w:rFonts w:hint="eastAsia" w:ascii="仿宋" w:hAnsi="仿宋" w:eastAsia="仿宋"/>
          <w:sz w:val="32"/>
          <w:szCs w:val="32"/>
        </w:rPr>
        <w:t>根据项目执行情况和项目绩效情况，给出总得分96分，指标体系设定满分100分，总得分综合评价结论和项目综合绩效评价等。</w:t>
      </w:r>
    </w:p>
    <w:p>
      <w:pPr>
        <w:adjustRightInd w:val="0"/>
        <w:snapToGrid w:val="0"/>
        <w:spacing w:line="580" w:lineRule="exact"/>
        <w:rPr>
          <w:rFonts w:ascii="仿宋_GB2312" w:hAnsi="仿宋_GB2312" w:eastAsia="仿宋_GB2312" w:cs="仿宋_GB2312"/>
          <w:sz w:val="32"/>
          <w:szCs w:val="32"/>
        </w:rPr>
      </w:pPr>
    </w:p>
    <w:p>
      <w:pPr>
        <w:keepNext/>
        <w:keepLines/>
        <w:numPr>
          <w:ilvl w:val="0"/>
          <w:numId w:val="1"/>
        </w:numPr>
        <w:snapToGrid w:val="0"/>
        <w:spacing w:line="580" w:lineRule="exact"/>
        <w:ind w:left="840"/>
        <w:jc w:val="left"/>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snapToGrid w:val="0"/>
        <w:spacing w:line="580" w:lineRule="exact"/>
        <w:jc w:val="left"/>
        <w:outlineLvl w:val="1"/>
        <w:rPr>
          <w:rFonts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 xml:space="preserve"> 本部门无财政评价项目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eastAsia="仿宋_GB2312" w:cs="DengXian-Regular"/>
          <w:sz w:val="32"/>
          <w:szCs w:val="32"/>
        </w:rPr>
        <w:t>本部门2019年度机关运行经费支出5.96万元，比2018年度减少0.94万元，减少13.6%。主要原因是厉行节约，压减支出。</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widowControl/>
        <w:spacing w:line="580" w:lineRule="exact"/>
        <w:ind w:firstLine="640" w:firstLineChars="200"/>
        <w:jc w:val="left"/>
        <w:rPr>
          <w:rFonts w:ascii="仿宋_GB2312" w:hAnsi="Times New Roman" w:eastAsia="仿宋_GB2312" w:cs="DengXian-Regular"/>
          <w:sz w:val="32"/>
          <w:szCs w:val="32"/>
        </w:rPr>
      </w:pPr>
      <w:r>
        <w:rPr>
          <w:rFonts w:hint="eastAsia" w:ascii="仿宋_GB2312" w:eastAsia="仿宋_GB2312" w:cs="DengXian-Regular"/>
          <w:sz w:val="32"/>
          <w:szCs w:val="32"/>
        </w:rPr>
        <w:t>本部门2019年度政府采购支出总额0万元，无政府采购。</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截至2019年12月31日，本部门共有车辆0辆，与上年无增减变化。</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w:t>
      </w:r>
      <w:r>
        <w:rPr>
          <w:rFonts w:hint="eastAsia" w:ascii="仿宋_GB2312" w:hAnsi="宋体" w:eastAsia="仿宋_GB2312" w:cs="Times New Roman"/>
          <w:color w:val="000000"/>
          <w:kern w:val="0"/>
          <w:sz w:val="32"/>
          <w:szCs w:val="32"/>
        </w:rPr>
        <w:t>与上年无增减变化。</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w:t>
      </w:r>
      <w:r>
        <w:rPr>
          <w:rFonts w:hint="eastAsia" w:ascii="仿宋_GB2312" w:hAnsi="宋体" w:eastAsia="仿宋_GB2312" w:cs="Times New Roman"/>
          <w:color w:val="000000"/>
          <w:kern w:val="0"/>
          <w:sz w:val="32"/>
          <w:szCs w:val="32"/>
        </w:rPr>
        <w:t>与上年无增减变化。</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宋体" w:eastAsia="仿宋_GB2312" w:cs="Times New Roman"/>
          <w:color w:val="000000"/>
          <w:kern w:val="0"/>
          <w:sz w:val="32"/>
          <w:szCs w:val="32"/>
        </w:rPr>
      </w:pPr>
      <w:r>
        <w:rPr>
          <w:rFonts w:hint="eastAsia" w:ascii="仿宋_GB2312" w:hAnsi="Times New Roman" w:eastAsia="仿宋_GB2312" w:cs="DengXian-Regular"/>
          <w:sz w:val="32"/>
          <w:szCs w:val="32"/>
        </w:rPr>
        <w:t xml:space="preserve">1. </w:t>
      </w:r>
      <w:r>
        <w:rPr>
          <w:rFonts w:hint="eastAsia" w:ascii="仿宋_GB2312" w:eastAsia="仿宋_GB2312" w:cs="DengXian-Regular"/>
          <w:sz w:val="32"/>
          <w:szCs w:val="32"/>
        </w:rPr>
        <w:t>本部门2018年度政府性基金、国有资产经营、三公经费无收支及结转结余情况，故7、8、9表以空表列示。</w:t>
      </w:r>
    </w:p>
    <w:p>
      <w:pPr>
        <w:adjustRightInd w:val="0"/>
        <w:snapToGrid w:val="0"/>
        <w:spacing w:line="580" w:lineRule="exact"/>
        <w:ind w:firstLine="640" w:firstLineChars="200"/>
        <w:rPr>
          <w:rFonts w:ascii="宋体" w:hAnsi="宋体" w:eastAsia="宋体" w:cs="MS-UIGothic,Bold"/>
          <w:b/>
          <w:bCs/>
          <w:kern w:val="0"/>
          <w:sz w:val="44"/>
          <w:szCs w:val="44"/>
        </w:rPr>
        <w:sectPr>
          <w:pgSz w:w="11906" w:h="16838"/>
          <w:pgMar w:top="2098" w:right="1474" w:bottom="1984" w:left="1588" w:header="851" w:footer="992" w:gutter="0"/>
          <w:pgNumType w:fmt="numberInDash"/>
          <w:cols w:space="0" w:num="1"/>
          <w:docGrid w:type="lines" w:linePitch="312" w:charSpace="0"/>
        </w:sect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33" o:spid="_x0000_s1033" o:spt="202" type="#_x0000_t202" style="position:absolute;left:0pt;margin-left:-80.45pt;margin-top:34.8pt;height:263.1pt;width:613.65pt;z-index:25168588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path/>
            <v:fill type="pattern" on="t" color2="#FFFFFF" o:title="5%" focussize="0,0" r:id="rId31"/>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w:pict>
          <v:shape id="_x0000_s1032" o:spid="_x0000_s1032" o:spt="202" type="#_x0000_t202" style="position:absolute;left:0pt;margin-left:-82.05pt;margin-top:111.85pt;height:263.1pt;width:613.65pt;z-index:25168691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path/>
            <v:fill type="pattern" on="t" color2="#FFFFFF" o:title="5%"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822"/>
        <w:gridCol w:w="3343"/>
        <w:gridCol w:w="437"/>
        <w:gridCol w:w="948"/>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2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2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78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728"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63.29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63.29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63.29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63.29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63.29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63.29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9635" w:type="dxa"/>
        <w:jc w:val="center"/>
        <w:tblLayout w:type="fixed"/>
        <w:tblCellMar>
          <w:top w:w="0" w:type="dxa"/>
          <w:left w:w="0" w:type="dxa"/>
          <w:bottom w:w="0" w:type="dxa"/>
          <w:right w:w="0" w:type="dxa"/>
        </w:tblCellMar>
      </w:tblPr>
      <w:tblGrid>
        <w:gridCol w:w="802"/>
        <w:gridCol w:w="51"/>
        <w:gridCol w:w="240"/>
        <w:gridCol w:w="1677"/>
        <w:gridCol w:w="1289"/>
        <w:gridCol w:w="869"/>
        <w:gridCol w:w="809"/>
        <w:gridCol w:w="929"/>
        <w:gridCol w:w="1169"/>
        <w:gridCol w:w="1045"/>
        <w:gridCol w:w="755"/>
      </w:tblGrid>
      <w:tr>
        <w:trPr>
          <w:trHeight w:val="670" w:hRule="atLeast"/>
          <w:jc w:val="center"/>
        </w:trPr>
        <w:tc>
          <w:tcPr>
            <w:tcW w:w="9635"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80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7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8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80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7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8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6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277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28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8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8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92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10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75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10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677"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28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2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0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7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28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2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0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7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28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2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77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7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415" w:hRule="atLeast"/>
          <w:jc w:val="center"/>
        </w:trPr>
        <w:tc>
          <w:tcPr>
            <w:tcW w:w="277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2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b/>
                <w:color w:val="000000"/>
                <w:sz w:val="22"/>
              </w:rPr>
            </w:pPr>
            <w:r>
              <w:rPr>
                <w:rFonts w:hint="eastAsia" w:ascii="宋体" w:hAnsi="宋体" w:eastAsia="宋体" w:cs="宋体"/>
                <w:b/>
                <w:color w:val="000000"/>
                <w:sz w:val="22"/>
              </w:rPr>
              <w:t>63.29</w:t>
            </w:r>
          </w:p>
        </w:tc>
        <w:tc>
          <w:tcPr>
            <w:tcW w:w="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b/>
                <w:color w:val="000000"/>
                <w:sz w:val="22"/>
              </w:rPr>
            </w:pPr>
            <w:r>
              <w:rPr>
                <w:rFonts w:hint="eastAsia" w:ascii="宋体" w:hAnsi="宋体" w:eastAsia="宋体" w:cs="宋体"/>
                <w:b/>
                <w:color w:val="000000"/>
                <w:sz w:val="22"/>
              </w:rPr>
              <w:t>63.29</w:t>
            </w: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p>
        </w:tc>
        <w:tc>
          <w:tcPr>
            <w:tcW w:w="9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p>
        </w:tc>
        <w:tc>
          <w:tcPr>
            <w:tcW w:w="11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p>
        </w:tc>
        <w:tc>
          <w:tcPr>
            <w:tcW w:w="10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p>
        </w:tc>
        <w:tc>
          <w:tcPr>
            <w:tcW w:w="7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10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201</w:t>
            </w:r>
          </w:p>
        </w:tc>
        <w:tc>
          <w:tcPr>
            <w:tcW w:w="16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55"/>
              <w:jc w:val="center"/>
              <w:rPr>
                <w:rFonts w:ascii="宋体" w:hAnsi="宋体" w:eastAsia="宋体" w:cs="宋体"/>
                <w:color w:val="000000"/>
                <w:sz w:val="22"/>
              </w:rPr>
            </w:pPr>
            <w:r>
              <w:rPr>
                <w:rFonts w:hint="eastAsia" w:ascii="宋体" w:hAnsi="宋体" w:eastAsia="宋体" w:cs="宋体"/>
                <w:color w:val="000000"/>
                <w:sz w:val="22"/>
              </w:rPr>
              <w:t>一般公共服务支出</w:t>
            </w:r>
          </w:p>
        </w:tc>
        <w:tc>
          <w:tcPr>
            <w:tcW w:w="12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63.29</w:t>
            </w:r>
          </w:p>
        </w:tc>
        <w:tc>
          <w:tcPr>
            <w:tcW w:w="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63.29</w:t>
            </w: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9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10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7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20128</w:t>
            </w:r>
          </w:p>
        </w:tc>
        <w:tc>
          <w:tcPr>
            <w:tcW w:w="16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民主党派及工商联事务</w:t>
            </w:r>
          </w:p>
        </w:tc>
        <w:tc>
          <w:tcPr>
            <w:tcW w:w="12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58.29</w:t>
            </w:r>
          </w:p>
        </w:tc>
        <w:tc>
          <w:tcPr>
            <w:tcW w:w="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58.29</w:t>
            </w: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9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10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7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2012801</w:t>
            </w:r>
          </w:p>
        </w:tc>
        <w:tc>
          <w:tcPr>
            <w:tcW w:w="16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行政运行</w:t>
            </w:r>
          </w:p>
        </w:tc>
        <w:tc>
          <w:tcPr>
            <w:tcW w:w="12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58.29</w:t>
            </w:r>
          </w:p>
        </w:tc>
        <w:tc>
          <w:tcPr>
            <w:tcW w:w="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58.29</w:t>
            </w: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9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10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7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20129</w:t>
            </w:r>
          </w:p>
        </w:tc>
        <w:tc>
          <w:tcPr>
            <w:tcW w:w="16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群众团体事务</w:t>
            </w:r>
          </w:p>
        </w:tc>
        <w:tc>
          <w:tcPr>
            <w:tcW w:w="12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5.00</w:t>
            </w:r>
          </w:p>
        </w:tc>
        <w:tc>
          <w:tcPr>
            <w:tcW w:w="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5.00</w:t>
            </w: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2012901</w:t>
            </w:r>
          </w:p>
        </w:tc>
        <w:tc>
          <w:tcPr>
            <w:tcW w:w="16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行政运作</w:t>
            </w:r>
          </w:p>
        </w:tc>
        <w:tc>
          <w:tcPr>
            <w:tcW w:w="12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5.00</w:t>
            </w:r>
          </w:p>
        </w:tc>
        <w:tc>
          <w:tcPr>
            <w:tcW w:w="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5.00</w:t>
            </w: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35"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7"/>
        <w:tblW w:w="9680" w:type="dxa"/>
        <w:jc w:val="center"/>
        <w:tblLayout w:type="fixed"/>
        <w:tblCellMar>
          <w:top w:w="0" w:type="dxa"/>
          <w:left w:w="0" w:type="dxa"/>
          <w:bottom w:w="0" w:type="dxa"/>
          <w:right w:w="0" w:type="dxa"/>
        </w:tblCellMar>
      </w:tblPr>
      <w:tblGrid>
        <w:gridCol w:w="941"/>
        <w:gridCol w:w="53"/>
        <w:gridCol w:w="111"/>
        <w:gridCol w:w="1359"/>
        <w:gridCol w:w="1281"/>
        <w:gridCol w:w="104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8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8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28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04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2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2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2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2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b/>
                <w:color w:val="000000"/>
                <w:sz w:val="22"/>
              </w:rPr>
            </w:pPr>
            <w:r>
              <w:rPr>
                <w:rFonts w:hint="eastAsia" w:ascii="宋体" w:hAnsi="宋体" w:eastAsia="宋体" w:cs="宋体"/>
                <w:b/>
                <w:color w:val="000000"/>
                <w:sz w:val="22"/>
              </w:rPr>
              <w:t>63.29</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b/>
                <w:color w:val="000000"/>
                <w:sz w:val="22"/>
              </w:rPr>
            </w:pPr>
            <w:r>
              <w:rPr>
                <w:rFonts w:hint="eastAsia" w:ascii="宋体" w:hAnsi="宋体" w:eastAsia="宋体" w:cs="宋体"/>
                <w:b/>
                <w:color w:val="000000"/>
                <w:sz w:val="22"/>
              </w:rPr>
              <w:t>58.29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b/>
                <w:color w:val="000000"/>
                <w:sz w:val="22"/>
              </w:rPr>
            </w:pPr>
            <w:r>
              <w:rPr>
                <w:rFonts w:hint="eastAsia" w:ascii="宋体" w:hAnsi="宋体" w:eastAsia="宋体" w:cs="宋体"/>
                <w:b/>
                <w:color w:val="000000"/>
                <w:sz w:val="22"/>
              </w:rPr>
              <w:t>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55"/>
              <w:jc w:val="center"/>
              <w:rPr>
                <w:rFonts w:ascii="宋体" w:hAnsi="宋体" w:eastAsia="宋体" w:cs="宋体"/>
                <w:color w:val="000000"/>
                <w:sz w:val="22"/>
              </w:rPr>
            </w:pPr>
            <w:r>
              <w:rPr>
                <w:rFonts w:hint="eastAsia" w:ascii="宋体" w:hAnsi="宋体" w:eastAsia="宋体" w:cs="宋体"/>
                <w:color w:val="000000"/>
                <w:sz w:val="22"/>
              </w:rPr>
              <w:t>一般公共服务支出</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63.29</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58.29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20128</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民主党派及工商联事物</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58.29</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58.29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2012801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行政运行</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58.29</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58.29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20129</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群主团体事务</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5.00</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2012901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行政运行</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5.00</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9755" w:type="dxa"/>
        <w:jc w:val="center"/>
        <w:tblLayout w:type="fixed"/>
        <w:tblCellMar>
          <w:top w:w="0" w:type="dxa"/>
          <w:left w:w="0" w:type="dxa"/>
          <w:bottom w:w="0" w:type="dxa"/>
          <w:right w:w="0" w:type="dxa"/>
        </w:tblCellMar>
      </w:tblPr>
      <w:tblGrid>
        <w:gridCol w:w="2808"/>
        <w:gridCol w:w="539"/>
        <w:gridCol w:w="858"/>
        <w:gridCol w:w="2188"/>
        <w:gridCol w:w="1069"/>
        <w:gridCol w:w="836"/>
        <w:gridCol w:w="930"/>
        <w:gridCol w:w="527"/>
      </w:tblGrid>
      <w:tr>
        <w:tblPrEx>
          <w:tblCellMar>
            <w:top w:w="0" w:type="dxa"/>
            <w:left w:w="0" w:type="dxa"/>
            <w:bottom w:w="0" w:type="dxa"/>
            <w:right w:w="0" w:type="dxa"/>
          </w:tblCellMar>
        </w:tblPrEx>
        <w:trPr>
          <w:trHeight w:val="406" w:hRule="atLeast"/>
          <w:jc w:val="center"/>
        </w:trPr>
        <w:tc>
          <w:tcPr>
            <w:tcW w:w="9755"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8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93"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80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93"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20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50"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80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3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5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1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3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52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80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3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63.29</w:t>
            </w: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63.29</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579"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63.29</w:t>
            </w: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63.29</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63.29</w:t>
            </w: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63.29</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755"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9990" w:type="dxa"/>
        <w:jc w:val="center"/>
        <w:tblLayout w:type="autofit"/>
        <w:tblCellMar>
          <w:top w:w="0" w:type="dxa"/>
          <w:left w:w="0" w:type="dxa"/>
          <w:bottom w:w="0" w:type="dxa"/>
          <w:right w:w="0" w:type="dxa"/>
        </w:tblCellMar>
      </w:tblPr>
      <w:tblGrid>
        <w:gridCol w:w="900"/>
        <w:gridCol w:w="51"/>
        <w:gridCol w:w="51"/>
        <w:gridCol w:w="3186"/>
        <w:gridCol w:w="1980"/>
        <w:gridCol w:w="1922"/>
        <w:gridCol w:w="1900"/>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488"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98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11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18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98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8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8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8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63.29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58.29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一般公共服务支出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63.29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58.29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20128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民主党派及工商联事务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58.29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58.29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2012801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sz w:val="22"/>
              </w:rPr>
              <w:t>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58.29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58.29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群主团体事务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注：本表反映部门本年度一般公共预算财政拨款支出情况。</w:t>
      </w:r>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rPr>
                <w:rFonts w:ascii="宋体" w:hAnsi="宋体" w:eastAsia="宋体" w:cs="宋体"/>
                <w:color w:val="000000"/>
                <w:sz w:val="20"/>
                <w:szCs w:val="20"/>
              </w:rPr>
            </w:pPr>
            <w:r>
              <w:rPr>
                <w:rFonts w:hint="eastAsia" w:ascii="宋体" w:hAnsi="宋体" w:eastAsia="宋体" w:cs="宋体"/>
                <w:color w:val="000000"/>
                <w:sz w:val="20"/>
                <w:szCs w:val="20"/>
              </w:rPr>
              <w:t>52.33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r>
              <w:rPr>
                <w:rFonts w:hint="eastAsia" w:ascii="宋体" w:hAnsi="宋体" w:eastAsia="宋体" w:cs="宋体"/>
                <w:color w:val="000000"/>
                <w:sz w:val="20"/>
                <w:szCs w:val="20"/>
              </w:rPr>
              <w:t>10.96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rPr>
                <w:rFonts w:ascii="宋体" w:hAnsi="宋体" w:eastAsia="宋体" w:cs="宋体"/>
                <w:color w:val="000000"/>
                <w:szCs w:val="21"/>
              </w:rPr>
            </w:pPr>
            <w:r>
              <w:rPr>
                <w:rFonts w:hint="eastAsia" w:ascii="宋体" w:hAnsi="宋体" w:eastAsia="宋体" w:cs="宋体"/>
                <w:color w:val="000000"/>
                <w:szCs w:val="21"/>
              </w:rPr>
              <w:t>12.55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r>
              <w:rPr>
                <w:rFonts w:hint="eastAsia" w:ascii="宋体" w:hAnsi="宋体" w:eastAsia="宋体" w:cs="宋体"/>
                <w:color w:val="000000"/>
                <w:sz w:val="20"/>
                <w:szCs w:val="20"/>
              </w:rPr>
              <w:t>2.54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rPr>
                <w:rFonts w:ascii="宋体" w:hAnsi="宋体" w:eastAsia="宋体" w:cs="宋体"/>
                <w:color w:val="000000"/>
                <w:szCs w:val="21"/>
              </w:rPr>
            </w:pPr>
            <w:r>
              <w:rPr>
                <w:rFonts w:hint="eastAsia" w:ascii="宋体" w:hAnsi="宋体" w:eastAsia="宋体" w:cs="宋体"/>
                <w:color w:val="000000"/>
                <w:szCs w:val="21"/>
              </w:rPr>
              <w:t>11.37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rPr>
                <w:rFonts w:ascii="宋体" w:hAnsi="宋体" w:eastAsia="宋体" w:cs="宋体"/>
                <w:color w:val="000000"/>
                <w:szCs w:val="21"/>
              </w:rPr>
            </w:pPr>
            <w:r>
              <w:rPr>
                <w:rFonts w:hint="eastAsia" w:ascii="宋体" w:hAnsi="宋体" w:eastAsia="宋体" w:cs="宋体"/>
                <w:color w:val="000000"/>
                <w:szCs w:val="21"/>
              </w:rPr>
              <w:t>1.79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rPr>
                <w:rFonts w:ascii="宋体" w:hAnsi="宋体" w:eastAsia="宋体" w:cs="宋体"/>
                <w:color w:val="000000"/>
                <w:szCs w:val="21"/>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Cs w:val="21"/>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rPr>
                <w:rFonts w:ascii="宋体" w:hAnsi="宋体" w:eastAsia="宋体" w:cs="宋体"/>
                <w:color w:val="000000"/>
                <w:szCs w:val="21"/>
              </w:rPr>
            </w:pPr>
            <w:r>
              <w:rPr>
                <w:rFonts w:hint="eastAsia" w:ascii="宋体" w:hAnsi="宋体" w:eastAsia="宋体" w:cs="宋体"/>
                <w:color w:val="000000"/>
                <w:szCs w:val="21"/>
              </w:rPr>
              <w:t>4.27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Cs w:val="21"/>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r>
              <w:rPr>
                <w:rFonts w:hint="eastAsia" w:ascii="宋体" w:hAnsi="宋体" w:eastAsia="宋体" w:cs="宋体"/>
                <w:color w:val="000000"/>
                <w:sz w:val="20"/>
                <w:szCs w:val="20"/>
              </w:rPr>
              <w:t>1.71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rPr>
                <w:rFonts w:ascii="宋体" w:hAnsi="宋体" w:eastAsia="宋体" w:cs="宋体"/>
                <w:color w:val="000000"/>
                <w:szCs w:val="21"/>
              </w:rPr>
            </w:pPr>
            <w:r>
              <w:rPr>
                <w:rFonts w:hint="eastAsia" w:ascii="宋体" w:hAnsi="宋体" w:eastAsia="宋体" w:cs="宋体"/>
                <w:color w:val="000000"/>
                <w:szCs w:val="21"/>
              </w:rPr>
              <w:t>3.68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rPr>
                <w:rFonts w:ascii="宋体" w:hAnsi="宋体" w:eastAsia="宋体" w:cs="宋体"/>
                <w:color w:val="000000"/>
                <w:szCs w:val="21"/>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rPr>
                <w:rFonts w:ascii="宋体" w:hAnsi="宋体" w:eastAsia="宋体" w:cs="宋体"/>
                <w:color w:val="000000"/>
                <w:szCs w:val="21"/>
              </w:rPr>
            </w:pPr>
            <w:r>
              <w:rPr>
                <w:rFonts w:hint="eastAsia" w:ascii="宋体" w:hAnsi="宋体" w:eastAsia="宋体" w:cs="宋体"/>
                <w:color w:val="000000"/>
                <w:szCs w:val="21"/>
              </w:rPr>
              <w:t>0.12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r>
              <w:rPr>
                <w:rFonts w:hint="eastAsia" w:ascii="宋体" w:hAnsi="宋体" w:eastAsia="宋体" w:cs="宋体"/>
                <w:color w:val="000000"/>
                <w:sz w:val="20"/>
                <w:szCs w:val="20"/>
              </w:rPr>
              <w:t>0.66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rPr>
                <w:rFonts w:ascii="宋体" w:hAnsi="宋体" w:eastAsia="宋体" w:cs="宋体"/>
                <w:color w:val="000000"/>
                <w:szCs w:val="21"/>
              </w:rPr>
            </w:pPr>
            <w:r>
              <w:rPr>
                <w:rFonts w:hint="eastAsia" w:ascii="宋体" w:hAnsi="宋体" w:eastAsia="宋体" w:cs="宋体"/>
                <w:color w:val="000000"/>
                <w:szCs w:val="21"/>
              </w:rPr>
              <w:t>3.59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Cs w:val="21"/>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rPr>
                <w:rFonts w:ascii="宋体" w:hAnsi="宋体" w:eastAsia="宋体" w:cs="宋体"/>
                <w:color w:val="000000"/>
                <w:szCs w:val="21"/>
              </w:rPr>
            </w:pPr>
            <w:r>
              <w:rPr>
                <w:rFonts w:hint="eastAsia" w:ascii="宋体" w:hAnsi="宋体" w:eastAsia="宋体" w:cs="宋体"/>
                <w:color w:val="000000"/>
                <w:szCs w:val="21"/>
              </w:rPr>
              <w:t>14.96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r>
              <w:rPr>
                <w:rFonts w:hint="eastAsia" w:ascii="宋体" w:hAnsi="宋体" w:eastAsia="宋体" w:cs="宋体"/>
                <w:color w:val="000000"/>
                <w:sz w:val="20"/>
                <w:szCs w:val="20"/>
              </w:rPr>
              <w:t>0.50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r>
              <w:rPr>
                <w:rFonts w:hint="eastAsia" w:ascii="宋体" w:hAnsi="宋体" w:eastAsia="宋体" w:cs="宋体"/>
                <w:color w:val="000000"/>
                <w:sz w:val="20"/>
                <w:szCs w:val="20"/>
              </w:rPr>
              <w:t>2.50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r>
              <w:rPr>
                <w:rFonts w:hint="eastAsia" w:ascii="宋体" w:hAnsi="宋体" w:eastAsia="宋体" w:cs="宋体"/>
                <w:color w:val="000000"/>
                <w:sz w:val="20"/>
                <w:szCs w:val="20"/>
              </w:rPr>
              <w:t>0.41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r>
              <w:rPr>
                <w:rFonts w:hint="eastAsia" w:ascii="宋体" w:hAnsi="宋体" w:eastAsia="宋体" w:cs="宋体"/>
                <w:color w:val="000000"/>
                <w:sz w:val="20"/>
                <w:szCs w:val="20"/>
              </w:rPr>
              <w:t>0.68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w:t>
            </w: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r>
              <w:rPr>
                <w:rFonts w:hint="eastAsia" w:ascii="宋体" w:hAnsi="宋体" w:eastAsia="宋体" w:cs="宋体"/>
                <w:color w:val="000000"/>
                <w:sz w:val="20"/>
                <w:szCs w:val="20"/>
              </w:rPr>
              <w:t>1.96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rPr>
                <w:rFonts w:ascii="宋体" w:hAnsi="宋体" w:eastAsia="宋体" w:cs="宋体"/>
                <w:color w:val="000000"/>
                <w:sz w:val="20"/>
                <w:szCs w:val="20"/>
              </w:rPr>
            </w:pPr>
            <w:r>
              <w:rPr>
                <w:rFonts w:hint="eastAsia" w:ascii="宋体" w:hAnsi="宋体" w:eastAsia="宋体" w:cs="宋体"/>
                <w:color w:val="000000"/>
                <w:sz w:val="20"/>
                <w:szCs w:val="20"/>
              </w:rPr>
              <w:t>52.33</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公用经费合计10.96</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bl>
    <w:p>
      <w:r>
        <w:rPr>
          <w:rFonts w:hint="eastAsia"/>
        </w:rPr>
        <w:t>注：本表反映部门本年度一般公共预算财政拨款基本支出情况。</w:t>
      </w:r>
      <w:r>
        <w:br w:type="page"/>
      </w:r>
    </w:p>
    <w:tbl>
      <w:tblPr>
        <w:tblStyle w:val="7"/>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autofit"/>
        <w:tblCellMar>
          <w:top w:w="0" w:type="dxa"/>
          <w:left w:w="0" w:type="dxa"/>
          <w:bottom w:w="0" w:type="dxa"/>
          <w:right w:w="0" w:type="dxa"/>
        </w:tblCellMar>
      </w:tblPr>
      <w:tblGrid>
        <w:gridCol w:w="1031"/>
        <w:gridCol w:w="59"/>
        <w:gridCol w:w="59"/>
        <w:gridCol w:w="1489"/>
        <w:gridCol w:w="1145"/>
        <w:gridCol w:w="1145"/>
        <w:gridCol w:w="1145"/>
        <w:gridCol w:w="1145"/>
        <w:gridCol w:w="1145"/>
        <w:gridCol w:w="1147"/>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Cs/>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Cs/>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Cs/>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Cs/>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Cs/>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Cs/>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注：本表反映部门本年度政府性基金预算财政拨款收入、支出及结转和结余情况。本部门本年度无收支及结转结余情况，按要求以空表列示。</w:t>
      </w:r>
      <w:r>
        <w:br w:type="page"/>
      </w:r>
    </w:p>
    <w:tbl>
      <w:tblPr>
        <w:tblStyle w:val="7"/>
        <w:tblW w:w="9915" w:type="dxa"/>
        <w:jc w:val="center"/>
        <w:tblLayout w:type="autofit"/>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注：本表反映部门本年度国有资本经营预算财政拨款支出情况。本部门本年度无相关支出情况，按要求以空表列示。</w:t>
      </w:r>
      <w:r>
        <w:br w:type="page"/>
      </w:r>
    </w:p>
    <w:p>
      <w:r>
        <w:pict>
          <v:rect id="_x0000_s1031" o:spid="_x0000_s1031" o:spt="1" style="position:absolute;left:0pt;margin-left:-70.5pt;margin-top:-85.25pt;height:841.15pt;width:595.1pt;z-index:25168793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path/>
            <v:fill on="t" focussize="0,0"/>
            <v:stroke on="f" weight="1pt"/>
            <v:imagedata o:title=""/>
            <o:lock v:ext="edit"/>
          </v:rect>
        </w:pic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Arial">
    <w:panose1 w:val="020B0604020202020204"/>
    <w:charset w:val="00"/>
    <w:family w:val="swiss"/>
    <w:pitch w:val="default"/>
    <w:sig w:usb0="E0002EFF" w:usb1="C000785B" w:usb2="00000009" w:usb3="00000000" w:csb0="400001FF" w:csb1="FFFF0000"/>
  </w:font>
  <w:font w:name="思源黑体 HW Bold">
    <w:altName w:val="黑体"/>
    <w:panose1 w:val="00000000000000000000"/>
    <w:charset w:val="86"/>
    <w:family w:val="swiss"/>
    <w:pitch w:val="default"/>
    <w:sig w:usb0="00000000" w:usb1="00000000" w:usb2="00000016" w:usb3="00000000" w:csb0="002E0107" w:csb1="00000000"/>
  </w:font>
  <w:font w:name="楷体_GB2312">
    <w:panose1 w:val="02010609030101010101"/>
    <w:charset w:val="86"/>
    <w:family w:val="modern"/>
    <w:pitch w:val="default"/>
    <w:sig w:usb0="00000001" w:usb1="080E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676672;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- 15 -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- 30 -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2" o:spid="_x0000_s2092" o:spt="202" type="#_x0000_t202" style="position:absolute;left:0pt;margin-left:206.55pt;margin-top:-22.45pt;height:35.15pt;width:34pt;mso-position-horizontal-relative:margin;z-index:251674624;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67564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7" o:spid="_x0000_s2097" o:spt="203" style="position:absolute;left:0pt;margin-top:29.75pt;height:32pt;width:157.5pt;mso-position-horizontal:left;mso-position-horizontal-relative:page;mso-position-vertical-relative:page;z-index:25166028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v:shape id="_x0000_s2099" o:spid="_x0000_s2099"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_x0000_s2098" o:spid="_x0000_s2098"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93" o:spid="_x0000_s2093"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v:rect id="矩形 2" o:spid="_x0000_s2096"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95"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4"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667456;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68480;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_x0000_s2071"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67052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_x0000_s2083"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6950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22" o:spid="_x0000_s2122" o:spt="203" style="position:absolute;left:0pt;margin-left:-0.1pt;margin-top:60.1pt;height:31.5pt;width:594.8pt;mso-position-horizontal-relative:page;mso-position-vertical-relative:page;z-index:251686912;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v:rect id="矩形 2" o:spid="_x0000_s2123"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124"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25"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65" o:spid="_x0000_s2065" o:spt="203" style="position:absolute;left:0pt;margin-left:-2.15pt;margin-top:59pt;height:32.8pt;width:596.85pt;mso-position-horizontal-relative:page;mso-position-vertical-relative:page;z-index:251682816;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文本框 6" o:spid="_x0000_s2064" o:spt="202" type="#_x0000_t202" style="position:absolute;left:0pt;margin-left:-84.1pt;margin-top:17.55pt;height:32.05pt;width:231pt;z-index:251683840;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30" o:spid="_x0000_s2130" o:spt="203" style="position:absolute;left:0pt;margin-left:-2.5pt;margin-top:33.25pt;height:32pt;width:280pt;mso-position-horizontal-relative:page;mso-position-vertical-relative:page;z-index:251688960;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v:shape id="_x0000_s2131" o:spid="_x0000_s2131"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_x0000_s2132" o:spid="_x0000_s2132"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r>
      <w:pict>
        <v:group id="_x0000_s2126" o:spid="_x0000_s2126" o:spt="203" style="position:absolute;left:0pt;margin-left:0pt;margin-top:32.25pt;height:35.25pt;width:594.8pt;mso-position-horizontal-relative:page;mso-position-vertical-relative:page;z-index:251687936;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v:rect id="矩形 2" o:spid="_x0000_s2127"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28"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29"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3" o:spid="_x0000_s2053" o:spt="203" style="position:absolute;left:0pt;margin-left:2.5pt;margin-top:28.75pt;height:35.25pt;width:594.8pt;mso-position-horizontal-relative:page;mso-position-vertical-relative:page;z-index:251680768;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81792;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_x0000_s2051"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677696;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78720;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_x0000_s2058"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11" o:spid="_x0000_s2111" o:spt="203" style="position:absolute;left:0pt;margin-left:-2.15pt;margin-top:52.05pt;height:31.5pt;width:594.8pt;mso-position-horizontal-relative:page;mso-position-vertical-relative:page;z-index:251684864;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v:rect id="矩形 2" o:spid="_x0000_s2112"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113"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14"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119" o:spid="_x0000_s2119" o:spt="203" style="position:absolute;left:0pt;margin-left:0pt;margin-top:49.65pt;height:32pt;width:235.7pt;mso-position-horizontal-relative:page;mso-position-vertical-relative:page;z-index:25168588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v:shape id="_x0000_s2120" o:spid="_x0000_s2120"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_x0000_s2121" o:spid="_x0000_s2121"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88" o:spid="_x0000_s2088" o:spt="203" style="position:absolute;left:0pt;margin-left:0pt;margin-top:53.75pt;height:31.5pt;width:594.8pt;mso-position-horizontal-relative:page;mso-position-vertical-relative:page;z-index:251672576;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v:rect id="矩形 2" o:spid="_x0000_s2091"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0"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89"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85" o:spid="_x0000_s2085" o:spt="203" style="position:absolute;left:0pt;margin-left:-2.15pt;margin-top:47.15pt;height:32pt;width:235.7pt;mso-position-horizontal-relative:page;mso-position-vertical-relative:page;z-index:251673600;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v:shape id="_x0000_s2087" o:spid="_x0000_s2087"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_x0000_s2086" o:spid="_x0000_s208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D96B4A8"/>
    <w:multiLevelType w:val="singleLevel"/>
    <w:tmpl w:val="6D96B4A8"/>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GI1Mzc1YjJiOThkZTcxOGJlZDRhZmY2Y2QzZGQ3MjkifQ=="/>
  </w:docVars>
  <w:rsids>
    <w:rsidRoot w:val="6AAF1C96"/>
    <w:rsid w:val="00056D07"/>
    <w:rsid w:val="0007063E"/>
    <w:rsid w:val="00073392"/>
    <w:rsid w:val="00073F4E"/>
    <w:rsid w:val="00086C89"/>
    <w:rsid w:val="000A39FB"/>
    <w:rsid w:val="000B6741"/>
    <w:rsid w:val="00117746"/>
    <w:rsid w:val="00157D26"/>
    <w:rsid w:val="00163E8F"/>
    <w:rsid w:val="00163F95"/>
    <w:rsid w:val="00180A9A"/>
    <w:rsid w:val="001829C0"/>
    <w:rsid w:val="00184809"/>
    <w:rsid w:val="00192112"/>
    <w:rsid w:val="001B0127"/>
    <w:rsid w:val="001C12D5"/>
    <w:rsid w:val="001C69F7"/>
    <w:rsid w:val="001D6F97"/>
    <w:rsid w:val="0020610A"/>
    <w:rsid w:val="002650EC"/>
    <w:rsid w:val="00275B20"/>
    <w:rsid w:val="002929A4"/>
    <w:rsid w:val="002A0BCF"/>
    <w:rsid w:val="002A53ED"/>
    <w:rsid w:val="002A6C46"/>
    <w:rsid w:val="002C19B5"/>
    <w:rsid w:val="003A4EE8"/>
    <w:rsid w:val="00442CC2"/>
    <w:rsid w:val="00446244"/>
    <w:rsid w:val="00473C20"/>
    <w:rsid w:val="004D61CB"/>
    <w:rsid w:val="005011D6"/>
    <w:rsid w:val="00503F2E"/>
    <w:rsid w:val="00525216"/>
    <w:rsid w:val="0052719C"/>
    <w:rsid w:val="00550661"/>
    <w:rsid w:val="00552226"/>
    <w:rsid w:val="00566120"/>
    <w:rsid w:val="00582E6D"/>
    <w:rsid w:val="005954D5"/>
    <w:rsid w:val="005A53FA"/>
    <w:rsid w:val="005D1293"/>
    <w:rsid w:val="00641786"/>
    <w:rsid w:val="00644D5F"/>
    <w:rsid w:val="00657F86"/>
    <w:rsid w:val="006727AD"/>
    <w:rsid w:val="00691425"/>
    <w:rsid w:val="006A516E"/>
    <w:rsid w:val="006B0830"/>
    <w:rsid w:val="006C4FCD"/>
    <w:rsid w:val="006F52FF"/>
    <w:rsid w:val="0070422E"/>
    <w:rsid w:val="00716E2B"/>
    <w:rsid w:val="00716EFF"/>
    <w:rsid w:val="00725E04"/>
    <w:rsid w:val="00744892"/>
    <w:rsid w:val="00770F18"/>
    <w:rsid w:val="00773B74"/>
    <w:rsid w:val="0078290C"/>
    <w:rsid w:val="00783D82"/>
    <w:rsid w:val="007B1908"/>
    <w:rsid w:val="007C06CA"/>
    <w:rsid w:val="008163FB"/>
    <w:rsid w:val="0082605B"/>
    <w:rsid w:val="0083476F"/>
    <w:rsid w:val="008434F2"/>
    <w:rsid w:val="00855C36"/>
    <w:rsid w:val="00857DBE"/>
    <w:rsid w:val="008701BC"/>
    <w:rsid w:val="00883D92"/>
    <w:rsid w:val="008A5362"/>
    <w:rsid w:val="008C5488"/>
    <w:rsid w:val="008F21F1"/>
    <w:rsid w:val="008F221B"/>
    <w:rsid w:val="008F5A2D"/>
    <w:rsid w:val="00921602"/>
    <w:rsid w:val="00957EA1"/>
    <w:rsid w:val="00966E5B"/>
    <w:rsid w:val="009B4EF0"/>
    <w:rsid w:val="009C6B4E"/>
    <w:rsid w:val="009D271F"/>
    <w:rsid w:val="009E5258"/>
    <w:rsid w:val="00A01663"/>
    <w:rsid w:val="00A104CD"/>
    <w:rsid w:val="00A211A1"/>
    <w:rsid w:val="00A6122E"/>
    <w:rsid w:val="00A929C2"/>
    <w:rsid w:val="00AB3A4C"/>
    <w:rsid w:val="00AB40EA"/>
    <w:rsid w:val="00AC062A"/>
    <w:rsid w:val="00AD097F"/>
    <w:rsid w:val="00B00CC2"/>
    <w:rsid w:val="00B844F4"/>
    <w:rsid w:val="00BA06A1"/>
    <w:rsid w:val="00BA770A"/>
    <w:rsid w:val="00C054DE"/>
    <w:rsid w:val="00C124BA"/>
    <w:rsid w:val="00C679A9"/>
    <w:rsid w:val="00C74663"/>
    <w:rsid w:val="00C7541C"/>
    <w:rsid w:val="00CC0FAA"/>
    <w:rsid w:val="00CD0736"/>
    <w:rsid w:val="00D1570F"/>
    <w:rsid w:val="00D32830"/>
    <w:rsid w:val="00DB7153"/>
    <w:rsid w:val="00DB7F05"/>
    <w:rsid w:val="00DE2332"/>
    <w:rsid w:val="00DF0B61"/>
    <w:rsid w:val="00E028C3"/>
    <w:rsid w:val="00E14F77"/>
    <w:rsid w:val="00E3076B"/>
    <w:rsid w:val="00E36978"/>
    <w:rsid w:val="00E82A1E"/>
    <w:rsid w:val="00E83D31"/>
    <w:rsid w:val="00EA05EC"/>
    <w:rsid w:val="00EC06F4"/>
    <w:rsid w:val="00EE4E36"/>
    <w:rsid w:val="00F33BB7"/>
    <w:rsid w:val="00F665F4"/>
    <w:rsid w:val="00FD225F"/>
    <w:rsid w:val="00FD4631"/>
    <w:rsid w:val="02EB0421"/>
    <w:rsid w:val="053A66AC"/>
    <w:rsid w:val="05B00A30"/>
    <w:rsid w:val="084548D2"/>
    <w:rsid w:val="0B011416"/>
    <w:rsid w:val="10E456BB"/>
    <w:rsid w:val="12491BA6"/>
    <w:rsid w:val="136E4C01"/>
    <w:rsid w:val="16FF7A62"/>
    <w:rsid w:val="191E4DC2"/>
    <w:rsid w:val="1D940516"/>
    <w:rsid w:val="2113224F"/>
    <w:rsid w:val="21BD2146"/>
    <w:rsid w:val="23524A1F"/>
    <w:rsid w:val="240A623E"/>
    <w:rsid w:val="24D619F0"/>
    <w:rsid w:val="28E45A33"/>
    <w:rsid w:val="297217E9"/>
    <w:rsid w:val="2E592C10"/>
    <w:rsid w:val="2F66367A"/>
    <w:rsid w:val="31C2036A"/>
    <w:rsid w:val="320D02A5"/>
    <w:rsid w:val="33177891"/>
    <w:rsid w:val="348E566F"/>
    <w:rsid w:val="3667335F"/>
    <w:rsid w:val="36C10450"/>
    <w:rsid w:val="3A226944"/>
    <w:rsid w:val="3AEE6A48"/>
    <w:rsid w:val="3BF63CE5"/>
    <w:rsid w:val="3C1620AA"/>
    <w:rsid w:val="3D8F080F"/>
    <w:rsid w:val="3F1E6F6C"/>
    <w:rsid w:val="4420490D"/>
    <w:rsid w:val="44CE1FA4"/>
    <w:rsid w:val="453341B0"/>
    <w:rsid w:val="45FE0F58"/>
    <w:rsid w:val="460C542A"/>
    <w:rsid w:val="4849201D"/>
    <w:rsid w:val="487F73ED"/>
    <w:rsid w:val="49966C70"/>
    <w:rsid w:val="4A347EAE"/>
    <w:rsid w:val="4CDA7EE9"/>
    <w:rsid w:val="4DF60CB4"/>
    <w:rsid w:val="4DFB085D"/>
    <w:rsid w:val="512D430D"/>
    <w:rsid w:val="52600405"/>
    <w:rsid w:val="527F5BC7"/>
    <w:rsid w:val="529B4319"/>
    <w:rsid w:val="57773DD6"/>
    <w:rsid w:val="578B79AB"/>
    <w:rsid w:val="5B353BCE"/>
    <w:rsid w:val="5BDB5875"/>
    <w:rsid w:val="5C020F67"/>
    <w:rsid w:val="5CCD3FD5"/>
    <w:rsid w:val="61683A44"/>
    <w:rsid w:val="61FA5F9D"/>
    <w:rsid w:val="632A1A01"/>
    <w:rsid w:val="643B34F2"/>
    <w:rsid w:val="64CD6910"/>
    <w:rsid w:val="6789158D"/>
    <w:rsid w:val="67D81BA4"/>
    <w:rsid w:val="68D4156B"/>
    <w:rsid w:val="6AAF1C96"/>
    <w:rsid w:val="6B9A716B"/>
    <w:rsid w:val="6BDF00E5"/>
    <w:rsid w:val="6C3627A3"/>
    <w:rsid w:val="6C9607E4"/>
    <w:rsid w:val="6DA71FE7"/>
    <w:rsid w:val="6E291772"/>
    <w:rsid w:val="6E685063"/>
    <w:rsid w:val="70452984"/>
    <w:rsid w:val="71962B76"/>
    <w:rsid w:val="73ED62EC"/>
    <w:rsid w:val="75681757"/>
    <w:rsid w:val="75A346A8"/>
    <w:rsid w:val="75C161E1"/>
    <w:rsid w:val="75E07582"/>
    <w:rsid w:val="795547CA"/>
    <w:rsid w:val="79B9382C"/>
    <w:rsid w:val="7B043B76"/>
    <w:rsid w:val="7C041A6A"/>
    <w:rsid w:val="7C045682"/>
    <w:rsid w:val="7D082D30"/>
    <w:rsid w:val="7E327570"/>
    <w:rsid w:val="7EAD5A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autoRedefine/>
    <w:qFormat/>
    <w:uiPriority w:val="9"/>
    <w:pPr>
      <w:keepNext/>
      <w:keepLines/>
      <w:spacing w:before="340" w:after="330" w:line="578" w:lineRule="auto"/>
      <w:outlineLvl w:val="0"/>
    </w:pPr>
    <w:rPr>
      <w:b/>
      <w:bCs/>
      <w:kern w:val="44"/>
      <w:sz w:val="44"/>
      <w:szCs w:val="44"/>
    </w:rPr>
  </w:style>
  <w:style w:type="character" w:default="1" w:styleId="9">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9"/>
    <w:semiHidden/>
    <w:unhideWhenUsed/>
    <w:uiPriority w:val="99"/>
    <w:rPr>
      <w:sz w:val="18"/>
      <w:szCs w:val="18"/>
    </w:rPr>
  </w:style>
  <w:style w:type="paragraph" w:styleId="5">
    <w:name w:val="footer"/>
    <w:basedOn w:val="1"/>
    <w:link w:val="11"/>
    <w:autoRedefine/>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autoRedefine/>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customStyle="1" w:styleId="13">
    <w:name w:val="正文1"/>
    <w:basedOn w:val="14"/>
    <w:autoRedefine/>
    <w:qFormat/>
    <w:uiPriority w:val="0"/>
    <w:pPr>
      <w:jc w:val="both"/>
    </w:pPr>
    <w:rPr>
      <w:rFonts w:ascii="Times New Roman" w:hAnsi="Times New Roman" w:eastAsia="Times New Roman"/>
      <w:sz w:val="21"/>
    </w:rPr>
  </w:style>
  <w:style w:type="paragraph" w:customStyle="1" w:styleId="14">
    <w:name w:val="[Normal]"/>
    <w:qFormat/>
    <w:uiPriority w:val="0"/>
    <w:rPr>
      <w:rFonts w:ascii="宋体" w:hAnsi="宋体" w:eastAsia="宋体" w:cs="Times New Roman"/>
      <w:sz w:val="24"/>
      <w:lang w:val="en-US" w:eastAsia="en-US" w:bidi="ar-SA"/>
    </w:rPr>
  </w:style>
  <w:style w:type="paragraph" w:customStyle="1" w:styleId="15">
    <w:name w:val="p0"/>
    <w:basedOn w:val="1"/>
    <w:qFormat/>
    <w:uiPriority w:val="0"/>
    <w:pPr>
      <w:widowControl/>
    </w:pPr>
    <w:rPr>
      <w:kern w:val="0"/>
      <w:szCs w:val="21"/>
    </w:rPr>
  </w:style>
  <w:style w:type="character" w:customStyle="1" w:styleId="16">
    <w:name w:val="font21"/>
    <w:basedOn w:val="9"/>
    <w:uiPriority w:val="0"/>
    <w:rPr>
      <w:rFonts w:hint="eastAsia" w:ascii="微软雅黑" w:hAnsi="微软雅黑" w:eastAsia="微软雅黑" w:cs="微软雅黑"/>
      <w:color w:val="000000"/>
      <w:sz w:val="22"/>
      <w:szCs w:val="22"/>
      <w:u w:val="none"/>
    </w:rPr>
  </w:style>
  <w:style w:type="character" w:customStyle="1" w:styleId="17">
    <w:name w:val="font51"/>
    <w:basedOn w:val="9"/>
    <w:autoRedefine/>
    <w:uiPriority w:val="0"/>
    <w:rPr>
      <w:rFonts w:hint="eastAsia" w:ascii="宋体" w:hAnsi="宋体" w:eastAsia="宋体" w:cs="宋体"/>
      <w:color w:val="000000"/>
      <w:sz w:val="22"/>
      <w:szCs w:val="22"/>
      <w:u w:val="none"/>
    </w:rPr>
  </w:style>
  <w:style w:type="character" w:customStyle="1" w:styleId="18">
    <w:name w:val="font11"/>
    <w:basedOn w:val="9"/>
    <w:qFormat/>
    <w:uiPriority w:val="0"/>
    <w:rPr>
      <w:rFonts w:hint="default" w:ascii="Arial" w:hAnsi="Arial" w:cs="Arial"/>
      <w:color w:val="000000"/>
      <w:sz w:val="22"/>
      <w:szCs w:val="22"/>
      <w:u w:val="none"/>
    </w:rPr>
  </w:style>
  <w:style w:type="character" w:customStyle="1" w:styleId="19">
    <w:name w:val="批注框文本 Char"/>
    <w:basedOn w:val="9"/>
    <w:link w:val="4"/>
    <w:autoRedefine/>
    <w:semiHidden/>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1" Type="http://schemas.openxmlformats.org/officeDocument/2006/relationships/fontTable" Target="fontTable.xml"/><Relationship Id="rId40" Type="http://schemas.openxmlformats.org/officeDocument/2006/relationships/customXml" Target="../customXml/item2.xml"/><Relationship Id="rId4" Type="http://schemas.openxmlformats.org/officeDocument/2006/relationships/header" Target="header2.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chart" Target="charts/chart2.xml"/><Relationship Id="rId36" Type="http://schemas.openxmlformats.org/officeDocument/2006/relationships/chart" Target="charts/chart1.xml"/><Relationship Id="rId35" Type="http://schemas.openxmlformats.org/officeDocument/2006/relationships/image" Target="media/image4.emf"/><Relationship Id="rId34" Type="http://schemas.openxmlformats.org/officeDocument/2006/relationships/oleObject" Target="embeddings/oleObject2.bin"/><Relationship Id="rId33" Type="http://schemas.openxmlformats.org/officeDocument/2006/relationships/image" Target="media/image3.emf"/><Relationship Id="rId32" Type="http://schemas.openxmlformats.org/officeDocument/2006/relationships/oleObject" Target="embeddings/oleObject1.bin"/><Relationship Id="rId31" Type="http://schemas.openxmlformats.org/officeDocument/2006/relationships/image" Target="media/image2.GIF"/><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2:2018-2019</a:t>
            </a:r>
            <a:r>
              <a:rPr altLang="en-US"/>
              <a:t>年度财政拨款收支对比</a:t>
            </a:r>
            <a:endParaRPr altLang="en-US"/>
          </a:p>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                                                          </a:t>
            </a:r>
            <a:r>
              <a:rPr altLang="en-US"/>
              <a:t>（单位：万）</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2018</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65.82</c:v>
                </c:pt>
                <c:pt idx="1">
                  <c:v>65.82</c:v>
                </c:pt>
              </c:numCache>
            </c:numRef>
          </c:val>
        </c:ser>
        <c:ser>
          <c:idx val="1"/>
          <c:order val="1"/>
          <c:tx>
            <c:strRef>
              <c:f>Sheet1!$C$1</c:f>
              <c:strCache>
                <c:ptCount val="1"/>
                <c:pt idx="0">
                  <c:v>2019</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63.29</c:v>
                </c:pt>
                <c:pt idx="1">
                  <c:v>63.29</c:v>
                </c:pt>
              </c:numCache>
            </c:numRef>
          </c:val>
        </c:ser>
        <c:dLbls>
          <c:showLegendKey val="0"/>
          <c:showVal val="0"/>
          <c:showCatName val="0"/>
          <c:showSerName val="0"/>
          <c:showPercent val="0"/>
          <c:showBubbleSize val="0"/>
        </c:dLbls>
        <c:gapWidth val="219"/>
        <c:overlap val="-27"/>
        <c:axId val="158336896"/>
        <c:axId val="267737344"/>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158336896"/>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67737344"/>
        <c:crosses val="autoZero"/>
        <c:auto val="1"/>
        <c:lblAlgn val="ctr"/>
        <c:lblOffset val="100"/>
        <c:noMultiLvlLbl val="0"/>
      </c:catAx>
      <c:valAx>
        <c:axId val="267737344"/>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5833689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图3：财政拨款收支与预算对比</a:t>
            </a:r>
          </a:p>
          <a:p>
            <a:pPr defTabSz="914400">
              <a:defRPr lang="zh-CN" sz="1400" b="0" i="0" u="none" strike="noStrike" kern="1200" spc="0" baseline="0">
                <a:solidFill>
                  <a:schemeClr val="tx1">
                    <a:lumMod val="65000"/>
                    <a:lumOff val="35000"/>
                  </a:schemeClr>
                </a:solidFill>
                <a:latin typeface="+mn-lt"/>
                <a:ea typeface="+mn-ea"/>
                <a:cs typeface="+mn-cs"/>
              </a:defRPr>
            </a:pPr>
            <a:r>
              <a:t>                                                      （单位：万）</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2019预算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79.47</c:v>
                </c:pt>
                <c:pt idx="1">
                  <c:v>79.47</c:v>
                </c:pt>
              </c:numCache>
            </c:numRef>
          </c:val>
        </c:ser>
        <c:ser>
          <c:idx val="1"/>
          <c:order val="1"/>
          <c:tx>
            <c:strRef>
              <c:f>Sheet1!$C$1</c:f>
              <c:strCache>
                <c:ptCount val="1"/>
                <c:pt idx="0">
                  <c:v>2019决算</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63.29</c:v>
                </c:pt>
                <c:pt idx="1">
                  <c:v>63.29</c:v>
                </c:pt>
              </c:numCache>
            </c:numRef>
          </c:val>
        </c:ser>
        <c:dLbls>
          <c:showLegendKey val="0"/>
          <c:showVal val="1"/>
          <c:showCatName val="0"/>
          <c:showSerName val="0"/>
          <c:showPercent val="0"/>
          <c:showBubbleSize val="0"/>
        </c:dLbls>
        <c:gapWidth val="219"/>
        <c:overlap val="-27"/>
        <c:axId val="157542272"/>
        <c:axId val="157543808"/>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prstDash val="solid"/>
                            <a:round/>
                          </a:ln>
                          <a:effectLst/>
                        </c:spPr>
                      </c15:leaderLines>
                    </c:ext>
                  </c:extLst>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157542272"/>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57543808"/>
        <c:crosses val="autoZero"/>
        <c:auto val="1"/>
        <c:lblAlgn val="ctr"/>
        <c:lblOffset val="100"/>
        <c:noMultiLvlLbl val="0"/>
      </c:catAx>
      <c:valAx>
        <c:axId val="157543808"/>
        <c:scaling>
          <c:orientation val="minMax"/>
          <c:max val="3500"/>
          <c:min val="0"/>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57542272"/>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2099"/>
    <customShpInfo spid="_x0000_s2098"/>
    <customShpInfo spid="_x0000_s2097"/>
    <customShpInfo spid="_x0000_s2096"/>
    <customShpInfo spid="_x0000_s2095"/>
    <customShpInfo spid="_x0000_s2094"/>
    <customShpInfo spid="_x0000_s2093"/>
    <customShpInfo spid="_x0000_s2112"/>
    <customShpInfo spid="_x0000_s2113"/>
    <customShpInfo spid="_x0000_s2114"/>
    <customShpInfo spid="_x0000_s2111"/>
    <customShpInfo spid="_x0000_s2120"/>
    <customShpInfo spid="_x0000_s2121"/>
    <customShpInfo spid="_x0000_s2119"/>
    <customShpInfo spid="_x0000_s2091"/>
    <customShpInfo spid="_x0000_s2090"/>
    <customShpInfo spid="_x0000_s2089"/>
    <customShpInfo spid="_x0000_s2088"/>
    <customShpInfo spid="_x0000_s2087"/>
    <customShpInfo spid="_x0000_s2086"/>
    <customShpInfo spid="_x0000_s2085"/>
    <customShpInfo spid="_x0000_s2092"/>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123"/>
    <customShpInfo spid="_x0000_s2124"/>
    <customShpInfo spid="_x0000_s2125"/>
    <customShpInfo spid="_x0000_s2122"/>
    <customShpInfo spid="_x0000_s2068"/>
    <customShpInfo spid="_x0000_s2067"/>
    <customShpInfo spid="_x0000_s2066"/>
    <customShpInfo spid="_x0000_s2065"/>
    <customShpInfo spid="_x0000_s2064"/>
    <customShpInfo spid="_x0000_s2131"/>
    <customShpInfo spid="_x0000_s2132"/>
    <customShpInfo spid="_x0000_s2130"/>
    <customShpInfo spid="_x0000_s2127"/>
    <customShpInfo spid="_x0000_s2128"/>
    <customShpInfo spid="_x0000_s2129"/>
    <customShpInfo spid="_x0000_s2126"/>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65"/>
    <customShpInfo spid="_x0000_s1066"/>
    <customShpInfo spid="_x0000_s1064"/>
    <customShpInfo spid="_x0000_s1061"/>
    <customShpInfo spid="_x0000_s1062"/>
    <customShpInfo spid="_x0000_s1060"/>
    <customShpInfo spid="_x0000_s1026"/>
    <customShpInfo spid="_x0000_s1046"/>
    <customShpInfo spid="_x0000_s1045"/>
    <customShpInfo spid="_x0000_s1044"/>
    <customShpInfo spid="_x0000_s1043"/>
    <customShpInfo spid="_x0000_s1042"/>
    <customShpInfo spid="_x0000_s1041"/>
    <customShpInfo spid="_x0000_s1069"/>
    <customShpInfo spid="_x0000_s1070"/>
    <customShpInfo spid="_x0000_s1068"/>
    <customShpInfo spid="_x0000_s1037"/>
    <customShpInfo spid="_x0000_s1036"/>
    <customShpInfo spid="_x0000_s1035"/>
    <customShpInfo spid="_x0000_s1034"/>
    <customShpInfo spid="_x0000_s1030"/>
    <customShpInfo spid="_x0000_s1029"/>
    <customShpInfo spid="_x0000_s1033"/>
    <customShpInfo spid="_x0000_s1032"/>
    <customShpInfo spid="_x0000_s103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347A5E-C701-49C3-A85C-1C338C81E239}">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33</Pages>
  <Words>1507</Words>
  <Characters>8595</Characters>
  <Lines>71</Lines>
  <Paragraphs>20</Paragraphs>
  <TotalTime>28</TotalTime>
  <ScaleCrop>false</ScaleCrop>
  <LinksUpToDate>false</LinksUpToDate>
  <CharactersWithSpaces>10082</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王绿</cp:lastModifiedBy>
  <cp:lastPrinted>2020-07-30T02:37:00Z</cp:lastPrinted>
  <dcterms:modified xsi:type="dcterms:W3CDTF">2024-01-22T09:14:19Z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13C2DB8E0F464BBE87D50B32689A0CE4_12</vt:lpwstr>
  </property>
</Properties>
</file>