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426A40"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</w:p>
    <w:p w14:paraId="7793A4A0"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整体支出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 w14:paraId="456FEEE7"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 w14:paraId="2891AE3E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4456D329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藁城区财政局企业科负责经济建设资金、粮食风险基金、中小企业发展资金、地方国有企业财务的监督与管理，参与管理世界银行贷款项目管理工作；拟定土地收支管理制度并组织实施，拟定全区政府性债务管理制度并组织实施；编制区级政府性债务预算，统筹债务资金的安排使用，对全区政府性债务投资项目实施台账管理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eastAsia="zh-CN"/>
        </w:rPr>
        <w:t>和分类指导，对政府性债务实施统计监督和评估预警，拟定化解政府性债务的政策措施，落实监督和债务偿还责任；负责归口管理的行政事业单位预算、决算编制；负责土地收支预算、决算；负责全区固定资产投资、粮食风险基金、国有企业及在统的集体企业决算的编制和上报。</w:t>
      </w:r>
    </w:p>
    <w:p w14:paraId="12932267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2022年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企业科列支专项资金预算（调整后）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2541.457768</w:t>
      </w:r>
      <w:r>
        <w:rPr>
          <w:rFonts w:hint="eastAsia" w:ascii="仿宋" w:hAnsi="仿宋" w:eastAsia="仿宋" w:cs="仿宋"/>
          <w:sz w:val="32"/>
          <w:szCs w:val="32"/>
        </w:rPr>
        <w:t>万元，涉及项目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个，全年预算执行数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2541.457768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7AD12ACD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19820168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切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实做好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2022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年度部门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项目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绩效自评工作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进一步推进我区绩效预算管理工作，提高财政资金使用效益和财政管理科学化、精细化水平，根据《石家庄市藁城区区级部门预算项目绩效自评管理办法》（藁财字〔2020〕23号）要求，遵循“科学性、规范性、客观性和公正性”的原则，认真开展了2022年度预算绩效自评工作。为保证绩效评价工作顺利开展，成立了绩效评价工作小组，负责绩效评价的组织管理和实施工作。评价小组对年度绩效的相关资料进行收集、梳理，并撰写绩效评价报告。</w:t>
      </w:r>
    </w:p>
    <w:p w14:paraId="6AAAD1C7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2022年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企业科列支</w:t>
      </w:r>
      <w:r>
        <w:rPr>
          <w:rFonts w:hint="eastAsia" w:ascii="仿宋" w:hAnsi="仿宋" w:eastAsia="仿宋" w:cs="仿宋"/>
          <w:sz w:val="32"/>
          <w:szCs w:val="32"/>
        </w:rPr>
        <w:t>绩效自评项目共有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个，由自评工作小组负责实施项目绩效自评工作，首先对2022年度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个项目的实际完成情况进行了解，与年初预算制定的绩效目标相比较，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基本</w:t>
      </w:r>
      <w:r>
        <w:rPr>
          <w:rFonts w:hint="eastAsia" w:ascii="仿宋" w:hAnsi="仿宋" w:eastAsia="仿宋" w:cs="仿宋"/>
          <w:sz w:val="32"/>
          <w:szCs w:val="32"/>
        </w:rPr>
        <w:t>完成年初预算绩效目标；其次对项目资金的使用情况进行评价，通过查阅有关项目收入支出明细账，审核项目资金是否专款专用、支出进度是否达到年初计划；最后，对项目实施过程中存在的问题进行分析讨论，并提出可行性建议和措施。</w:t>
      </w:r>
    </w:p>
    <w:p w14:paraId="326DED85"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部门整体支出绩效目标实现情况及指标分析</w:t>
      </w:r>
    </w:p>
    <w:p w14:paraId="4E44DEA7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2022年较高效率地使用了各专项资金，基本完成了各项目的绩效目标，圆满完成了建设用地社会保险费及风险基金、政策性粮食财务挂账贷款利息、一般债券利息支出、债券付息服务费及发行兑付费用等各项工作，项目综合评价均为优秀。</w:t>
      </w:r>
    </w:p>
    <w:p w14:paraId="4F8C2DA8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专项资金和具体预算支出项目的完成情况：</w:t>
      </w:r>
    </w:p>
    <w:p w14:paraId="52A0E725"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缴纳石家庄市2022年第15批建设用地社会保险费及风险基金项目。2022年该项目预算数195.6787万元，支付到位195.6787万元，执行数195.6787万元，预算执行率100%，资金到位率100%。</w:t>
      </w:r>
    </w:p>
    <w:p w14:paraId="0343E35B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2.一般债券付息服务费及兑付发行费用项目。2022年该项目预算数19.553443万元，支付到位19.553443万元，执行数19.553443万元，预算执行率100%，资金到位率100%。</w:t>
      </w:r>
    </w:p>
    <w:p w14:paraId="1F437E85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3.一般债券利息支出项目。2022年该项目预算数2033.17万元，支付到位2033.17万元，执行数2033.17万元，预算执行率100%，资金到位率100%。</w:t>
      </w:r>
    </w:p>
    <w:p w14:paraId="2525FE61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4.政策性粮食财务挂账贷款利息项目。2022年该项目预算数49.93万元，支付到位49.93万元，执行数49.93万元，预算执行率100%，资金到位率100%。</w:t>
      </w:r>
    </w:p>
    <w:p w14:paraId="52ECB1FC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专项债券（土储）付息服务费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项目。2022年该项目预算数0.524746万元，支付到位0.524746万元，执行数0.524746万元，预算执行率100%，资金到位率100%。</w:t>
      </w:r>
    </w:p>
    <w:p w14:paraId="15F86AFA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6.专项债券付息服务费及发行兑付费用项目。2022年该项目预算数242.6008万元，支付到位242.6008万元，执行数242.6008万元，预算执行率100%，资金到位率100%。</w:t>
      </w:r>
    </w:p>
    <w:p w14:paraId="7F7F1C5E"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评价结论和评价等级</w:t>
      </w:r>
    </w:p>
    <w:p w14:paraId="4CECC2BC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通过对全年项目进行绩效评价，逐项分析每个项目产出和效果指标完成情况，总得分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分，得出综合评价结论和项目综合绩效评价等级为优秀。</w:t>
      </w:r>
    </w:p>
    <w:p w14:paraId="4500DD7A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、整改措</w:t>
      </w:r>
      <w:r>
        <w:rPr>
          <w:rFonts w:hint="eastAsia" w:ascii="黑体" w:hAnsi="黑体" w:eastAsia="黑体" w:cs="黑体"/>
          <w:sz w:val="32"/>
          <w:szCs w:val="32"/>
        </w:rPr>
        <w:t>施及结果应用</w:t>
      </w:r>
    </w:p>
    <w:p w14:paraId="309031CD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（一）进一步完善绩效管理体制机制。</w:t>
      </w:r>
    </w:p>
    <w:p w14:paraId="4B484121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要坚持制度先行，进一步推进绩效管理制度建设，使绩效管理工作制度化、规范化，建立预算绩效管理评价工作的“三位一体”机制，将绩效预期目标申报、绩效评价、绩效结果应用这三方面内容贯穿于每个项目。</w:t>
      </w:r>
    </w:p>
    <w:p w14:paraId="0027F708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（二）切实强化绩效评价结果的运用。</w:t>
      </w:r>
    </w:p>
    <w:p w14:paraId="735804C6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要把绩效评价结果作为对下年度安排预算和考核的重要依据，进一步优化财政资源配置，对绩效低下的专项资金，取消或调整支持方式，调整支出结构，使财政资金的安排使用更趋合理、有效。加强绩效评价工作的规范性和约束力，发挥绩效评价对财政资金的跟踪问效用和决策信息反馈作用，努力使评价结果更具公正性和权威性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深化绩效评价工作，不断提高部门预算整体绩效管理水平。</w:t>
      </w:r>
    </w:p>
    <w:p w14:paraId="2DD37E67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六、评价工作组人员名单及签字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6"/>
        <w:gridCol w:w="1550"/>
        <w:gridCol w:w="2867"/>
        <w:gridCol w:w="1264"/>
        <w:gridCol w:w="1705"/>
      </w:tblGrid>
      <w:tr w14:paraId="01A707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</w:trPr>
        <w:tc>
          <w:tcPr>
            <w:tcW w:w="1136" w:type="dxa"/>
            <w:noWrap w:val="0"/>
            <w:vAlign w:val="center"/>
          </w:tcPr>
          <w:p w14:paraId="7AD5FFE5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300" w:firstLineChars="100"/>
              <w:jc w:val="both"/>
              <w:textAlignment w:val="auto"/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1550" w:type="dxa"/>
            <w:noWrap w:val="0"/>
            <w:vAlign w:val="center"/>
          </w:tcPr>
          <w:p w14:paraId="5B8ADAA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300" w:firstLineChars="100"/>
              <w:jc w:val="both"/>
              <w:textAlignment w:val="auto"/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姓名</w:t>
            </w:r>
          </w:p>
        </w:tc>
        <w:tc>
          <w:tcPr>
            <w:tcW w:w="2867" w:type="dxa"/>
            <w:noWrap w:val="0"/>
            <w:vAlign w:val="center"/>
          </w:tcPr>
          <w:p w14:paraId="4A22EE3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600" w:firstLineChars="200"/>
              <w:jc w:val="both"/>
              <w:textAlignment w:val="auto"/>
              <w:rPr>
                <w:rFonts w:hint="default" w:ascii="仿宋_GB2312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工作单位</w:t>
            </w:r>
          </w:p>
        </w:tc>
        <w:tc>
          <w:tcPr>
            <w:tcW w:w="1264" w:type="dxa"/>
            <w:noWrap w:val="0"/>
            <w:vAlign w:val="center"/>
          </w:tcPr>
          <w:p w14:paraId="314D3AC1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职务</w:t>
            </w:r>
          </w:p>
        </w:tc>
        <w:tc>
          <w:tcPr>
            <w:tcW w:w="1705" w:type="dxa"/>
            <w:noWrap w:val="0"/>
            <w:vAlign w:val="center"/>
          </w:tcPr>
          <w:p w14:paraId="603EB808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320" w:firstLineChars="100"/>
              <w:jc w:val="both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签字</w:t>
            </w:r>
          </w:p>
        </w:tc>
      </w:tr>
      <w:tr w14:paraId="48DF29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1136" w:type="dxa"/>
            <w:noWrap w:val="0"/>
            <w:vAlign w:val="center"/>
          </w:tcPr>
          <w:p w14:paraId="1D2D8CD1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320" w:firstLineChars="100"/>
              <w:jc w:val="center"/>
              <w:textAlignment w:val="auto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1550" w:type="dxa"/>
            <w:noWrap w:val="0"/>
            <w:vAlign w:val="center"/>
          </w:tcPr>
          <w:p w14:paraId="1445E5D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马艳辉</w:t>
            </w:r>
          </w:p>
        </w:tc>
        <w:tc>
          <w:tcPr>
            <w:tcW w:w="2867" w:type="dxa"/>
            <w:noWrap w:val="0"/>
            <w:vAlign w:val="center"/>
          </w:tcPr>
          <w:p w14:paraId="29B20D5C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藁城区财政局</w:t>
            </w:r>
          </w:p>
        </w:tc>
        <w:tc>
          <w:tcPr>
            <w:tcW w:w="1264" w:type="dxa"/>
            <w:noWrap w:val="0"/>
            <w:vAlign w:val="center"/>
          </w:tcPr>
          <w:p w14:paraId="769BF316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副局长</w:t>
            </w:r>
          </w:p>
        </w:tc>
        <w:tc>
          <w:tcPr>
            <w:tcW w:w="1705" w:type="dxa"/>
            <w:noWrap w:val="0"/>
            <w:vAlign w:val="center"/>
          </w:tcPr>
          <w:p w14:paraId="0F0BAC7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 w14:paraId="5D096F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1136" w:type="dxa"/>
            <w:noWrap w:val="0"/>
            <w:vAlign w:val="center"/>
          </w:tcPr>
          <w:p w14:paraId="67817849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320" w:firstLineChars="1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1550" w:type="dxa"/>
            <w:noWrap w:val="0"/>
            <w:vAlign w:val="center"/>
          </w:tcPr>
          <w:p w14:paraId="3E7FF95A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黄河</w:t>
            </w:r>
          </w:p>
        </w:tc>
        <w:tc>
          <w:tcPr>
            <w:tcW w:w="2867" w:type="dxa"/>
            <w:noWrap w:val="0"/>
            <w:vAlign w:val="center"/>
          </w:tcPr>
          <w:p w14:paraId="4E2525B4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藁城区财政局</w:t>
            </w:r>
          </w:p>
        </w:tc>
        <w:tc>
          <w:tcPr>
            <w:tcW w:w="1264" w:type="dxa"/>
            <w:noWrap w:val="0"/>
            <w:vAlign w:val="center"/>
          </w:tcPr>
          <w:p w14:paraId="154E01B5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股长</w:t>
            </w:r>
          </w:p>
        </w:tc>
        <w:tc>
          <w:tcPr>
            <w:tcW w:w="1705" w:type="dxa"/>
            <w:noWrap w:val="0"/>
            <w:vAlign w:val="center"/>
          </w:tcPr>
          <w:p w14:paraId="2E31427C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</w:tbl>
    <w:p w14:paraId="74904B71"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52348B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6D1E527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6D1E527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B6B8C2"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79F1EC4"/>
    <w:multiLevelType w:val="singleLevel"/>
    <w:tmpl w:val="B79F1EC4"/>
    <w:lvl w:ilvl="0" w:tentative="0">
      <w:start w:val="3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MzZmIyODEyYmQwZGE2MGU2MDg2NjQ2ZDRlZTY2ODc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1D4810"/>
    <w:rsid w:val="05350CEC"/>
    <w:rsid w:val="055B525F"/>
    <w:rsid w:val="13B61930"/>
    <w:rsid w:val="18214E8A"/>
    <w:rsid w:val="1BAF1154"/>
    <w:rsid w:val="1C655171"/>
    <w:rsid w:val="20276775"/>
    <w:rsid w:val="2069462C"/>
    <w:rsid w:val="3AEF6FE7"/>
    <w:rsid w:val="493B718D"/>
    <w:rsid w:val="49516B58"/>
    <w:rsid w:val="53A42ADD"/>
    <w:rsid w:val="5A476371"/>
    <w:rsid w:val="5C4A315B"/>
    <w:rsid w:val="661D3074"/>
    <w:rsid w:val="6BDE7164"/>
    <w:rsid w:val="6EA95BA0"/>
    <w:rsid w:val="73CD494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4</Pages>
  <Words>1679</Words>
  <Characters>1904</Characters>
  <Lines>3</Lines>
  <Paragraphs>1</Paragraphs>
  <TotalTime>292</TotalTime>
  <ScaleCrop>false</ScaleCrop>
  <LinksUpToDate>false</LinksUpToDate>
  <CharactersWithSpaces>1904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 </cp:lastModifiedBy>
  <cp:lastPrinted>2021-02-24T05:43:00Z</cp:lastPrinted>
  <dcterms:modified xsi:type="dcterms:W3CDTF">2024-09-23T01:47:06Z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23AFF002A5DF49BDB4C8C39BC8C40F8A</vt:lpwstr>
  </property>
</Properties>
</file>