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方正小标宋简体" w:hAnsi="方正小标宋简体" w:eastAsia="方正小标宋简体" w:cs="方正小标宋简体"/>
          <w:b w:val="0"/>
          <w:bCs w:val="0"/>
          <w:kern w:val="0"/>
          <w:sz w:val="44"/>
          <w:szCs w:val="44"/>
          <w:lang w:val="en-US" w:eastAsia="zh-CN"/>
        </w:rPr>
      </w:pPr>
      <w:r>
        <w:rPr>
          <w:rFonts w:hint="eastAsia" w:ascii="方正小标宋简体" w:hAnsi="方正小标宋简体" w:eastAsia="方正小标宋简体" w:cs="方正小标宋简体"/>
          <w:b w:val="0"/>
          <w:bCs w:val="0"/>
          <w:kern w:val="0"/>
          <w:sz w:val="44"/>
          <w:szCs w:val="44"/>
          <w:lang w:eastAsia="zh-CN"/>
        </w:rPr>
        <w:t>藁城区政协</w:t>
      </w:r>
      <w:r>
        <w:rPr>
          <w:rFonts w:hint="eastAsia" w:ascii="方正小标宋简体" w:hAnsi="方正小标宋简体" w:eastAsia="方正小标宋简体" w:cs="方正小标宋简体"/>
          <w:b w:val="0"/>
          <w:bCs w:val="0"/>
          <w:kern w:val="0"/>
          <w:sz w:val="44"/>
          <w:szCs w:val="44"/>
          <w:lang w:val="en-US" w:eastAsia="zh-CN"/>
        </w:rPr>
        <w:t>办</w:t>
      </w:r>
    </w:p>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kern w:val="0"/>
          <w:sz w:val="44"/>
          <w:szCs w:val="44"/>
          <w:lang w:val="en-US" w:eastAsia="zh-CN"/>
        </w:rPr>
        <w:t>2022年</w:t>
      </w:r>
      <w:r>
        <w:rPr>
          <w:rFonts w:hint="eastAsia" w:ascii="方正小标宋简体" w:hAnsi="方正小标宋简体" w:eastAsia="方正小标宋简体" w:cs="方正小标宋简体"/>
          <w:b w:val="0"/>
          <w:bCs w:val="0"/>
          <w:kern w:val="0"/>
          <w:sz w:val="44"/>
          <w:szCs w:val="44"/>
        </w:rPr>
        <w:t>部门年度</w:t>
      </w:r>
      <w:r>
        <w:rPr>
          <w:rFonts w:hint="eastAsia" w:ascii="方正小标宋简体" w:hAnsi="方正小标宋简体" w:eastAsia="方正小标宋简体" w:cs="方正小标宋简体"/>
          <w:b w:val="0"/>
          <w:bCs w:val="0"/>
          <w:sz w:val="44"/>
          <w:szCs w:val="44"/>
        </w:rPr>
        <w:t>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一、绩效自评工作组织开展情况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藁城区政协办高度重视绩效自评工作，成立了由主任任组长、一级主任科员任副组长，相关业务科室科长、财务人员为成员的绩效自评工作小组，通过实地查看、核对账务对2022年项目资金的收入、支出、日常财务管理等项目绩效实施情况作了系统、全面的评价。</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为更好地发挥政协的职能作用，政协办2022年申请了6个项目资金共72.47万元，实际执行金额为72.47万元，各项目严格按照财政收支管理规定全部支出专项资金。</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黑体" w:hAnsi="黑体" w:eastAsia="黑体" w:cs="黑体"/>
          <w:sz w:val="32"/>
          <w:szCs w:val="32"/>
        </w:rPr>
        <w:t>二、绩效目标实现情况</w:t>
      </w:r>
      <w:bookmarkStart w:id="0" w:name="_GoBack"/>
      <w:bookmarkEnd w:id="0"/>
    </w:p>
    <w:p>
      <w:pPr>
        <w:keepNext w:val="0"/>
        <w:keepLines w:val="0"/>
        <w:pageBreakBefore w:val="0"/>
        <w:widowControl w:val="0"/>
        <w:kinsoku/>
        <w:wordWrap/>
        <w:overflowPunct/>
        <w:topLinePunct w:val="0"/>
        <w:autoSpaceDE w:val="0"/>
        <w:autoSpaceDN w:val="0"/>
        <w:bidi w:val="0"/>
        <w:adjustRightInd w:val="0"/>
        <w:spacing w:line="560"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区政协在政治协商、民主监督、参政议政三大职能发挥作用对国家的大政方针和地方的重要举措以及经济建设、政治建设、文化建设、社会建设、生态文明建设中的重要问题，在决策前和决策实施中进行协商。申请的8个项目财政预算资金到位率100%，支出率均达到90%以上，所有</w:t>
      </w:r>
      <w:r>
        <w:rPr>
          <w:rFonts w:hint="eastAsia" w:ascii="仿宋_GB2312" w:hAnsi="仿宋_GB2312" w:eastAsia="仿宋_GB2312" w:cs="仿宋_GB2312"/>
          <w:sz w:val="32"/>
          <w:szCs w:val="32"/>
        </w:rPr>
        <w:t>项目的预期绩效目标完成</w:t>
      </w:r>
      <w:r>
        <w:rPr>
          <w:rFonts w:hint="eastAsia" w:ascii="仿宋_GB2312" w:hAnsi="仿宋_GB2312" w:eastAsia="仿宋_GB2312" w:cs="仿宋_GB2312"/>
          <w:sz w:val="32"/>
          <w:szCs w:val="32"/>
          <w:lang w:val="en-US" w:eastAsia="zh-CN"/>
        </w:rPr>
        <w:t>率均在90%以上，评价结果为优秀。虽然评价结果较好，但是也存在一定的问题，主要表现在有些</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val="en-US" w:eastAsia="zh-CN"/>
        </w:rPr>
        <w:t>项目</w:t>
      </w:r>
      <w:r>
        <w:rPr>
          <w:rFonts w:hint="eastAsia" w:ascii="仿宋_GB2312" w:hAnsi="仿宋_GB2312" w:eastAsia="仿宋_GB2312" w:cs="仿宋_GB2312"/>
          <w:sz w:val="32"/>
          <w:szCs w:val="32"/>
        </w:rPr>
        <w:t>的计划性不</w:t>
      </w:r>
      <w:r>
        <w:rPr>
          <w:rFonts w:hint="eastAsia" w:ascii="仿宋_GB2312" w:hAnsi="仿宋_GB2312" w:eastAsia="仿宋_GB2312" w:cs="仿宋_GB2312"/>
          <w:sz w:val="32"/>
          <w:szCs w:val="32"/>
          <w:lang w:val="en-US" w:eastAsia="zh-CN"/>
        </w:rPr>
        <w:t>够</w:t>
      </w:r>
      <w:r>
        <w:rPr>
          <w:rFonts w:hint="eastAsia" w:ascii="仿宋_GB2312" w:hAnsi="仿宋_GB2312" w:eastAsia="仿宋_GB2312" w:cs="仿宋_GB2312"/>
          <w:sz w:val="32"/>
          <w:szCs w:val="32"/>
        </w:rPr>
        <w:t>强、科学性不</w:t>
      </w:r>
      <w:r>
        <w:rPr>
          <w:rFonts w:hint="eastAsia" w:ascii="仿宋_GB2312" w:hAnsi="仿宋_GB2312" w:eastAsia="仿宋_GB2312" w:cs="仿宋_GB2312"/>
          <w:sz w:val="32"/>
          <w:szCs w:val="32"/>
          <w:lang w:val="en-US" w:eastAsia="zh-CN"/>
        </w:rPr>
        <w:t>够</w:t>
      </w:r>
      <w:r>
        <w:rPr>
          <w:rFonts w:hint="eastAsia" w:ascii="仿宋_GB2312" w:hAnsi="仿宋_GB2312" w:eastAsia="仿宋_GB2312" w:cs="仿宋_GB2312"/>
          <w:sz w:val="32"/>
          <w:szCs w:val="32"/>
        </w:rPr>
        <w:t>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项目实施后续维护管理需要专人经常性维护等方面。</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三、绩效目标设定质量情况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通过2022年绩效自评，2022年年初绩效目标设定质量较高，</w:t>
      </w:r>
      <w:r>
        <w:rPr>
          <w:rFonts w:hint="eastAsia" w:ascii="仿宋_GB2312" w:hAnsi="仿宋_GB2312" w:eastAsia="仿宋_GB2312" w:cs="仿宋_GB2312"/>
          <w:sz w:val="32"/>
          <w:szCs w:val="32"/>
        </w:rPr>
        <w:t>绩效目标设定</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清晰准确，绩效指标</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全面完整、科学合理，绩效标准</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恰当适宜、易于评价</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四、整改措施及结果应用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针对绩效自评中发现的问题，我办拟采取以下措施加以改进:进一步加强预算资金管理，对预算的事前、事中、事后进行全过程控制，加大对预算编制与执行的监督管理力度，提高预算资金使用效率。</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藁城区政协办公室</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jc w:val="righ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2023年5月31日</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TQ5ODdlNDUzODZkNDAxZGNmZDdjZTA3MzQzZGY5NGQ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192401A"/>
    <w:rsid w:val="055B525F"/>
    <w:rsid w:val="0EE813C5"/>
    <w:rsid w:val="13B61930"/>
    <w:rsid w:val="20276775"/>
    <w:rsid w:val="298002BA"/>
    <w:rsid w:val="391050E1"/>
    <w:rsid w:val="3AEF6FE7"/>
    <w:rsid w:val="493B718D"/>
    <w:rsid w:val="53A42ADD"/>
    <w:rsid w:val="54921336"/>
    <w:rsid w:val="5FFD4A57"/>
    <w:rsid w:val="661D3074"/>
    <w:rsid w:val="76784D32"/>
    <w:rsid w:val="792438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2</Pages>
  <Words>641</Words>
  <Characters>678</Characters>
  <Lines>3</Lines>
  <Paragraphs>1</Paragraphs>
  <TotalTime>7786</TotalTime>
  <ScaleCrop>false</ScaleCrop>
  <LinksUpToDate>false</LinksUpToDate>
  <CharactersWithSpaces>746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马子妍</cp:lastModifiedBy>
  <cp:lastPrinted>2022-07-13T03:29:00Z</cp:lastPrinted>
  <dcterms:modified xsi:type="dcterms:W3CDTF">2023-07-19T08:02:25Z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BAFC46CE9B274EB686936063225E9173</vt:lpwstr>
  </property>
</Properties>
</file>