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60" w:lineRule="exact"/>
        <w:ind w:firstLine="883" w:firstLineChars="200"/>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藁城区红十字会</w:t>
      </w:r>
    </w:p>
    <w:p>
      <w:pPr>
        <w:snapToGrid w:val="0"/>
        <w:spacing w:line="560" w:lineRule="exact"/>
        <w:jc w:val="both"/>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2</w:t>
      </w:r>
      <w:r>
        <w:rPr>
          <w:rFonts w:hint="eastAsia" w:ascii="宋体" w:hAnsi="宋体" w:cs="宋体"/>
          <w:b/>
          <w:bCs/>
          <w:sz w:val="44"/>
          <w:szCs w:val="44"/>
        </w:rPr>
        <w:t>年度部门整体支出绩效</w:t>
      </w:r>
      <w:r>
        <w:rPr>
          <w:rFonts w:hint="eastAsia" w:ascii="宋体" w:hAnsi="宋体" w:cs="宋体"/>
          <w:b/>
          <w:bCs/>
          <w:sz w:val="44"/>
          <w:szCs w:val="44"/>
          <w:lang w:val="en-US" w:eastAsia="zh-CN"/>
        </w:rPr>
        <w:t>自</w:t>
      </w:r>
      <w:r>
        <w:rPr>
          <w:rFonts w:hint="eastAsia" w:ascii="宋体" w:hAnsi="宋体" w:cs="宋体"/>
          <w:b/>
          <w:bCs/>
          <w:sz w:val="44"/>
          <w:szCs w:val="44"/>
        </w:rPr>
        <w:t>评</w:t>
      </w:r>
      <w:r>
        <w:rPr>
          <w:rFonts w:hint="eastAsia" w:ascii="宋体" w:hAnsi="宋体" w:cs="宋体"/>
          <w:b/>
          <w:bCs/>
          <w:sz w:val="44"/>
          <w:szCs w:val="44"/>
          <w:lang w:val="en-US" w:eastAsia="zh-CN"/>
        </w:rPr>
        <w:t>工作</w:t>
      </w:r>
      <w:r>
        <w:rPr>
          <w:rFonts w:hint="eastAsia" w:ascii="宋体" w:hAnsi="宋体" w:cs="宋体"/>
          <w:b/>
          <w:bCs/>
          <w:sz w:val="44"/>
          <w:szCs w:val="44"/>
        </w:rPr>
        <w:t>报告</w:t>
      </w:r>
    </w:p>
    <w:p>
      <w:pPr>
        <w:snapToGrid w:val="0"/>
        <w:spacing w:line="560" w:lineRule="exact"/>
        <w:ind w:firstLine="800" w:firstLineChars="250"/>
        <w:jc w:val="center"/>
        <w:rPr>
          <w:rFonts w:ascii="仿宋" w:hAnsi="仿宋" w:eastAsia="仿宋" w:cs="仿宋"/>
          <w:sz w:val="32"/>
          <w:szCs w:val="32"/>
        </w:rPr>
      </w:pPr>
    </w:p>
    <w:p>
      <w:pPr>
        <w:snapToGrid w:val="0"/>
        <w:spacing w:line="560" w:lineRule="exac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进一步推进我区绩效预算管理工作，提高财政资金使用效益和财政管理科学化、精细化水平，根据《石家庄市藁城区区级部门预算项目绩效自评管理办法》（藁财字〔2020〕23号）要求，遵循“科学性、规范性、客观性和公正性”的原则，我单位认真开展了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年度预算绩效自评工作，现将有关情况报告如下：</w:t>
      </w:r>
    </w:p>
    <w:p>
      <w:pPr>
        <w:adjustRightInd w:val="0"/>
        <w:snapToGrid w:val="0"/>
        <w:spacing w:line="560" w:lineRule="exact"/>
        <w:ind w:firstLine="643" w:firstLineChars="200"/>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一</w:t>
      </w:r>
      <w:r>
        <w:rPr>
          <w:rFonts w:hint="eastAsia" w:ascii="仿宋_GB2312" w:hAnsi="仿宋_GB2312" w:eastAsia="仿宋_GB2312" w:cs="仿宋_GB2312"/>
          <w:b/>
          <w:bCs w:val="0"/>
          <w:sz w:val="32"/>
          <w:szCs w:val="32"/>
        </w:rPr>
        <w:t>、部门基本情况及职责职能</w:t>
      </w:r>
    </w:p>
    <w:p>
      <w:pPr>
        <w:snapToGrid w:val="0"/>
        <w:spacing w:line="520" w:lineRule="exact"/>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一</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部门概况</w:t>
      </w:r>
    </w:p>
    <w:p>
      <w:pPr>
        <w:snapToGrid w:val="0"/>
        <w:spacing w:line="52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1．主要职能</w:t>
      </w:r>
    </w:p>
    <w:p>
      <w:pPr>
        <w:snapToGrid w:val="0"/>
        <w:spacing w:line="5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宣传和执行《中华人民共和国红十字会法》、《中国红十字会章程》和《中国红十字会标志使用办法》等相关法律法规；开展备灾救灾工作；开展应急救护和防病知识培训、宣传和普及；依法开展无偿献血、造血干细胞、遗体（器官）捐献的宣传动员、组织推动工作；开展社会救助及相关服务工作；开展有益于青少年身心健康的红十字青少年活动；组织开展志愿服务工作；依法开展募捐活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协助人民政府开展与其职责相关的其他人道主义服务活动</w:t>
      </w:r>
      <w:r>
        <w:rPr>
          <w:rFonts w:hint="eastAsia" w:ascii="仿宋_GB2312" w:hAnsi="仿宋_GB2312" w:eastAsia="仿宋_GB2312" w:cs="仿宋_GB2312"/>
          <w:sz w:val="32"/>
          <w:szCs w:val="32"/>
        </w:rPr>
        <w:t>。</w:t>
      </w:r>
    </w:p>
    <w:p>
      <w:pPr>
        <w:numPr>
          <w:ilvl w:val="0"/>
          <w:numId w:val="1"/>
        </w:numPr>
        <w:snapToGrid w:val="0"/>
        <w:spacing w:line="52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机构情况</w:t>
      </w:r>
    </w:p>
    <w:p>
      <w:pPr>
        <w:pStyle w:val="7"/>
        <w:spacing w:line="520" w:lineRule="atLeas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2022年，纳入本部门决算汇编范围的独立核算机构共1个，即</w:t>
      </w:r>
      <w:r>
        <w:rPr>
          <w:rFonts w:hint="eastAsia" w:ascii="仿宋_GB2312" w:hAnsi="仿宋_GB2312" w:eastAsia="仿宋_GB2312" w:cs="仿宋_GB2312"/>
          <w:sz w:val="32"/>
          <w:szCs w:val="32"/>
        </w:rPr>
        <w:t>藁城区红十字会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单位性质为</w:t>
      </w:r>
      <w:r>
        <w:rPr>
          <w:rFonts w:hint="eastAsia" w:ascii="仿宋_GB2312" w:hAnsi="仿宋_GB2312" w:eastAsia="仿宋_GB2312" w:cs="仿宋_GB2312"/>
          <w:sz w:val="32"/>
          <w:szCs w:val="32"/>
        </w:rPr>
        <w:t>参公群团单位，内设办公室和捐赠管理股。</w:t>
      </w:r>
    </w:p>
    <w:p>
      <w:pPr>
        <w:numPr>
          <w:ilvl w:val="0"/>
          <w:numId w:val="1"/>
        </w:numPr>
        <w:snapToGrid w:val="0"/>
        <w:spacing w:line="52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人员情况</w:t>
      </w:r>
    </w:p>
    <w:p>
      <w:pPr>
        <w:pStyle w:val="7"/>
        <w:spacing w:line="520" w:lineRule="atLeas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财政拨款行政编制</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个，在职人员</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人，全部财政开支。</w:t>
      </w:r>
    </w:p>
    <w:p>
      <w:pPr>
        <w:adjustRightInd w:val="0"/>
        <w:snapToGrid w:val="0"/>
        <w:spacing w:line="56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val="en-US" w:eastAsia="zh-CN"/>
        </w:rPr>
        <w:t>二</w:t>
      </w:r>
      <w:r>
        <w:rPr>
          <w:rFonts w:hint="eastAsia" w:ascii="仿宋_GB2312" w:hAnsi="仿宋_GB2312" w:eastAsia="仿宋_GB2312" w:cs="仿宋_GB2312"/>
          <w:b/>
          <w:bCs/>
          <w:sz w:val="32"/>
          <w:szCs w:val="32"/>
        </w:rPr>
        <w:t>）部门</w:t>
      </w:r>
      <w:r>
        <w:rPr>
          <w:rFonts w:hint="eastAsia" w:ascii="仿宋_GB2312" w:hAnsi="仿宋_GB2312" w:eastAsia="仿宋_GB2312" w:cs="仿宋_GB2312"/>
          <w:b/>
          <w:bCs/>
          <w:sz w:val="32"/>
          <w:szCs w:val="32"/>
          <w:lang w:val="en-US" w:eastAsia="zh-CN"/>
        </w:rPr>
        <w:t>收支预决算</w:t>
      </w:r>
      <w:r>
        <w:rPr>
          <w:rFonts w:hint="eastAsia" w:ascii="仿宋_GB2312" w:hAnsi="仿宋_GB2312" w:eastAsia="仿宋_GB2312" w:cs="仿宋_GB2312"/>
          <w:b/>
          <w:bCs/>
          <w:sz w:val="32"/>
          <w:szCs w:val="32"/>
        </w:rPr>
        <w:t>概况</w:t>
      </w:r>
    </w:p>
    <w:p>
      <w:pPr>
        <w:snapToGrid w:val="0"/>
        <w:spacing w:line="560" w:lineRule="exact"/>
        <w:ind w:firstLine="960" w:firstLineChars="3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2022年预算</w:t>
      </w:r>
      <w:r>
        <w:rPr>
          <w:rFonts w:hint="eastAsia" w:ascii="仿宋_GB2312" w:hAnsi="仿宋_GB2312" w:eastAsia="仿宋_GB2312" w:cs="仿宋_GB2312"/>
          <w:sz w:val="32"/>
          <w:szCs w:val="32"/>
        </w:rPr>
        <w:t>收入为</w:t>
      </w:r>
      <w:r>
        <w:rPr>
          <w:rFonts w:hint="eastAsia" w:ascii="仿宋_GB2312" w:hAnsi="仿宋_GB2312" w:eastAsia="仿宋_GB2312" w:cs="仿宋_GB2312"/>
          <w:sz w:val="32"/>
          <w:szCs w:val="32"/>
          <w:lang w:val="en-US" w:eastAsia="zh-CN"/>
        </w:rPr>
        <w:t>123.39</w:t>
      </w:r>
      <w:r>
        <w:rPr>
          <w:rFonts w:hint="eastAsia" w:ascii="仿宋_GB2312" w:hAnsi="仿宋_GB2312" w:eastAsia="仿宋_GB2312" w:cs="仿宋_GB2312"/>
          <w:sz w:val="32"/>
          <w:szCs w:val="32"/>
        </w:rPr>
        <w:t>元，其中：</w:t>
      </w:r>
      <w:r>
        <w:rPr>
          <w:rFonts w:hint="eastAsia" w:ascii="仿宋_GB2312" w:hAnsi="仿宋_GB2312" w:eastAsia="仿宋_GB2312" w:cs="仿宋_GB2312"/>
          <w:sz w:val="32"/>
          <w:szCs w:val="32"/>
          <w:lang w:val="en-US" w:eastAsia="zh-CN"/>
        </w:rPr>
        <w:t>一般公共预算</w:t>
      </w:r>
      <w:r>
        <w:rPr>
          <w:rFonts w:hint="eastAsia" w:ascii="仿宋_GB2312" w:hAnsi="仿宋_GB2312" w:eastAsia="仿宋_GB2312" w:cs="仿宋_GB2312"/>
          <w:sz w:val="32"/>
          <w:szCs w:val="32"/>
        </w:rPr>
        <w:t>收入</w:t>
      </w:r>
      <w:r>
        <w:rPr>
          <w:rFonts w:hint="eastAsia" w:ascii="仿宋_GB2312" w:hAnsi="仿宋_GB2312" w:eastAsia="仿宋_GB2312" w:cs="仿宋_GB2312"/>
          <w:sz w:val="32"/>
          <w:szCs w:val="32"/>
          <w:lang w:val="en-US" w:eastAsia="zh-CN"/>
        </w:rPr>
        <w:t>123.39</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val="en-US" w:eastAsia="zh-CN"/>
        </w:rPr>
        <w:t>基金预算收入0元，</w:t>
      </w:r>
      <w:r>
        <w:rPr>
          <w:rFonts w:hint="eastAsia" w:ascii="仿宋_GB2312" w:hAnsi="仿宋_GB2312" w:eastAsia="仿宋_GB2312" w:cs="仿宋_GB2312"/>
          <w:sz w:val="32"/>
          <w:szCs w:val="32"/>
        </w:rPr>
        <w:t>非财政补助收入0元。</w:t>
      </w:r>
    </w:p>
    <w:p>
      <w:pPr>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2022</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部门决算</w:t>
      </w:r>
      <w:r>
        <w:rPr>
          <w:rFonts w:hint="eastAsia" w:ascii="仿宋_GB2312" w:hAnsi="仿宋_GB2312" w:eastAsia="仿宋_GB2312" w:cs="仿宋_GB2312"/>
          <w:sz w:val="32"/>
          <w:szCs w:val="32"/>
        </w:rPr>
        <w:t>支出为</w:t>
      </w:r>
      <w:r>
        <w:rPr>
          <w:rFonts w:hint="eastAsia" w:ascii="仿宋_GB2312" w:hAnsi="仿宋_GB2312" w:eastAsia="仿宋_GB2312" w:cs="仿宋_GB2312"/>
          <w:sz w:val="32"/>
          <w:szCs w:val="32"/>
          <w:lang w:val="en-US" w:eastAsia="zh-CN"/>
        </w:rPr>
        <w:t>123.39万</w:t>
      </w:r>
      <w:r>
        <w:rPr>
          <w:rFonts w:hint="eastAsia" w:ascii="仿宋_GB2312" w:hAnsi="仿宋_GB2312" w:eastAsia="仿宋_GB2312" w:cs="仿宋_GB2312"/>
          <w:sz w:val="32"/>
          <w:szCs w:val="32"/>
        </w:rPr>
        <w:t>元。其中：行政支出：</w:t>
      </w:r>
      <w:r>
        <w:rPr>
          <w:rFonts w:hint="eastAsia" w:ascii="仿宋_GB2312" w:hAnsi="仿宋_GB2312" w:eastAsia="仿宋_GB2312" w:cs="仿宋_GB2312"/>
          <w:sz w:val="32"/>
          <w:szCs w:val="32"/>
          <w:lang w:val="en-US" w:eastAsia="zh-CN"/>
        </w:rPr>
        <w:t>121.39万</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包括人员经费110.03万元和日常工经费13.36万元；</w:t>
      </w:r>
      <w:r>
        <w:rPr>
          <w:rFonts w:hint="eastAsia" w:ascii="仿宋_GB2312" w:hAnsi="仿宋_GB2312" w:eastAsia="仿宋_GB2312" w:cs="仿宋_GB2312"/>
          <w:sz w:val="32"/>
          <w:szCs w:val="32"/>
        </w:rPr>
        <w:t>项目支出2</w:t>
      </w:r>
      <w:r>
        <w:rPr>
          <w:rFonts w:hint="eastAsia" w:ascii="仿宋_GB2312" w:hAnsi="仿宋_GB2312" w:eastAsia="仿宋_GB2312" w:cs="仿宋_GB2312"/>
          <w:sz w:val="32"/>
          <w:szCs w:val="32"/>
          <w:lang w:val="en-US" w:eastAsia="zh-CN"/>
        </w:rPr>
        <w:t>万</w:t>
      </w:r>
      <w:r>
        <w:rPr>
          <w:rFonts w:hint="eastAsia" w:ascii="仿宋_GB2312" w:hAnsi="仿宋_GB2312" w:eastAsia="仿宋_GB2312" w:cs="仿宋_GB2312"/>
          <w:sz w:val="32"/>
          <w:szCs w:val="32"/>
        </w:rPr>
        <w:t>元。</w:t>
      </w:r>
    </w:p>
    <w:p>
      <w:pPr>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2022年度</w:t>
      </w:r>
      <w:r>
        <w:rPr>
          <w:rFonts w:hint="eastAsia" w:ascii="仿宋_GB2312" w:hAnsi="仿宋_GB2312" w:eastAsia="仿宋_GB2312" w:cs="仿宋_GB2312"/>
          <w:sz w:val="32"/>
          <w:szCs w:val="32"/>
        </w:rPr>
        <w:t>资金结存情况：财政拨款结转结余0元，其中财政拨款结转（项目结转）0元，财政结余0元，非财政拨款收入0元。</w:t>
      </w:r>
    </w:p>
    <w:p>
      <w:pPr>
        <w:adjustRightInd w:val="0"/>
        <w:snapToGrid w:val="0"/>
        <w:spacing w:line="56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val="en-US" w:eastAsia="zh-CN"/>
        </w:rPr>
        <w:t>三</w:t>
      </w:r>
      <w:r>
        <w:rPr>
          <w:rFonts w:hint="eastAsia" w:ascii="仿宋_GB2312" w:hAnsi="仿宋_GB2312" w:eastAsia="仿宋_GB2312" w:cs="仿宋_GB2312"/>
          <w:b/>
          <w:bCs/>
          <w:sz w:val="32"/>
          <w:szCs w:val="32"/>
        </w:rPr>
        <w:t>）整体支出绩效目标</w:t>
      </w:r>
    </w:p>
    <w:p>
      <w:pPr>
        <w:ind w:firstLine="960" w:firstLineChars="3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Cs/>
          <w:sz w:val="32"/>
          <w:szCs w:val="32"/>
          <w:lang w:val="en-US" w:eastAsia="zh-CN"/>
        </w:rPr>
        <w:t>2022年，以习近平新时代中国特色社会主义思想为统领，以党的二十大精神为指导，紧紧</w:t>
      </w:r>
      <w:r>
        <w:rPr>
          <w:rFonts w:hint="eastAsia" w:ascii="仿宋_GB2312" w:hAnsi="仿宋_GB2312" w:eastAsia="仿宋_GB2312" w:cs="仿宋_GB2312"/>
          <w:bCs/>
          <w:sz w:val="32"/>
          <w:szCs w:val="32"/>
        </w:rPr>
        <w:t>围绕</w:t>
      </w:r>
      <w:r>
        <w:rPr>
          <w:rFonts w:hint="eastAsia" w:ascii="仿宋_GB2312" w:hAnsi="仿宋_GB2312" w:eastAsia="仿宋_GB2312" w:cs="仿宋_GB2312"/>
          <w:bCs/>
          <w:sz w:val="32"/>
          <w:szCs w:val="32"/>
          <w:lang w:val="en-US" w:eastAsia="zh-CN"/>
        </w:rPr>
        <w:t>区委区政府</w:t>
      </w:r>
      <w:r>
        <w:rPr>
          <w:rFonts w:hint="eastAsia" w:ascii="仿宋_GB2312" w:hAnsi="仿宋_GB2312" w:eastAsia="仿宋_GB2312" w:cs="仿宋_GB2312"/>
          <w:bCs/>
          <w:sz w:val="32"/>
          <w:szCs w:val="32"/>
        </w:rPr>
        <w:t>中心</w:t>
      </w:r>
      <w:r>
        <w:rPr>
          <w:rFonts w:hint="eastAsia" w:ascii="仿宋_GB2312" w:hAnsi="仿宋_GB2312" w:eastAsia="仿宋_GB2312" w:cs="仿宋_GB2312"/>
          <w:bCs/>
          <w:sz w:val="32"/>
          <w:szCs w:val="32"/>
          <w:lang w:val="en-US" w:eastAsia="zh-CN"/>
        </w:rPr>
        <w:t>工作</w:t>
      </w:r>
      <w:r>
        <w:rPr>
          <w:rFonts w:hint="eastAsia" w:ascii="仿宋_GB2312" w:hAnsi="仿宋_GB2312" w:eastAsia="仿宋_GB2312" w:cs="仿宋_GB2312"/>
          <w:bCs/>
          <w:sz w:val="32"/>
          <w:szCs w:val="32"/>
        </w:rPr>
        <w:t>、服务大局，依法履行职责，积极发挥党委政府在人道领域的助手和联系群众的桥梁纽带作用</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lang w:val="en-US" w:eastAsia="zh-CN"/>
        </w:rPr>
        <w:t>将有限的财力用到促进我区红十字事业持续、协调、健康发展的关键环节</w:t>
      </w:r>
      <w:r>
        <w:rPr>
          <w:rFonts w:hint="eastAsia" w:ascii="仿宋_GB2312" w:hAnsi="仿宋_GB2312" w:eastAsia="仿宋_GB2312" w:cs="仿宋_GB2312"/>
          <w:bCs/>
          <w:sz w:val="32"/>
          <w:szCs w:val="32"/>
        </w:rPr>
        <w:t>。</w:t>
      </w:r>
      <w:r>
        <w:rPr>
          <w:rFonts w:hint="eastAsia" w:ascii="仿宋_GB2312" w:hAnsi="仿宋_GB2312" w:eastAsia="仿宋_GB2312" w:cs="仿宋_GB2312"/>
          <w:sz w:val="32"/>
          <w:szCs w:val="32"/>
        </w:rPr>
        <w:t>“三救”</w:t>
      </w:r>
      <w:r>
        <w:rPr>
          <w:rFonts w:hint="eastAsia" w:ascii="仿宋_GB2312" w:hAnsi="仿宋_GB2312" w:eastAsia="仿宋_GB2312" w:cs="仿宋_GB2312"/>
          <w:sz w:val="32"/>
          <w:szCs w:val="32"/>
          <w:lang w:val="en-US" w:eastAsia="zh-CN"/>
        </w:rPr>
        <w:t>工作不断提质，为保障和改善民生发挥红十字的独特作用</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一是</w:t>
      </w:r>
      <w:r>
        <w:rPr>
          <w:rFonts w:hint="eastAsia" w:ascii="仿宋_GB2312" w:hAnsi="仿宋_GB2312" w:eastAsia="仿宋_GB2312" w:cs="仿宋_GB2312"/>
          <w:sz w:val="32"/>
          <w:szCs w:val="32"/>
        </w:rPr>
        <w:t>主动融入政府应急救援体系,提升备灾救灾和应急救援能力；</w:t>
      </w:r>
      <w:r>
        <w:rPr>
          <w:rFonts w:hint="eastAsia" w:ascii="仿宋_GB2312" w:hAnsi="仿宋_GB2312" w:eastAsia="仿宋_GB2312" w:cs="仿宋_GB2312"/>
          <w:sz w:val="32"/>
          <w:szCs w:val="32"/>
          <w:lang w:val="en-US" w:eastAsia="zh-CN"/>
        </w:rPr>
        <w:t>二是</w:t>
      </w:r>
      <w:r>
        <w:rPr>
          <w:rFonts w:hint="eastAsia" w:ascii="仿宋_GB2312" w:hAnsi="仿宋_GB2312" w:eastAsia="仿宋_GB2312" w:cs="仿宋_GB2312"/>
          <w:sz w:val="32"/>
          <w:szCs w:val="32"/>
        </w:rPr>
        <w:t>把应急救护</w:t>
      </w:r>
      <w:r>
        <w:rPr>
          <w:rFonts w:hint="eastAsia" w:ascii="仿宋_GB2312" w:hAnsi="仿宋_GB2312" w:eastAsia="仿宋_GB2312" w:cs="仿宋_GB2312"/>
          <w:sz w:val="32"/>
          <w:szCs w:val="32"/>
          <w:lang w:val="en-US" w:eastAsia="zh-CN"/>
        </w:rPr>
        <w:t>宣传</w:t>
      </w:r>
      <w:r>
        <w:rPr>
          <w:rFonts w:hint="eastAsia" w:ascii="仿宋_GB2312" w:hAnsi="仿宋_GB2312" w:eastAsia="仿宋_GB2312" w:cs="仿宋_GB2312"/>
          <w:sz w:val="32"/>
          <w:szCs w:val="32"/>
        </w:rPr>
        <w:t>“五进”作为推进健康行动的重要抓手，不断扩大自救互救知识和技能的社会普及面；</w:t>
      </w:r>
      <w:r>
        <w:rPr>
          <w:rFonts w:hint="eastAsia" w:ascii="仿宋_GB2312" w:hAnsi="仿宋_GB2312" w:eastAsia="仿宋_GB2312" w:cs="仿宋_GB2312"/>
          <w:sz w:val="32"/>
          <w:szCs w:val="32"/>
          <w:lang w:val="en-US" w:eastAsia="zh-CN"/>
        </w:rPr>
        <w:t>三是</w:t>
      </w:r>
      <w:r>
        <w:rPr>
          <w:rFonts w:hint="eastAsia" w:ascii="仿宋_GB2312" w:hAnsi="仿宋_GB2312" w:eastAsia="仿宋_GB2312" w:cs="仿宋_GB2312"/>
          <w:color w:val="000000"/>
          <w:sz w:val="32"/>
          <w:szCs w:val="32"/>
        </w:rPr>
        <w:t>开展</w:t>
      </w:r>
      <w:r>
        <w:rPr>
          <w:rFonts w:hint="eastAsia" w:ascii="仿宋_GB2312" w:hAnsi="仿宋_GB2312" w:eastAsia="仿宋_GB2312" w:cs="仿宋_GB2312"/>
          <w:color w:val="000000"/>
          <w:sz w:val="32"/>
          <w:szCs w:val="32"/>
          <w:lang w:val="en-US" w:eastAsia="zh-CN"/>
        </w:rPr>
        <w:t>人道</w:t>
      </w:r>
      <w:r>
        <w:rPr>
          <w:rFonts w:hint="eastAsia" w:ascii="仿宋_GB2312" w:hAnsi="仿宋_GB2312" w:eastAsia="仿宋_GB2312" w:cs="仿宋_GB2312"/>
          <w:color w:val="000000"/>
          <w:sz w:val="32"/>
          <w:szCs w:val="32"/>
        </w:rPr>
        <w:t>救助活动，积极募捐资金，对因灾致贫、因病致贫及生活极度贫困的家庭实施救助以及用于自然灾害和突发事件的救援。“三献”</w:t>
      </w:r>
      <w:r>
        <w:rPr>
          <w:rFonts w:hint="eastAsia" w:ascii="仿宋_GB2312" w:hAnsi="仿宋_GB2312" w:eastAsia="仿宋_GB2312" w:cs="仿宋_GB2312"/>
          <w:color w:val="000000"/>
          <w:sz w:val="32"/>
          <w:szCs w:val="32"/>
          <w:lang w:val="en-US" w:eastAsia="zh-CN"/>
        </w:rPr>
        <w:t>工作持续推进，充分发挥政府在人道主义领域的助手作用</w:t>
      </w:r>
      <w:r>
        <w:rPr>
          <w:rFonts w:hint="eastAsia" w:ascii="仿宋_GB2312" w:hAnsi="仿宋_GB2312" w:eastAsia="仿宋_GB2312" w:cs="仿宋_GB2312"/>
          <w:color w:val="000000"/>
          <w:sz w:val="32"/>
          <w:szCs w:val="32"/>
        </w:rPr>
        <w:t>：开展群众性的卫生救护培训和造血干细胞捐献宣传工作，参与无偿献血、艾滋病预防、遗体（器官）捐献等科学知识的宣传普及活动。在志愿服务、红十字青少年活动、人道法传播方面：</w:t>
      </w:r>
      <w:r>
        <w:rPr>
          <w:rFonts w:hint="eastAsia" w:ascii="仿宋_GB2312" w:hAnsi="仿宋_GB2312" w:eastAsia="仿宋_GB2312" w:cs="仿宋_GB2312"/>
          <w:color w:val="000000"/>
          <w:sz w:val="32"/>
          <w:szCs w:val="32"/>
          <w:lang w:val="en-US" w:eastAsia="zh-CN"/>
        </w:rPr>
        <w:t>一是</w:t>
      </w:r>
      <w:r>
        <w:rPr>
          <w:rFonts w:hint="eastAsia" w:ascii="仿宋_GB2312" w:hAnsi="仿宋_GB2312" w:eastAsia="仿宋_GB2312" w:cs="仿宋_GB2312"/>
          <w:color w:val="000000"/>
          <w:sz w:val="32"/>
          <w:szCs w:val="32"/>
        </w:rPr>
        <w:t>大力发展红十字志愿者，做好红十字志愿者登记造册工作，组织不同专业、不同领域的红十字志愿者服务队伍，开展富有特色的志愿服务活动</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二是加强人道传播，积极拓宽宣传渠道，广泛传播红十字会精神，举办红十字纪念日宣传活动，通过融媒体、宣传册等途径进一步扩大红十字会法传播范围，营造有利于红十字事业发展的舆论环境，扩大红十字会的影响力。</w:t>
      </w:r>
    </w:p>
    <w:p>
      <w:pPr>
        <w:ind w:firstLine="66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二、</w:t>
      </w:r>
      <w:r>
        <w:rPr>
          <w:rFonts w:hint="eastAsia" w:ascii="仿宋_GB2312" w:hAnsi="仿宋_GB2312" w:eastAsia="仿宋_GB2312" w:cs="仿宋_GB2312"/>
          <w:b/>
          <w:bCs/>
          <w:sz w:val="32"/>
          <w:szCs w:val="32"/>
          <w:lang w:val="en-US" w:eastAsia="zh-CN"/>
        </w:rPr>
        <w:t>绩效</w:t>
      </w:r>
      <w:r>
        <w:rPr>
          <w:rFonts w:hint="eastAsia" w:ascii="仿宋_GB2312" w:hAnsi="仿宋_GB2312" w:eastAsia="仿宋_GB2312" w:cs="仿宋_GB2312"/>
          <w:b/>
          <w:bCs/>
          <w:sz w:val="32"/>
          <w:szCs w:val="32"/>
        </w:rPr>
        <w:t>自评工作</w:t>
      </w:r>
      <w:r>
        <w:rPr>
          <w:rFonts w:hint="eastAsia" w:ascii="仿宋_GB2312" w:hAnsi="仿宋_GB2312" w:eastAsia="仿宋_GB2312" w:cs="仿宋_GB2312"/>
          <w:b/>
          <w:bCs/>
          <w:sz w:val="32"/>
          <w:szCs w:val="32"/>
          <w:lang w:val="en-US" w:eastAsia="zh-CN"/>
        </w:rPr>
        <w:t>开展</w:t>
      </w:r>
      <w:r>
        <w:rPr>
          <w:rFonts w:hint="eastAsia" w:ascii="仿宋_GB2312" w:hAnsi="仿宋_GB2312" w:eastAsia="仿宋_GB2312" w:cs="仿宋_GB2312"/>
          <w:b/>
          <w:bCs/>
          <w:sz w:val="32"/>
          <w:szCs w:val="32"/>
        </w:rPr>
        <w:t>情况</w:t>
      </w:r>
    </w:p>
    <w:p>
      <w:pPr>
        <w:adjustRightInd w:val="0"/>
        <w:snapToGrid w:val="0"/>
        <w:spacing w:line="62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（一）自评的组织工作</w:t>
      </w:r>
    </w:p>
    <w:p>
      <w:pPr>
        <w:pStyle w:val="7"/>
        <w:autoSpaceDN w:val="0"/>
        <w:spacing w:line="560" w:lineRule="atLeas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单位主要负责人，分管财务负责人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主抓业务工作人员</w:t>
      </w:r>
      <w:r>
        <w:rPr>
          <w:rFonts w:hint="eastAsia" w:ascii="仿宋_GB2312" w:hAnsi="仿宋_GB2312" w:eastAsia="仿宋_GB2312" w:cs="仿宋_GB2312"/>
          <w:sz w:val="32"/>
          <w:szCs w:val="32"/>
        </w:rPr>
        <w:t>及财务人员组成自评小组，对202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红十字纪念日和</w:t>
      </w:r>
      <w:r>
        <w:rPr>
          <w:rFonts w:hint="eastAsia" w:ascii="仿宋_GB2312" w:hAnsi="仿宋_GB2312" w:eastAsia="仿宋_GB2312" w:cs="仿宋_GB2312"/>
          <w:sz w:val="32"/>
          <w:szCs w:val="32"/>
        </w:rPr>
        <w:t>应急救护</w:t>
      </w:r>
      <w:r>
        <w:rPr>
          <w:rFonts w:hint="eastAsia" w:ascii="仿宋_GB2312" w:hAnsi="仿宋_GB2312" w:eastAsia="仿宋_GB2312" w:cs="仿宋_GB2312"/>
          <w:sz w:val="32"/>
          <w:szCs w:val="32"/>
          <w:lang w:val="en-US" w:eastAsia="zh-CN"/>
        </w:rPr>
        <w:t>宣传</w:t>
      </w:r>
      <w:r>
        <w:rPr>
          <w:rFonts w:hint="eastAsia" w:ascii="仿宋_GB2312" w:hAnsi="仿宋_GB2312" w:eastAsia="仿宋_GB2312" w:cs="仿宋_GB2312"/>
          <w:sz w:val="32"/>
          <w:szCs w:val="32"/>
        </w:rPr>
        <w:t>经费项目财政支出的经济性、效率性及效益性进行重点评价，并针对评价内容做出分析及合理化建议。</w:t>
      </w:r>
    </w:p>
    <w:p>
      <w:pPr>
        <w:adjustRightInd w:val="0"/>
        <w:snapToGrid w:val="0"/>
        <w:spacing w:line="6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b/>
          <w:bCs/>
          <w:sz w:val="32"/>
          <w:szCs w:val="32"/>
        </w:rPr>
        <w:t>二）自评的方法和过程</w:t>
      </w:r>
    </w:p>
    <w:p>
      <w:pPr>
        <w:adjustRightInd w:val="0"/>
        <w:snapToGrid w:val="0"/>
        <w:spacing w:line="620" w:lineRule="exact"/>
        <w:ind w:firstLine="960" w:firstLineChars="3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主要通过主要负责人和分管红十字会具体业务活动的副职、财务人员对</w:t>
      </w:r>
      <w:r>
        <w:rPr>
          <w:rFonts w:hint="eastAsia" w:ascii="仿宋_GB2312" w:hAnsi="仿宋_GB2312" w:eastAsia="仿宋_GB2312" w:cs="仿宋_GB2312"/>
          <w:sz w:val="32"/>
          <w:szCs w:val="32"/>
          <w:lang w:val="en-US" w:eastAsia="zh-CN"/>
        </w:rPr>
        <w:t>红十字纪念日和</w:t>
      </w:r>
      <w:r>
        <w:rPr>
          <w:rFonts w:hint="eastAsia" w:ascii="仿宋_GB2312" w:hAnsi="仿宋_GB2312" w:eastAsia="仿宋_GB2312" w:cs="仿宋_GB2312"/>
          <w:sz w:val="32"/>
          <w:szCs w:val="32"/>
        </w:rPr>
        <w:t>应急救护</w:t>
      </w:r>
      <w:r>
        <w:rPr>
          <w:rFonts w:hint="eastAsia" w:ascii="仿宋_GB2312" w:hAnsi="仿宋_GB2312" w:eastAsia="仿宋_GB2312" w:cs="仿宋_GB2312"/>
          <w:sz w:val="32"/>
          <w:szCs w:val="32"/>
          <w:lang w:val="en-US" w:eastAsia="zh-CN"/>
        </w:rPr>
        <w:t>宣传</w:t>
      </w:r>
      <w:r>
        <w:rPr>
          <w:rFonts w:hint="eastAsia" w:ascii="仿宋_GB2312" w:hAnsi="仿宋_GB2312" w:eastAsia="仿宋_GB2312" w:cs="仿宋_GB2312"/>
          <w:sz w:val="32"/>
          <w:szCs w:val="32"/>
        </w:rPr>
        <w:t>经费</w:t>
      </w:r>
      <w:r>
        <w:rPr>
          <w:rFonts w:hint="eastAsia" w:ascii="仿宋_GB2312" w:hAnsi="仿宋_GB2312" w:eastAsia="仿宋_GB2312" w:cs="仿宋_GB2312"/>
          <w:sz w:val="32"/>
          <w:szCs w:val="32"/>
          <w:lang w:val="en-US" w:eastAsia="zh-CN"/>
        </w:rPr>
        <w:t>资金</w:t>
      </w:r>
      <w:r>
        <w:rPr>
          <w:rFonts w:hint="eastAsia" w:ascii="仿宋_GB2312" w:hAnsi="仿宋_GB2312" w:eastAsia="仿宋_GB2312" w:cs="仿宋_GB2312"/>
          <w:sz w:val="32"/>
          <w:szCs w:val="32"/>
        </w:rPr>
        <w:t>的使用情况开展绩效评价。</w:t>
      </w:r>
    </w:p>
    <w:p>
      <w:pPr>
        <w:adjustRightInd w:val="0"/>
        <w:snapToGrid w:val="0"/>
        <w:spacing w:line="62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（三）建立绩效评价指标体系</w:t>
      </w:r>
    </w:p>
    <w:p>
      <w:pPr>
        <w:pStyle w:val="7"/>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在开展预算自评工作时，针对区红十字会的工作实际，设计能够体现项目特点绩效评价指标体系。绩效指标权重根据本项目实际情况确定，总分设定为100分。产出指标为40分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数量、质量、时效、成本</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；预算执行率指标10分，包括预算资金使用到位100% 10分；效益指标40分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经济效益、社会效益、生态效益、可持续影响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；满意度指标10分，包括群众满意数量占总数的比例10分。</w:t>
      </w:r>
    </w:p>
    <w:p>
      <w:pPr>
        <w:pStyle w:val="7"/>
        <w:numPr>
          <w:ilvl w:val="0"/>
          <w:numId w:val="2"/>
        </w:numPr>
        <w:ind w:firstLine="803" w:firstLineChars="25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部门整体支出绩效指标目标实现请款及指标分析</w:t>
      </w:r>
    </w:p>
    <w:p>
      <w:pPr>
        <w:pStyle w:val="7"/>
        <w:numPr>
          <w:ilvl w:val="0"/>
          <w:numId w:val="3"/>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总体绩效目标实现情况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2022年部门年初预算安排一般公共预算拨款项目经费2万元，全年实际执行2万元。项目预算执行完成率100%。今年以来，藁城区红十字会在区委区政府的正确领导下，围绕区委区政府中心工作，</w:t>
      </w:r>
      <w:r>
        <w:rPr>
          <w:rFonts w:hint="eastAsia" w:ascii="仿宋_GB2312" w:hAnsi="仿宋_GB2312" w:eastAsia="仿宋_GB2312" w:cs="仿宋_GB2312"/>
          <w:kern w:val="0"/>
          <w:sz w:val="32"/>
          <w:szCs w:val="32"/>
        </w:rPr>
        <w:t>结合本单位实际，</w:t>
      </w:r>
      <w:r>
        <w:rPr>
          <w:rFonts w:hint="eastAsia" w:ascii="仿宋_GB2312" w:hAnsi="仿宋_GB2312" w:eastAsia="仿宋_GB2312" w:cs="仿宋_GB2312"/>
          <w:kern w:val="0"/>
          <w:sz w:val="32"/>
          <w:szCs w:val="32"/>
          <w:lang w:val="en-US" w:eastAsia="zh-CN"/>
        </w:rPr>
        <w:t>主动求新求变，提升服务质效，突出“三献”“三救”核心业务，巩固拓展红十字青少年和志愿服务等工作，统筹推进我会工作提速、提标、提质，各项工作圆满完成，实现了新发展、新突破</w:t>
      </w:r>
      <w:r>
        <w:rPr>
          <w:rFonts w:hint="eastAsia" w:ascii="仿宋_GB2312" w:hAnsi="仿宋_GB2312" w:eastAsia="仿宋_GB2312" w:cs="仿宋_GB2312"/>
          <w:kern w:val="0"/>
          <w:sz w:val="32"/>
          <w:szCs w:val="32"/>
          <w:lang w:eastAsia="zh-CN"/>
        </w:rPr>
        <w:t>。</w:t>
      </w:r>
      <w:r>
        <w:rPr>
          <w:rFonts w:hint="eastAsia" w:ascii="仿宋_GB2312" w:hAnsi="仿宋_GB2312" w:eastAsia="仿宋_GB2312" w:cs="仿宋_GB2312"/>
          <w:sz w:val="32"/>
          <w:szCs w:val="32"/>
          <w:lang w:val="en-US" w:eastAsia="zh-CN"/>
        </w:rPr>
        <w:t>加强基层组织建设，打造特色红十字社区。西城街社区已成功申请石家庄市红十字会博爱家园试点并重点打造，按照省级博爱家园建设标准，完善了各类制度、台账和活动标准，致力于打造便民特色红十字社区。</w:t>
      </w:r>
    </w:p>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right="0" w:rightChars="0"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分项绩效目标实现情况及招标分析</w:t>
      </w:r>
    </w:p>
    <w:p>
      <w:pPr>
        <w:keepNext w:val="0"/>
        <w:keepLines w:val="0"/>
        <w:pageBreakBefore w:val="0"/>
        <w:widowControl w:val="0"/>
        <w:numPr>
          <w:numId w:val="0"/>
        </w:numPr>
        <w:kinsoku/>
        <w:wordWrap/>
        <w:overflowPunct/>
        <w:topLinePunct w:val="0"/>
        <w:autoSpaceDE/>
        <w:autoSpaceDN/>
        <w:bidi w:val="0"/>
        <w:adjustRightInd/>
        <w:snapToGrid/>
        <w:spacing w:line="560" w:lineRule="exact"/>
        <w:ind w:leftChars="200" w:right="0" w:rightChars="0" w:firstLine="960" w:firstLineChars="3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红十字纪念日和</w:t>
      </w:r>
      <w:r>
        <w:rPr>
          <w:rFonts w:hint="eastAsia" w:ascii="仿宋_GB2312" w:hAnsi="仿宋_GB2312" w:eastAsia="仿宋_GB2312" w:cs="仿宋_GB2312"/>
          <w:sz w:val="32"/>
          <w:szCs w:val="32"/>
        </w:rPr>
        <w:t>应急救护</w:t>
      </w:r>
      <w:r>
        <w:rPr>
          <w:rFonts w:hint="eastAsia" w:ascii="仿宋_GB2312" w:hAnsi="仿宋_GB2312" w:eastAsia="仿宋_GB2312" w:cs="仿宋_GB2312"/>
          <w:sz w:val="32"/>
          <w:szCs w:val="32"/>
          <w:lang w:val="en-US" w:eastAsia="zh-CN"/>
        </w:rPr>
        <w:t>宣传工作方面：年初预算安排一般公共预算拨款</w:t>
      </w:r>
      <w:r>
        <w:rPr>
          <w:rFonts w:hint="eastAsia" w:ascii="仿宋_GB2312" w:hAnsi="仿宋_GB2312" w:eastAsia="仿宋_GB2312" w:cs="仿宋_GB2312"/>
          <w:sz w:val="32"/>
          <w:szCs w:val="32"/>
        </w:rPr>
        <w:t>项目经费</w:t>
      </w:r>
      <w:r>
        <w:rPr>
          <w:rFonts w:hint="eastAsia" w:ascii="仿宋_GB2312" w:hAnsi="仿宋_GB2312" w:eastAsia="仿宋_GB2312" w:cs="仿宋_GB2312"/>
          <w:sz w:val="32"/>
          <w:szCs w:val="32"/>
          <w:lang w:val="en-US" w:eastAsia="zh-CN"/>
        </w:rPr>
        <w:t>2万元。在“5·8国际红十字日活动周”我会制作了500个红十字主题帆布包和500个配备药品的急救包分发到区直各单位和社区，并开展了主题宣传活动，向群众分发并进行宣传，在藁城融媒体、石家庄日报客户端、河北日报客户端、新华社客户端等媒体平台上发布；为藁城区工业路小学、马房村小学、马房村幼儿园每班配备了一个盛满急救药品和救护用品的急救箱，还为工业路小学捐赠了100套急救知识趣味棋牌套装，帮助学生开心学急救，为学校师生自救互救提供了支持。同时利用“世界急救日”等宣传日，在工业路小学、马房村小学和西四公小学等学校开展丰富的防灾减灾、防踩踏、防溺水和心肺复苏等一系列应急救护知识技能的宣传培训活动，共培训师生400人次。为助力企业发展，我会向藁城经开区捐赠18个配备急救用品和药品的急救箱。</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开展了“喜迎二十大，‘救’在身边”宣传活动。在“十·一”假期期间，通过剪辑《应急救护宣传片》动画和制作心肺复苏、气道异物梗阻、创伤救护和烧烫伤四个专题宣传画报，以群众喜闻乐见、通俗易懂的方式，线上和线下相结合宣传应急救护知识，提升群众自救互救意识，护航“十·一”假期安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开展了“喜迎二十大，‘救’在身边”有奖答题活动。在疫情常态化背景下，我会探索开展线上宣传活动，依托石家庄市红十字会app平台，举办了应急救护知识线上有奖答题活动，共准备了150分精美礼品，以满分抽奖的形式，吸引群众广泛参与，增加宣传活动的趣味性。</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right="0" w:rightChars="0" w:firstLine="803" w:firstLineChars="250"/>
        <w:textAlignment w:val="auto"/>
        <w:rPr>
          <w:rFonts w:hint="eastAsia" w:ascii="仿宋_GB2312" w:hAnsi="仿宋_GB2312" w:eastAsia="仿宋_GB2312" w:cs="仿宋_GB2312"/>
          <w:b/>
          <w:bCs/>
          <w:kern w:val="0"/>
          <w:sz w:val="32"/>
          <w:szCs w:val="32"/>
          <w:lang w:val="en-US" w:eastAsia="zh-CN"/>
        </w:rPr>
      </w:pPr>
      <w:bookmarkStart w:id="0" w:name="_GoBack"/>
      <w:bookmarkEnd w:id="0"/>
      <w:r>
        <w:rPr>
          <w:rFonts w:hint="eastAsia" w:ascii="仿宋_GB2312" w:hAnsi="仿宋_GB2312" w:eastAsia="仿宋_GB2312" w:cs="仿宋_GB2312"/>
          <w:b/>
          <w:bCs/>
          <w:kern w:val="0"/>
          <w:sz w:val="32"/>
          <w:szCs w:val="32"/>
          <w:lang w:val="en-US" w:eastAsia="zh-CN"/>
        </w:rPr>
        <w:t>评价结论和评价等级</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250" w:right="0" w:rightChars="0" w:firstLine="640" w:firstLineChars="200"/>
        <w:textAlignment w:val="auto"/>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根据部门职责定位和的各项工作履职情况进行综合评价，给出总得分94分（满分100分），得出综合绩效评价等级为优秀</w:t>
      </w:r>
    </w:p>
    <w:p>
      <w:pPr>
        <w:numPr>
          <w:ilvl w:val="0"/>
          <w:numId w:val="2"/>
        </w:numPr>
        <w:adjustRightInd w:val="0"/>
        <w:snapToGrid w:val="0"/>
        <w:spacing w:line="560" w:lineRule="exact"/>
        <w:ind w:left="0" w:leftChars="0" w:firstLine="803" w:firstLineChars="250"/>
        <w:rPr>
          <w:rFonts w:hint="eastAsia" w:ascii="仿宋_GB2312" w:hAnsi="仿宋_GB2312" w:eastAsia="仿宋_GB2312" w:cs="仿宋_GB2312"/>
          <w:b/>
          <w:sz w:val="32"/>
          <w:szCs w:val="32"/>
          <w:lang w:val="en-US" w:eastAsia="zh-CN"/>
        </w:rPr>
      </w:pPr>
      <w:r>
        <w:rPr>
          <w:rFonts w:hint="eastAsia" w:ascii="仿宋_GB2312" w:hAnsi="仿宋_GB2312" w:eastAsia="仿宋_GB2312" w:cs="仿宋_GB2312"/>
          <w:b/>
          <w:sz w:val="32"/>
          <w:szCs w:val="32"/>
          <w:lang w:val="en-US" w:eastAsia="zh-CN"/>
        </w:rPr>
        <w:t>整改措施及结果应用</w:t>
      </w:r>
    </w:p>
    <w:p>
      <w:pPr>
        <w:numPr>
          <w:ilvl w:val="0"/>
          <w:numId w:val="0"/>
        </w:numPr>
        <w:adjustRightInd w:val="0"/>
        <w:snapToGrid w:val="0"/>
        <w:spacing w:line="560" w:lineRule="exact"/>
        <w:ind w:leftChars="250"/>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lang w:eastAsia="zh-CN"/>
        </w:rPr>
        <w:t>（</w:t>
      </w:r>
      <w:r>
        <w:rPr>
          <w:rFonts w:hint="eastAsia" w:ascii="仿宋_GB2312" w:hAnsi="仿宋_GB2312" w:eastAsia="仿宋_GB2312" w:cs="仿宋_GB2312"/>
          <w:b/>
          <w:sz w:val="32"/>
          <w:szCs w:val="32"/>
          <w:lang w:val="en-US" w:eastAsia="zh-CN"/>
        </w:rPr>
        <w:t>一</w:t>
      </w:r>
      <w:r>
        <w:rPr>
          <w:rFonts w:hint="eastAsia" w:ascii="仿宋_GB2312" w:hAnsi="仿宋_GB2312" w:eastAsia="仿宋_GB2312" w:cs="仿宋_GB2312"/>
          <w:b/>
          <w:sz w:val="32"/>
          <w:szCs w:val="32"/>
          <w:lang w:eastAsia="zh-CN"/>
        </w:rPr>
        <w:t>）</w:t>
      </w:r>
      <w:r>
        <w:rPr>
          <w:rFonts w:hint="eastAsia" w:ascii="仿宋_GB2312" w:hAnsi="仿宋_GB2312" w:eastAsia="仿宋_GB2312" w:cs="仿宋_GB2312"/>
          <w:b/>
          <w:sz w:val="32"/>
          <w:szCs w:val="32"/>
        </w:rPr>
        <w:t>存在问题</w:t>
      </w:r>
    </w:p>
    <w:p>
      <w:pPr>
        <w:widowControl/>
        <w:autoSpaceDN w:val="0"/>
        <w:spacing w:line="560" w:lineRule="atLeast"/>
        <w:ind w:firstLine="627" w:firstLineChars="196"/>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1、还需进一步扩宽应急救护宣传渠道。</w:t>
      </w:r>
    </w:p>
    <w:p>
      <w:pPr>
        <w:widowControl/>
        <w:autoSpaceDN w:val="0"/>
        <w:spacing w:line="560" w:lineRule="atLeas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kern w:val="0"/>
          <w:sz w:val="32"/>
          <w:szCs w:val="32"/>
        </w:rPr>
        <w:t>红十字宣传投入与其他县市区还有差距，宣传方式较少、宣传形式不够丰富，宣传效果不能长效影响更多人群</w:t>
      </w:r>
      <w:r>
        <w:rPr>
          <w:rFonts w:hint="eastAsia" w:ascii="仿宋_GB2312" w:hAnsi="仿宋_GB2312" w:eastAsia="仿宋_GB2312" w:cs="仿宋_GB2312"/>
          <w:kern w:val="0"/>
          <w:sz w:val="32"/>
          <w:szCs w:val="32"/>
          <w:lang w:eastAsia="zh-CN"/>
        </w:rPr>
        <w:t>。</w:t>
      </w:r>
    </w:p>
    <w:p>
      <w:pPr>
        <w:adjustRightInd w:val="0"/>
        <w:snapToGrid w:val="0"/>
        <w:spacing w:line="560" w:lineRule="exact"/>
        <w:ind w:firstLine="643" w:firstLineChars="200"/>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lang w:eastAsia="zh-CN"/>
        </w:rPr>
        <w:t>（</w:t>
      </w:r>
      <w:r>
        <w:rPr>
          <w:rFonts w:hint="eastAsia" w:ascii="仿宋_GB2312" w:hAnsi="仿宋_GB2312" w:eastAsia="仿宋_GB2312" w:cs="仿宋_GB2312"/>
          <w:b/>
          <w:sz w:val="32"/>
          <w:szCs w:val="32"/>
          <w:lang w:val="en-US" w:eastAsia="zh-CN"/>
        </w:rPr>
        <w:t>二</w:t>
      </w:r>
      <w:r>
        <w:rPr>
          <w:rFonts w:hint="eastAsia" w:ascii="仿宋_GB2312" w:hAnsi="仿宋_GB2312" w:eastAsia="仿宋_GB2312" w:cs="仿宋_GB2312"/>
          <w:b/>
          <w:sz w:val="32"/>
          <w:szCs w:val="32"/>
          <w:lang w:eastAsia="zh-CN"/>
        </w:rPr>
        <w:t>）</w:t>
      </w:r>
      <w:r>
        <w:rPr>
          <w:rFonts w:hint="eastAsia" w:ascii="仿宋_GB2312" w:hAnsi="仿宋_GB2312" w:eastAsia="仿宋_GB2312" w:cs="仿宋_GB2312"/>
          <w:b/>
          <w:sz w:val="32"/>
          <w:szCs w:val="32"/>
        </w:rPr>
        <w:t>改进措施</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1、加强项目绩效认识。提高机关及分管人员对绩效管理及预算资金使用效益的认识，把预算资金是否发挥使用效益与各岗位是否履职尽责相结合。</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2、加强预算绩效管理。进一步加强机关预算资金管理，减少预算资金使用的随意性，对预算的事前、事中、事后进行全过程控制，加大对预算编制与执行的监督管理力度，提高预算资金使用效率。</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3、加强项目实施监控。加强对项目实施进度的实时监控， 对项目实施过程中进度异常、实施范围调整等情况及时按照流程报批。</w:t>
      </w:r>
    </w:p>
    <w:p>
      <w:pPr>
        <w:adjustRightInd w:val="0"/>
        <w:snapToGrid w:val="0"/>
        <w:spacing w:line="560" w:lineRule="exact"/>
        <w:ind w:firstLine="643" w:firstLineChars="200"/>
        <w:rPr>
          <w:rFonts w:hint="eastAsia" w:ascii="仿宋_GB2312" w:hAnsi="仿宋_GB2312" w:eastAsia="仿宋_GB2312" w:cs="仿宋_GB2312"/>
          <w:b/>
          <w:sz w:val="32"/>
          <w:szCs w:val="32"/>
          <w:lang w:val="en-US" w:eastAsia="zh-CN"/>
        </w:rPr>
      </w:pPr>
      <w:r>
        <w:rPr>
          <w:rFonts w:hint="eastAsia" w:ascii="仿宋_GB2312" w:hAnsi="仿宋_GB2312" w:eastAsia="仿宋_GB2312" w:cs="仿宋_GB2312"/>
          <w:b/>
          <w:sz w:val="32"/>
          <w:szCs w:val="32"/>
        </w:rPr>
        <w:t>六、</w:t>
      </w:r>
      <w:r>
        <w:rPr>
          <w:rFonts w:hint="eastAsia" w:ascii="仿宋_GB2312" w:hAnsi="仿宋_GB2312" w:eastAsia="仿宋_GB2312" w:cs="仿宋_GB2312"/>
          <w:b/>
          <w:sz w:val="32"/>
          <w:szCs w:val="32"/>
          <w:lang w:val="en-US" w:eastAsia="zh-CN"/>
        </w:rPr>
        <w:t>评级工作组人员名单及签字</w:t>
      </w:r>
    </w:p>
    <w:tbl>
      <w:tblPr>
        <w:tblStyle w:val="4"/>
        <w:tblpPr w:leftFromText="180" w:rightFromText="180" w:vertAnchor="text" w:horzAnchor="page" w:tblpX="2005" w:tblpY="295"/>
        <w:tblOverlap w:val="never"/>
        <w:tblW w:w="9056" w:type="dxa"/>
        <w:tblInd w:w="0" w:type="dxa"/>
        <w:tblLayout w:type="fixed"/>
        <w:tblCellMar>
          <w:top w:w="0" w:type="dxa"/>
          <w:left w:w="108" w:type="dxa"/>
          <w:bottom w:w="0" w:type="dxa"/>
          <w:right w:w="108" w:type="dxa"/>
        </w:tblCellMar>
      </w:tblPr>
      <w:tblGrid>
        <w:gridCol w:w="1024"/>
        <w:gridCol w:w="1674"/>
        <w:gridCol w:w="1993"/>
        <w:gridCol w:w="2553"/>
        <w:gridCol w:w="1812"/>
      </w:tblGrid>
      <w:tr>
        <w:tblPrEx>
          <w:tblCellMar>
            <w:top w:w="0" w:type="dxa"/>
            <w:left w:w="108" w:type="dxa"/>
            <w:bottom w:w="0" w:type="dxa"/>
            <w:right w:w="108" w:type="dxa"/>
          </w:tblCellMar>
        </w:tblPrEx>
        <w:trPr>
          <w:trHeight w:val="748" w:hRule="atLeast"/>
        </w:trPr>
        <w:tc>
          <w:tcPr>
            <w:tcW w:w="1024" w:type="dxa"/>
            <w:tcBorders>
              <w:top w:val="single" w:color="000000" w:sz="4" w:space="0"/>
              <w:left w:val="single" w:color="000000" w:sz="4" w:space="0"/>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b/>
                <w:bCs/>
                <w:kern w:val="0"/>
                <w:sz w:val="30"/>
                <w:szCs w:val="30"/>
              </w:rPr>
            </w:pPr>
            <w:r>
              <w:rPr>
                <w:rFonts w:hint="eastAsia" w:ascii="仿宋_GB2312" w:hAnsi="仿宋_GB2312" w:eastAsia="仿宋_GB2312" w:cs="仿宋_GB2312"/>
                <w:b/>
                <w:bCs/>
                <w:kern w:val="0"/>
                <w:sz w:val="30"/>
                <w:szCs w:val="30"/>
              </w:rPr>
              <w:t>序号</w:t>
            </w:r>
          </w:p>
        </w:tc>
        <w:tc>
          <w:tcPr>
            <w:tcW w:w="1674"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b/>
                <w:bCs/>
                <w:kern w:val="0"/>
                <w:sz w:val="30"/>
                <w:szCs w:val="30"/>
              </w:rPr>
            </w:pPr>
            <w:r>
              <w:rPr>
                <w:rFonts w:hint="eastAsia" w:ascii="仿宋_GB2312" w:hAnsi="仿宋_GB2312" w:eastAsia="仿宋_GB2312" w:cs="仿宋_GB2312"/>
                <w:b/>
                <w:bCs/>
                <w:kern w:val="0"/>
                <w:sz w:val="30"/>
                <w:szCs w:val="30"/>
              </w:rPr>
              <w:t>姓名</w:t>
            </w:r>
          </w:p>
        </w:tc>
        <w:tc>
          <w:tcPr>
            <w:tcW w:w="1993"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b/>
                <w:bCs/>
                <w:kern w:val="0"/>
                <w:sz w:val="30"/>
                <w:szCs w:val="30"/>
              </w:rPr>
            </w:pPr>
            <w:r>
              <w:rPr>
                <w:rFonts w:hint="eastAsia" w:ascii="仿宋_GB2312" w:hAnsi="仿宋_GB2312" w:eastAsia="仿宋_GB2312" w:cs="仿宋_GB2312"/>
                <w:b/>
                <w:bCs/>
                <w:kern w:val="0"/>
                <w:sz w:val="30"/>
                <w:szCs w:val="30"/>
              </w:rPr>
              <w:t>工作单位</w:t>
            </w:r>
          </w:p>
        </w:tc>
        <w:tc>
          <w:tcPr>
            <w:tcW w:w="2553"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b/>
                <w:bCs/>
                <w:kern w:val="0"/>
                <w:sz w:val="30"/>
                <w:szCs w:val="30"/>
              </w:rPr>
            </w:pPr>
            <w:r>
              <w:rPr>
                <w:rFonts w:hint="eastAsia" w:ascii="仿宋_GB2312" w:hAnsi="仿宋_GB2312" w:eastAsia="仿宋_GB2312" w:cs="仿宋_GB2312"/>
                <w:b/>
                <w:bCs/>
                <w:kern w:val="0"/>
                <w:sz w:val="30"/>
                <w:szCs w:val="30"/>
              </w:rPr>
              <w:t>职务</w:t>
            </w:r>
          </w:p>
        </w:tc>
        <w:tc>
          <w:tcPr>
            <w:tcW w:w="1812"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b/>
                <w:bCs/>
                <w:kern w:val="0"/>
                <w:sz w:val="30"/>
                <w:szCs w:val="30"/>
              </w:rPr>
            </w:pPr>
            <w:r>
              <w:rPr>
                <w:rFonts w:hint="eastAsia" w:ascii="仿宋_GB2312" w:hAnsi="仿宋_GB2312" w:eastAsia="仿宋_GB2312" w:cs="仿宋_GB2312"/>
                <w:b/>
                <w:bCs/>
                <w:kern w:val="0"/>
                <w:sz w:val="30"/>
                <w:szCs w:val="30"/>
              </w:rPr>
              <w:t>签字</w:t>
            </w:r>
          </w:p>
        </w:tc>
      </w:tr>
      <w:tr>
        <w:tblPrEx>
          <w:tblCellMar>
            <w:top w:w="0" w:type="dxa"/>
            <w:left w:w="108" w:type="dxa"/>
            <w:bottom w:w="0" w:type="dxa"/>
            <w:right w:w="108" w:type="dxa"/>
          </w:tblCellMar>
        </w:tblPrEx>
        <w:trPr>
          <w:trHeight w:val="626" w:hRule="atLeast"/>
        </w:trPr>
        <w:tc>
          <w:tcPr>
            <w:tcW w:w="1024" w:type="dxa"/>
            <w:tcBorders>
              <w:top w:val="single" w:color="000000" w:sz="4" w:space="0"/>
              <w:left w:val="single" w:color="000000" w:sz="4" w:space="0"/>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1</w:t>
            </w:r>
          </w:p>
        </w:tc>
        <w:tc>
          <w:tcPr>
            <w:tcW w:w="1674"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lang w:eastAsia="zh-CN"/>
              </w:rPr>
            </w:pPr>
            <w:r>
              <w:rPr>
                <w:rFonts w:hint="eastAsia" w:ascii="仿宋_GB2312" w:hAnsi="仿宋_GB2312" w:eastAsia="仿宋_GB2312" w:cs="仿宋_GB2312"/>
                <w:kern w:val="0"/>
                <w:sz w:val="30"/>
                <w:szCs w:val="30"/>
                <w:lang w:val="en-US" w:eastAsia="zh-CN"/>
              </w:rPr>
              <w:t>张旭</w:t>
            </w:r>
          </w:p>
        </w:tc>
        <w:tc>
          <w:tcPr>
            <w:tcW w:w="1993"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区红十字会</w:t>
            </w:r>
          </w:p>
        </w:tc>
        <w:tc>
          <w:tcPr>
            <w:tcW w:w="2553"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常务副会长</w:t>
            </w:r>
          </w:p>
        </w:tc>
        <w:tc>
          <w:tcPr>
            <w:tcW w:w="1812"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p>
        </w:tc>
      </w:tr>
      <w:tr>
        <w:tblPrEx>
          <w:tblCellMar>
            <w:top w:w="0" w:type="dxa"/>
            <w:left w:w="108" w:type="dxa"/>
            <w:bottom w:w="0" w:type="dxa"/>
            <w:right w:w="108" w:type="dxa"/>
          </w:tblCellMar>
        </w:tblPrEx>
        <w:trPr>
          <w:trHeight w:val="485" w:hRule="atLeast"/>
        </w:trPr>
        <w:tc>
          <w:tcPr>
            <w:tcW w:w="1024" w:type="dxa"/>
            <w:tcBorders>
              <w:top w:val="single" w:color="000000" w:sz="4" w:space="0"/>
              <w:left w:val="single" w:color="000000" w:sz="4" w:space="0"/>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lang w:val="en-US" w:eastAsia="zh-CN"/>
              </w:rPr>
            </w:pPr>
            <w:r>
              <w:rPr>
                <w:rFonts w:hint="eastAsia" w:ascii="仿宋_GB2312" w:hAnsi="仿宋_GB2312" w:eastAsia="仿宋_GB2312" w:cs="仿宋_GB2312"/>
                <w:kern w:val="0"/>
                <w:sz w:val="30"/>
                <w:szCs w:val="30"/>
                <w:lang w:val="en-US" w:eastAsia="zh-CN"/>
              </w:rPr>
              <w:t>2</w:t>
            </w:r>
          </w:p>
        </w:tc>
        <w:tc>
          <w:tcPr>
            <w:tcW w:w="1674"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lang w:val="en-US" w:eastAsia="zh-CN"/>
              </w:rPr>
            </w:pPr>
            <w:r>
              <w:rPr>
                <w:rFonts w:hint="eastAsia" w:ascii="仿宋_GB2312" w:hAnsi="仿宋_GB2312" w:eastAsia="仿宋_GB2312" w:cs="仿宋_GB2312"/>
                <w:kern w:val="0"/>
                <w:sz w:val="30"/>
                <w:szCs w:val="30"/>
                <w:lang w:val="en-US" w:eastAsia="zh-CN"/>
              </w:rPr>
              <w:t>范建芬</w:t>
            </w:r>
          </w:p>
        </w:tc>
        <w:tc>
          <w:tcPr>
            <w:tcW w:w="1993"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区红十字会</w:t>
            </w:r>
          </w:p>
        </w:tc>
        <w:tc>
          <w:tcPr>
            <w:tcW w:w="2553"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lang w:val="en-US" w:eastAsia="zh-CN"/>
              </w:rPr>
            </w:pPr>
            <w:r>
              <w:rPr>
                <w:rFonts w:hint="eastAsia" w:ascii="仿宋_GB2312" w:hAnsi="仿宋_GB2312" w:eastAsia="仿宋_GB2312" w:cs="仿宋_GB2312"/>
                <w:kern w:val="0"/>
                <w:sz w:val="30"/>
                <w:szCs w:val="30"/>
                <w:lang w:val="en-US" w:eastAsia="zh-CN"/>
              </w:rPr>
              <w:t>秘书长</w:t>
            </w:r>
          </w:p>
        </w:tc>
        <w:tc>
          <w:tcPr>
            <w:tcW w:w="1812"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p>
        </w:tc>
      </w:tr>
      <w:tr>
        <w:tblPrEx>
          <w:tblCellMar>
            <w:top w:w="0" w:type="dxa"/>
            <w:left w:w="108" w:type="dxa"/>
            <w:bottom w:w="0" w:type="dxa"/>
            <w:right w:w="108" w:type="dxa"/>
          </w:tblCellMar>
        </w:tblPrEx>
        <w:trPr>
          <w:trHeight w:val="538" w:hRule="atLeast"/>
        </w:trPr>
        <w:tc>
          <w:tcPr>
            <w:tcW w:w="1024" w:type="dxa"/>
            <w:tcBorders>
              <w:top w:val="single" w:color="000000" w:sz="4" w:space="0"/>
              <w:left w:val="single" w:color="000000" w:sz="4" w:space="0"/>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3</w:t>
            </w:r>
          </w:p>
        </w:tc>
        <w:tc>
          <w:tcPr>
            <w:tcW w:w="1674"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杨建坡</w:t>
            </w:r>
          </w:p>
        </w:tc>
        <w:tc>
          <w:tcPr>
            <w:tcW w:w="1993"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区红十字会</w:t>
            </w:r>
          </w:p>
        </w:tc>
        <w:tc>
          <w:tcPr>
            <w:tcW w:w="2553"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捐赠</w:t>
            </w:r>
            <w:r>
              <w:rPr>
                <w:rFonts w:hint="eastAsia" w:ascii="仿宋_GB2312" w:hAnsi="仿宋_GB2312" w:eastAsia="仿宋_GB2312" w:cs="仿宋_GB2312"/>
                <w:kern w:val="0"/>
                <w:sz w:val="30"/>
                <w:szCs w:val="30"/>
                <w:lang w:val="en-US" w:eastAsia="zh-CN"/>
              </w:rPr>
              <w:t>管理</w:t>
            </w:r>
            <w:r>
              <w:rPr>
                <w:rFonts w:hint="eastAsia" w:ascii="仿宋_GB2312" w:hAnsi="仿宋_GB2312" w:eastAsia="仿宋_GB2312" w:cs="仿宋_GB2312"/>
                <w:kern w:val="0"/>
                <w:sz w:val="30"/>
                <w:szCs w:val="30"/>
              </w:rPr>
              <w:t>股股长</w:t>
            </w:r>
          </w:p>
        </w:tc>
        <w:tc>
          <w:tcPr>
            <w:tcW w:w="1812"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p>
        </w:tc>
      </w:tr>
      <w:tr>
        <w:tblPrEx>
          <w:tblCellMar>
            <w:top w:w="0" w:type="dxa"/>
            <w:left w:w="108" w:type="dxa"/>
            <w:bottom w:w="0" w:type="dxa"/>
            <w:right w:w="108" w:type="dxa"/>
          </w:tblCellMar>
        </w:tblPrEx>
        <w:trPr>
          <w:trHeight w:val="573" w:hRule="atLeast"/>
        </w:trPr>
        <w:tc>
          <w:tcPr>
            <w:tcW w:w="1024" w:type="dxa"/>
            <w:tcBorders>
              <w:top w:val="single" w:color="000000" w:sz="4" w:space="0"/>
              <w:left w:val="single" w:color="000000" w:sz="4" w:space="0"/>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4</w:t>
            </w:r>
          </w:p>
        </w:tc>
        <w:tc>
          <w:tcPr>
            <w:tcW w:w="1674"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郜建萍</w:t>
            </w:r>
          </w:p>
        </w:tc>
        <w:tc>
          <w:tcPr>
            <w:tcW w:w="1993"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区红十字会</w:t>
            </w:r>
          </w:p>
        </w:tc>
        <w:tc>
          <w:tcPr>
            <w:tcW w:w="2553"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财务人员</w:t>
            </w:r>
          </w:p>
        </w:tc>
        <w:tc>
          <w:tcPr>
            <w:tcW w:w="1812"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p>
        </w:tc>
      </w:tr>
    </w:tbl>
    <w:p>
      <w:pPr>
        <w:widowControl/>
        <w:autoSpaceDN w:val="0"/>
        <w:snapToGrid w:val="0"/>
        <w:spacing w:line="560" w:lineRule="atLeast"/>
        <w:rPr>
          <w:rFonts w:hint="eastAsia" w:ascii="仿宋_GB2312" w:hAnsi="仿宋_GB2312" w:eastAsia="仿宋_GB2312" w:cs="仿宋_GB2312"/>
          <w:kern w:val="0"/>
          <w:sz w:val="32"/>
          <w:szCs w:val="32"/>
        </w:rPr>
      </w:pP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D"/>
    <w:multiLevelType w:val="singleLevel"/>
    <w:tmpl w:val="0000000D"/>
    <w:lvl w:ilvl="0" w:tentative="0">
      <w:start w:val="2"/>
      <w:numFmt w:val="decimal"/>
      <w:suff w:val="nothing"/>
      <w:lvlText w:val="%1．"/>
      <w:lvlJc w:val="left"/>
    </w:lvl>
  </w:abstractNum>
  <w:abstractNum w:abstractNumId="1">
    <w:nsid w:val="0AA9A579"/>
    <w:multiLevelType w:val="singleLevel"/>
    <w:tmpl w:val="0AA9A579"/>
    <w:lvl w:ilvl="0" w:tentative="0">
      <w:start w:val="3"/>
      <w:numFmt w:val="chineseCounting"/>
      <w:suff w:val="nothing"/>
      <w:lvlText w:val="%1、"/>
      <w:lvlJc w:val="left"/>
      <w:rPr>
        <w:rFonts w:hint="eastAsia"/>
      </w:rPr>
    </w:lvl>
  </w:abstractNum>
  <w:abstractNum w:abstractNumId="2">
    <w:nsid w:val="1133321C"/>
    <w:multiLevelType w:val="singleLevel"/>
    <w:tmpl w:val="1133321C"/>
    <w:lvl w:ilvl="0" w:tentative="0">
      <w:start w:val="1"/>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WUzOWFlYjJiNjA0NTMxYmRmMTVkYTUxOGRhM2MzNGEifQ=="/>
  </w:docVars>
  <w:rsids>
    <w:rsidRoot w:val="28036C09"/>
    <w:rsid w:val="0008202E"/>
    <w:rsid w:val="001B28F5"/>
    <w:rsid w:val="001C3C25"/>
    <w:rsid w:val="00333B39"/>
    <w:rsid w:val="003562EC"/>
    <w:rsid w:val="00471243"/>
    <w:rsid w:val="004C28E6"/>
    <w:rsid w:val="00591680"/>
    <w:rsid w:val="00736AE5"/>
    <w:rsid w:val="00942977"/>
    <w:rsid w:val="00960953"/>
    <w:rsid w:val="009C0693"/>
    <w:rsid w:val="00A85A60"/>
    <w:rsid w:val="00A928EF"/>
    <w:rsid w:val="00AA76F0"/>
    <w:rsid w:val="00BD5B0E"/>
    <w:rsid w:val="00D7577E"/>
    <w:rsid w:val="00F26F53"/>
    <w:rsid w:val="00F516C9"/>
    <w:rsid w:val="00FD097F"/>
    <w:rsid w:val="19266AB6"/>
    <w:rsid w:val="1CAE0268"/>
    <w:rsid w:val="22AC3903"/>
    <w:rsid w:val="23256DAA"/>
    <w:rsid w:val="28036C09"/>
    <w:rsid w:val="322446DF"/>
    <w:rsid w:val="3663183C"/>
    <w:rsid w:val="427C68CE"/>
    <w:rsid w:val="4455188C"/>
    <w:rsid w:val="44A26331"/>
    <w:rsid w:val="44CF5B96"/>
    <w:rsid w:val="44E81CBA"/>
    <w:rsid w:val="461B5098"/>
    <w:rsid w:val="473D6B48"/>
    <w:rsid w:val="539C2AB2"/>
    <w:rsid w:val="53A97137"/>
    <w:rsid w:val="658075BE"/>
    <w:rsid w:val="7024564E"/>
    <w:rsid w:val="70315121"/>
    <w:rsid w:val="711C11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3">
    <w:name w:val="Normal (Web)"/>
    <w:basedOn w:val="1"/>
    <w:qFormat/>
    <w:uiPriority w:val="0"/>
    <w:pPr>
      <w:spacing w:beforeAutospacing="1" w:afterAutospacing="1"/>
      <w:jc w:val="left"/>
    </w:pPr>
    <w:rPr>
      <w:kern w:val="0"/>
      <w:sz w:val="24"/>
    </w:rPr>
  </w:style>
  <w:style w:type="paragraph" w:styleId="6">
    <w:name w:val="List Paragraph"/>
    <w:basedOn w:val="1"/>
    <w:autoRedefine/>
    <w:unhideWhenUsed/>
    <w:qFormat/>
    <w:uiPriority w:val="99"/>
    <w:pPr>
      <w:ind w:firstLine="420" w:firstLineChars="200"/>
    </w:pPr>
  </w:style>
  <w:style w:type="paragraph" w:customStyle="1" w:styleId="7">
    <w:name w:val="p0"/>
    <w:basedOn w:val="1"/>
    <w:autoRedefine/>
    <w:qFormat/>
    <w:uiPriority w:val="0"/>
    <w:pPr>
      <w:widowControl/>
    </w:pPr>
    <w:rPr>
      <w:rFonts w:hint="eastAsi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3402</Words>
  <Characters>3501</Characters>
  <Lines>16</Lines>
  <Paragraphs>4</Paragraphs>
  <TotalTime>10</TotalTime>
  <ScaleCrop>false</ScaleCrop>
  <LinksUpToDate>false</LinksUpToDate>
  <CharactersWithSpaces>3518</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2022-04-20T02:44:00Z</dcterms:created>
  <dc:creator>z</dc:creator>
  <cp:lastModifiedBy>夏天</cp:lastModifiedBy>
  <cp:lastPrinted>2022-08-31T07:01:00Z</cp:lastPrinted>
  <dcterms:modified xsi:type="dcterms:W3CDTF">2023-12-29T02:19:24Z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FF808D66ACF94C9CACA5A8E7BD874414</vt:lpwstr>
  </property>
</Properties>
</file>