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560" w:lineRule="exact"/>
        <w:ind w:left="0" w:leftChars="0" w:right="0"/>
        <w:textAlignment w:val="auto"/>
        <w:outlineLvl w:val="9"/>
        <w:rPr>
          <w:rFonts w:ascii="仿宋" w:hAnsi="仿宋" w:eastAsia="仿宋" w:cs="仿宋"/>
          <w:kern w:val="0"/>
          <w:sz w:val="32"/>
          <w:szCs w:val="32"/>
        </w:rPr>
      </w:pPr>
      <w:r>
        <w:rPr>
          <w:rFonts w:hint="eastAsia" w:ascii="仿宋" w:hAnsi="仿宋" w:eastAsia="仿宋" w:cs="仿宋"/>
          <w:sz w:val="32"/>
          <w:szCs w:val="32"/>
        </w:rPr>
        <w:t>附件</w:t>
      </w:r>
      <w:r>
        <w:rPr>
          <w:rFonts w:hint="eastAsia" w:ascii="仿宋" w:hAnsi="仿宋" w:eastAsia="仿宋" w:cs="仿宋"/>
          <w:sz w:val="32"/>
          <w:szCs w:val="32"/>
          <w:lang w:val="en-US" w:eastAsia="zh-CN"/>
        </w:rPr>
        <w:t>4</w:t>
      </w:r>
    </w:p>
    <w:p>
      <w:pPr>
        <w:widowControl w:val="0"/>
        <w:wordWrap/>
        <w:adjustRightInd/>
        <w:snapToGrid w:val="0"/>
        <w:spacing w:line="560" w:lineRule="exact"/>
        <w:ind w:left="0" w:leftChars="0" w:right="0"/>
        <w:jc w:val="center"/>
        <w:textAlignment w:val="auto"/>
        <w:outlineLvl w:val="9"/>
        <w:rPr>
          <w:rFonts w:ascii="宋体" w:hAnsi="宋体" w:cs="宋体"/>
          <w:b/>
          <w:bCs/>
          <w:sz w:val="44"/>
          <w:szCs w:val="44"/>
        </w:rPr>
      </w:pPr>
      <w:r>
        <w:rPr>
          <w:rFonts w:hint="eastAsia" w:ascii="宋体" w:hAnsi="宋体" w:cs="宋体"/>
          <w:b/>
          <w:bCs/>
          <w:kern w:val="0"/>
          <w:sz w:val="44"/>
          <w:szCs w:val="44"/>
        </w:rPr>
        <w:t>部门年度</w:t>
      </w:r>
      <w:r>
        <w:rPr>
          <w:rFonts w:hint="eastAsia" w:ascii="宋体" w:hAnsi="宋体" w:cs="宋体"/>
          <w:b/>
          <w:bCs/>
          <w:kern w:val="0"/>
          <w:sz w:val="44"/>
          <w:szCs w:val="44"/>
          <w:lang w:eastAsia="zh-CN"/>
        </w:rPr>
        <w:t>整体支出</w:t>
      </w:r>
      <w:r>
        <w:rPr>
          <w:rFonts w:hint="eastAsia" w:ascii="宋体" w:hAnsi="宋体" w:cs="宋体"/>
          <w:b/>
          <w:bCs/>
          <w:sz w:val="44"/>
          <w:szCs w:val="44"/>
        </w:rPr>
        <w:t>绩效自评工作报告</w:t>
      </w:r>
    </w:p>
    <w:p>
      <w:pPr>
        <w:widowControl w:val="0"/>
        <w:wordWrap/>
        <w:adjustRightInd/>
        <w:snapToGrid w:val="0"/>
        <w:spacing w:line="560" w:lineRule="exact"/>
        <w:ind w:left="0" w:leftChars="0" w:right="0" w:firstLine="642" w:firstLineChars="200"/>
        <w:textAlignment w:val="auto"/>
        <w:outlineLvl w:val="9"/>
        <w:rPr>
          <w:rFonts w:ascii="仿宋" w:hAnsi="仿宋" w:eastAsia="仿宋" w:cs="仿宋"/>
          <w:b/>
          <w:sz w:val="32"/>
          <w:szCs w:val="32"/>
        </w:rPr>
      </w:pPr>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color w:val="auto"/>
          <w:sz w:val="32"/>
          <w:szCs w:val="32"/>
          <w:lang w:eastAsia="zh-CN"/>
        </w:rPr>
      </w:pPr>
      <w:r>
        <w:rPr>
          <w:rFonts w:hint="eastAsia" w:ascii="黑体" w:hAnsi="黑体" w:eastAsia="黑体" w:cs="黑体"/>
          <w:color w:val="auto"/>
          <w:sz w:val="32"/>
          <w:szCs w:val="32"/>
        </w:rPr>
        <w:t>一、</w:t>
      </w:r>
      <w:r>
        <w:rPr>
          <w:rFonts w:hint="eastAsia" w:ascii="黑体" w:hAnsi="黑体" w:eastAsia="黑体" w:cs="黑体"/>
          <w:color w:val="auto"/>
          <w:sz w:val="32"/>
          <w:szCs w:val="32"/>
          <w:lang w:eastAsia="zh-CN"/>
        </w:rPr>
        <w:t>部门基本情况</w:t>
      </w:r>
    </w:p>
    <w:p>
      <w:pPr>
        <w:pStyle w:val="9"/>
        <w:keepNext w:val="0"/>
        <w:keepLines w:val="0"/>
        <w:pageBreakBefore w:val="0"/>
        <w:kinsoku/>
        <w:wordWrap/>
        <w:overflowPunct/>
        <w:topLinePunct w:val="0"/>
        <w:autoSpaceDE/>
        <w:autoSpaceDN/>
        <w:bidi w:val="0"/>
        <w:spacing w:line="560" w:lineRule="exact"/>
        <w:ind w:firstLine="642"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机构设置：</w:t>
      </w:r>
    </w:p>
    <w:p>
      <w:pPr>
        <w:pStyle w:val="9"/>
        <w:keepNext w:val="0"/>
        <w:keepLines w:val="0"/>
        <w:pageBreakBefore w:val="0"/>
        <w:kinsoku/>
        <w:wordWrap/>
        <w:overflowPunct/>
        <w:topLinePunct w:val="0"/>
        <w:autoSpaceDE/>
        <w:autoSpaceDN/>
        <w:bidi w:val="0"/>
        <w:spacing w:line="560" w:lineRule="exact"/>
        <w:ind w:firstLine="640" w:firstLineChars="200"/>
        <w:jc w:val="both"/>
        <w:textAlignment w:val="auto"/>
        <w:rPr>
          <w:rFonts w:hint="default" w:ascii="仿宋_GB2312" w:hAnsi="Times New Roman" w:eastAsia="仿宋_GB2312" w:cs="Wingdings"/>
          <w:color w:val="000000" w:themeColor="text1"/>
          <w:kern w:val="2"/>
          <w:sz w:val="32"/>
          <w:szCs w:val="32"/>
          <w:lang w:val="en-US" w:eastAsia="zh-CN" w:bidi="ar-SA"/>
          <w14:textFill>
            <w14:solidFill>
              <w14:schemeClr w14:val="tx1"/>
            </w14:solidFill>
          </w14:textFill>
        </w:rPr>
      </w:pPr>
      <w:r>
        <w:rPr>
          <w:rFonts w:hint="eastAsia" w:ascii="仿宋_GB2312" w:hAnsi="Times New Roman" w:eastAsia="仿宋_GB2312" w:cs="Wingdings"/>
          <w:color w:val="000000" w:themeColor="text1"/>
          <w:kern w:val="2"/>
          <w:sz w:val="32"/>
          <w:szCs w:val="32"/>
          <w:lang w:val="en-US" w:eastAsia="zh-CN" w:bidi="ar-SA"/>
          <w14:textFill>
            <w14:solidFill>
              <w14:schemeClr w14:val="tx1"/>
            </w14:solidFill>
          </w14:textFill>
        </w:rPr>
        <w:t>“局队合一”体制改革后，我局共有11个内设机构，分别为综合股、管理股、机动中队、督导中队、1-6中队，以及直属事业单位石家庄市藁城环境监控中心。</w:t>
      </w:r>
    </w:p>
    <w:p>
      <w:pPr>
        <w:pStyle w:val="9"/>
        <w:keepNext w:val="0"/>
        <w:keepLines w:val="0"/>
        <w:pageBreakBefore w:val="0"/>
        <w:kinsoku/>
        <w:wordWrap/>
        <w:overflowPunct/>
        <w:topLinePunct w:val="0"/>
        <w:autoSpaceDE/>
        <w:autoSpaceDN/>
        <w:bidi w:val="0"/>
        <w:spacing w:line="560" w:lineRule="exact"/>
        <w:ind w:firstLine="642"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人员统计：</w:t>
      </w:r>
    </w:p>
    <w:p>
      <w:pPr>
        <w:pStyle w:val="9"/>
        <w:keepNext w:val="0"/>
        <w:keepLines w:val="0"/>
        <w:pageBreakBefore w:val="0"/>
        <w:kinsoku/>
        <w:wordWrap/>
        <w:overflowPunct/>
        <w:topLinePunct w:val="0"/>
        <w:autoSpaceDE/>
        <w:autoSpaceDN/>
        <w:bidi w:val="0"/>
        <w:spacing w:line="560" w:lineRule="exact"/>
        <w:ind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截止到2022</w:t>
      </w:r>
      <w:bookmarkStart w:id="0" w:name="_GoBack"/>
      <w:bookmarkEnd w:id="0"/>
      <w:r>
        <w:rPr>
          <w:rFonts w:hint="eastAsia" w:ascii="仿宋_GB2312" w:hAnsi="仿宋_GB2312" w:eastAsia="仿宋_GB2312" w:cs="仿宋_GB2312"/>
          <w:sz w:val="32"/>
          <w:szCs w:val="32"/>
          <w:lang w:val="en-US" w:eastAsia="zh-CN"/>
        </w:rPr>
        <w:t>年12月31日，我单位共有在编人员53人，其中行政编制14人，事业编制39人。共有退休人员26人。</w:t>
      </w:r>
    </w:p>
    <w:p>
      <w:pPr>
        <w:pStyle w:val="9"/>
        <w:keepNext w:val="0"/>
        <w:keepLines w:val="0"/>
        <w:pageBreakBefore w:val="0"/>
        <w:kinsoku/>
        <w:wordWrap/>
        <w:overflowPunct/>
        <w:topLinePunct w:val="0"/>
        <w:autoSpaceDE/>
        <w:autoSpaceDN/>
        <w:bidi w:val="0"/>
        <w:spacing w:line="560" w:lineRule="exact"/>
        <w:ind w:firstLine="642" w:firstLineChars="200"/>
        <w:jc w:val="both"/>
        <w:textAlignment w:val="auto"/>
        <w:rPr>
          <w:rFonts w:hint="eastAsia" w:ascii="仿宋_GB2312" w:hAnsi="Times New Roman" w:eastAsia="仿宋_GB2312" w:cs="Wingdings"/>
          <w:color w:val="000000" w:themeColor="text1"/>
          <w:kern w:val="2"/>
          <w:sz w:val="32"/>
          <w:szCs w:val="32"/>
          <w:lang w:val="en-US" w:eastAsia="zh-CN" w:bidi="ar-SA"/>
          <w14:textFill>
            <w14:solidFill>
              <w14:schemeClr w14:val="tx1"/>
            </w14:solidFill>
          </w14:textFill>
        </w:rPr>
      </w:pPr>
      <w:r>
        <w:rPr>
          <w:rFonts w:hint="eastAsia" w:ascii="仿宋_GB2312" w:hAnsi="Times New Roman" w:eastAsia="仿宋_GB2312" w:cs="Wingdings"/>
          <w:b/>
          <w:bCs/>
          <w:color w:val="000000" w:themeColor="text1"/>
          <w:kern w:val="2"/>
          <w:sz w:val="32"/>
          <w:szCs w:val="32"/>
          <w:lang w:val="en-US" w:eastAsia="zh-CN" w:bidi="ar-SA"/>
          <w14:textFill>
            <w14:solidFill>
              <w14:schemeClr w14:val="tx1"/>
            </w14:solidFill>
          </w14:textFill>
        </w:rPr>
        <w:t>职责职能</w:t>
      </w:r>
      <w:r>
        <w:rPr>
          <w:rFonts w:hint="eastAsia" w:ascii="仿宋_GB2312" w:hAnsi="Times New Roman" w:eastAsia="仿宋_GB2312" w:cs="Wingdings"/>
          <w:color w:val="000000" w:themeColor="text1"/>
          <w:kern w:val="2"/>
          <w:sz w:val="32"/>
          <w:szCs w:val="32"/>
          <w:lang w:val="en-US" w:eastAsia="zh-CN" w:bidi="ar-SA"/>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负责建立健全全区生态环境基本制度；负责全区重大环境问题的统筹协调和监督管理；负责监督管理全区减排目标的落实；负责提出全区生态环境领域固定资产投资规模和方向，区级财政性资金安排的意见；负责全区环境污染防治的监督管理；指导协调和监督全区生态保护修复工作；负责核安全和辐射安全的监督管理工作；负责全区生态环境准入的监督管理；负责全区生态环境监测工作；负责全区应对气候变化工作；统一负责全区生态环境监督执法；组织、指导和协调全区生态环境宣传教育工作，推动社会组织和公众参与生态环境保护；参与处理涉外生态环境事务；完成区委、区政府和石家庄市生态环境局交办的其他任务。</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snapToGrid w:val="0"/>
        <w:spacing w:line="360" w:lineRule="auto"/>
        <w:ind w:firstLine="640" w:firstLineChars="200"/>
        <w:rPr>
          <w:rFonts w:hint="eastAsia" w:ascii="仿宋" w:hAnsi="仿宋" w:eastAsia="仿宋" w:cs="仿宋"/>
          <w:sz w:val="32"/>
          <w:szCs w:val="32"/>
        </w:rPr>
      </w:pPr>
      <w:r>
        <w:rPr>
          <w:rFonts w:ascii="仿宋" w:hAnsi="仿宋" w:eastAsia="仿宋" w:cs="仿宋"/>
          <w:sz w:val="32"/>
          <w:szCs w:val="32"/>
        </w:rPr>
        <w:t>为加强财政支出管理，提高财政资金使用效益</w:t>
      </w:r>
      <w:r>
        <w:rPr>
          <w:rFonts w:hint="eastAsia" w:ascii="仿宋" w:hAnsi="仿宋" w:eastAsia="仿宋" w:cs="仿宋"/>
          <w:sz w:val="32"/>
          <w:szCs w:val="32"/>
          <w:lang w:eastAsia="zh-CN"/>
        </w:rPr>
        <w:t>，</w:t>
      </w:r>
      <w:r>
        <w:rPr>
          <w:rFonts w:ascii="仿宋" w:hAnsi="仿宋" w:eastAsia="仿宋" w:cs="仿宋"/>
          <w:sz w:val="32"/>
          <w:szCs w:val="32"/>
        </w:rPr>
        <w:t>结合实际，我单位</w:t>
      </w:r>
      <w:r>
        <w:rPr>
          <w:rFonts w:hint="eastAsia" w:ascii="仿宋" w:hAnsi="仿宋" w:eastAsia="仿宋"/>
          <w:sz w:val="32"/>
          <w:szCs w:val="32"/>
        </w:rPr>
        <w:t>遵循“科学性、规范性、客观性和公正性”的原则，</w:t>
      </w:r>
      <w:r>
        <w:rPr>
          <w:rFonts w:ascii="仿宋" w:hAnsi="仿宋" w:eastAsia="仿宋" w:cs="仿宋"/>
          <w:sz w:val="32"/>
          <w:szCs w:val="32"/>
        </w:rPr>
        <w:t>组织成立了绩效评价工作小组</w:t>
      </w:r>
      <w:r>
        <w:rPr>
          <w:rFonts w:hint="eastAsia" w:ascii="仿宋" w:hAnsi="仿宋" w:eastAsia="仿宋" w:cs="仿宋"/>
          <w:sz w:val="32"/>
          <w:szCs w:val="32"/>
        </w:rPr>
        <w:t>。</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联系相关项目科室负责人召开专门工作会议，分发给各科室需填报项目资料，包括需填报项目清单、财政预算项目库绩效目标表、项目支出绩效评价共性指标体系框架等。在会议中明确了绩效自评的工作要求，由各科室负责本科室的需绩效自评项目填报内容，保证填报效果。各科室按要求时间</w:t>
      </w:r>
      <w:r>
        <w:rPr>
          <w:rFonts w:ascii="仿宋" w:hAnsi="仿宋" w:eastAsia="仿宋" w:cs="仿宋"/>
          <w:sz w:val="32"/>
          <w:szCs w:val="32"/>
        </w:rPr>
        <w:t>报送项目绩效自评报告、自评表及相关资料。</w:t>
      </w:r>
    </w:p>
    <w:p>
      <w:pPr>
        <w:snapToGrid w:val="0"/>
        <w:spacing w:line="360" w:lineRule="auto"/>
        <w:ind w:firstLine="640" w:firstLineChars="200"/>
        <w:rPr>
          <w:rFonts w:ascii="仿宋" w:hAnsi="仿宋" w:eastAsia="仿宋" w:cs="楷体_GB2312"/>
          <w:b/>
          <w:bCs/>
          <w:sz w:val="32"/>
          <w:szCs w:val="32"/>
        </w:rPr>
      </w:pPr>
      <w:r>
        <w:rPr>
          <w:rFonts w:ascii="仿宋" w:hAnsi="仿宋" w:eastAsia="仿宋" w:cs="仿宋"/>
          <w:sz w:val="32"/>
          <w:szCs w:val="32"/>
        </w:rPr>
        <w:t>评价小组采取座谈等方式听取情况，检查</w:t>
      </w:r>
      <w:r>
        <w:rPr>
          <w:rFonts w:hint="eastAsia" w:ascii="仿宋" w:hAnsi="仿宋" w:eastAsia="仿宋" w:cs="仿宋"/>
          <w:sz w:val="32"/>
          <w:szCs w:val="32"/>
        </w:rPr>
        <w:t>项目</w:t>
      </w:r>
      <w:r>
        <w:rPr>
          <w:rFonts w:ascii="仿宋" w:hAnsi="仿宋" w:eastAsia="仿宋" w:cs="仿宋"/>
          <w:sz w:val="32"/>
          <w:szCs w:val="32"/>
        </w:rPr>
        <w:t>支出有关账目，收集整理支出相关资料，并根据各部门报送的绩效自评材料进行分析、总结</w:t>
      </w:r>
      <w:r>
        <w:rPr>
          <w:rFonts w:hint="eastAsia" w:ascii="仿宋" w:hAnsi="仿宋" w:eastAsia="仿宋" w:cs="仿宋"/>
          <w:sz w:val="32"/>
          <w:szCs w:val="32"/>
        </w:rPr>
        <w:t>，</w:t>
      </w:r>
      <w:r>
        <w:rPr>
          <w:rFonts w:ascii="仿宋" w:hAnsi="仿宋" w:eastAsia="仿宋" w:cs="仿宋"/>
          <w:sz w:val="32"/>
          <w:szCs w:val="32"/>
        </w:rPr>
        <w:t>开展绩效评价工作。</w:t>
      </w:r>
      <w:r>
        <w:rPr>
          <w:rFonts w:hint="eastAsia" w:ascii="仿宋" w:hAnsi="仿宋" w:eastAsia="仿宋"/>
          <w:b/>
          <w:bCs/>
          <w:sz w:val="32"/>
          <w:szCs w:val="32"/>
        </w:rPr>
        <w:t xml:space="preserve">  </w:t>
      </w:r>
    </w:p>
    <w:p>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部门整体支出绩效目标实现情况及指标分析</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部门总体工作正常开展，</w:t>
      </w:r>
      <w:r>
        <w:rPr>
          <w:rFonts w:ascii="仿宋" w:hAnsi="仿宋" w:eastAsia="仿宋" w:cs="仿宋"/>
          <w:sz w:val="32"/>
          <w:szCs w:val="32"/>
        </w:rPr>
        <w:t>从自评情况可以看出，</w:t>
      </w:r>
      <w:r>
        <w:rPr>
          <w:rFonts w:hint="eastAsia" w:ascii="Times New Roman" w:hAnsi="Times New Roman" w:eastAsia="方正仿宋_GBK" w:cs="Times New Roman"/>
          <w:sz w:val="32"/>
          <w:szCs w:val="32"/>
          <w:lang w:eastAsia="zh-CN"/>
        </w:rPr>
        <w:t>所有预算项目均已纳入绩效评价范围</w:t>
      </w:r>
      <w:r>
        <w:rPr>
          <w:rFonts w:hint="eastAsia" w:eastAsia="方正仿宋_GBK" w:cs="Times New Roman"/>
          <w:sz w:val="32"/>
          <w:szCs w:val="32"/>
          <w:lang w:eastAsia="zh-CN"/>
        </w:rPr>
        <w:t>，</w:t>
      </w:r>
      <w:r>
        <w:rPr>
          <w:rFonts w:ascii="仿宋" w:hAnsi="仿宋" w:eastAsia="仿宋" w:cs="仿宋"/>
          <w:sz w:val="32"/>
          <w:szCs w:val="32"/>
        </w:rPr>
        <w:t>较好的完成了年初的目标，</w:t>
      </w:r>
      <w:r>
        <w:rPr>
          <w:rFonts w:hint="eastAsia" w:ascii="仿宋" w:hAnsi="仿宋" w:eastAsia="仿宋" w:cs="仿宋"/>
          <w:sz w:val="32"/>
          <w:szCs w:val="32"/>
        </w:rPr>
        <w:t>专项资金和具体预算支出项目</w:t>
      </w:r>
      <w:r>
        <w:rPr>
          <w:rFonts w:ascii="仿宋" w:hAnsi="仿宋" w:eastAsia="仿宋" w:cs="仿宋"/>
          <w:sz w:val="32"/>
          <w:szCs w:val="32"/>
        </w:rPr>
        <w:t>各项指标也基本达到了预期指标值</w:t>
      </w:r>
      <w:r>
        <w:rPr>
          <w:rFonts w:hint="eastAsia" w:ascii="仿宋" w:hAnsi="仿宋" w:eastAsia="仿宋" w:cs="仿宋"/>
          <w:sz w:val="32"/>
          <w:szCs w:val="32"/>
        </w:rPr>
        <w:t>。</w:t>
      </w:r>
    </w:p>
    <w:p>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color w:val="auto"/>
          <w:sz w:val="32"/>
          <w:szCs w:val="32"/>
          <w:lang w:eastAsia="zh-CN"/>
        </w:rPr>
        <w:t>评价结论和评价</w:t>
      </w:r>
      <w:r>
        <w:rPr>
          <w:rFonts w:hint="eastAsia" w:ascii="黑体" w:hAnsi="黑体" w:eastAsia="黑体" w:cs="黑体"/>
          <w:sz w:val="32"/>
          <w:szCs w:val="32"/>
          <w:lang w:eastAsia="zh-CN"/>
        </w:rPr>
        <w:t>等级</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绩效目标设定基本准确，绩效指标全面完整、科学合理，绩效标准恰当适宜、易于评价。在开展预算自评工作时，针对具体绩效评价对象的特点，设计了能够体现项目特点绩效评价指标体系。绩效指标权重由本部门根据评价对象实际情况确定，总分设定为100分。原则上一级指标权重统一设置为：产出指标40分（包含数量、质量、时效、成本）、预算执行率指标10分、效益指标40分（包含经济效益、社会效益、生态效益、可持续影响）、满意度指标10分。如某一类指标未设定，其分值调整至其他指标。若被评价项目不涉及服务对象满意度内容或因服务对象满意度获取难度较大、成本较高而未能获取，则服务对象满意度的10分调入效益考核事项。</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color w:val="auto"/>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、整改</w:t>
      </w:r>
      <w:r>
        <w:rPr>
          <w:rFonts w:hint="eastAsia" w:ascii="黑体" w:hAnsi="黑体" w:eastAsia="黑体" w:cs="黑体"/>
          <w:b w:val="0"/>
          <w:bCs w:val="0"/>
          <w:color w:val="auto"/>
          <w:sz w:val="32"/>
          <w:szCs w:val="32"/>
        </w:rPr>
        <w:t>措</w:t>
      </w:r>
      <w:r>
        <w:rPr>
          <w:rFonts w:hint="eastAsia" w:ascii="黑体" w:hAnsi="黑体" w:eastAsia="黑体" w:cs="黑体"/>
          <w:color w:val="auto"/>
          <w:sz w:val="32"/>
          <w:szCs w:val="32"/>
        </w:rPr>
        <w:t>施及结果应用</w:t>
      </w:r>
    </w:p>
    <w:p>
      <w:pPr>
        <w:snapToGrid w:val="0"/>
        <w:spacing w:line="600" w:lineRule="exact"/>
        <w:ind w:firstLine="640" w:firstLineChars="200"/>
        <w:rPr>
          <w:rFonts w:ascii="仿宋" w:hAnsi="仿宋" w:eastAsia="仿宋" w:cs="仿宋"/>
          <w:sz w:val="32"/>
          <w:szCs w:val="32"/>
        </w:rPr>
      </w:pPr>
      <w:r>
        <w:rPr>
          <w:rFonts w:ascii="仿宋" w:hAnsi="仿宋" w:eastAsia="仿宋" w:cs="仿宋"/>
          <w:sz w:val="32"/>
          <w:szCs w:val="32"/>
        </w:rPr>
        <w:t>1、进一步健全和完善财务管理制度及内部控制制度，创新管理手段，用新思路、新方法，</w:t>
      </w:r>
      <w:r>
        <w:rPr>
          <w:rFonts w:hint="eastAsia" w:ascii="仿宋" w:hAnsi="仿宋" w:eastAsia="仿宋" w:cs="仿宋"/>
          <w:sz w:val="32"/>
          <w:szCs w:val="32"/>
          <w:lang w:eastAsia="zh-CN"/>
        </w:rPr>
        <w:t>切实加强财政支出管理，提高财政资金使用效益</w:t>
      </w:r>
      <w:r>
        <w:rPr>
          <w:rFonts w:ascii="仿宋" w:hAnsi="仿宋" w:eastAsia="仿宋" w:cs="仿宋"/>
          <w:sz w:val="32"/>
          <w:szCs w:val="32"/>
        </w:rPr>
        <w:t>。</w:t>
      </w:r>
    </w:p>
    <w:p>
      <w:pPr>
        <w:snapToGrid w:val="0"/>
        <w:spacing w:line="600" w:lineRule="exact"/>
        <w:ind w:firstLine="640" w:firstLineChars="200"/>
        <w:rPr>
          <w:rFonts w:ascii="仿宋" w:hAnsi="仿宋" w:eastAsia="仿宋" w:cs="仿宋"/>
          <w:sz w:val="32"/>
          <w:szCs w:val="32"/>
        </w:rPr>
      </w:pPr>
      <w:r>
        <w:rPr>
          <w:rFonts w:ascii="仿宋" w:hAnsi="仿宋" w:eastAsia="仿宋" w:cs="仿宋"/>
          <w:sz w:val="32"/>
          <w:szCs w:val="32"/>
        </w:rPr>
        <w:t>2、按照财政支出绩效管理的要求，建立科学的财政资金效益考评制度体系，不断提高财政资金使用管理的水平和效率。</w:t>
      </w:r>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b w:val="0"/>
          <w:bCs w:val="0"/>
          <w:color w:val="auto"/>
          <w:sz w:val="32"/>
          <w:szCs w:val="32"/>
          <w:lang w:eastAsia="zh-CN"/>
        </w:rPr>
      </w:pPr>
      <w:r>
        <w:rPr>
          <w:rFonts w:hint="eastAsia" w:ascii="黑体" w:hAnsi="黑体" w:eastAsia="黑体" w:cs="黑体"/>
          <w:b w:val="0"/>
          <w:bCs w:val="0"/>
          <w:color w:val="auto"/>
          <w:sz w:val="32"/>
          <w:szCs w:val="32"/>
          <w:lang w:eastAsia="zh-CN"/>
        </w:rPr>
        <w:t>六、评价工作组人员名单及签字</w:t>
      </w:r>
    </w:p>
    <w:p>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主要包括姓名、工作单位、职务等。</w:t>
      </w:r>
    </w:p>
    <w:p>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sz w:val="32"/>
          <w:szCs w:val="32"/>
          <w:lang w:eastAsia="zh-CN"/>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
    <w:altName w:val="方正仿宋_GBK"/>
    <w:panose1 w:val="02010609060101010101"/>
    <w:charset w:val="86"/>
    <w:family w:val="auto"/>
    <w:pitch w:val="default"/>
    <w:sig w:usb0="00000000" w:usb1="00000000" w:usb2="00000016" w:usb3="00000000" w:csb0="00040001" w:csb1="00000000"/>
  </w:font>
  <w:font w:name="仿宋_GB2312">
    <w:altName w:val="方正仿宋_GBK"/>
    <w:panose1 w:val="02010609030101010101"/>
    <w:charset w:val="86"/>
    <w:family w:val="modern"/>
    <w:pitch w:val="default"/>
    <w:sig w:usb0="00000000" w:usb1="00000000" w:usb2="00000000" w:usb3="00000000" w:csb0="00040000" w:csb1="00000000"/>
  </w:font>
  <w:font w:name="楷体_GB2312">
    <w:altName w:val="方正楷体_GBK"/>
    <w:panose1 w:val="02010609030101010101"/>
    <w:charset w:val="86"/>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true">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WAAAAZHJzL1BLAQIUABQAAAAIAIdO&#10;4kDOqXm5zwAAAAUBAAAPAAAAAAAAAAEAIAAAADgAAABkcnMvZG93bnJldi54bWxQSwECFAAUAAAA&#10;CACHTuJA2PddNagBAABVAwAADgAAAAAAAAABACAAAAA0AQAAZHJzL2Uyb0RvYy54bWxQSwUGAAAA&#10;AAYABgBZAQAATgU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true"/>
  <w:bordersDoNotSurroundFooter w:val="true"/>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1D4810"/>
    <w:rsid w:val="055B525F"/>
    <w:rsid w:val="13B61930"/>
    <w:rsid w:val="1BAF1154"/>
    <w:rsid w:val="1C655171"/>
    <w:rsid w:val="20276775"/>
    <w:rsid w:val="3AEF6FE7"/>
    <w:rsid w:val="493B718D"/>
    <w:rsid w:val="53A42ADD"/>
    <w:rsid w:val="5C4A315B"/>
    <w:rsid w:val="5C6DA629"/>
    <w:rsid w:val="661D3074"/>
    <w:rsid w:val="6BDE7164"/>
    <w:rsid w:val="6F6DFA8B"/>
    <w:rsid w:val="6FF31AB2"/>
    <w:rsid w:val="77CFCD51"/>
    <w:rsid w:val="77FF29DD"/>
    <w:rsid w:val="7BDDAF51"/>
    <w:rsid w:val="7C5FF2B4"/>
    <w:rsid w:val="7D775F87"/>
    <w:rsid w:val="7F1E5629"/>
    <w:rsid w:val="B22B5373"/>
    <w:rsid w:val="BBFF5E7B"/>
    <w:rsid w:val="BFAF207D"/>
    <w:rsid w:val="EBDB3250"/>
    <w:rsid w:val="ECFF16EF"/>
    <w:rsid w:val="EE3CF2C8"/>
    <w:rsid w:val="F3FF8CF7"/>
    <w:rsid w:val="FFBBE052"/>
    <w:rsid w:val="FFF7476E"/>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Normal Indent"/>
    <w:basedOn w:val="1"/>
    <w:next w:val="1"/>
    <w:qFormat/>
    <w:uiPriority w:val="0"/>
    <w:pPr>
      <w:ind w:firstLine="420" w:firstLineChars="200"/>
    </w:p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99"/>
    <w:rPr>
      <w:sz w:val="18"/>
      <w:szCs w:val="18"/>
    </w:rPr>
  </w:style>
  <w:style w:type="character" w:customStyle="1" w:styleId="8">
    <w:name w:val="页脚 Char"/>
    <w:basedOn w:val="6"/>
    <w:link w:val="3"/>
    <w:qFormat/>
    <w:uiPriority w:val="99"/>
    <w:rPr>
      <w:sz w:val="18"/>
      <w:szCs w:val="18"/>
    </w:rPr>
  </w:style>
  <w:style w:type="paragraph" w:customStyle="1" w:styleId="9">
    <w:name w:val="[Normal]"/>
    <w:qFormat/>
    <w:uiPriority w:val="0"/>
    <w:rPr>
      <w:rFonts w:ascii="宋体" w:hAnsi="宋体" w:eastAsia="宋体" w:cs="Times New Roman"/>
      <w:sz w:val="24"/>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64</Words>
  <Characters>367</Characters>
  <Lines>3</Lines>
  <Paragraphs>1</Paragraphs>
  <TotalTime>0</TotalTime>
  <ScaleCrop>false</ScaleCrop>
  <LinksUpToDate>false</LinksUpToDate>
  <CharactersWithSpaces>0</CharactersWithSpaces>
  <Application>WPS Office_11.8.2.10195_F1E327BC-269C-435d-A152-05C5408002CA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2019-11-16T00:58:00Z</dcterms:created>
  <dc:creator>user</dc:creator>
  <cp:lastModifiedBy>uos</cp:lastModifiedBy>
  <cp:lastPrinted>2021-02-26T05:43:00Z</cp:lastPrinted>
  <dcterms:modified xsi:type="dcterms:W3CDTF">2023-12-25T09:19:40Z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2052-11.8.2.10195</vt:lpwstr>
  </property>
</Properties>
</file>