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一、石家庄市藁城区南孟镇人民政府本级收支预算</w:t>
      </w:r>
      <w:r>
        <w:tab/>
      </w:r>
      <w:r>
        <w:fldChar w:fldCharType="begin"/>
      </w:r>
      <w:r>
        <w:instrText xml:space="preserve">PAGEREF _Toc_4_4_0000000019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2371.12</w:t>
            </w:r>
          </w:p>
        </w:tc>
        <w:tc>
          <w:tcPr>
            <w:tcW w:w="4535" w:type="dxa"/>
            <w:vAlign w:val="center"/>
          </w:tcPr>
          <w:p>
            <w:pPr>
              <w:pStyle w:val="14"/>
            </w:pPr>
            <w:r>
              <w:t>一、一般公共服务支出</w:t>
            </w:r>
          </w:p>
        </w:tc>
        <w:tc>
          <w:tcPr>
            <w:tcW w:w="2126" w:type="dxa"/>
            <w:vAlign w:val="center"/>
          </w:tcPr>
          <w:p>
            <w:pPr>
              <w:pStyle w:val="13"/>
            </w:pPr>
            <w:r>
              <w:t>1339.62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774.00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2436.12</w:t>
            </w:r>
          </w:p>
        </w:tc>
        <w:tc>
          <w:tcPr>
            <w:tcW w:w="4535" w:type="dxa"/>
            <w:vAlign w:val="center"/>
          </w:tcPr>
          <w:p>
            <w:pPr>
              <w:pStyle w:val="16"/>
            </w:pPr>
            <w:r>
              <w:t>本年支出合计</w:t>
            </w:r>
          </w:p>
        </w:tc>
        <w:tc>
          <w:tcPr>
            <w:tcW w:w="2126" w:type="dxa"/>
            <w:vAlign w:val="center"/>
          </w:tcPr>
          <w:p>
            <w:pPr>
              <w:pStyle w:val="17"/>
            </w:pPr>
            <w:r>
              <w:t>2436.12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2436.12</w:t>
            </w:r>
          </w:p>
        </w:tc>
        <w:tc>
          <w:tcPr>
            <w:tcW w:w="4535" w:type="dxa"/>
            <w:vAlign w:val="center"/>
          </w:tcPr>
          <w:p>
            <w:pPr>
              <w:pStyle w:val="16"/>
            </w:pPr>
            <w:r>
              <w:t>支出总计</w:t>
            </w:r>
          </w:p>
        </w:tc>
        <w:tc>
          <w:tcPr>
            <w:tcW w:w="2126" w:type="dxa"/>
            <w:vAlign w:val="center"/>
          </w:tcPr>
          <w:p>
            <w:pPr>
              <w:pStyle w:val="17"/>
            </w:pPr>
            <w:r>
              <w:t>2436.12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2436.12</w:t>
            </w:r>
          </w:p>
        </w:tc>
        <w:tc>
          <w:tcPr>
            <w:tcW w:w="1134" w:type="dxa"/>
            <w:vAlign w:val="center"/>
          </w:tcPr>
          <w:p>
            <w:pPr>
              <w:pStyle w:val="17"/>
            </w:pPr>
            <w:r>
              <w:t>2436.12</w:t>
            </w:r>
          </w:p>
        </w:tc>
        <w:tc>
          <w:tcPr>
            <w:tcW w:w="1134" w:type="dxa"/>
            <w:vAlign w:val="center"/>
          </w:tcPr>
          <w:p>
            <w:pPr>
              <w:pStyle w:val="17"/>
            </w:pPr>
            <w:r>
              <w:t>2436.12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1113.86</w:t>
            </w:r>
          </w:p>
        </w:tc>
        <w:tc>
          <w:tcPr>
            <w:tcW w:w="1134" w:type="dxa"/>
            <w:vAlign w:val="center"/>
          </w:tcPr>
          <w:p>
            <w:pPr>
              <w:pStyle w:val="13"/>
            </w:pPr>
            <w:r>
              <w:t>1113.86</w:t>
            </w:r>
          </w:p>
        </w:tc>
        <w:tc>
          <w:tcPr>
            <w:tcW w:w="1134" w:type="dxa"/>
            <w:vAlign w:val="center"/>
          </w:tcPr>
          <w:p>
            <w:pPr>
              <w:pStyle w:val="13"/>
            </w:pPr>
            <w:r>
              <w:t>1113.86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225.76</w:t>
            </w:r>
          </w:p>
        </w:tc>
        <w:tc>
          <w:tcPr>
            <w:tcW w:w="1134" w:type="dxa"/>
            <w:vAlign w:val="center"/>
          </w:tcPr>
          <w:p>
            <w:pPr>
              <w:pStyle w:val="13"/>
            </w:pPr>
            <w:r>
              <w:t>225.76</w:t>
            </w:r>
          </w:p>
        </w:tc>
        <w:tc>
          <w:tcPr>
            <w:tcW w:w="1134" w:type="dxa"/>
            <w:vAlign w:val="center"/>
          </w:tcPr>
          <w:p>
            <w:pPr>
              <w:pStyle w:val="13"/>
            </w:pPr>
            <w:r>
              <w:t>225.76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774.00</w:t>
            </w:r>
          </w:p>
        </w:tc>
        <w:tc>
          <w:tcPr>
            <w:tcW w:w="1134" w:type="dxa"/>
            <w:vAlign w:val="center"/>
          </w:tcPr>
          <w:p>
            <w:pPr>
              <w:pStyle w:val="13"/>
            </w:pPr>
            <w:r>
              <w:t>774.00</w:t>
            </w:r>
          </w:p>
        </w:tc>
        <w:tc>
          <w:tcPr>
            <w:tcW w:w="1134" w:type="dxa"/>
            <w:vAlign w:val="center"/>
          </w:tcPr>
          <w:p>
            <w:pPr>
              <w:pStyle w:val="13"/>
            </w:pPr>
            <w:r>
              <w:t>774.00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2436.12</w:t>
            </w:r>
          </w:p>
        </w:tc>
        <w:tc>
          <w:tcPr>
            <w:tcW w:w="1361" w:type="dxa"/>
            <w:vAlign w:val="center"/>
          </w:tcPr>
          <w:p>
            <w:pPr>
              <w:pStyle w:val="17"/>
            </w:pPr>
            <w:r>
              <w:t>1113.86</w:t>
            </w:r>
          </w:p>
        </w:tc>
        <w:tc>
          <w:tcPr>
            <w:tcW w:w="1361" w:type="dxa"/>
            <w:vAlign w:val="center"/>
          </w:tcPr>
          <w:p>
            <w:pPr>
              <w:pStyle w:val="17"/>
            </w:pPr>
            <w:r>
              <w:t>1322.26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1339.62</w:t>
            </w:r>
          </w:p>
        </w:tc>
        <w:tc>
          <w:tcPr>
            <w:tcW w:w="1361" w:type="dxa"/>
            <w:vAlign w:val="center"/>
          </w:tcPr>
          <w:p>
            <w:pPr>
              <w:pStyle w:val="13"/>
            </w:pPr>
            <w:r>
              <w:t>1113.86</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1339.62</w:t>
            </w:r>
          </w:p>
        </w:tc>
        <w:tc>
          <w:tcPr>
            <w:tcW w:w="1361" w:type="dxa"/>
            <w:vAlign w:val="center"/>
          </w:tcPr>
          <w:p>
            <w:pPr>
              <w:pStyle w:val="13"/>
            </w:pPr>
            <w:r>
              <w:t>1113.86</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1113.86</w:t>
            </w:r>
          </w:p>
        </w:tc>
        <w:tc>
          <w:tcPr>
            <w:tcW w:w="1361" w:type="dxa"/>
            <w:vAlign w:val="center"/>
          </w:tcPr>
          <w:p>
            <w:pPr>
              <w:pStyle w:val="13"/>
            </w:pPr>
            <w:r>
              <w:t>1113.86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287.00</w:t>
            </w:r>
          </w:p>
        </w:tc>
        <w:tc>
          <w:tcPr>
            <w:tcW w:w="1361" w:type="dxa"/>
            <w:vAlign w:val="center"/>
          </w:tcPr>
          <w:p>
            <w:pPr>
              <w:pStyle w:val="13"/>
            </w:pPr>
          </w:p>
        </w:tc>
        <w:tc>
          <w:tcPr>
            <w:tcW w:w="1361" w:type="dxa"/>
            <w:vAlign w:val="center"/>
          </w:tcPr>
          <w:p>
            <w:pPr>
              <w:pStyle w:val="13"/>
            </w:pPr>
            <w:r>
              <w:t>287.00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774.00</w:t>
            </w:r>
          </w:p>
        </w:tc>
        <w:tc>
          <w:tcPr>
            <w:tcW w:w="1361" w:type="dxa"/>
            <w:vAlign w:val="center"/>
          </w:tcPr>
          <w:p>
            <w:pPr>
              <w:pStyle w:val="13"/>
            </w:pPr>
          </w:p>
        </w:tc>
        <w:tc>
          <w:tcPr>
            <w:tcW w:w="1361" w:type="dxa"/>
            <w:vAlign w:val="center"/>
          </w:tcPr>
          <w:p>
            <w:pPr>
              <w:pStyle w:val="13"/>
            </w:pPr>
            <w:r>
              <w:t>774.00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2371.12</w:t>
            </w:r>
          </w:p>
        </w:tc>
        <w:tc>
          <w:tcPr>
            <w:tcW w:w="3402" w:type="dxa"/>
            <w:vAlign w:val="center"/>
          </w:tcPr>
          <w:p>
            <w:pPr>
              <w:pStyle w:val="14"/>
            </w:pPr>
            <w:r>
              <w:t>一、一般公共服务支出</w:t>
            </w:r>
          </w:p>
        </w:tc>
        <w:tc>
          <w:tcPr>
            <w:tcW w:w="1474" w:type="dxa"/>
            <w:vAlign w:val="center"/>
          </w:tcPr>
          <w:p>
            <w:pPr>
              <w:pStyle w:val="13"/>
            </w:pPr>
            <w:r>
              <w:t>1339.62</w:t>
            </w:r>
          </w:p>
        </w:tc>
        <w:tc>
          <w:tcPr>
            <w:tcW w:w="1474" w:type="dxa"/>
            <w:vAlign w:val="center"/>
          </w:tcPr>
          <w:p>
            <w:pPr>
              <w:pStyle w:val="13"/>
            </w:pPr>
            <w:r>
              <w:t>1339.62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14.00</w:t>
            </w:r>
          </w:p>
        </w:tc>
        <w:tc>
          <w:tcPr>
            <w:tcW w:w="1474" w:type="dxa"/>
            <w:vAlign w:val="center"/>
          </w:tcPr>
          <w:p>
            <w:pPr>
              <w:pStyle w:val="13"/>
            </w:pPr>
            <w:r>
              <w:t>14.00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w:t>
            </w:r>
          </w:p>
        </w:tc>
        <w:tc>
          <w:tcPr>
            <w:tcW w:w="1474" w:type="dxa"/>
            <w:vAlign w:val="center"/>
          </w:tcPr>
          <w:p>
            <w:pPr>
              <w:pStyle w:val="13"/>
            </w:pPr>
            <w:r>
              <w:t>4.50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287.00</w:t>
            </w:r>
          </w:p>
        </w:tc>
        <w:tc>
          <w:tcPr>
            <w:tcW w:w="1474" w:type="dxa"/>
            <w:vAlign w:val="center"/>
          </w:tcPr>
          <w:p>
            <w:pPr>
              <w:pStyle w:val="13"/>
            </w:pPr>
            <w:r>
              <w:t>222.00</w:t>
            </w:r>
          </w:p>
        </w:tc>
        <w:tc>
          <w:tcPr>
            <w:tcW w:w="1474" w:type="dxa"/>
            <w:vAlign w:val="center"/>
          </w:tcPr>
          <w:p>
            <w:pPr>
              <w:pStyle w:val="13"/>
            </w:pPr>
            <w:r>
              <w:t>65.00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774.00</w:t>
            </w:r>
          </w:p>
        </w:tc>
        <w:tc>
          <w:tcPr>
            <w:tcW w:w="1474" w:type="dxa"/>
            <w:vAlign w:val="center"/>
          </w:tcPr>
          <w:p>
            <w:pPr>
              <w:pStyle w:val="13"/>
            </w:pPr>
            <w:r>
              <w:t>774.00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2436.12</w:t>
            </w:r>
          </w:p>
        </w:tc>
        <w:tc>
          <w:tcPr>
            <w:tcW w:w="3402" w:type="dxa"/>
            <w:vAlign w:val="center"/>
          </w:tcPr>
          <w:p>
            <w:pPr>
              <w:pStyle w:val="16"/>
            </w:pPr>
            <w:r>
              <w:t>本年支出合计</w:t>
            </w:r>
          </w:p>
        </w:tc>
        <w:tc>
          <w:tcPr>
            <w:tcW w:w="1474" w:type="dxa"/>
            <w:vAlign w:val="center"/>
          </w:tcPr>
          <w:p>
            <w:pPr>
              <w:pStyle w:val="17"/>
            </w:pPr>
            <w:r>
              <w:t>2436.12</w:t>
            </w:r>
          </w:p>
        </w:tc>
        <w:tc>
          <w:tcPr>
            <w:tcW w:w="1474" w:type="dxa"/>
            <w:vAlign w:val="center"/>
          </w:tcPr>
          <w:p>
            <w:pPr>
              <w:pStyle w:val="17"/>
            </w:pPr>
            <w:r>
              <w:t>2371.12</w:t>
            </w:r>
          </w:p>
        </w:tc>
        <w:tc>
          <w:tcPr>
            <w:tcW w:w="1474" w:type="dxa"/>
            <w:vAlign w:val="center"/>
          </w:tcPr>
          <w:p>
            <w:pPr>
              <w:pStyle w:val="17"/>
            </w:pPr>
            <w:r>
              <w:t>65.00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2436.12</w:t>
            </w:r>
          </w:p>
        </w:tc>
        <w:tc>
          <w:tcPr>
            <w:tcW w:w="3402" w:type="dxa"/>
            <w:vAlign w:val="center"/>
          </w:tcPr>
          <w:p>
            <w:pPr>
              <w:pStyle w:val="16"/>
            </w:pPr>
            <w:r>
              <w:t>支出总计</w:t>
            </w:r>
          </w:p>
        </w:tc>
        <w:tc>
          <w:tcPr>
            <w:tcW w:w="1474" w:type="dxa"/>
            <w:vAlign w:val="center"/>
          </w:tcPr>
          <w:p>
            <w:pPr>
              <w:pStyle w:val="17"/>
            </w:pPr>
            <w:r>
              <w:t>2436.12</w:t>
            </w:r>
          </w:p>
        </w:tc>
        <w:tc>
          <w:tcPr>
            <w:tcW w:w="1474" w:type="dxa"/>
            <w:vAlign w:val="center"/>
          </w:tcPr>
          <w:p>
            <w:pPr>
              <w:pStyle w:val="17"/>
            </w:pPr>
            <w:r>
              <w:t>2371.12</w:t>
            </w:r>
          </w:p>
        </w:tc>
        <w:tc>
          <w:tcPr>
            <w:tcW w:w="1474" w:type="dxa"/>
            <w:vAlign w:val="center"/>
          </w:tcPr>
          <w:p>
            <w:pPr>
              <w:pStyle w:val="17"/>
            </w:pPr>
            <w:r>
              <w:t>65.00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2371.12</w:t>
            </w:r>
          </w:p>
        </w:tc>
        <w:tc>
          <w:tcPr>
            <w:tcW w:w="2551" w:type="dxa"/>
            <w:vAlign w:val="center"/>
          </w:tcPr>
          <w:p>
            <w:pPr>
              <w:pStyle w:val="17"/>
            </w:pPr>
            <w:r>
              <w:t>1113.86</w:t>
            </w:r>
          </w:p>
        </w:tc>
        <w:tc>
          <w:tcPr>
            <w:tcW w:w="2551" w:type="dxa"/>
            <w:vAlign w:val="center"/>
          </w:tcPr>
          <w:p>
            <w:pPr>
              <w:pStyle w:val="17"/>
            </w:pPr>
            <w:r>
              <w:t>1257.26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1339.62</w:t>
            </w:r>
          </w:p>
        </w:tc>
        <w:tc>
          <w:tcPr>
            <w:tcW w:w="2551" w:type="dxa"/>
            <w:vAlign w:val="center"/>
          </w:tcPr>
          <w:p>
            <w:pPr>
              <w:pStyle w:val="13"/>
            </w:pPr>
            <w:r>
              <w:t>1113.86</w:t>
            </w: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1339.62</w:t>
            </w:r>
          </w:p>
        </w:tc>
        <w:tc>
          <w:tcPr>
            <w:tcW w:w="2551" w:type="dxa"/>
            <w:vAlign w:val="center"/>
          </w:tcPr>
          <w:p>
            <w:pPr>
              <w:pStyle w:val="13"/>
            </w:pPr>
            <w:r>
              <w:t>1113.86</w:t>
            </w: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1113.86</w:t>
            </w:r>
          </w:p>
        </w:tc>
        <w:tc>
          <w:tcPr>
            <w:tcW w:w="2551" w:type="dxa"/>
            <w:vAlign w:val="center"/>
          </w:tcPr>
          <w:p>
            <w:pPr>
              <w:pStyle w:val="13"/>
            </w:pPr>
            <w:r>
              <w:t>1113.86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225.76</w:t>
            </w:r>
          </w:p>
        </w:tc>
        <w:tc>
          <w:tcPr>
            <w:tcW w:w="2551" w:type="dxa"/>
            <w:vAlign w:val="center"/>
          </w:tcPr>
          <w:p>
            <w:pPr>
              <w:pStyle w:val="13"/>
            </w:pP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774.00</w:t>
            </w:r>
          </w:p>
        </w:tc>
        <w:tc>
          <w:tcPr>
            <w:tcW w:w="2551" w:type="dxa"/>
            <w:vAlign w:val="center"/>
          </w:tcPr>
          <w:p>
            <w:pPr>
              <w:pStyle w:val="13"/>
            </w:pPr>
          </w:p>
        </w:tc>
        <w:tc>
          <w:tcPr>
            <w:tcW w:w="2551" w:type="dxa"/>
            <w:vAlign w:val="center"/>
          </w:tcPr>
          <w:p>
            <w:pPr>
              <w:pStyle w:val="13"/>
            </w:pPr>
            <w:r>
              <w:t>774.00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129.00</w:t>
            </w:r>
          </w:p>
        </w:tc>
        <w:tc>
          <w:tcPr>
            <w:tcW w:w="2551" w:type="dxa"/>
            <w:vAlign w:val="center"/>
          </w:tcPr>
          <w:p>
            <w:pPr>
              <w:pStyle w:val="13"/>
            </w:pPr>
          </w:p>
        </w:tc>
        <w:tc>
          <w:tcPr>
            <w:tcW w:w="2551" w:type="dxa"/>
            <w:vAlign w:val="center"/>
          </w:tcPr>
          <w:p>
            <w:pPr>
              <w:pStyle w:val="13"/>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129.00</w:t>
            </w:r>
          </w:p>
        </w:tc>
        <w:tc>
          <w:tcPr>
            <w:tcW w:w="2551" w:type="dxa"/>
            <w:vAlign w:val="center"/>
          </w:tcPr>
          <w:p>
            <w:pPr>
              <w:pStyle w:val="13"/>
            </w:pPr>
          </w:p>
        </w:tc>
        <w:tc>
          <w:tcPr>
            <w:tcW w:w="2551" w:type="dxa"/>
            <w:vAlign w:val="center"/>
          </w:tcPr>
          <w:p>
            <w:pPr>
              <w:pStyle w:val="13"/>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645.00</w:t>
            </w:r>
          </w:p>
        </w:tc>
        <w:tc>
          <w:tcPr>
            <w:tcW w:w="2551" w:type="dxa"/>
            <w:vAlign w:val="center"/>
          </w:tcPr>
          <w:p>
            <w:pPr>
              <w:pStyle w:val="13"/>
            </w:pPr>
          </w:p>
        </w:tc>
        <w:tc>
          <w:tcPr>
            <w:tcW w:w="2551" w:type="dxa"/>
            <w:vAlign w:val="center"/>
          </w:tcPr>
          <w:p>
            <w:pPr>
              <w:pStyle w:val="13"/>
            </w:pPr>
            <w:r>
              <w:t>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645.00</w:t>
            </w:r>
          </w:p>
        </w:tc>
        <w:tc>
          <w:tcPr>
            <w:tcW w:w="2551" w:type="dxa"/>
            <w:vAlign w:val="center"/>
          </w:tcPr>
          <w:p>
            <w:pPr>
              <w:pStyle w:val="13"/>
            </w:pPr>
          </w:p>
        </w:tc>
        <w:tc>
          <w:tcPr>
            <w:tcW w:w="2551" w:type="dxa"/>
            <w:vAlign w:val="center"/>
          </w:tcPr>
          <w:p>
            <w:pPr>
              <w:pStyle w:val="13"/>
            </w:pPr>
            <w:r>
              <w:t>645.00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1113.86</w:t>
            </w:r>
          </w:p>
        </w:tc>
        <w:tc>
          <w:tcPr>
            <w:tcW w:w="2551" w:type="dxa"/>
            <w:vAlign w:val="center"/>
          </w:tcPr>
          <w:p>
            <w:pPr>
              <w:pStyle w:val="17"/>
            </w:pPr>
            <w:r>
              <w:t>956.73</w:t>
            </w:r>
          </w:p>
        </w:tc>
        <w:tc>
          <w:tcPr>
            <w:tcW w:w="2551" w:type="dxa"/>
            <w:vAlign w:val="center"/>
          </w:tcPr>
          <w:p>
            <w:pPr>
              <w:pStyle w:val="17"/>
            </w:pPr>
            <w:r>
              <w:t>157.13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869.31</w:t>
            </w:r>
          </w:p>
        </w:tc>
        <w:tc>
          <w:tcPr>
            <w:tcW w:w="2551" w:type="dxa"/>
            <w:vAlign w:val="center"/>
          </w:tcPr>
          <w:p>
            <w:pPr>
              <w:pStyle w:val="13"/>
            </w:pPr>
            <w:r>
              <w:t>869.31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174.33</w:t>
            </w:r>
          </w:p>
        </w:tc>
        <w:tc>
          <w:tcPr>
            <w:tcW w:w="2551" w:type="dxa"/>
            <w:vAlign w:val="center"/>
          </w:tcPr>
          <w:p>
            <w:pPr>
              <w:pStyle w:val="13"/>
            </w:pPr>
            <w:r>
              <w:t>174.33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337.65</w:t>
            </w:r>
          </w:p>
        </w:tc>
        <w:tc>
          <w:tcPr>
            <w:tcW w:w="2551" w:type="dxa"/>
            <w:vAlign w:val="center"/>
          </w:tcPr>
          <w:p>
            <w:pPr>
              <w:pStyle w:val="13"/>
            </w:pPr>
            <w:r>
              <w:t>337.65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8.05</w:t>
            </w:r>
          </w:p>
        </w:tc>
        <w:tc>
          <w:tcPr>
            <w:tcW w:w="2551" w:type="dxa"/>
            <w:vAlign w:val="center"/>
          </w:tcPr>
          <w:p>
            <w:pPr>
              <w:pStyle w:val="13"/>
            </w:pPr>
            <w:r>
              <w:t>8.05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72.61</w:t>
            </w:r>
          </w:p>
        </w:tc>
        <w:tc>
          <w:tcPr>
            <w:tcW w:w="2551" w:type="dxa"/>
            <w:vAlign w:val="center"/>
          </w:tcPr>
          <w:p>
            <w:pPr>
              <w:pStyle w:val="13"/>
            </w:pPr>
            <w:r>
              <w:t>72.61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71.01</w:t>
            </w:r>
          </w:p>
        </w:tc>
        <w:tc>
          <w:tcPr>
            <w:tcW w:w="2551" w:type="dxa"/>
            <w:vAlign w:val="center"/>
          </w:tcPr>
          <w:p>
            <w:pPr>
              <w:pStyle w:val="13"/>
            </w:pPr>
            <w:r>
              <w:t>71.01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37.28</w:t>
            </w:r>
          </w:p>
        </w:tc>
        <w:tc>
          <w:tcPr>
            <w:tcW w:w="2551" w:type="dxa"/>
            <w:vAlign w:val="center"/>
          </w:tcPr>
          <w:p>
            <w:pPr>
              <w:pStyle w:val="13"/>
            </w:pPr>
            <w:r>
              <w:t>37.28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28.85</w:t>
            </w:r>
          </w:p>
        </w:tc>
        <w:tc>
          <w:tcPr>
            <w:tcW w:w="2551" w:type="dxa"/>
            <w:vAlign w:val="center"/>
          </w:tcPr>
          <w:p>
            <w:pPr>
              <w:pStyle w:val="13"/>
            </w:pPr>
            <w:r>
              <w:t>28.85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71.33</w:t>
            </w:r>
          </w:p>
        </w:tc>
        <w:tc>
          <w:tcPr>
            <w:tcW w:w="2551" w:type="dxa"/>
            <w:vAlign w:val="center"/>
          </w:tcPr>
          <w:p>
            <w:pPr>
              <w:pStyle w:val="13"/>
            </w:pPr>
            <w:r>
              <w:t>71.33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58.90</w:t>
            </w:r>
          </w:p>
        </w:tc>
        <w:tc>
          <w:tcPr>
            <w:tcW w:w="2551" w:type="dxa"/>
            <w:vAlign w:val="center"/>
          </w:tcPr>
          <w:p>
            <w:pPr>
              <w:pStyle w:val="13"/>
            </w:pPr>
            <w:r>
              <w:t>58.90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9.30</w:t>
            </w:r>
          </w:p>
        </w:tc>
        <w:tc>
          <w:tcPr>
            <w:tcW w:w="2551" w:type="dxa"/>
            <w:vAlign w:val="center"/>
          </w:tcPr>
          <w:p>
            <w:pPr>
              <w:pStyle w:val="13"/>
            </w:pPr>
            <w:r>
              <w:t>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156.13</w:t>
            </w:r>
          </w:p>
        </w:tc>
        <w:tc>
          <w:tcPr>
            <w:tcW w:w="2551" w:type="dxa"/>
            <w:vAlign w:val="center"/>
          </w:tcPr>
          <w:p>
            <w:pPr>
              <w:pStyle w:val="13"/>
            </w:pPr>
          </w:p>
        </w:tc>
        <w:tc>
          <w:tcPr>
            <w:tcW w:w="2551" w:type="dxa"/>
            <w:vAlign w:val="center"/>
          </w:tcPr>
          <w:p>
            <w:pPr>
              <w:pStyle w:val="13"/>
            </w:pPr>
            <w:r>
              <w:t>156.13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30203</w:t>
            </w:r>
          </w:p>
        </w:tc>
        <w:tc>
          <w:tcPr>
            <w:tcW w:w="4535" w:type="dxa"/>
            <w:vAlign w:val="center"/>
          </w:tcPr>
          <w:p>
            <w:pPr>
              <w:pStyle w:val="14"/>
            </w:pPr>
            <w:r>
              <w:t>咨询费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11.80</w:t>
            </w:r>
          </w:p>
        </w:tc>
        <w:tc>
          <w:tcPr>
            <w:tcW w:w="2551" w:type="dxa"/>
            <w:vAlign w:val="center"/>
          </w:tcPr>
          <w:p>
            <w:pPr>
              <w:pStyle w:val="13"/>
            </w:pPr>
          </w:p>
        </w:tc>
        <w:tc>
          <w:tcPr>
            <w:tcW w:w="2551"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24.30</w:t>
            </w:r>
          </w:p>
        </w:tc>
        <w:tc>
          <w:tcPr>
            <w:tcW w:w="2551" w:type="dxa"/>
            <w:vAlign w:val="center"/>
          </w:tcPr>
          <w:p>
            <w:pPr>
              <w:pStyle w:val="13"/>
            </w:pPr>
          </w:p>
        </w:tc>
        <w:tc>
          <w:tcPr>
            <w:tcW w:w="2551" w:type="dxa"/>
            <w:vAlign w:val="center"/>
          </w:tcPr>
          <w:p>
            <w:pPr>
              <w:pStyle w:val="13"/>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30225</w:t>
            </w:r>
          </w:p>
        </w:tc>
        <w:tc>
          <w:tcPr>
            <w:tcW w:w="4535" w:type="dxa"/>
            <w:vAlign w:val="center"/>
          </w:tcPr>
          <w:p>
            <w:pPr>
              <w:pStyle w:val="14"/>
            </w:pPr>
            <w:r>
              <w:t>专用燃料费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23.00</w:t>
            </w:r>
          </w:p>
        </w:tc>
        <w:tc>
          <w:tcPr>
            <w:tcW w:w="2551" w:type="dxa"/>
            <w:vAlign w:val="center"/>
          </w:tcPr>
          <w:p>
            <w:pPr>
              <w:pStyle w:val="13"/>
            </w:pPr>
          </w:p>
        </w:tc>
        <w:tc>
          <w:tcPr>
            <w:tcW w:w="2551"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3.90</w:t>
            </w:r>
          </w:p>
        </w:tc>
        <w:tc>
          <w:tcPr>
            <w:tcW w:w="2551" w:type="dxa"/>
            <w:vAlign w:val="center"/>
          </w:tcPr>
          <w:p>
            <w:pPr>
              <w:pStyle w:val="13"/>
            </w:pPr>
          </w:p>
        </w:tc>
        <w:tc>
          <w:tcPr>
            <w:tcW w:w="2551" w:type="dxa"/>
            <w:vAlign w:val="center"/>
          </w:tcPr>
          <w:p>
            <w:pPr>
              <w:pStyle w:val="13"/>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3.36</w:t>
            </w:r>
          </w:p>
        </w:tc>
        <w:tc>
          <w:tcPr>
            <w:tcW w:w="2551" w:type="dxa"/>
            <w:vAlign w:val="center"/>
          </w:tcPr>
          <w:p>
            <w:pPr>
              <w:pStyle w:val="13"/>
            </w:pPr>
          </w:p>
        </w:tc>
        <w:tc>
          <w:tcPr>
            <w:tcW w:w="2551"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28.80</w:t>
            </w:r>
          </w:p>
        </w:tc>
        <w:tc>
          <w:tcPr>
            <w:tcW w:w="2551" w:type="dxa"/>
            <w:vAlign w:val="center"/>
          </w:tcPr>
          <w:p>
            <w:pPr>
              <w:pStyle w:val="13"/>
            </w:pPr>
          </w:p>
        </w:tc>
        <w:tc>
          <w:tcPr>
            <w:tcW w:w="2551" w:type="dxa"/>
            <w:vAlign w:val="center"/>
          </w:tcPr>
          <w:p>
            <w:pPr>
              <w:pStyle w:val="13"/>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4.57</w:t>
            </w:r>
          </w:p>
        </w:tc>
        <w:tc>
          <w:tcPr>
            <w:tcW w:w="2551" w:type="dxa"/>
            <w:vAlign w:val="center"/>
          </w:tcPr>
          <w:p>
            <w:pPr>
              <w:pStyle w:val="13"/>
            </w:pPr>
          </w:p>
        </w:tc>
        <w:tc>
          <w:tcPr>
            <w:tcW w:w="2551" w:type="dxa"/>
            <w:vAlign w:val="center"/>
          </w:tcPr>
          <w:p>
            <w:pPr>
              <w:pStyle w:val="13"/>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87.42</w:t>
            </w:r>
          </w:p>
        </w:tc>
        <w:tc>
          <w:tcPr>
            <w:tcW w:w="2551" w:type="dxa"/>
            <w:vAlign w:val="center"/>
          </w:tcPr>
          <w:p>
            <w:pPr>
              <w:pStyle w:val="13"/>
            </w:pPr>
            <w:r>
              <w:t>87.42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84.07</w:t>
            </w:r>
          </w:p>
        </w:tc>
        <w:tc>
          <w:tcPr>
            <w:tcW w:w="2551" w:type="dxa"/>
            <w:vAlign w:val="center"/>
          </w:tcPr>
          <w:p>
            <w:pPr>
              <w:pStyle w:val="13"/>
            </w:pPr>
            <w:r>
              <w:t>84.07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3.31</w:t>
            </w:r>
          </w:p>
        </w:tc>
        <w:tc>
          <w:tcPr>
            <w:tcW w:w="2551" w:type="dxa"/>
            <w:vAlign w:val="center"/>
          </w:tcPr>
          <w:p>
            <w:pPr>
              <w:pStyle w:val="13"/>
            </w:pPr>
            <w:r>
              <w:t>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65.00</w:t>
            </w:r>
          </w:p>
        </w:tc>
        <w:tc>
          <w:tcPr>
            <w:tcW w:w="2551" w:type="dxa"/>
            <w:vAlign w:val="center"/>
          </w:tcPr>
          <w:p>
            <w:pPr>
              <w:pStyle w:val="17"/>
            </w:pPr>
          </w:p>
        </w:tc>
        <w:tc>
          <w:tcPr>
            <w:tcW w:w="2551" w:type="dxa"/>
            <w:vAlign w:val="center"/>
          </w:tcPr>
          <w:p>
            <w:pPr>
              <w:pStyle w:val="17"/>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16.4</w:t>
            </w:r>
          </w:p>
        </w:tc>
        <w:tc>
          <w:tcPr>
            <w:tcW w:w="2381" w:type="dxa"/>
            <w:vAlign w:val="center"/>
          </w:tcPr>
          <w:p>
            <w:pPr>
              <w:pStyle w:val="17"/>
              <w:rPr>
                <w:rFonts w:hint="default" w:eastAsia="方正书宋_GBK"/>
                <w:lang w:val="en-US" w:eastAsia="zh-CN"/>
              </w:rPr>
            </w:pPr>
            <w:r>
              <w:rPr>
                <w:rFonts w:hint="eastAsia"/>
                <w:lang w:val="en-US" w:eastAsia="zh-CN"/>
              </w:rPr>
              <w:t>16.4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4.40</w:t>
            </w:r>
          </w:p>
        </w:tc>
        <w:tc>
          <w:tcPr>
            <w:tcW w:w="2381" w:type="dxa"/>
            <w:vAlign w:val="center"/>
          </w:tcPr>
          <w:p>
            <w:pPr>
              <w:pStyle w:val="13"/>
            </w:pPr>
            <w:r>
              <w:t>4.40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石家庄市藁城区南孟镇人民政府2022年部门预算信息公开情况说明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按照《预算法》、《地方预决算公开操作规程》和《关于进一步推进预算公开工作的实施意见》规定，现将石家庄市藁城区南孟镇人民政府2022年部门预算公开如下：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根据《石家庄市藁城区南孟镇人民政府职能配置、内设机构和人员编制规定》， 石家庄市藁城区南孟镇人民政府的主要职责是：</w:t>
      </w:r>
    </w:p>
    <w:p>
      <w:pPr>
        <w:pStyle w:val="19"/>
      </w:pPr>
      <w:r>
        <w:t>一、继续抓好项目建设。重点跟进本镇存在的各类土地问题，积极协调各职能部门，对存在的问题尽快解决。</w:t>
      </w:r>
    </w:p>
    <w:p>
      <w:pPr>
        <w:pStyle w:val="19"/>
      </w:pPr>
      <w:r>
        <w:t>二、继续抓好农村人居环境整治。完善各村的改厕工作，巩固已有的改厕成果，在抓好数量的同时打造精细化管理，在保持常态化卫生干净整洁上下功夫，继续抓好一事一议财政奖补政策，最大程度促进农村基础设施建设。</w:t>
      </w:r>
    </w:p>
    <w:p>
      <w:pPr>
        <w:pStyle w:val="19"/>
      </w:pPr>
      <w:r>
        <w:t>三、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pPr>
        <w:pStyle w:val="19"/>
      </w:pPr>
      <w:r>
        <w:t>四、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pPr>
        <w:pStyle w:val="19"/>
      </w:pPr>
      <w:r>
        <w:t>五、优先保障社会民生.最大限度保障社会稳定、人民安居乐业。巩固脱贫攻坚成果，积极化解社会矛盾纠纷，切实解决人民群众期盼。</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石家庄市藁城区南孟镇人民政府本级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按照预算管理有关规定，目前我省部门预算的编制实行综合预算管理，即全部收入和支出都反映在预算中。石家庄市藁城区南孟镇人民政府机关及所属事业单位的收支包含在部门预算中。</w:t>
      </w:r>
    </w:p>
    <w:p>
      <w:pPr>
        <w:spacing w:before="0" w:after="0" w:line="500" w:lineRule="exact"/>
        <w:ind w:firstLine="560"/>
        <w:jc w:val="left"/>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before="0" w:after="0" w:line="500" w:lineRule="exact"/>
        <w:ind w:firstLine="560"/>
        <w:jc w:val="left"/>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2371.12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65</w:t>
      </w:r>
      <w:r>
        <w:rPr>
          <w:rFonts w:hint="eastAsia" w:ascii="Times New Roman" w:hAnsi="Times New Roman" w:eastAsia="仿宋" w:cs="Times New Roman"/>
          <w:sz w:val="32"/>
          <w:szCs w:val="32"/>
        </w:rPr>
        <w:t>万元，财政专户核拨收入0万元，其他来源收入0万元。</w:t>
      </w:r>
    </w:p>
    <w:p>
      <w:pPr>
        <w:numPr>
          <w:ilvl w:val="0"/>
          <w:numId w:val="1"/>
        </w:numPr>
        <w:spacing w:line="460" w:lineRule="exact"/>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支出说明</w:t>
      </w:r>
      <w:r>
        <w:rPr>
          <w:rFonts w:hint="eastAsia" w:eastAsia="仿宋" w:cs="Times New Roman"/>
          <w:sz w:val="32"/>
          <w:szCs w:val="32"/>
          <w:lang w:eastAsia="zh-CN"/>
        </w:rPr>
        <w:t>。</w:t>
      </w:r>
    </w:p>
    <w:p>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预算中支出预算的总体情况。2022年部门支出预算为</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1113.86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956.73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1322.26</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包括安全生产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16.06</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4.5</w:t>
      </w:r>
      <w:r>
        <w:rPr>
          <w:rFonts w:hint="eastAsia" w:ascii="Times New Roman" w:hAnsi="Times New Roman" w:eastAsia="仿宋" w:cs="Times New Roman"/>
          <w:sz w:val="32"/>
          <w:szCs w:val="32"/>
        </w:rPr>
        <w:t>万元，</w:t>
      </w:r>
      <w:r>
        <w:rPr>
          <w:rFonts w:hint="eastAsia" w:eastAsia="仿宋" w:cs="Times New Roman"/>
          <w:sz w:val="32"/>
          <w:szCs w:val="32"/>
          <w:lang w:eastAsia="zh-CN"/>
        </w:rPr>
        <w:t>革命老区转移支付</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222</w:t>
      </w:r>
      <w:r>
        <w:rPr>
          <w:rFonts w:hint="eastAsia" w:ascii="Times New Roman" w:hAnsi="Times New Roman" w:eastAsia="仿宋" w:cs="Times New Roman"/>
          <w:sz w:val="32"/>
          <w:szCs w:val="32"/>
        </w:rPr>
        <w:t>万元，</w:t>
      </w:r>
      <w:r>
        <w:rPr>
          <w:rFonts w:hint="eastAsia" w:eastAsia="仿宋" w:cs="Times New Roman"/>
          <w:sz w:val="32"/>
          <w:szCs w:val="32"/>
          <w:lang w:eastAsia="zh-CN"/>
        </w:rPr>
        <w:t>环保安全生产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34.8</w:t>
      </w:r>
      <w:r>
        <w:rPr>
          <w:rFonts w:hint="eastAsia" w:ascii="Times New Roman" w:hAnsi="Times New Roman" w:eastAsia="仿宋" w:cs="Times New Roman"/>
          <w:sz w:val="32"/>
          <w:szCs w:val="32"/>
        </w:rPr>
        <w:t>万元，</w:t>
      </w:r>
      <w:r>
        <w:rPr>
          <w:rFonts w:hint="eastAsia" w:eastAsia="仿宋" w:cs="Times New Roman"/>
          <w:sz w:val="32"/>
          <w:szCs w:val="32"/>
          <w:lang w:eastAsia="zh-CN"/>
        </w:rPr>
        <w:t>机关运转工作经费</w:t>
      </w:r>
      <w:r>
        <w:rPr>
          <w:rFonts w:hint="eastAsia" w:eastAsia="仿宋" w:cs="Times New Roman"/>
          <w:sz w:val="32"/>
          <w:szCs w:val="32"/>
          <w:lang w:val="en-US" w:eastAsia="zh-CN"/>
        </w:rPr>
        <w:t>29.4</w:t>
      </w:r>
      <w:r>
        <w:rPr>
          <w:rFonts w:hint="eastAsia" w:ascii="Times New Roman" w:hAnsi="Times New Roman" w:eastAsia="仿宋" w:cs="Times New Roman"/>
          <w:sz w:val="32"/>
          <w:szCs w:val="32"/>
        </w:rPr>
        <w:t>万元；</w:t>
      </w:r>
      <w:r>
        <w:rPr>
          <w:rFonts w:hint="eastAsia" w:eastAsia="仿宋" w:cs="Times New Roman"/>
          <w:sz w:val="32"/>
          <w:szCs w:val="32"/>
          <w:lang w:eastAsia="zh-CN"/>
        </w:rPr>
        <w:t>学区工会费</w:t>
      </w:r>
      <w:r>
        <w:rPr>
          <w:rFonts w:hint="eastAsia" w:eastAsia="仿宋" w:cs="Times New Roman"/>
          <w:sz w:val="32"/>
          <w:szCs w:val="32"/>
          <w:lang w:val="en-US" w:eastAsia="zh-CN"/>
        </w:rPr>
        <w:t>17万元，金五线绿化占地补偿费6.7万元，农村文化建设支出14万元，土地执法信访维稳武装等工作经费支出34.8万元，政府工会费4万元，人居环境及日常工作经费229万元，农村综合改革转移支付支出710万元</w:t>
      </w:r>
      <w:r>
        <w:rPr>
          <w:rFonts w:hint="eastAsia" w:ascii="Times New Roman" w:hAnsi="Times New Roman" w:eastAsia="仿宋" w:cs="Times New Roman"/>
          <w:sz w:val="32"/>
          <w:szCs w:val="32"/>
        </w:rPr>
        <w:t>。</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2436.12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1185.51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48.45</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1137.06</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农村综合改革转移支付支出和人居环境及日常工作经费支出</w:t>
      </w:r>
      <w:r>
        <w:rPr>
          <w:rFonts w:hint="eastAsia" w:ascii="Times New Roman" w:hAnsi="Times New Roman" w:eastAsia="仿宋" w:cs="Times New Roman"/>
          <w:sz w:val="32"/>
          <w:szCs w:val="32"/>
        </w:rPr>
        <w:t>。</w:t>
      </w:r>
    </w:p>
    <w:p>
      <w:pPr>
        <w:spacing w:line="460" w:lineRule="exact"/>
        <w:ind w:firstLine="640" w:firstLineChars="200"/>
        <w:rPr>
          <w:rFonts w:ascii="仿宋" w:hAnsi="仿宋" w:eastAsia="仿宋"/>
          <w:sz w:val="32"/>
          <w:szCs w:val="32"/>
          <w:u w:val="single"/>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jc w:val="left"/>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部门</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bookmarkStart w:id="12" w:name="_Toc_3_3_0000000013"/>
    </w:p>
    <w:p>
      <w:pPr>
        <w:spacing w:before="10" w:after="10" w:line="360" w:lineRule="auto"/>
        <w:ind w:firstLine="640"/>
        <w:jc w:val="left"/>
        <w:outlineLvl w:val="2"/>
        <w:rPr>
          <w:rFonts w:ascii="仿宋" w:hAnsi="仿宋" w:eastAsia="仿宋"/>
          <w:b/>
          <w:sz w:val="32"/>
          <w:szCs w:val="32"/>
        </w:rPr>
      </w:pPr>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部门</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eastAsia="仿宋" w:cs="Times New Roman"/>
          <w:sz w:val="32"/>
          <w:szCs w:val="32"/>
          <w:lang w:eastAsia="zh-CN"/>
        </w:rPr>
        <w:t>比</w:t>
      </w:r>
      <w:r>
        <w:rPr>
          <w:rFonts w:hint="eastAsia" w:ascii="Times New Roman" w:hAnsi="Times New Roman" w:eastAsia="仿宋" w:cs="Times New Roman"/>
          <w:sz w:val="32"/>
          <w:szCs w:val="32"/>
        </w:rPr>
        <w:t>上年</w:t>
      </w:r>
      <w:r>
        <w:rPr>
          <w:rFonts w:hint="eastAsia" w:eastAsia="仿宋" w:cs="Times New Roman"/>
          <w:sz w:val="32"/>
          <w:szCs w:val="32"/>
          <w:lang w:eastAsia="zh-CN"/>
        </w:rPr>
        <w:t>增加</w:t>
      </w:r>
      <w:r>
        <w:rPr>
          <w:rFonts w:hint="eastAsia" w:eastAsia="仿宋" w:cs="Times New Roman"/>
          <w:sz w:val="32"/>
          <w:szCs w:val="32"/>
          <w:lang w:val="en-US" w:eastAsia="zh-CN"/>
        </w:rPr>
        <w:t>10万元，增加的是公务用车购置费10万元</w:t>
      </w:r>
      <w:r>
        <w:rPr>
          <w:rFonts w:hint="eastAsia" w:ascii="Times New Roman" w:hAnsi="Times New Roman" w:eastAsia="仿宋" w:cs="Times New Roman"/>
          <w:sz w:val="32"/>
          <w:szCs w:val="32"/>
        </w:rPr>
        <w:t>。</w:t>
      </w:r>
    </w:p>
    <w:p>
      <w:pPr>
        <w:spacing w:before="10" w:after="10" w:line="360" w:lineRule="auto"/>
        <w:ind w:firstLine="640"/>
        <w:jc w:val="left"/>
        <w:outlineLvl w:val="2"/>
      </w:pPr>
    </w:p>
    <w:p>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认真落实党的十九届五中全会精神，准确把握党中央和省市区要求，继续按照区委二届七次全会精神要求，着眼于“十四五”时期和二〇三五年远景目标，精心谋划2022年及“十四五”时期各项工作。</w:t>
      </w:r>
    </w:p>
    <w:p>
      <w:pPr>
        <w:pStyle w:val="23"/>
      </w:pPr>
      <w:r>
        <w:t>一是，继续抓好省市重点项目鑫恒达、博山钢材两个项目的占地指标问题，协调土地等职能部门，尽快得到解决，开工建设。继续加大招商引资力度，促进东百集团现代物流项目达成洽谈意向，成功入驻鑫恒达物流园。</w:t>
      </w:r>
    </w:p>
    <w:p>
      <w:pPr>
        <w:pStyle w:val="23"/>
      </w:pPr>
      <w:r>
        <w:t>二是继续抓好农村人居环境整治（改厕），巩固已有的成果，在打造精细上下功夫，在保持常态化卫生干净整洁上下功夫。继续抓好一事一议财政奖补政策，最大程度促进农村基础设施建设，硬化西凝仁至杜家庄连村路，打通构建镇域环形交通网络。</w:t>
      </w:r>
    </w:p>
    <w:p>
      <w:pPr>
        <w:pStyle w:val="23"/>
      </w:pPr>
      <w:r>
        <w:t>三是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pPr>
        <w:pStyle w:val="23"/>
      </w:pPr>
      <w:r>
        <w:t>四是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pPr>
        <w:pStyle w:val="23"/>
      </w:pPr>
      <w:r>
        <w:t>五是继续抓好安全生产和民生稳定，最大限度保障社会稳定、人民安居乐业。巩固脱贫攻坚成果，积极化解社会矛盾纠纷，切实解决人民群众期盼。</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（一）抓好现代产业发展</w:t>
      </w:r>
    </w:p>
    <w:p>
      <w:pPr>
        <w:pStyle w:val="24"/>
      </w:pPr>
      <w:r>
        <w:t>绩效目标：在现有的基础上，抓好现代产业发展。</w:t>
      </w:r>
      <w:r>
        <w:tab/>
      </w:r>
    </w:p>
    <w:p>
      <w:pPr>
        <w:pStyle w:val="24"/>
      </w:pPr>
      <w:r>
        <w:t>绩效指标：继续抓好省市重点项目鑫恒达、博山钢材两个项目的占地指标问题，协调土地等职能部门，尽快得到解决，开工建设。继续加大招商引资力度，促进东百集团现代物流项目达成洽谈意向，成功入驻鑫恒达物流园。</w:t>
      </w:r>
    </w:p>
    <w:p>
      <w:pPr>
        <w:pStyle w:val="24"/>
      </w:pPr>
      <w:r>
        <w:t>（二）实施乡村振兴战略</w:t>
      </w:r>
    </w:p>
    <w:p>
      <w:pPr>
        <w:pStyle w:val="24"/>
      </w:pPr>
      <w:r>
        <w:t>绩效目标：以人居环境整治为抓手，实施乡村振兴战略。</w:t>
      </w:r>
    </w:p>
    <w:p>
      <w:pPr>
        <w:pStyle w:val="24"/>
      </w:pPr>
      <w:r>
        <w:t>绩效指标：继续抓好农村人居环境整治（改厕），巩固已有的成果，在打造精细上下功夫，在保持常态化卫生干净整洁上下功夫。继续抓好一事一议财政奖补政策，最大程度促进农村基础设施建设，硬化西凝仁至杜家庄连村路，打通构建镇域环形交通网络。</w:t>
      </w:r>
    </w:p>
    <w:p>
      <w:pPr>
        <w:pStyle w:val="24"/>
      </w:pPr>
      <w:r>
        <w:t>（三）抓环保治理，推动大气质量好转</w:t>
      </w:r>
    </w:p>
    <w:p>
      <w:pPr>
        <w:pStyle w:val="24"/>
      </w:pPr>
      <w:r>
        <w:t>绩效目标：推动大气质量好转。</w:t>
      </w:r>
    </w:p>
    <w:p>
      <w:pPr>
        <w:pStyle w:val="24"/>
      </w:pPr>
      <w:r>
        <w:t>绩效指标：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pPr>
        <w:pStyle w:val="24"/>
      </w:pPr>
    </w:p>
    <w:p>
      <w:pPr>
        <w:pStyle w:val="24"/>
      </w:pPr>
      <w:r>
        <w:t>（四）心系群众，抓好民生保障及稳定</w:t>
      </w:r>
    </w:p>
    <w:p>
      <w:pPr>
        <w:pStyle w:val="24"/>
      </w:pPr>
      <w:r>
        <w:t>绩效目标：抓好民生保障及稳定。</w:t>
      </w:r>
    </w:p>
    <w:p>
      <w:pPr>
        <w:pStyle w:val="24"/>
      </w:pPr>
      <w:r>
        <w:t>绩效指标：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继续抓好安全生产和民生稳定，最大限度保障社会稳定、人民安居乐业。巩固脱贫攻坚成果，积极化解社会矛盾纠纷，切实解决人民群众期盼。</w:t>
      </w:r>
    </w:p>
    <w:p>
      <w:pPr>
        <w:pStyle w:val="24"/>
      </w:pPr>
    </w:p>
    <w:p>
      <w:pPr>
        <w:pStyle w:val="24"/>
      </w:pPr>
      <w:r>
        <w:t>（五）不忘初心</w:t>
      </w:r>
      <w:r>
        <w:rPr>
          <w:rFonts w:hint="eastAsia"/>
          <w:lang w:eastAsia="zh-CN"/>
        </w:rPr>
        <w:t>、</w:t>
      </w:r>
      <w:r>
        <w:t>牢记使命，抓好党建工作</w:t>
      </w:r>
    </w:p>
    <w:p>
      <w:pPr>
        <w:pStyle w:val="24"/>
      </w:pPr>
      <w:r>
        <w:t>绩效目标：抓好党建工作。</w:t>
      </w:r>
    </w:p>
    <w:p>
      <w:pPr>
        <w:pStyle w:val="24"/>
      </w:pPr>
      <w:r>
        <w:t>绩效指标：继续抓好农村两委换届工作，完成小吴村、西只甲村“两委”办公场所建设。提前谋划抓好村“两委”换届选举工作，要统筹解决共性问题和个性问题，分别采取有效措施逐个击破，要因村施策，精心储备培养村级后备干部队伍。特别是本届“两委”的任期都调整为五年，以后“五年换一次，一次管五年”，更显得意义重大、责任重大。要选出团结协作有战斗力的新一届“两委”班子。</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1、完善制度建设。制定完善预算绩效管理制度，资金管理办法，工作保障制度，为全年预算绩效目标的实现奠定制度基础。</w:t>
      </w:r>
    </w:p>
    <w:p>
      <w:pPr>
        <w:pStyle w:val="25"/>
      </w:pPr>
      <w:r>
        <w:t>2、加强支出管理。通过优化支出结构，编细预算，加快履行政府采购手续，尽快启动项目，及时支付资金，按规定及时下达资金等多种措施，确保支出进度达标。</w:t>
      </w:r>
    </w:p>
    <w:p>
      <w:pPr>
        <w:pStyle w:val="25"/>
      </w:pPr>
      <w:r>
        <w:t>3、加强绩效运行监控。按要求开展绩效运行监控，发现问题及时采取措施，确保绩效目标如期保质实现。</w:t>
      </w:r>
    </w:p>
    <w:p>
      <w:pPr>
        <w:pStyle w:val="25"/>
      </w:pPr>
      <w:r>
        <w:t>4、做好绩效自评。按要求开展上年度部门预算绩效自评和重点评价工作，对评价中发现的问题及时整改，调整优化支出结构，提高财政资金使用效益。</w:t>
      </w:r>
    </w:p>
    <w:p>
      <w:pPr>
        <w:pStyle w:val="25"/>
      </w:pPr>
      <w:r>
        <w:t>5、规范财务资产管理。完善财务制度，严格审批程序，加强固定资产登记、使用和报废处置管理，做到支出合理，物尽其用。</w:t>
      </w:r>
    </w:p>
    <w:p>
      <w:pPr>
        <w:pStyle w:val="25"/>
      </w:pPr>
      <w:r>
        <w:t>6、狠抓干部队伍建设。</w:t>
      </w:r>
    </w:p>
    <w:p>
      <w:pPr>
        <w:pStyle w:val="25"/>
      </w:pPr>
      <w:r>
        <w:t>深入贯彻落实“</w:t>
      </w:r>
      <w:r>
        <w:rPr>
          <w:rFonts w:hint="eastAsia"/>
          <w:lang w:eastAsia="zh-CN"/>
        </w:rPr>
        <w:t>不忘初心、</w:t>
      </w:r>
      <w:r>
        <w:t>牢记使命”主题教育</w:t>
      </w:r>
      <w:bookmarkStart w:id="19" w:name="_GoBack"/>
      <w:bookmarkEnd w:id="19"/>
      <w:r>
        <w:t>，深入学习习近平新时代中国特色社会主义思想，习近平总书记系列重要讲话和两会会议，习近平总书记对河北工作重要指示批示精神，坚决做好“两个维护”，牢固树立“四个意识”，坚定“四个自信”，进一步筑牢忠诚、干净、担当的思想基础。</w:t>
      </w:r>
    </w:p>
    <w:p>
      <w:pPr>
        <w:pStyle w:val="25"/>
      </w:pPr>
      <w:r>
        <w:t>7、加强内部监督。</w:t>
      </w:r>
    </w:p>
    <w:p>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8、加强宣传培训调研等。</w:t>
      </w:r>
    </w:p>
    <w:p>
      <w:pPr>
        <w:pStyle w:val="25"/>
      </w:pPr>
      <w:r>
        <w:t>加强人员培训，提高本部门职工业务素质；加强调研，提出优化财政资金配置、提高资金使用效益的意见意见；加大宣传力度，强化预算绩效管理意识，促进预算绩效管理水平进一步提升。</w:t>
      </w:r>
    </w:p>
    <w:p>
      <w:pPr>
        <w:pStyle w:val="25"/>
      </w:pPr>
      <w:r>
        <w:t>9、全面加强基层党建工作。</w:t>
      </w:r>
    </w:p>
    <w:p>
      <w:pPr>
        <w:pStyle w:val="25"/>
      </w:pPr>
      <w:r>
        <w:t>严格落实廉政责任制，扎实推进惩治和预防腐败体系建设，坚持学习宪法、尊崇法制，严格按照法定权限和程序行使权力、履行职责，依法接受法律监督和工作监督，落实重大事项报告、通报制度，全面推进政务公开，充分保障群众的知情权、参与权，让政府更好</w:t>
      </w:r>
      <w:r>
        <w:rPr>
          <w:rFonts w:hint="eastAsia"/>
          <w:lang w:eastAsia="zh-CN"/>
        </w:rPr>
        <w:t>地</w:t>
      </w:r>
      <w:r>
        <w:t>为人民服务，让人民更好的监督政府，切实打造法制型政府。</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1、南孟镇2022年安全生产支出绩效目标表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1.按照国家法律法规，治理生产安全隐患。</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涉及企业数量</w:t>
            </w:r>
          </w:p>
        </w:tc>
        <w:tc>
          <w:tcPr>
            <w:tcW w:w="2835" w:type="dxa"/>
            <w:vAlign w:val="center"/>
          </w:tcPr>
          <w:p>
            <w:pPr>
              <w:pStyle w:val="28"/>
            </w:pPr>
            <w:r>
              <w:t>全镇收汇企业数</w:t>
            </w:r>
          </w:p>
        </w:tc>
        <w:tc>
          <w:tcPr>
            <w:tcW w:w="2551" w:type="dxa"/>
            <w:vAlign w:val="center"/>
          </w:tcPr>
          <w:p>
            <w:pPr>
              <w:pStyle w:val="28"/>
            </w:pPr>
            <w:r>
              <w:t>20个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安全生产</w:t>
            </w:r>
          </w:p>
        </w:tc>
        <w:tc>
          <w:tcPr>
            <w:tcW w:w="2835" w:type="dxa"/>
            <w:vAlign w:val="center"/>
          </w:tcPr>
          <w:p>
            <w:pPr>
              <w:pStyle w:val="28"/>
            </w:pPr>
            <w:r>
              <w:t>安全生产</w:t>
            </w:r>
          </w:p>
        </w:tc>
        <w:tc>
          <w:tcPr>
            <w:tcW w:w="2551" w:type="dxa"/>
            <w:vAlign w:val="center"/>
          </w:tcPr>
          <w:p>
            <w:pPr>
              <w:pStyle w:val="28"/>
            </w:pPr>
            <w:r>
              <w:t>生产安全保障</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资金支付及时率</w:t>
            </w:r>
          </w:p>
        </w:tc>
        <w:tc>
          <w:tcPr>
            <w:tcW w:w="2835" w:type="dxa"/>
            <w:vAlign w:val="center"/>
          </w:tcPr>
          <w:p>
            <w:pPr>
              <w:pStyle w:val="28"/>
            </w:pPr>
            <w:r>
              <w:t>资金支付及时率</w:t>
            </w:r>
          </w:p>
        </w:tc>
        <w:tc>
          <w:tcPr>
            <w:tcW w:w="2551" w:type="dxa"/>
            <w:vAlign w:val="center"/>
          </w:tcPr>
          <w:p>
            <w:pPr>
              <w:pStyle w:val="28"/>
            </w:pPr>
            <w:r>
              <w:t xml:space="preserve">≥95百分数 </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≥95百分数</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使用年限</w:t>
            </w:r>
          </w:p>
        </w:tc>
        <w:tc>
          <w:tcPr>
            <w:tcW w:w="2835" w:type="dxa"/>
            <w:vAlign w:val="center"/>
          </w:tcPr>
          <w:p>
            <w:pPr>
              <w:pStyle w:val="28"/>
            </w:pPr>
            <w:r>
              <w:t>经费使用年限</w:t>
            </w:r>
          </w:p>
        </w:tc>
        <w:tc>
          <w:tcPr>
            <w:tcW w:w="2551" w:type="dxa"/>
            <w:vAlign w:val="center"/>
          </w:tcPr>
          <w:p>
            <w:pPr>
              <w:pStyle w:val="28"/>
            </w:pPr>
            <w:r>
              <w:t>1年</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经济效益指标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满意度</w:t>
            </w:r>
          </w:p>
        </w:tc>
        <w:tc>
          <w:tcPr>
            <w:tcW w:w="2835" w:type="dxa"/>
            <w:vAlign w:val="center"/>
          </w:tcPr>
          <w:p>
            <w:pPr>
              <w:pStyle w:val="28"/>
            </w:pPr>
            <w:r>
              <w:t>满意度</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2、南孟镇2022年度环保、安全生产等经费（综合公用经费）绩效目标表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1.按照国家法律法规，进行环保治理、安全生产监管、治理安全生产隐患工作。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环保治理安全生产监管村个数</w:t>
            </w:r>
          </w:p>
        </w:tc>
        <w:tc>
          <w:tcPr>
            <w:tcW w:w="2835" w:type="dxa"/>
            <w:vAlign w:val="center"/>
          </w:tcPr>
          <w:p>
            <w:pPr>
              <w:pStyle w:val="28"/>
            </w:pPr>
            <w:r>
              <w:t>辖区内环保安全生产监管全覆盖</w:t>
            </w:r>
          </w:p>
        </w:tc>
        <w:tc>
          <w:tcPr>
            <w:tcW w:w="2551" w:type="dxa"/>
            <w:vAlign w:val="center"/>
          </w:tcPr>
          <w:p>
            <w:pPr>
              <w:pStyle w:val="28"/>
            </w:pPr>
            <w:r>
              <w:t>14个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≥95百分比</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≥95百分比</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农村生态良好安全生产得到保障</w:t>
            </w:r>
          </w:p>
        </w:tc>
        <w:tc>
          <w:tcPr>
            <w:tcW w:w="2835" w:type="dxa"/>
            <w:vAlign w:val="center"/>
          </w:tcPr>
          <w:p>
            <w:pPr>
              <w:pStyle w:val="28"/>
            </w:pPr>
            <w:r>
              <w:t>环境良好，安全生产保障</w:t>
            </w:r>
          </w:p>
        </w:tc>
        <w:tc>
          <w:tcPr>
            <w:tcW w:w="2551" w:type="dxa"/>
            <w:vAlign w:val="center"/>
          </w:tcPr>
          <w:p>
            <w:pPr>
              <w:pStyle w:val="28"/>
            </w:pPr>
            <w:r>
              <w:t>1年</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群众满意，幸福指数得到提升</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3、南孟镇2022年度机关运转工作经费（综合公用经费）绩效目标表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财政投入资金</w:t>
            </w:r>
          </w:p>
        </w:tc>
        <w:tc>
          <w:tcPr>
            <w:tcW w:w="2835" w:type="dxa"/>
            <w:vAlign w:val="center"/>
          </w:tcPr>
          <w:p>
            <w:pPr>
              <w:pStyle w:val="28"/>
            </w:pPr>
            <w:r>
              <w:t>各项工作需要投入资金数量</w:t>
            </w:r>
          </w:p>
        </w:tc>
        <w:tc>
          <w:tcPr>
            <w:tcW w:w="2551" w:type="dxa"/>
            <w:vAlign w:val="center"/>
          </w:tcPr>
          <w:p>
            <w:pPr>
              <w:pStyle w:val="28"/>
            </w:pPr>
            <w:r>
              <w:t>29.4万元</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保障各项工作顺利运行</w:t>
            </w:r>
          </w:p>
        </w:tc>
        <w:tc>
          <w:tcPr>
            <w:tcW w:w="2551" w:type="dxa"/>
            <w:vAlign w:val="center"/>
          </w:tcPr>
          <w:p>
            <w:pPr>
              <w:pStyle w:val="28"/>
            </w:pPr>
            <w:r>
              <w:t>≥95百分数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各项工作保障时间节点完成</w:t>
            </w:r>
          </w:p>
        </w:tc>
        <w:tc>
          <w:tcPr>
            <w:tcW w:w="2835" w:type="dxa"/>
            <w:vAlign w:val="center"/>
          </w:tcPr>
          <w:p>
            <w:pPr>
              <w:pStyle w:val="28"/>
            </w:pPr>
            <w:r>
              <w:t>按时完成上级安排的各项工作</w:t>
            </w:r>
          </w:p>
        </w:tc>
        <w:tc>
          <w:tcPr>
            <w:tcW w:w="2551" w:type="dxa"/>
            <w:vAlign w:val="center"/>
          </w:tcPr>
          <w:p>
            <w:pPr>
              <w:pStyle w:val="28"/>
            </w:pPr>
            <w:r>
              <w:t>≥95百分数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w:t>
            </w:r>
          </w:p>
        </w:tc>
        <w:tc>
          <w:tcPr>
            <w:tcW w:w="2551" w:type="dxa"/>
            <w:vAlign w:val="center"/>
          </w:tcPr>
          <w:p>
            <w:pPr>
              <w:pStyle w:val="28"/>
            </w:pPr>
            <w:r>
              <w:t>按规定执行</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各项工作顺利开展</w:t>
            </w:r>
          </w:p>
        </w:tc>
        <w:tc>
          <w:tcPr>
            <w:tcW w:w="2835" w:type="dxa"/>
            <w:vAlign w:val="center"/>
          </w:tcPr>
          <w:p>
            <w:pPr>
              <w:pStyle w:val="28"/>
            </w:pPr>
            <w:r>
              <w:t>各项工作统筹兼顾，顺利开展</w:t>
            </w:r>
          </w:p>
        </w:tc>
        <w:tc>
          <w:tcPr>
            <w:tcW w:w="2551" w:type="dxa"/>
            <w:vAlign w:val="center"/>
          </w:tcPr>
          <w:p>
            <w:pPr>
              <w:pStyle w:val="28"/>
            </w:pPr>
            <w:r>
              <w:t>1百分数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在编人员满意度</w:t>
            </w:r>
          </w:p>
        </w:tc>
        <w:tc>
          <w:tcPr>
            <w:tcW w:w="2835" w:type="dxa"/>
            <w:vAlign w:val="center"/>
          </w:tcPr>
          <w:p>
            <w:pPr>
              <w:pStyle w:val="28"/>
            </w:pPr>
            <w:r>
              <w:t>按时完成各项工作，上级部门满意群众满意</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4、南孟镇2022年度学区工会费绩效目标表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1.保证工会工作的正常运转，保障工会费及时、足额上缴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≥80百分数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上缴资金占总工会费比例</w:t>
            </w:r>
          </w:p>
        </w:tc>
        <w:tc>
          <w:tcPr>
            <w:tcW w:w="2551" w:type="dxa"/>
            <w:vAlign w:val="center"/>
          </w:tcPr>
          <w:p>
            <w:pPr>
              <w:pStyle w:val="28"/>
            </w:pPr>
            <w:r>
              <w:t>≥100百分数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某一时期内上缴资金与计划上缴资金的比例</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按规定执行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职工幸福指数</w:t>
            </w:r>
          </w:p>
        </w:tc>
        <w:tc>
          <w:tcPr>
            <w:tcW w:w="2835" w:type="dxa"/>
            <w:vAlign w:val="center"/>
          </w:tcPr>
          <w:p>
            <w:pPr>
              <w:pStyle w:val="28"/>
            </w:pPr>
            <w:r>
              <w:t>工会一直为职工提供的服务让职工感受到的幸福指数</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工作活动影响力</w:t>
            </w:r>
          </w:p>
        </w:tc>
        <w:tc>
          <w:tcPr>
            <w:tcW w:w="2835" w:type="dxa"/>
            <w:vAlign w:val="center"/>
          </w:tcPr>
          <w:p>
            <w:pPr>
              <w:pStyle w:val="28"/>
            </w:pPr>
            <w:r>
              <w:t>工会利用工会费举办职工活动，丰富职工业余生活的程度</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工会满意度</w:t>
            </w:r>
          </w:p>
        </w:tc>
        <w:tc>
          <w:tcPr>
            <w:tcW w:w="2835" w:type="dxa"/>
            <w:vAlign w:val="center"/>
          </w:tcPr>
          <w:p>
            <w:pPr>
              <w:pStyle w:val="28"/>
            </w:pPr>
            <w:r>
              <w:t>工会对工会费上缴满意程度</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5、南孟镇2022年金五线绿化占地补偿绩效目标表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1.及时拨付金五线占地补助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占地村庄数</w:t>
            </w:r>
          </w:p>
        </w:tc>
        <w:tc>
          <w:tcPr>
            <w:tcW w:w="2835" w:type="dxa"/>
            <w:vAlign w:val="center"/>
          </w:tcPr>
          <w:p>
            <w:pPr>
              <w:pStyle w:val="28"/>
            </w:pPr>
            <w:r>
              <w:t>涉及到占地的村庄个数</w:t>
            </w:r>
          </w:p>
        </w:tc>
        <w:tc>
          <w:tcPr>
            <w:tcW w:w="2551" w:type="dxa"/>
            <w:vAlign w:val="center"/>
          </w:tcPr>
          <w:p>
            <w:pPr>
              <w:pStyle w:val="28"/>
            </w:pPr>
            <w:r>
              <w:t>9个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按照要求发放的农户数量占总占地农户数量的比例</w:t>
            </w:r>
          </w:p>
        </w:tc>
        <w:tc>
          <w:tcPr>
            <w:tcW w:w="2551" w:type="dxa"/>
            <w:vAlign w:val="center"/>
          </w:tcPr>
          <w:p>
            <w:pPr>
              <w:pStyle w:val="28"/>
            </w:pPr>
            <w:r>
              <w:t>≥100百分比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占地补贴标准</w:t>
            </w:r>
          </w:p>
        </w:tc>
        <w:tc>
          <w:tcPr>
            <w:tcW w:w="2835" w:type="dxa"/>
            <w:vAlign w:val="center"/>
          </w:tcPr>
          <w:p>
            <w:pPr>
              <w:pStyle w:val="28"/>
            </w:pPr>
            <w:r>
              <w:t>占地补贴标准</w:t>
            </w:r>
          </w:p>
        </w:tc>
        <w:tc>
          <w:tcPr>
            <w:tcW w:w="2551" w:type="dxa"/>
            <w:vAlign w:val="center"/>
          </w:tcPr>
          <w:p>
            <w:pPr>
              <w:pStyle w:val="28"/>
            </w:pPr>
            <w:r>
              <w:t>按规定执行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确保社会稳定</w:t>
            </w:r>
          </w:p>
        </w:tc>
        <w:tc>
          <w:tcPr>
            <w:tcW w:w="2835" w:type="dxa"/>
            <w:vAlign w:val="center"/>
          </w:tcPr>
          <w:p>
            <w:pPr>
              <w:pStyle w:val="28"/>
            </w:pPr>
            <w:r>
              <w:t>按时发放补偿资金，避免上访事件发生</w:t>
            </w:r>
          </w:p>
        </w:tc>
        <w:tc>
          <w:tcPr>
            <w:tcW w:w="2551" w:type="dxa"/>
            <w:vAlign w:val="center"/>
          </w:tcPr>
          <w:p>
            <w:pPr>
              <w:pStyle w:val="28"/>
            </w:pPr>
            <w:r>
              <w:t>≥98按时发放补偿资金</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群众对当年补偿资金发放整体满意度</w:t>
            </w:r>
          </w:p>
        </w:tc>
        <w:tc>
          <w:tcPr>
            <w:tcW w:w="2551" w:type="dxa"/>
            <w:vAlign w:val="center"/>
          </w:tcPr>
          <w:p>
            <w:pPr>
              <w:pStyle w:val="28"/>
            </w:pPr>
            <w:r>
              <w:t>≥98百分比</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6、南孟镇2022年农村独生子女费绩效目标表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1.按时足额发放农村独生子女父母奖金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全镇14个村</w:t>
            </w:r>
          </w:p>
        </w:tc>
        <w:tc>
          <w:tcPr>
            <w:tcW w:w="2835" w:type="dxa"/>
            <w:vAlign w:val="center"/>
          </w:tcPr>
          <w:p>
            <w:pPr>
              <w:pStyle w:val="28"/>
            </w:pPr>
            <w:r>
              <w:t>对全镇14个村独生子女户进行奖励</w:t>
            </w:r>
          </w:p>
        </w:tc>
        <w:tc>
          <w:tcPr>
            <w:tcW w:w="2551" w:type="dxa"/>
            <w:vAlign w:val="center"/>
          </w:tcPr>
          <w:p>
            <w:pPr>
              <w:pStyle w:val="28"/>
            </w:pPr>
            <w:r>
              <w:t>14个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及时足额发放</w:t>
            </w:r>
          </w:p>
        </w:tc>
        <w:tc>
          <w:tcPr>
            <w:tcW w:w="2835" w:type="dxa"/>
            <w:vAlign w:val="center"/>
          </w:tcPr>
          <w:p>
            <w:pPr>
              <w:pStyle w:val="28"/>
            </w:pPr>
            <w:r>
              <w:t>按照要求发放的农户数量占总农户数量的比例</w:t>
            </w:r>
          </w:p>
        </w:tc>
        <w:tc>
          <w:tcPr>
            <w:tcW w:w="2551" w:type="dxa"/>
            <w:vAlign w:val="center"/>
          </w:tcPr>
          <w:p>
            <w:pPr>
              <w:pStyle w:val="28"/>
            </w:pPr>
            <w:r>
              <w:t>100百分比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及时发放</w:t>
            </w:r>
          </w:p>
        </w:tc>
        <w:tc>
          <w:tcPr>
            <w:tcW w:w="2835" w:type="dxa"/>
            <w:vAlign w:val="center"/>
          </w:tcPr>
          <w:p>
            <w:pPr>
              <w:pStyle w:val="28"/>
            </w:pPr>
            <w:r>
              <w:t>某一时期内拨付资金与计划拨付资金的比例</w:t>
            </w:r>
          </w:p>
        </w:tc>
        <w:tc>
          <w:tcPr>
            <w:tcW w:w="2551" w:type="dxa"/>
            <w:vAlign w:val="center"/>
          </w:tcPr>
          <w:p>
            <w:pPr>
              <w:pStyle w:val="28"/>
            </w:pPr>
            <w:r>
              <w:t>≥95百分比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人均发放水平</w:t>
            </w:r>
          </w:p>
        </w:tc>
        <w:tc>
          <w:tcPr>
            <w:tcW w:w="2835" w:type="dxa"/>
            <w:vAlign w:val="center"/>
          </w:tcPr>
          <w:p>
            <w:pPr>
              <w:pStyle w:val="28"/>
            </w:pPr>
            <w:r>
              <w:t>控制成本预算数</w:t>
            </w:r>
          </w:p>
        </w:tc>
        <w:tc>
          <w:tcPr>
            <w:tcW w:w="2551" w:type="dxa"/>
            <w:vAlign w:val="center"/>
          </w:tcPr>
          <w:p>
            <w:pPr>
              <w:pStyle w:val="28"/>
            </w:pPr>
            <w:r>
              <w:t>元</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受益总人数</w:t>
            </w:r>
          </w:p>
        </w:tc>
        <w:tc>
          <w:tcPr>
            <w:tcW w:w="2835" w:type="dxa"/>
            <w:vAlign w:val="center"/>
          </w:tcPr>
          <w:p>
            <w:pPr>
              <w:pStyle w:val="28"/>
            </w:pPr>
            <w:r>
              <w:t>按时发放补助金，避免上访事件发生</w:t>
            </w:r>
          </w:p>
        </w:tc>
        <w:tc>
          <w:tcPr>
            <w:tcW w:w="2551" w:type="dxa"/>
            <w:vAlign w:val="center"/>
          </w:tcPr>
          <w:p>
            <w:pPr>
              <w:pStyle w:val="28"/>
            </w:pPr>
            <w:r>
              <w:t>≥98百分比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独生子女户对奖励发放满意度</w:t>
            </w:r>
          </w:p>
        </w:tc>
        <w:tc>
          <w:tcPr>
            <w:tcW w:w="2835" w:type="dxa"/>
            <w:vAlign w:val="center"/>
          </w:tcPr>
          <w:p>
            <w:pPr>
              <w:pStyle w:val="28"/>
            </w:pPr>
            <w:r>
              <w:t>独生子女户对资金发放整体满意度</w:t>
            </w:r>
          </w:p>
        </w:tc>
        <w:tc>
          <w:tcPr>
            <w:tcW w:w="2551" w:type="dxa"/>
            <w:vAlign w:val="center"/>
          </w:tcPr>
          <w:p>
            <w:pPr>
              <w:pStyle w:val="28"/>
            </w:pPr>
            <w:r>
              <w:t>≥98百分比</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7、南孟镇2022年农村文化建设资金绩效目标表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1.支持南孟镇农村文化工作顺利开展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农村文化工作覆盖村个数</w:t>
            </w:r>
          </w:p>
        </w:tc>
        <w:tc>
          <w:tcPr>
            <w:tcW w:w="2835" w:type="dxa"/>
            <w:vAlign w:val="center"/>
          </w:tcPr>
          <w:p>
            <w:pPr>
              <w:pStyle w:val="28"/>
            </w:pPr>
            <w:r>
              <w:t>辖区内农村文化工作全覆盖</w:t>
            </w:r>
          </w:p>
        </w:tc>
        <w:tc>
          <w:tcPr>
            <w:tcW w:w="2551" w:type="dxa"/>
            <w:vAlign w:val="center"/>
          </w:tcPr>
          <w:p>
            <w:pPr>
              <w:pStyle w:val="28"/>
            </w:pPr>
            <w:r>
              <w:t>14个</w:t>
            </w:r>
          </w:p>
        </w:tc>
        <w:tc>
          <w:tcPr>
            <w:tcW w:w="2268" w:type="dxa"/>
            <w:vAlign w:val="center"/>
          </w:tcPr>
          <w:p>
            <w:pPr>
              <w:pStyle w:val="28"/>
            </w:pPr>
            <w:r>
              <w:t>年度工作目标</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编制农村环境治理等工作经费标准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农村文化工作开展得到保障</w:t>
            </w:r>
          </w:p>
        </w:tc>
        <w:tc>
          <w:tcPr>
            <w:tcW w:w="2835" w:type="dxa"/>
            <w:vAlign w:val="center"/>
          </w:tcPr>
          <w:p>
            <w:pPr>
              <w:pStyle w:val="28"/>
            </w:pPr>
            <w:r>
              <w:t>文化项目多元化</w:t>
            </w:r>
          </w:p>
        </w:tc>
        <w:tc>
          <w:tcPr>
            <w:tcW w:w="2551" w:type="dxa"/>
            <w:vAlign w:val="center"/>
          </w:tcPr>
          <w:p>
            <w:pPr>
              <w:pStyle w:val="28"/>
            </w:pPr>
            <w:r>
              <w:t>1年</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群众满意，幸福指数得到提升</w:t>
            </w:r>
          </w:p>
        </w:tc>
        <w:tc>
          <w:tcPr>
            <w:tcW w:w="2551" w:type="dxa"/>
            <w:vAlign w:val="center"/>
          </w:tcPr>
          <w:p>
            <w:pPr>
              <w:pStyle w:val="28"/>
            </w:pPr>
            <w:r>
              <w:t>≥95%</w:t>
            </w:r>
          </w:p>
        </w:tc>
        <w:tc>
          <w:tcPr>
            <w:tcW w:w="2268" w:type="dxa"/>
            <w:vAlign w:val="center"/>
          </w:tcPr>
          <w:p>
            <w:pPr>
              <w:pStyle w:val="28"/>
            </w:pPr>
            <w:r>
              <w:t>年度工作目标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8、南孟镇2022年土地执法、信访维稳、武装等工作经费（综合公用经费）绩效目标表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1.按照国家法律法规，进行土地执法、信访维稳、武装等工作。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土地执法等工作监管村个数</w:t>
            </w:r>
          </w:p>
        </w:tc>
        <w:tc>
          <w:tcPr>
            <w:tcW w:w="2835" w:type="dxa"/>
            <w:vAlign w:val="center"/>
          </w:tcPr>
          <w:p>
            <w:pPr>
              <w:pStyle w:val="28"/>
            </w:pPr>
            <w:r>
              <w:t>辖区内全覆盖</w:t>
            </w:r>
          </w:p>
        </w:tc>
        <w:tc>
          <w:tcPr>
            <w:tcW w:w="2551" w:type="dxa"/>
            <w:vAlign w:val="center"/>
          </w:tcPr>
          <w:p>
            <w:pPr>
              <w:pStyle w:val="28"/>
            </w:pPr>
            <w:r>
              <w:t>14个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编制土地执法等工作经费</w:t>
            </w:r>
          </w:p>
        </w:tc>
        <w:tc>
          <w:tcPr>
            <w:tcW w:w="2835" w:type="dxa"/>
            <w:vAlign w:val="center"/>
          </w:tcPr>
          <w:p>
            <w:pPr>
              <w:pStyle w:val="28"/>
            </w:pPr>
            <w:r>
              <w:t>编制土地执法等工作经费标准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农村土地资源利用良好信访武装工作开展顺利</w:t>
            </w:r>
          </w:p>
        </w:tc>
        <w:tc>
          <w:tcPr>
            <w:tcW w:w="2835" w:type="dxa"/>
            <w:vAlign w:val="center"/>
          </w:tcPr>
          <w:p>
            <w:pPr>
              <w:pStyle w:val="28"/>
            </w:pPr>
            <w:r>
              <w:t>土地资源利用良好，社会稳定武装工作顺利开展</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9、南孟镇2022年政府工会费绩效目标表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≥80百分数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上缴资金占总工会费的比例</w:t>
            </w:r>
          </w:p>
        </w:tc>
        <w:tc>
          <w:tcPr>
            <w:tcW w:w="2551" w:type="dxa"/>
            <w:vAlign w:val="center"/>
          </w:tcPr>
          <w:p>
            <w:pPr>
              <w:pStyle w:val="28"/>
            </w:pPr>
            <w:r>
              <w:t>≥100百分数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某一时期内上缴资金与计划上缴资金的比例</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按规定执行</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职工幸福指数</w:t>
            </w:r>
          </w:p>
        </w:tc>
        <w:tc>
          <w:tcPr>
            <w:tcW w:w="2835" w:type="dxa"/>
            <w:vAlign w:val="center"/>
          </w:tcPr>
          <w:p>
            <w:pPr>
              <w:pStyle w:val="28"/>
            </w:pPr>
            <w:r>
              <w:t>工会一直为职工提供的服务让职工感受到的幸福指数</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工会活动影响力</w:t>
            </w:r>
          </w:p>
        </w:tc>
        <w:tc>
          <w:tcPr>
            <w:tcW w:w="2835" w:type="dxa"/>
            <w:vAlign w:val="center"/>
          </w:tcPr>
          <w:p>
            <w:pPr>
              <w:pStyle w:val="28"/>
            </w:pPr>
            <w:r>
              <w:t>工会利用工会费举办职工活动，丰富职工业余生活的程度</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工会满意度</w:t>
            </w:r>
          </w:p>
        </w:tc>
        <w:tc>
          <w:tcPr>
            <w:tcW w:w="2835" w:type="dxa"/>
            <w:vAlign w:val="center"/>
          </w:tcPr>
          <w:p>
            <w:pPr>
              <w:pStyle w:val="28"/>
            </w:pPr>
            <w:r>
              <w:t>工会对工会费上缴满意程度</w:t>
            </w:r>
          </w:p>
        </w:tc>
        <w:tc>
          <w:tcPr>
            <w:tcW w:w="2551" w:type="dxa"/>
            <w:vAlign w:val="center"/>
          </w:tcPr>
          <w:p>
            <w:pPr>
              <w:pStyle w:val="28"/>
            </w:pPr>
            <w:r>
              <w:t>≥98百分数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10、南孟镇人居环境及日常工作经费绩效目标表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1.南孟镇人居环境整治治理及日常工作支出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人居环境改善覆盖率</w:t>
            </w:r>
          </w:p>
        </w:tc>
        <w:tc>
          <w:tcPr>
            <w:tcW w:w="2551" w:type="dxa"/>
            <w:vAlign w:val="center"/>
          </w:tcPr>
          <w:p>
            <w:pPr>
              <w:pStyle w:val="28"/>
            </w:pPr>
            <w:r>
              <w:t>≥95%</w:t>
            </w:r>
          </w:p>
        </w:tc>
        <w:tc>
          <w:tcPr>
            <w:tcW w:w="2268" w:type="dxa"/>
            <w:vAlign w:val="center"/>
          </w:tcPr>
          <w:p>
            <w:pPr>
              <w:pStyle w:val="28"/>
            </w:pPr>
            <w:r>
              <w:t>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清理垃圾完成质量</w:t>
            </w:r>
          </w:p>
        </w:tc>
        <w:tc>
          <w:tcPr>
            <w:tcW w:w="2835" w:type="dxa"/>
            <w:vAlign w:val="center"/>
          </w:tcPr>
          <w:p>
            <w:pPr>
              <w:pStyle w:val="28"/>
            </w:pPr>
            <w:r>
              <w:t>清理垃圾达标率</w:t>
            </w:r>
          </w:p>
        </w:tc>
        <w:tc>
          <w:tcPr>
            <w:tcW w:w="2551" w:type="dxa"/>
            <w:vAlign w:val="center"/>
          </w:tcPr>
          <w:p>
            <w:pPr>
              <w:pStyle w:val="28"/>
            </w:pPr>
            <w:r>
              <w:t>≥95%</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工作完成及时率</w:t>
            </w:r>
          </w:p>
        </w:tc>
        <w:tc>
          <w:tcPr>
            <w:tcW w:w="2551" w:type="dxa"/>
            <w:vAlign w:val="center"/>
          </w:tcPr>
          <w:p>
            <w:pPr>
              <w:pStyle w:val="28"/>
            </w:pPr>
            <w:r>
              <w:t>≥95%</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日常工作经费</w:t>
            </w:r>
          </w:p>
        </w:tc>
        <w:tc>
          <w:tcPr>
            <w:tcW w:w="2835" w:type="dxa"/>
            <w:vAlign w:val="center"/>
          </w:tcPr>
          <w:p>
            <w:pPr>
              <w:pStyle w:val="28"/>
            </w:pPr>
            <w:r>
              <w:t>工作完成情况</w:t>
            </w:r>
          </w:p>
        </w:tc>
        <w:tc>
          <w:tcPr>
            <w:tcW w:w="2551" w:type="dxa"/>
            <w:vAlign w:val="center"/>
          </w:tcPr>
          <w:p>
            <w:pPr>
              <w:pStyle w:val="28"/>
            </w:pPr>
            <w:r>
              <w:t>≥95%</w:t>
            </w:r>
          </w:p>
        </w:tc>
        <w:tc>
          <w:tcPr>
            <w:tcW w:w="2268" w:type="dxa"/>
            <w:vAlign w:val="center"/>
          </w:tcPr>
          <w:p>
            <w:pPr>
              <w:pStyle w:val="28"/>
            </w:pPr>
            <w:r>
              <w:t>考核验收表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在全镇生产的重要影响</w:t>
            </w:r>
          </w:p>
        </w:tc>
        <w:tc>
          <w:tcPr>
            <w:tcW w:w="2551" w:type="dxa"/>
            <w:vAlign w:val="center"/>
          </w:tcPr>
          <w:p>
            <w:pPr>
              <w:pStyle w:val="28"/>
            </w:pPr>
            <w:r>
              <w:t>≥90%</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群众满意数量占总人数比率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11、石财农【2021】101号关于提前下达2022年省级农村综合改革转移支付预算的通知绩效目标表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1.用于支持南孟镇十三村农产品仓储示范区项目资金支出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农产品仓储示范区项目涉及农村数量</w:t>
            </w:r>
          </w:p>
        </w:tc>
        <w:tc>
          <w:tcPr>
            <w:tcW w:w="2835" w:type="dxa"/>
            <w:vAlign w:val="center"/>
          </w:tcPr>
          <w:p>
            <w:pPr>
              <w:pStyle w:val="28"/>
            </w:pPr>
            <w:r>
              <w:t>农产品仓储示范区项目涉及农村数量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全部工程完成后验收符合行业标准比率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按照年初预算合理计算拨付资金</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按照预算项目执行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1.支持南孟镇十三村联建农产品仓储示范区项目资金支出。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仓储示范区项目涉及农村数量</w:t>
            </w:r>
          </w:p>
        </w:tc>
        <w:tc>
          <w:tcPr>
            <w:tcW w:w="2835" w:type="dxa"/>
            <w:vAlign w:val="center"/>
          </w:tcPr>
          <w:p>
            <w:pPr>
              <w:pStyle w:val="28"/>
            </w:pPr>
            <w:r>
              <w:t>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按年初预算标准合理分配并及时拨付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1.支持南孟镇2022年一事一议项目资金支出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一事一议项目涉及农村数量</w:t>
            </w:r>
          </w:p>
        </w:tc>
        <w:tc>
          <w:tcPr>
            <w:tcW w:w="2835" w:type="dxa"/>
            <w:vAlign w:val="center"/>
          </w:tcPr>
          <w:p>
            <w:pPr>
              <w:pStyle w:val="28"/>
            </w:pPr>
            <w:r>
              <w:t>一事一议项目涉及农村数量</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按照年初预算合理分配并及时拨付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农村环境得到改善</w:t>
            </w:r>
          </w:p>
        </w:tc>
        <w:tc>
          <w:tcPr>
            <w:tcW w:w="2835" w:type="dxa"/>
            <w:vAlign w:val="center"/>
          </w:tcPr>
          <w:p>
            <w:pPr>
              <w:pStyle w:val="28"/>
            </w:pPr>
            <w:r>
              <w:t>农村环境有所提升并有效改善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14、石财农【2021】89号关于提前下达2022年市级农村综合改革转移支付预算的通知绩效目标表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1.支持南孟镇十三村联建农产品仓储示范区项目资金支出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农产品仓储示范区项目涉及农村数量</w:t>
            </w:r>
          </w:p>
        </w:tc>
        <w:tc>
          <w:tcPr>
            <w:tcW w:w="2835" w:type="dxa"/>
            <w:vAlign w:val="center"/>
          </w:tcPr>
          <w:p>
            <w:pPr>
              <w:pStyle w:val="28"/>
            </w:pPr>
            <w:r>
              <w:t>农产品仓储示范区项目涉及农村数量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项目验收合格率</w:t>
            </w:r>
          </w:p>
        </w:tc>
        <w:tc>
          <w:tcPr>
            <w:tcW w:w="2835" w:type="dxa"/>
            <w:vAlign w:val="center"/>
          </w:tcPr>
          <w:p>
            <w:pPr>
              <w:pStyle w:val="28"/>
            </w:pPr>
            <w:r>
              <w:t>全部工程完工后验收符合行业标准比率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 xml:space="preserve"> 资金拨付及时率</w:t>
            </w:r>
          </w:p>
        </w:tc>
        <w:tc>
          <w:tcPr>
            <w:tcW w:w="2835" w:type="dxa"/>
            <w:vAlign w:val="center"/>
          </w:tcPr>
          <w:p>
            <w:pPr>
              <w:pStyle w:val="28"/>
            </w:pPr>
            <w:r>
              <w:t>按照年初预算标准合理分配及时拨付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15、石财预[2021]39号关于提前下达2022年革命老区转移支付预算的通知绩效目标表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1.保障革命老区村内修路工程资金支出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街道面积</w:t>
            </w:r>
          </w:p>
        </w:tc>
        <w:tc>
          <w:tcPr>
            <w:tcW w:w="2835" w:type="dxa"/>
            <w:vAlign w:val="center"/>
          </w:tcPr>
          <w:p>
            <w:pPr>
              <w:pStyle w:val="28"/>
            </w:pPr>
            <w:r>
              <w:t>整修街道面积</w:t>
            </w:r>
          </w:p>
        </w:tc>
        <w:tc>
          <w:tcPr>
            <w:tcW w:w="2551" w:type="dxa"/>
            <w:vAlign w:val="center"/>
          </w:tcPr>
          <w:p>
            <w:pPr>
              <w:pStyle w:val="28"/>
            </w:pPr>
            <w:r>
              <w:t>3000平方米</w:t>
            </w:r>
          </w:p>
        </w:tc>
        <w:tc>
          <w:tcPr>
            <w:tcW w:w="2268" w:type="dxa"/>
            <w:vAlign w:val="center"/>
          </w:tcPr>
          <w:p>
            <w:pPr>
              <w:pStyle w:val="28"/>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沥青铺油</w:t>
            </w:r>
          </w:p>
        </w:tc>
        <w:tc>
          <w:tcPr>
            <w:tcW w:w="2835" w:type="dxa"/>
            <w:vAlign w:val="center"/>
          </w:tcPr>
          <w:p>
            <w:pPr>
              <w:pStyle w:val="28"/>
            </w:pPr>
            <w:r>
              <w:t>刨铣路面、沥青铺油</w:t>
            </w:r>
          </w:p>
        </w:tc>
        <w:tc>
          <w:tcPr>
            <w:tcW w:w="2551" w:type="dxa"/>
            <w:vAlign w:val="center"/>
          </w:tcPr>
          <w:p>
            <w:pPr>
              <w:pStyle w:val="28"/>
            </w:pPr>
            <w:r>
              <w:t>4公分</w:t>
            </w:r>
          </w:p>
        </w:tc>
        <w:tc>
          <w:tcPr>
            <w:tcW w:w="2268" w:type="dxa"/>
            <w:vAlign w:val="center"/>
          </w:tcPr>
          <w:p>
            <w:pPr>
              <w:pStyle w:val="28"/>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完成此项工作时间</w:t>
            </w:r>
          </w:p>
        </w:tc>
        <w:tc>
          <w:tcPr>
            <w:tcW w:w="2835" w:type="dxa"/>
            <w:vAlign w:val="center"/>
          </w:tcPr>
          <w:p>
            <w:pPr>
              <w:pStyle w:val="28"/>
            </w:pPr>
            <w:r>
              <w:t>刨铣铺油及便道铺砖</w:t>
            </w:r>
          </w:p>
        </w:tc>
        <w:tc>
          <w:tcPr>
            <w:tcW w:w="2551" w:type="dxa"/>
            <w:vAlign w:val="center"/>
          </w:tcPr>
          <w:p>
            <w:pPr>
              <w:pStyle w:val="28"/>
            </w:pPr>
            <w:r>
              <w:t>1年</w:t>
            </w:r>
          </w:p>
        </w:tc>
        <w:tc>
          <w:tcPr>
            <w:tcW w:w="2268"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成本核算</w:t>
            </w:r>
          </w:p>
        </w:tc>
        <w:tc>
          <w:tcPr>
            <w:tcW w:w="2835" w:type="dxa"/>
            <w:vAlign w:val="center"/>
          </w:tcPr>
          <w:p>
            <w:pPr>
              <w:pStyle w:val="28"/>
            </w:pPr>
            <w:r>
              <w:t>完成此项工作所需经费</w:t>
            </w:r>
          </w:p>
        </w:tc>
        <w:tc>
          <w:tcPr>
            <w:tcW w:w="2551" w:type="dxa"/>
            <w:vAlign w:val="center"/>
          </w:tcPr>
          <w:p>
            <w:pPr>
              <w:pStyle w:val="28"/>
            </w:pPr>
            <w:r>
              <w:t>≥220.11万元</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村容村貌面貌提升</w:t>
            </w:r>
          </w:p>
        </w:tc>
        <w:tc>
          <w:tcPr>
            <w:tcW w:w="2835" w:type="dxa"/>
            <w:vAlign w:val="center"/>
          </w:tcPr>
          <w:p>
            <w:pPr>
              <w:pStyle w:val="28"/>
            </w:pPr>
            <w:r>
              <w:t>提高革命老区人民生活水平指数</w:t>
            </w:r>
          </w:p>
        </w:tc>
        <w:tc>
          <w:tcPr>
            <w:tcW w:w="2551" w:type="dxa"/>
            <w:vAlign w:val="center"/>
          </w:tcPr>
          <w:p>
            <w:pPr>
              <w:pStyle w:val="28"/>
            </w:pPr>
            <w:r>
              <w:t>%</w:t>
            </w:r>
          </w:p>
        </w:tc>
        <w:tc>
          <w:tcPr>
            <w:tcW w:w="2268" w:type="dxa"/>
            <w:vAlign w:val="center"/>
          </w:tcPr>
          <w:p>
            <w:pPr>
              <w:pStyle w:val="28"/>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满意群众数量占总数的比例</w:t>
            </w:r>
          </w:p>
        </w:tc>
        <w:tc>
          <w:tcPr>
            <w:tcW w:w="2551" w:type="dxa"/>
            <w:vAlign w:val="center"/>
          </w:tcPr>
          <w:p>
            <w:pPr>
              <w:pStyle w:val="28"/>
            </w:pPr>
            <w:r>
              <w:t>≥90%</w:t>
            </w:r>
          </w:p>
        </w:tc>
        <w:tc>
          <w:tcPr>
            <w:tcW w:w="2268" w:type="dxa"/>
            <w:vAlign w:val="center"/>
          </w:tcPr>
          <w:p>
            <w:pPr>
              <w:pStyle w:val="28"/>
            </w:pPr>
            <w:r>
              <w:t>调查结果</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2022年，石家庄市藁城区南孟镇人民政府安排政府采购预算</w:t>
      </w:r>
      <w:r>
        <w:rPr>
          <w:rFonts w:hint="eastAsia" w:eastAsia="方正仿宋_GBK" w:cs="Times New Roman"/>
          <w:b w:val="0"/>
          <w:color w:val="000000"/>
          <w:sz w:val="28"/>
          <w:lang w:val="en-US" w:eastAsia="zh-CN"/>
        </w:rPr>
        <w:t>222</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rPr>
                <w:rFonts w:ascii="方正仿宋_GBK" w:hAnsi="方正仿宋_GBK" w:eastAsia="方正仿宋_GBK" w:cs="方正仿宋_GBK"/>
                <w:b/>
                <w:color w:val="000000"/>
                <w:sz w:val="28"/>
              </w:rPr>
              <w:t>石财预[2021]39号关于提前下达2022年革命老区转移支付预算的通知</w:t>
            </w:r>
          </w:p>
        </w:tc>
        <w:tc>
          <w:tcPr>
            <w:tcW w:w="964" w:type="dxa"/>
            <w:vAlign w:val="center"/>
          </w:tcPr>
          <w:p>
            <w:pPr>
              <w:pStyle w:val="13"/>
              <w:rPr>
                <w:rFonts w:hint="default" w:eastAsia="方正书宋_GBK"/>
                <w:lang w:val="en-US" w:eastAsia="zh-CN"/>
              </w:rPr>
            </w:pPr>
            <w:r>
              <w:rPr>
                <w:rFonts w:hint="eastAsia"/>
                <w:lang w:val="en-US" w:eastAsia="zh-CN"/>
              </w:rPr>
              <w:t>222</w:t>
            </w:r>
          </w:p>
        </w:tc>
        <w:tc>
          <w:tcPr>
            <w:tcW w:w="1134" w:type="dxa"/>
            <w:vAlign w:val="center"/>
          </w:tcPr>
          <w:p>
            <w:pPr>
              <w:pStyle w:val="14"/>
              <w:rPr>
                <w:rFonts w:hint="eastAsia" w:eastAsia="方正书宋_GBK"/>
                <w:lang w:val="en-US" w:eastAsia="zh-CN"/>
              </w:rPr>
            </w:pPr>
            <w:r>
              <w:rPr>
                <w:rFonts w:hint="eastAsia"/>
                <w:lang w:val="en-US" w:eastAsia="zh-CN"/>
              </w:rPr>
              <w:t>公路工程施工</w:t>
            </w:r>
          </w:p>
        </w:tc>
        <w:tc>
          <w:tcPr>
            <w:tcW w:w="1134" w:type="dxa"/>
            <w:vAlign w:val="center"/>
          </w:tcPr>
          <w:p>
            <w:pPr>
              <w:pStyle w:val="14"/>
              <w:rPr>
                <w:rFonts w:hint="default" w:eastAsia="方正书宋_GBK"/>
                <w:lang w:val="en-US" w:eastAsia="zh-CN"/>
              </w:rPr>
            </w:pPr>
            <w:r>
              <w:rPr>
                <w:rFonts w:hint="eastAsia"/>
                <w:lang w:val="en-US" w:eastAsia="zh-CN"/>
              </w:rPr>
              <w:t>B0202</w:t>
            </w:r>
          </w:p>
        </w:tc>
        <w:tc>
          <w:tcPr>
            <w:tcW w:w="709" w:type="dxa"/>
            <w:vAlign w:val="center"/>
          </w:tcPr>
          <w:p>
            <w:pPr>
              <w:pStyle w:val="15"/>
              <w:rPr>
                <w:rFonts w:hint="eastAsia" w:eastAsia="方正书宋_GBK"/>
                <w:lang w:eastAsia="zh-CN"/>
              </w:rPr>
            </w:pPr>
            <w:r>
              <w:rPr>
                <w:rFonts w:hint="eastAsia"/>
                <w:lang w:eastAsia="zh-CN"/>
              </w:rPr>
              <w:t>万元</w:t>
            </w:r>
          </w:p>
        </w:tc>
        <w:tc>
          <w:tcPr>
            <w:tcW w:w="850" w:type="dxa"/>
            <w:vAlign w:val="center"/>
          </w:tcPr>
          <w:p>
            <w:pPr>
              <w:pStyle w:val="13"/>
              <w:rPr>
                <w:rFonts w:hint="default" w:eastAsia="方正书宋_GBK"/>
                <w:lang w:val="en-US" w:eastAsia="zh-CN"/>
              </w:rPr>
            </w:pPr>
            <w:r>
              <w:rPr>
                <w:rFonts w:hint="eastAsia"/>
                <w:lang w:val="en-US" w:eastAsia="zh-CN"/>
              </w:rPr>
              <w:t>222</w:t>
            </w:r>
          </w:p>
        </w:tc>
        <w:tc>
          <w:tcPr>
            <w:tcW w:w="850" w:type="dxa"/>
            <w:vAlign w:val="center"/>
          </w:tcPr>
          <w:p>
            <w:pPr>
              <w:pStyle w:val="13"/>
              <w:rPr>
                <w:rFonts w:hint="eastAsia" w:eastAsia="方正书宋_GBK"/>
                <w:lang w:val="en-US" w:eastAsia="zh-CN"/>
              </w:rPr>
            </w:pPr>
            <w:r>
              <w:rPr>
                <w:rFonts w:hint="eastAsia"/>
                <w:lang w:val="en-US" w:eastAsia="zh-CN"/>
              </w:rPr>
              <w:t>1</w:t>
            </w:r>
          </w:p>
        </w:tc>
        <w:tc>
          <w:tcPr>
            <w:tcW w:w="964" w:type="dxa"/>
            <w:vAlign w:val="center"/>
          </w:tcPr>
          <w:p>
            <w:pPr>
              <w:pStyle w:val="13"/>
              <w:rPr>
                <w:rFonts w:hint="default" w:eastAsia="方正书宋_GBK"/>
                <w:lang w:val="en-US" w:eastAsia="zh-CN"/>
              </w:rPr>
            </w:pPr>
            <w:r>
              <w:rPr>
                <w:rFonts w:hint="eastAsia"/>
                <w:lang w:val="en-US" w:eastAsia="zh-CN"/>
              </w:rPr>
              <w:t>222</w:t>
            </w:r>
          </w:p>
        </w:tc>
        <w:tc>
          <w:tcPr>
            <w:tcW w:w="964" w:type="dxa"/>
            <w:vAlign w:val="center"/>
          </w:tcPr>
          <w:p>
            <w:pPr>
              <w:pStyle w:val="13"/>
              <w:rPr>
                <w:rFonts w:hint="default" w:eastAsia="方正书宋_GBK"/>
                <w:lang w:val="en-US" w:eastAsia="zh-CN"/>
              </w:rPr>
            </w:pPr>
            <w:r>
              <w:rPr>
                <w:rFonts w:hint="eastAsia"/>
                <w:lang w:val="en-US" w:eastAsia="zh-CN"/>
              </w:rPr>
              <w:t>222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石家庄市藁城区南孟镇人民政府（含所属单位）上年末固定资产金额为1054.19万元（详见下表）。本年度拟购置固定资产总额为10.00万元，</w:t>
      </w:r>
      <w:r>
        <w:rPr>
          <w:rFonts w:hint="eastAsia" w:eastAsia="方正仿宋_GBK" w:cs="Times New Roman"/>
          <w:b w:val="0"/>
          <w:color w:val="000000"/>
          <w:sz w:val="28"/>
          <w:lang w:eastAsia="zh-CN"/>
        </w:rPr>
        <w:t>用于购买皮卡车一辆。因未达到政府采购限额，故未</w:t>
      </w:r>
      <w:r>
        <w:rPr>
          <w:rFonts w:ascii="Times New Roman" w:hAnsi="Times New Roman" w:eastAsia="方正仿宋_GBK" w:cs="Times New Roman"/>
          <w:b w:val="0"/>
          <w:color w:val="000000"/>
          <w:sz w:val="28"/>
        </w:rPr>
        <w:t>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813石家庄市藁城区南孟镇人民政府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1054.19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57536</w:t>
            </w:r>
          </w:p>
        </w:tc>
        <w:tc>
          <w:tcPr>
            <w:tcW w:w="2835" w:type="dxa"/>
            <w:vAlign w:val="center"/>
          </w:tcPr>
          <w:p>
            <w:pPr>
              <w:pStyle w:val="13"/>
            </w:pPr>
            <w:r>
              <w:t>772.64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57326</w:t>
            </w:r>
          </w:p>
        </w:tc>
        <w:tc>
          <w:tcPr>
            <w:tcW w:w="2835" w:type="dxa"/>
            <w:vAlign w:val="center"/>
          </w:tcPr>
          <w:p>
            <w:pPr>
              <w:pStyle w:val="13"/>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905</w:t>
            </w:r>
          </w:p>
        </w:tc>
        <w:tc>
          <w:tcPr>
            <w:tcW w:w="2835" w:type="dxa"/>
            <w:vAlign w:val="center"/>
          </w:tcPr>
          <w:p>
            <w:pPr>
              <w:pStyle w:val="13"/>
            </w:pPr>
            <w:r>
              <w:t>284.34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一、石家庄市藁城区南孟镇人民政府本级收支预算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2371.12</w:t>
            </w:r>
          </w:p>
        </w:tc>
        <w:tc>
          <w:tcPr>
            <w:tcW w:w="4535" w:type="dxa"/>
            <w:vAlign w:val="center"/>
          </w:tcPr>
          <w:p>
            <w:pPr>
              <w:pStyle w:val="14"/>
            </w:pPr>
            <w:r>
              <w:t>一、一般公共服务支出</w:t>
            </w:r>
          </w:p>
        </w:tc>
        <w:tc>
          <w:tcPr>
            <w:tcW w:w="2126" w:type="dxa"/>
            <w:vAlign w:val="center"/>
          </w:tcPr>
          <w:p>
            <w:pPr>
              <w:pStyle w:val="13"/>
            </w:pPr>
            <w:r>
              <w:t>1339.62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774.00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2436.12</w:t>
            </w:r>
          </w:p>
        </w:tc>
        <w:tc>
          <w:tcPr>
            <w:tcW w:w="4535" w:type="dxa"/>
            <w:vAlign w:val="center"/>
          </w:tcPr>
          <w:p>
            <w:pPr>
              <w:pStyle w:val="16"/>
            </w:pPr>
            <w:r>
              <w:t>本年支出合计</w:t>
            </w:r>
          </w:p>
        </w:tc>
        <w:tc>
          <w:tcPr>
            <w:tcW w:w="2126" w:type="dxa"/>
            <w:vAlign w:val="center"/>
          </w:tcPr>
          <w:p>
            <w:pPr>
              <w:pStyle w:val="17"/>
            </w:pPr>
            <w:r>
              <w:t>2436.12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2436.12</w:t>
            </w:r>
          </w:p>
        </w:tc>
        <w:tc>
          <w:tcPr>
            <w:tcW w:w="4535" w:type="dxa"/>
            <w:vAlign w:val="center"/>
          </w:tcPr>
          <w:p>
            <w:pPr>
              <w:pStyle w:val="16"/>
            </w:pPr>
            <w:r>
              <w:t>支出总计</w:t>
            </w:r>
          </w:p>
        </w:tc>
        <w:tc>
          <w:tcPr>
            <w:tcW w:w="2126" w:type="dxa"/>
            <w:vAlign w:val="center"/>
          </w:tcPr>
          <w:p>
            <w:pPr>
              <w:pStyle w:val="17"/>
            </w:pPr>
            <w:r>
              <w:t>2436.12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2436.12</w:t>
            </w:r>
          </w:p>
        </w:tc>
        <w:tc>
          <w:tcPr>
            <w:tcW w:w="1134" w:type="dxa"/>
            <w:vAlign w:val="center"/>
          </w:tcPr>
          <w:p>
            <w:pPr>
              <w:pStyle w:val="17"/>
            </w:pPr>
            <w:r>
              <w:t>2436.12</w:t>
            </w:r>
          </w:p>
        </w:tc>
        <w:tc>
          <w:tcPr>
            <w:tcW w:w="1134" w:type="dxa"/>
            <w:vAlign w:val="center"/>
          </w:tcPr>
          <w:p>
            <w:pPr>
              <w:pStyle w:val="17"/>
            </w:pPr>
            <w:r>
              <w:t>2436.12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r>
              <w:t>1339.62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1113.86</w:t>
            </w:r>
          </w:p>
        </w:tc>
        <w:tc>
          <w:tcPr>
            <w:tcW w:w="1134" w:type="dxa"/>
            <w:vAlign w:val="center"/>
          </w:tcPr>
          <w:p>
            <w:pPr>
              <w:pStyle w:val="13"/>
            </w:pPr>
            <w:r>
              <w:t>1113.86</w:t>
            </w:r>
          </w:p>
        </w:tc>
        <w:tc>
          <w:tcPr>
            <w:tcW w:w="1134" w:type="dxa"/>
            <w:vAlign w:val="center"/>
          </w:tcPr>
          <w:p>
            <w:pPr>
              <w:pStyle w:val="13"/>
            </w:pPr>
            <w:r>
              <w:t>1113.86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225.76</w:t>
            </w:r>
          </w:p>
        </w:tc>
        <w:tc>
          <w:tcPr>
            <w:tcW w:w="1134" w:type="dxa"/>
            <w:vAlign w:val="center"/>
          </w:tcPr>
          <w:p>
            <w:pPr>
              <w:pStyle w:val="13"/>
            </w:pPr>
            <w:r>
              <w:t>225.76</w:t>
            </w:r>
          </w:p>
        </w:tc>
        <w:tc>
          <w:tcPr>
            <w:tcW w:w="1134" w:type="dxa"/>
            <w:vAlign w:val="center"/>
          </w:tcPr>
          <w:p>
            <w:pPr>
              <w:pStyle w:val="13"/>
            </w:pPr>
            <w:r>
              <w:t>225.76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r>
              <w:t>222.00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774.00</w:t>
            </w:r>
          </w:p>
        </w:tc>
        <w:tc>
          <w:tcPr>
            <w:tcW w:w="1134" w:type="dxa"/>
            <w:vAlign w:val="center"/>
          </w:tcPr>
          <w:p>
            <w:pPr>
              <w:pStyle w:val="13"/>
            </w:pPr>
            <w:r>
              <w:t>774.00</w:t>
            </w:r>
          </w:p>
        </w:tc>
        <w:tc>
          <w:tcPr>
            <w:tcW w:w="1134" w:type="dxa"/>
            <w:vAlign w:val="center"/>
          </w:tcPr>
          <w:p>
            <w:pPr>
              <w:pStyle w:val="13"/>
            </w:pPr>
            <w:r>
              <w:t>774.00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r>
              <w:t>129.00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r>
              <w:t>645.00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2436.12</w:t>
            </w:r>
          </w:p>
        </w:tc>
        <w:tc>
          <w:tcPr>
            <w:tcW w:w="1361" w:type="dxa"/>
            <w:vAlign w:val="center"/>
          </w:tcPr>
          <w:p>
            <w:pPr>
              <w:pStyle w:val="17"/>
            </w:pPr>
            <w:r>
              <w:t>1113.86</w:t>
            </w:r>
          </w:p>
        </w:tc>
        <w:tc>
          <w:tcPr>
            <w:tcW w:w="1361" w:type="dxa"/>
            <w:vAlign w:val="center"/>
          </w:tcPr>
          <w:p>
            <w:pPr>
              <w:pStyle w:val="17"/>
            </w:pPr>
            <w:r>
              <w:t>1322.26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1339.62</w:t>
            </w:r>
          </w:p>
        </w:tc>
        <w:tc>
          <w:tcPr>
            <w:tcW w:w="1361" w:type="dxa"/>
            <w:vAlign w:val="center"/>
          </w:tcPr>
          <w:p>
            <w:pPr>
              <w:pStyle w:val="13"/>
            </w:pPr>
            <w:r>
              <w:t>1113.86</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1339.62</w:t>
            </w:r>
          </w:p>
        </w:tc>
        <w:tc>
          <w:tcPr>
            <w:tcW w:w="1361" w:type="dxa"/>
            <w:vAlign w:val="center"/>
          </w:tcPr>
          <w:p>
            <w:pPr>
              <w:pStyle w:val="13"/>
            </w:pPr>
            <w:r>
              <w:t>1113.86</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1113.86</w:t>
            </w:r>
          </w:p>
        </w:tc>
        <w:tc>
          <w:tcPr>
            <w:tcW w:w="1361" w:type="dxa"/>
            <w:vAlign w:val="center"/>
          </w:tcPr>
          <w:p>
            <w:pPr>
              <w:pStyle w:val="13"/>
            </w:pPr>
            <w:r>
              <w:t>1113.86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r>
              <w:t>225.76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287.00</w:t>
            </w:r>
          </w:p>
        </w:tc>
        <w:tc>
          <w:tcPr>
            <w:tcW w:w="1361" w:type="dxa"/>
            <w:vAlign w:val="center"/>
          </w:tcPr>
          <w:p>
            <w:pPr>
              <w:pStyle w:val="13"/>
            </w:pPr>
          </w:p>
        </w:tc>
        <w:tc>
          <w:tcPr>
            <w:tcW w:w="1361" w:type="dxa"/>
            <w:vAlign w:val="center"/>
          </w:tcPr>
          <w:p>
            <w:pPr>
              <w:pStyle w:val="13"/>
            </w:pPr>
            <w:r>
              <w:t>287.00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r>
              <w:t>222.00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774.00</w:t>
            </w:r>
          </w:p>
        </w:tc>
        <w:tc>
          <w:tcPr>
            <w:tcW w:w="1361" w:type="dxa"/>
            <w:vAlign w:val="center"/>
          </w:tcPr>
          <w:p>
            <w:pPr>
              <w:pStyle w:val="13"/>
            </w:pPr>
          </w:p>
        </w:tc>
        <w:tc>
          <w:tcPr>
            <w:tcW w:w="1361" w:type="dxa"/>
            <w:vAlign w:val="center"/>
          </w:tcPr>
          <w:p>
            <w:pPr>
              <w:pStyle w:val="13"/>
            </w:pPr>
            <w:r>
              <w:t>774.00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r>
              <w:t>129.00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r>
              <w:t>645.00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2371.12</w:t>
            </w:r>
          </w:p>
        </w:tc>
        <w:tc>
          <w:tcPr>
            <w:tcW w:w="3402" w:type="dxa"/>
            <w:vAlign w:val="center"/>
          </w:tcPr>
          <w:p>
            <w:pPr>
              <w:pStyle w:val="14"/>
            </w:pPr>
            <w:r>
              <w:t>一、一般公共服务支出</w:t>
            </w:r>
          </w:p>
        </w:tc>
        <w:tc>
          <w:tcPr>
            <w:tcW w:w="1474" w:type="dxa"/>
            <w:vAlign w:val="center"/>
          </w:tcPr>
          <w:p>
            <w:pPr>
              <w:pStyle w:val="13"/>
            </w:pPr>
            <w:r>
              <w:t>1339.62</w:t>
            </w:r>
          </w:p>
        </w:tc>
        <w:tc>
          <w:tcPr>
            <w:tcW w:w="1474" w:type="dxa"/>
            <w:vAlign w:val="center"/>
          </w:tcPr>
          <w:p>
            <w:pPr>
              <w:pStyle w:val="13"/>
            </w:pPr>
            <w:r>
              <w:t>1339.62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14.00</w:t>
            </w:r>
          </w:p>
        </w:tc>
        <w:tc>
          <w:tcPr>
            <w:tcW w:w="1474" w:type="dxa"/>
            <w:vAlign w:val="center"/>
          </w:tcPr>
          <w:p>
            <w:pPr>
              <w:pStyle w:val="13"/>
            </w:pPr>
            <w:r>
              <w:t>14.00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w:t>
            </w:r>
          </w:p>
        </w:tc>
        <w:tc>
          <w:tcPr>
            <w:tcW w:w="1474" w:type="dxa"/>
            <w:vAlign w:val="center"/>
          </w:tcPr>
          <w:p>
            <w:pPr>
              <w:pStyle w:val="13"/>
            </w:pPr>
            <w:r>
              <w:t>4.50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287.00</w:t>
            </w:r>
          </w:p>
        </w:tc>
        <w:tc>
          <w:tcPr>
            <w:tcW w:w="1474" w:type="dxa"/>
            <w:vAlign w:val="center"/>
          </w:tcPr>
          <w:p>
            <w:pPr>
              <w:pStyle w:val="13"/>
            </w:pPr>
            <w:r>
              <w:t>222.00</w:t>
            </w:r>
          </w:p>
        </w:tc>
        <w:tc>
          <w:tcPr>
            <w:tcW w:w="1474" w:type="dxa"/>
            <w:vAlign w:val="center"/>
          </w:tcPr>
          <w:p>
            <w:pPr>
              <w:pStyle w:val="13"/>
            </w:pPr>
            <w:r>
              <w:t>65.00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774.00</w:t>
            </w:r>
          </w:p>
        </w:tc>
        <w:tc>
          <w:tcPr>
            <w:tcW w:w="1474" w:type="dxa"/>
            <w:vAlign w:val="center"/>
          </w:tcPr>
          <w:p>
            <w:pPr>
              <w:pStyle w:val="13"/>
            </w:pPr>
            <w:r>
              <w:t>774.00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2436.12</w:t>
            </w:r>
          </w:p>
        </w:tc>
        <w:tc>
          <w:tcPr>
            <w:tcW w:w="3402" w:type="dxa"/>
            <w:vAlign w:val="center"/>
          </w:tcPr>
          <w:p>
            <w:pPr>
              <w:pStyle w:val="16"/>
            </w:pPr>
            <w:r>
              <w:t>本年支出合计</w:t>
            </w:r>
          </w:p>
        </w:tc>
        <w:tc>
          <w:tcPr>
            <w:tcW w:w="1474" w:type="dxa"/>
            <w:vAlign w:val="center"/>
          </w:tcPr>
          <w:p>
            <w:pPr>
              <w:pStyle w:val="17"/>
            </w:pPr>
            <w:r>
              <w:t>2436.12</w:t>
            </w:r>
          </w:p>
        </w:tc>
        <w:tc>
          <w:tcPr>
            <w:tcW w:w="1474" w:type="dxa"/>
            <w:vAlign w:val="center"/>
          </w:tcPr>
          <w:p>
            <w:pPr>
              <w:pStyle w:val="17"/>
            </w:pPr>
            <w:r>
              <w:t>2371.12</w:t>
            </w:r>
          </w:p>
        </w:tc>
        <w:tc>
          <w:tcPr>
            <w:tcW w:w="1474" w:type="dxa"/>
            <w:vAlign w:val="center"/>
          </w:tcPr>
          <w:p>
            <w:pPr>
              <w:pStyle w:val="17"/>
            </w:pPr>
            <w:r>
              <w:t>65.00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2436.12</w:t>
            </w:r>
          </w:p>
        </w:tc>
        <w:tc>
          <w:tcPr>
            <w:tcW w:w="3402" w:type="dxa"/>
            <w:vAlign w:val="center"/>
          </w:tcPr>
          <w:p>
            <w:pPr>
              <w:pStyle w:val="16"/>
            </w:pPr>
            <w:r>
              <w:t>支出总计</w:t>
            </w:r>
          </w:p>
        </w:tc>
        <w:tc>
          <w:tcPr>
            <w:tcW w:w="1474" w:type="dxa"/>
            <w:vAlign w:val="center"/>
          </w:tcPr>
          <w:p>
            <w:pPr>
              <w:pStyle w:val="17"/>
            </w:pPr>
            <w:r>
              <w:t>2436.12</w:t>
            </w:r>
          </w:p>
        </w:tc>
        <w:tc>
          <w:tcPr>
            <w:tcW w:w="1474" w:type="dxa"/>
            <w:vAlign w:val="center"/>
          </w:tcPr>
          <w:p>
            <w:pPr>
              <w:pStyle w:val="17"/>
            </w:pPr>
            <w:r>
              <w:t>2371.12</w:t>
            </w:r>
          </w:p>
        </w:tc>
        <w:tc>
          <w:tcPr>
            <w:tcW w:w="1474" w:type="dxa"/>
            <w:vAlign w:val="center"/>
          </w:tcPr>
          <w:p>
            <w:pPr>
              <w:pStyle w:val="17"/>
            </w:pPr>
            <w:r>
              <w:t>65.00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2371.12</w:t>
            </w:r>
          </w:p>
        </w:tc>
        <w:tc>
          <w:tcPr>
            <w:tcW w:w="2551" w:type="dxa"/>
            <w:vAlign w:val="center"/>
          </w:tcPr>
          <w:p>
            <w:pPr>
              <w:pStyle w:val="17"/>
            </w:pPr>
            <w:r>
              <w:t>1113.86</w:t>
            </w:r>
          </w:p>
        </w:tc>
        <w:tc>
          <w:tcPr>
            <w:tcW w:w="2551" w:type="dxa"/>
            <w:vAlign w:val="center"/>
          </w:tcPr>
          <w:p>
            <w:pPr>
              <w:pStyle w:val="17"/>
            </w:pPr>
            <w:r>
              <w:t>1257.26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1339.62</w:t>
            </w:r>
          </w:p>
        </w:tc>
        <w:tc>
          <w:tcPr>
            <w:tcW w:w="2551" w:type="dxa"/>
            <w:vAlign w:val="center"/>
          </w:tcPr>
          <w:p>
            <w:pPr>
              <w:pStyle w:val="13"/>
            </w:pPr>
            <w:r>
              <w:t>1113.86</w:t>
            </w: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1339.62</w:t>
            </w:r>
          </w:p>
        </w:tc>
        <w:tc>
          <w:tcPr>
            <w:tcW w:w="2551" w:type="dxa"/>
            <w:vAlign w:val="center"/>
          </w:tcPr>
          <w:p>
            <w:pPr>
              <w:pStyle w:val="13"/>
            </w:pPr>
            <w:r>
              <w:t>1113.86</w:t>
            </w: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1113.86</w:t>
            </w:r>
          </w:p>
        </w:tc>
        <w:tc>
          <w:tcPr>
            <w:tcW w:w="2551" w:type="dxa"/>
            <w:vAlign w:val="center"/>
          </w:tcPr>
          <w:p>
            <w:pPr>
              <w:pStyle w:val="13"/>
            </w:pPr>
            <w:r>
              <w:t>1113.86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225.76</w:t>
            </w:r>
          </w:p>
        </w:tc>
        <w:tc>
          <w:tcPr>
            <w:tcW w:w="2551" w:type="dxa"/>
            <w:vAlign w:val="center"/>
          </w:tcPr>
          <w:p>
            <w:pPr>
              <w:pStyle w:val="13"/>
            </w:pPr>
          </w:p>
        </w:tc>
        <w:tc>
          <w:tcPr>
            <w:tcW w:w="2551" w:type="dxa"/>
            <w:vAlign w:val="center"/>
          </w:tcPr>
          <w:p>
            <w:pPr>
              <w:pStyle w:val="13"/>
            </w:pPr>
            <w:r>
              <w:t>225.76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222.00</w:t>
            </w:r>
          </w:p>
        </w:tc>
        <w:tc>
          <w:tcPr>
            <w:tcW w:w="2551" w:type="dxa"/>
            <w:vAlign w:val="center"/>
          </w:tcPr>
          <w:p>
            <w:pPr>
              <w:pStyle w:val="13"/>
            </w:pPr>
          </w:p>
        </w:tc>
        <w:tc>
          <w:tcPr>
            <w:tcW w:w="2551" w:type="dxa"/>
            <w:vAlign w:val="center"/>
          </w:tcPr>
          <w:p>
            <w:pPr>
              <w:pStyle w:val="13"/>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774.00</w:t>
            </w:r>
          </w:p>
        </w:tc>
        <w:tc>
          <w:tcPr>
            <w:tcW w:w="2551" w:type="dxa"/>
            <w:vAlign w:val="center"/>
          </w:tcPr>
          <w:p>
            <w:pPr>
              <w:pStyle w:val="13"/>
            </w:pPr>
          </w:p>
        </w:tc>
        <w:tc>
          <w:tcPr>
            <w:tcW w:w="2551" w:type="dxa"/>
            <w:vAlign w:val="center"/>
          </w:tcPr>
          <w:p>
            <w:pPr>
              <w:pStyle w:val="13"/>
            </w:pPr>
            <w:r>
              <w:t>774.00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129.00</w:t>
            </w:r>
          </w:p>
        </w:tc>
        <w:tc>
          <w:tcPr>
            <w:tcW w:w="2551" w:type="dxa"/>
            <w:vAlign w:val="center"/>
          </w:tcPr>
          <w:p>
            <w:pPr>
              <w:pStyle w:val="13"/>
            </w:pPr>
          </w:p>
        </w:tc>
        <w:tc>
          <w:tcPr>
            <w:tcW w:w="2551" w:type="dxa"/>
            <w:vAlign w:val="center"/>
          </w:tcPr>
          <w:p>
            <w:pPr>
              <w:pStyle w:val="13"/>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129.00</w:t>
            </w:r>
          </w:p>
        </w:tc>
        <w:tc>
          <w:tcPr>
            <w:tcW w:w="2551" w:type="dxa"/>
            <w:vAlign w:val="center"/>
          </w:tcPr>
          <w:p>
            <w:pPr>
              <w:pStyle w:val="13"/>
            </w:pPr>
          </w:p>
        </w:tc>
        <w:tc>
          <w:tcPr>
            <w:tcW w:w="2551" w:type="dxa"/>
            <w:vAlign w:val="center"/>
          </w:tcPr>
          <w:p>
            <w:pPr>
              <w:pStyle w:val="13"/>
            </w:pPr>
            <w: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645.00</w:t>
            </w:r>
          </w:p>
        </w:tc>
        <w:tc>
          <w:tcPr>
            <w:tcW w:w="2551" w:type="dxa"/>
            <w:vAlign w:val="center"/>
          </w:tcPr>
          <w:p>
            <w:pPr>
              <w:pStyle w:val="13"/>
            </w:pPr>
          </w:p>
        </w:tc>
        <w:tc>
          <w:tcPr>
            <w:tcW w:w="2551" w:type="dxa"/>
            <w:vAlign w:val="center"/>
          </w:tcPr>
          <w:p>
            <w:pPr>
              <w:pStyle w:val="13"/>
            </w:pPr>
            <w:r>
              <w:t>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645.00</w:t>
            </w:r>
          </w:p>
        </w:tc>
        <w:tc>
          <w:tcPr>
            <w:tcW w:w="2551" w:type="dxa"/>
            <w:vAlign w:val="center"/>
          </w:tcPr>
          <w:p>
            <w:pPr>
              <w:pStyle w:val="13"/>
            </w:pPr>
          </w:p>
        </w:tc>
        <w:tc>
          <w:tcPr>
            <w:tcW w:w="2551" w:type="dxa"/>
            <w:vAlign w:val="center"/>
          </w:tcPr>
          <w:p>
            <w:pPr>
              <w:pStyle w:val="13"/>
            </w:pPr>
            <w:r>
              <w:t>645.00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1113.86</w:t>
            </w:r>
          </w:p>
        </w:tc>
        <w:tc>
          <w:tcPr>
            <w:tcW w:w="2551" w:type="dxa"/>
            <w:vAlign w:val="center"/>
          </w:tcPr>
          <w:p>
            <w:pPr>
              <w:pStyle w:val="17"/>
            </w:pPr>
            <w:r>
              <w:t>956.73</w:t>
            </w:r>
          </w:p>
        </w:tc>
        <w:tc>
          <w:tcPr>
            <w:tcW w:w="2551" w:type="dxa"/>
            <w:vAlign w:val="center"/>
          </w:tcPr>
          <w:p>
            <w:pPr>
              <w:pStyle w:val="17"/>
            </w:pPr>
            <w:r>
              <w:t>157.13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869.31</w:t>
            </w:r>
          </w:p>
        </w:tc>
        <w:tc>
          <w:tcPr>
            <w:tcW w:w="2551" w:type="dxa"/>
            <w:vAlign w:val="center"/>
          </w:tcPr>
          <w:p>
            <w:pPr>
              <w:pStyle w:val="13"/>
            </w:pPr>
            <w:r>
              <w:t>869.31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174.33</w:t>
            </w:r>
          </w:p>
        </w:tc>
        <w:tc>
          <w:tcPr>
            <w:tcW w:w="2551" w:type="dxa"/>
            <w:vAlign w:val="center"/>
          </w:tcPr>
          <w:p>
            <w:pPr>
              <w:pStyle w:val="13"/>
            </w:pPr>
            <w:r>
              <w:t>174.33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337.65</w:t>
            </w:r>
          </w:p>
        </w:tc>
        <w:tc>
          <w:tcPr>
            <w:tcW w:w="2551" w:type="dxa"/>
            <w:vAlign w:val="center"/>
          </w:tcPr>
          <w:p>
            <w:pPr>
              <w:pStyle w:val="13"/>
            </w:pPr>
            <w:r>
              <w:t>337.65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8.05</w:t>
            </w:r>
          </w:p>
        </w:tc>
        <w:tc>
          <w:tcPr>
            <w:tcW w:w="2551" w:type="dxa"/>
            <w:vAlign w:val="center"/>
          </w:tcPr>
          <w:p>
            <w:pPr>
              <w:pStyle w:val="13"/>
            </w:pPr>
            <w:r>
              <w:t>8.05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72.61</w:t>
            </w:r>
          </w:p>
        </w:tc>
        <w:tc>
          <w:tcPr>
            <w:tcW w:w="2551" w:type="dxa"/>
            <w:vAlign w:val="center"/>
          </w:tcPr>
          <w:p>
            <w:pPr>
              <w:pStyle w:val="13"/>
            </w:pPr>
            <w:r>
              <w:t>72.61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71.01</w:t>
            </w:r>
          </w:p>
        </w:tc>
        <w:tc>
          <w:tcPr>
            <w:tcW w:w="2551" w:type="dxa"/>
            <w:vAlign w:val="center"/>
          </w:tcPr>
          <w:p>
            <w:pPr>
              <w:pStyle w:val="13"/>
            </w:pPr>
            <w:r>
              <w:t>71.01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37.28</w:t>
            </w:r>
          </w:p>
        </w:tc>
        <w:tc>
          <w:tcPr>
            <w:tcW w:w="2551" w:type="dxa"/>
            <w:vAlign w:val="center"/>
          </w:tcPr>
          <w:p>
            <w:pPr>
              <w:pStyle w:val="13"/>
            </w:pPr>
            <w:r>
              <w:t>37.28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28.85</w:t>
            </w:r>
          </w:p>
        </w:tc>
        <w:tc>
          <w:tcPr>
            <w:tcW w:w="2551" w:type="dxa"/>
            <w:vAlign w:val="center"/>
          </w:tcPr>
          <w:p>
            <w:pPr>
              <w:pStyle w:val="13"/>
            </w:pPr>
            <w:r>
              <w:t>28.85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71.33</w:t>
            </w:r>
          </w:p>
        </w:tc>
        <w:tc>
          <w:tcPr>
            <w:tcW w:w="2551" w:type="dxa"/>
            <w:vAlign w:val="center"/>
          </w:tcPr>
          <w:p>
            <w:pPr>
              <w:pStyle w:val="13"/>
            </w:pPr>
            <w:r>
              <w:t>71.33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58.90</w:t>
            </w:r>
          </w:p>
        </w:tc>
        <w:tc>
          <w:tcPr>
            <w:tcW w:w="2551" w:type="dxa"/>
            <w:vAlign w:val="center"/>
          </w:tcPr>
          <w:p>
            <w:pPr>
              <w:pStyle w:val="13"/>
            </w:pPr>
            <w:r>
              <w:t>58.90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9.30</w:t>
            </w:r>
          </w:p>
        </w:tc>
        <w:tc>
          <w:tcPr>
            <w:tcW w:w="2551" w:type="dxa"/>
            <w:vAlign w:val="center"/>
          </w:tcPr>
          <w:p>
            <w:pPr>
              <w:pStyle w:val="13"/>
            </w:pPr>
            <w:r>
              <w:t>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156.13</w:t>
            </w:r>
          </w:p>
        </w:tc>
        <w:tc>
          <w:tcPr>
            <w:tcW w:w="2551" w:type="dxa"/>
            <w:vAlign w:val="center"/>
          </w:tcPr>
          <w:p>
            <w:pPr>
              <w:pStyle w:val="13"/>
            </w:pPr>
          </w:p>
        </w:tc>
        <w:tc>
          <w:tcPr>
            <w:tcW w:w="2551" w:type="dxa"/>
            <w:vAlign w:val="center"/>
          </w:tcPr>
          <w:p>
            <w:pPr>
              <w:pStyle w:val="13"/>
            </w:pPr>
            <w:r>
              <w:t>156.13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30203</w:t>
            </w:r>
          </w:p>
        </w:tc>
        <w:tc>
          <w:tcPr>
            <w:tcW w:w="4535" w:type="dxa"/>
            <w:vAlign w:val="center"/>
          </w:tcPr>
          <w:p>
            <w:pPr>
              <w:pStyle w:val="14"/>
            </w:pPr>
            <w:r>
              <w:t>咨询费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11.80</w:t>
            </w:r>
          </w:p>
        </w:tc>
        <w:tc>
          <w:tcPr>
            <w:tcW w:w="2551" w:type="dxa"/>
            <w:vAlign w:val="center"/>
          </w:tcPr>
          <w:p>
            <w:pPr>
              <w:pStyle w:val="13"/>
            </w:pPr>
          </w:p>
        </w:tc>
        <w:tc>
          <w:tcPr>
            <w:tcW w:w="2551"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24.30</w:t>
            </w:r>
          </w:p>
        </w:tc>
        <w:tc>
          <w:tcPr>
            <w:tcW w:w="2551" w:type="dxa"/>
            <w:vAlign w:val="center"/>
          </w:tcPr>
          <w:p>
            <w:pPr>
              <w:pStyle w:val="13"/>
            </w:pPr>
          </w:p>
        </w:tc>
        <w:tc>
          <w:tcPr>
            <w:tcW w:w="2551" w:type="dxa"/>
            <w:vAlign w:val="center"/>
          </w:tcPr>
          <w:p>
            <w:pPr>
              <w:pStyle w:val="13"/>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30225</w:t>
            </w:r>
          </w:p>
        </w:tc>
        <w:tc>
          <w:tcPr>
            <w:tcW w:w="4535" w:type="dxa"/>
            <w:vAlign w:val="center"/>
          </w:tcPr>
          <w:p>
            <w:pPr>
              <w:pStyle w:val="14"/>
            </w:pPr>
            <w:r>
              <w:t>专用燃料费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23.00</w:t>
            </w:r>
          </w:p>
        </w:tc>
        <w:tc>
          <w:tcPr>
            <w:tcW w:w="2551" w:type="dxa"/>
            <w:vAlign w:val="center"/>
          </w:tcPr>
          <w:p>
            <w:pPr>
              <w:pStyle w:val="13"/>
            </w:pPr>
          </w:p>
        </w:tc>
        <w:tc>
          <w:tcPr>
            <w:tcW w:w="2551"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3.90</w:t>
            </w:r>
          </w:p>
        </w:tc>
        <w:tc>
          <w:tcPr>
            <w:tcW w:w="2551" w:type="dxa"/>
            <w:vAlign w:val="center"/>
          </w:tcPr>
          <w:p>
            <w:pPr>
              <w:pStyle w:val="13"/>
            </w:pPr>
          </w:p>
        </w:tc>
        <w:tc>
          <w:tcPr>
            <w:tcW w:w="2551" w:type="dxa"/>
            <w:vAlign w:val="center"/>
          </w:tcPr>
          <w:p>
            <w:pPr>
              <w:pStyle w:val="13"/>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3.36</w:t>
            </w:r>
          </w:p>
        </w:tc>
        <w:tc>
          <w:tcPr>
            <w:tcW w:w="2551" w:type="dxa"/>
            <w:vAlign w:val="center"/>
          </w:tcPr>
          <w:p>
            <w:pPr>
              <w:pStyle w:val="13"/>
            </w:pPr>
          </w:p>
        </w:tc>
        <w:tc>
          <w:tcPr>
            <w:tcW w:w="2551"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28.80</w:t>
            </w:r>
          </w:p>
        </w:tc>
        <w:tc>
          <w:tcPr>
            <w:tcW w:w="2551" w:type="dxa"/>
            <w:vAlign w:val="center"/>
          </w:tcPr>
          <w:p>
            <w:pPr>
              <w:pStyle w:val="13"/>
            </w:pPr>
          </w:p>
        </w:tc>
        <w:tc>
          <w:tcPr>
            <w:tcW w:w="2551" w:type="dxa"/>
            <w:vAlign w:val="center"/>
          </w:tcPr>
          <w:p>
            <w:pPr>
              <w:pStyle w:val="13"/>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4.57</w:t>
            </w:r>
          </w:p>
        </w:tc>
        <w:tc>
          <w:tcPr>
            <w:tcW w:w="2551" w:type="dxa"/>
            <w:vAlign w:val="center"/>
          </w:tcPr>
          <w:p>
            <w:pPr>
              <w:pStyle w:val="13"/>
            </w:pPr>
          </w:p>
        </w:tc>
        <w:tc>
          <w:tcPr>
            <w:tcW w:w="2551" w:type="dxa"/>
            <w:vAlign w:val="center"/>
          </w:tcPr>
          <w:p>
            <w:pPr>
              <w:pStyle w:val="13"/>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87.42</w:t>
            </w:r>
          </w:p>
        </w:tc>
        <w:tc>
          <w:tcPr>
            <w:tcW w:w="2551" w:type="dxa"/>
            <w:vAlign w:val="center"/>
          </w:tcPr>
          <w:p>
            <w:pPr>
              <w:pStyle w:val="13"/>
            </w:pPr>
            <w:r>
              <w:t>87.42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84.07</w:t>
            </w:r>
          </w:p>
        </w:tc>
        <w:tc>
          <w:tcPr>
            <w:tcW w:w="2551" w:type="dxa"/>
            <w:vAlign w:val="center"/>
          </w:tcPr>
          <w:p>
            <w:pPr>
              <w:pStyle w:val="13"/>
            </w:pPr>
            <w:r>
              <w:t>84.07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3.31</w:t>
            </w:r>
          </w:p>
        </w:tc>
        <w:tc>
          <w:tcPr>
            <w:tcW w:w="2551" w:type="dxa"/>
            <w:vAlign w:val="center"/>
          </w:tcPr>
          <w:p>
            <w:pPr>
              <w:pStyle w:val="13"/>
            </w:pPr>
            <w:r>
              <w:t>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65.00</w:t>
            </w:r>
          </w:p>
        </w:tc>
        <w:tc>
          <w:tcPr>
            <w:tcW w:w="2551" w:type="dxa"/>
            <w:vAlign w:val="center"/>
          </w:tcPr>
          <w:p>
            <w:pPr>
              <w:pStyle w:val="17"/>
            </w:pPr>
          </w:p>
        </w:tc>
        <w:tc>
          <w:tcPr>
            <w:tcW w:w="2551" w:type="dxa"/>
            <w:vAlign w:val="center"/>
          </w:tcPr>
          <w:p>
            <w:pPr>
              <w:pStyle w:val="17"/>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16.4</w:t>
            </w:r>
          </w:p>
        </w:tc>
        <w:tc>
          <w:tcPr>
            <w:tcW w:w="2381" w:type="dxa"/>
            <w:vAlign w:val="center"/>
          </w:tcPr>
          <w:p>
            <w:pPr>
              <w:pStyle w:val="17"/>
              <w:rPr>
                <w:rFonts w:hint="default" w:eastAsia="方正书宋_GBK"/>
                <w:lang w:val="en-US" w:eastAsia="zh-CN"/>
              </w:rPr>
            </w:pPr>
            <w:r>
              <w:rPr>
                <w:rFonts w:hint="eastAsia"/>
                <w:lang w:val="en-US" w:eastAsia="zh-CN"/>
              </w:rPr>
              <w:t>16.4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rPr>
                <w:rFonts w:hint="default" w:eastAsia="方正书宋_GBK"/>
                <w:lang w:val="en-US" w:eastAsia="zh-CN"/>
              </w:rPr>
            </w:pPr>
            <w:r>
              <w:rPr>
                <w:rFonts w:hint="eastAsia"/>
                <w:lang w:val="en-US" w:eastAsia="zh-CN"/>
              </w:rPr>
              <w:t>14.4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4.40</w:t>
            </w:r>
          </w:p>
        </w:tc>
        <w:tc>
          <w:tcPr>
            <w:tcW w:w="2381" w:type="dxa"/>
            <w:vAlign w:val="center"/>
          </w:tcPr>
          <w:p>
            <w:pPr>
              <w:pStyle w:val="13"/>
            </w:pPr>
            <w:r>
              <w:t>4.40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按照《预算法》、《地方预决算公开操作规程》和《关于进一步推进预算公开工作的实施意见》规定，现将石家庄市藁城区南孟镇人民政府本级2022年单位预算公开如下：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rPr>
          <w:rFonts w:ascii="方正楷体_GBK" w:hAnsi="方正楷体_GBK" w:eastAsia="方正楷体_GBK" w:cs="方正楷体_GBK"/>
          <w:b/>
          <w:color w:val="000000"/>
          <w:sz w:val="32"/>
        </w:rPr>
        <w:t>单位职责：</w:t>
      </w:r>
      <w:r>
        <w:t>根据《石家庄市藁城区南孟镇人民政府职能配置、内设机构和人员编制规定》， 石家庄市藁城区南孟镇人民政府的主要职责是：</w:t>
      </w:r>
    </w:p>
    <w:p>
      <w:pPr>
        <w:pStyle w:val="19"/>
      </w:pPr>
      <w:r>
        <w:t>一、继续抓好项目建设。重点跟进本镇存在的各类土地问题，积极协调各职能部门，对存在的问题尽快解决。</w:t>
      </w:r>
    </w:p>
    <w:p>
      <w:pPr>
        <w:pStyle w:val="19"/>
      </w:pPr>
      <w:r>
        <w:t>二、继续抓好农村人居环境整治。完善各村的改厕工作，巩固已有的改厕成果，在抓好数量的同时打造精细化管理，在保持常态化卫生干净整洁上下功夫，继续抓好一事一议财政奖补政策，最大程度促进农村基础设施建设。</w:t>
      </w:r>
    </w:p>
    <w:p>
      <w:pPr>
        <w:pStyle w:val="19"/>
      </w:pPr>
      <w:r>
        <w:t>三、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pPr>
        <w:pStyle w:val="19"/>
      </w:pPr>
      <w:r>
        <w:t>四、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pPr>
        <w:pStyle w:val="19"/>
      </w:pPr>
      <w:r>
        <w:t>五、优先保障社会民生.最大限度保障社会稳定、人民安居乐业。巩固脱贫攻坚成果，积极化解社会矛盾纠纷，切实解决人民群众期盼。</w:t>
      </w:r>
    </w:p>
    <w:p>
      <w:pPr>
        <w:spacing w:before="0" w:after="0" w:line="240" w:lineRule="auto"/>
        <w:ind w:firstLine="640"/>
        <w:jc w:val="left"/>
        <w:outlineLvl w:val="9"/>
      </w:pP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石家庄市藁城区南孟镇人民政府本级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before="0" w:after="0" w:line="500" w:lineRule="exact"/>
        <w:ind w:firstLine="560"/>
        <w:jc w:val="left"/>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2371.12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65</w:t>
      </w:r>
      <w:r>
        <w:rPr>
          <w:rFonts w:hint="eastAsia" w:ascii="Times New Roman" w:hAnsi="Times New Roman" w:eastAsia="仿宋" w:cs="Times New Roman"/>
          <w:sz w:val="32"/>
          <w:szCs w:val="32"/>
        </w:rPr>
        <w:t>万元，财政专户核拨收入0万元，其他来源收入0万元。</w:t>
      </w:r>
    </w:p>
    <w:p>
      <w:pPr>
        <w:numPr>
          <w:ilvl w:val="0"/>
          <w:numId w:val="1"/>
        </w:numPr>
        <w:spacing w:line="460" w:lineRule="exact"/>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支出说明</w:t>
      </w:r>
      <w:r>
        <w:rPr>
          <w:rFonts w:hint="eastAsia" w:eastAsia="仿宋" w:cs="Times New Roman"/>
          <w:sz w:val="32"/>
          <w:szCs w:val="32"/>
          <w:lang w:eastAsia="zh-CN"/>
        </w:rPr>
        <w:t>。</w:t>
      </w:r>
    </w:p>
    <w:p>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预算中支出预算的总体情况。2022年部门支出预算为</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1113.86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956.73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1322.26</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包括安全生产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16.06</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4.5</w:t>
      </w:r>
      <w:r>
        <w:rPr>
          <w:rFonts w:hint="eastAsia" w:ascii="Times New Roman" w:hAnsi="Times New Roman" w:eastAsia="仿宋" w:cs="Times New Roman"/>
          <w:sz w:val="32"/>
          <w:szCs w:val="32"/>
        </w:rPr>
        <w:t>万元，</w:t>
      </w:r>
      <w:r>
        <w:rPr>
          <w:rFonts w:hint="eastAsia" w:eastAsia="仿宋" w:cs="Times New Roman"/>
          <w:sz w:val="32"/>
          <w:szCs w:val="32"/>
          <w:lang w:eastAsia="zh-CN"/>
        </w:rPr>
        <w:t>革命老区转移支付</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222</w:t>
      </w:r>
      <w:r>
        <w:rPr>
          <w:rFonts w:hint="eastAsia" w:ascii="Times New Roman" w:hAnsi="Times New Roman" w:eastAsia="仿宋" w:cs="Times New Roman"/>
          <w:sz w:val="32"/>
          <w:szCs w:val="32"/>
        </w:rPr>
        <w:t>万元，</w:t>
      </w:r>
      <w:r>
        <w:rPr>
          <w:rFonts w:hint="eastAsia" w:eastAsia="仿宋" w:cs="Times New Roman"/>
          <w:sz w:val="32"/>
          <w:szCs w:val="32"/>
          <w:lang w:eastAsia="zh-CN"/>
        </w:rPr>
        <w:t>环保安全生产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34.8</w:t>
      </w:r>
      <w:r>
        <w:rPr>
          <w:rFonts w:hint="eastAsia" w:ascii="Times New Roman" w:hAnsi="Times New Roman" w:eastAsia="仿宋" w:cs="Times New Roman"/>
          <w:sz w:val="32"/>
          <w:szCs w:val="32"/>
        </w:rPr>
        <w:t>万元，</w:t>
      </w:r>
      <w:r>
        <w:rPr>
          <w:rFonts w:hint="eastAsia" w:eastAsia="仿宋" w:cs="Times New Roman"/>
          <w:sz w:val="32"/>
          <w:szCs w:val="32"/>
          <w:lang w:eastAsia="zh-CN"/>
        </w:rPr>
        <w:t>机关运转工作经费</w:t>
      </w:r>
      <w:r>
        <w:rPr>
          <w:rFonts w:hint="eastAsia" w:eastAsia="仿宋" w:cs="Times New Roman"/>
          <w:sz w:val="32"/>
          <w:szCs w:val="32"/>
          <w:lang w:val="en-US" w:eastAsia="zh-CN"/>
        </w:rPr>
        <w:t>29.4</w:t>
      </w:r>
      <w:r>
        <w:rPr>
          <w:rFonts w:hint="eastAsia" w:ascii="Times New Roman" w:hAnsi="Times New Roman" w:eastAsia="仿宋" w:cs="Times New Roman"/>
          <w:sz w:val="32"/>
          <w:szCs w:val="32"/>
        </w:rPr>
        <w:t>万元；</w:t>
      </w:r>
      <w:r>
        <w:rPr>
          <w:rFonts w:hint="eastAsia" w:eastAsia="仿宋" w:cs="Times New Roman"/>
          <w:sz w:val="32"/>
          <w:szCs w:val="32"/>
          <w:lang w:eastAsia="zh-CN"/>
        </w:rPr>
        <w:t>学区工会费</w:t>
      </w:r>
      <w:r>
        <w:rPr>
          <w:rFonts w:hint="eastAsia" w:eastAsia="仿宋" w:cs="Times New Roman"/>
          <w:sz w:val="32"/>
          <w:szCs w:val="32"/>
          <w:lang w:val="en-US" w:eastAsia="zh-CN"/>
        </w:rPr>
        <w:t>17万元，金五线绿化占地补偿费6.7万元，农村文化建设支出14万元，土地执法信访维稳武装等工作经费支出34.8万元，政府工会费4万元，人居环境及日常工作经费229万元，农村综合改革转移支付支出710万元</w:t>
      </w:r>
      <w:r>
        <w:rPr>
          <w:rFonts w:hint="eastAsia" w:ascii="Times New Roman" w:hAnsi="Times New Roman" w:eastAsia="仿宋" w:cs="Times New Roman"/>
          <w:sz w:val="32"/>
          <w:szCs w:val="32"/>
        </w:rPr>
        <w:t>。</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2436.12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1185.51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48.45</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1137.06</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农村综合改革转移支付支出和人居环境及日常工作经费支出</w:t>
      </w:r>
      <w:r>
        <w:rPr>
          <w:rFonts w:hint="eastAsia" w:ascii="Times New Roman" w:hAnsi="Times New Roman" w:eastAsia="仿宋" w:cs="Times New Roman"/>
          <w:sz w:val="32"/>
          <w:szCs w:val="32"/>
        </w:rPr>
        <w:t>。</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360" w:lineRule="auto"/>
        <w:ind w:firstLine="640"/>
        <w:jc w:val="left"/>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eastAsia="仿宋" w:cs="Times New Roman"/>
          <w:sz w:val="32"/>
          <w:szCs w:val="32"/>
          <w:lang w:eastAsia="zh-CN"/>
        </w:rPr>
        <w:t>比</w:t>
      </w:r>
      <w:r>
        <w:rPr>
          <w:rFonts w:hint="eastAsia" w:ascii="Times New Roman" w:hAnsi="Times New Roman" w:eastAsia="仿宋" w:cs="Times New Roman"/>
          <w:sz w:val="32"/>
          <w:szCs w:val="32"/>
        </w:rPr>
        <w:t>上年</w:t>
      </w:r>
      <w:r>
        <w:rPr>
          <w:rFonts w:hint="eastAsia" w:eastAsia="仿宋" w:cs="Times New Roman"/>
          <w:sz w:val="32"/>
          <w:szCs w:val="32"/>
          <w:lang w:eastAsia="zh-CN"/>
        </w:rPr>
        <w:t>增加</w:t>
      </w:r>
      <w:r>
        <w:rPr>
          <w:rFonts w:hint="eastAsia" w:eastAsia="仿宋" w:cs="Times New Roman"/>
          <w:sz w:val="32"/>
          <w:szCs w:val="32"/>
          <w:lang w:val="en-US" w:eastAsia="zh-CN"/>
        </w:rPr>
        <w:t>10万元，增加的是公务用车购置费10万元</w:t>
      </w:r>
      <w:r>
        <w:rPr>
          <w:rFonts w:hint="eastAsia" w:ascii="Times New Roman" w:hAnsi="Times New Roman" w:eastAsia="仿宋" w:cs="Times New Roman"/>
          <w:sz w:val="32"/>
          <w:szCs w:val="32"/>
        </w:rPr>
        <w:t>。</w:t>
      </w:r>
    </w:p>
    <w:p>
      <w:pPr>
        <w:spacing w:before="10" w:after="10" w:line="360" w:lineRule="auto"/>
        <w:ind w:firstLine="640"/>
        <w:jc w:val="left"/>
        <w:outlineLvl w:val="2"/>
      </w:pP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1、南孟镇2022年安全生产支出绩效目标表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1.按照国家法律法规，治理生产安全隐患。</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涉及企业数量</w:t>
            </w:r>
          </w:p>
        </w:tc>
        <w:tc>
          <w:tcPr>
            <w:tcW w:w="2835" w:type="dxa"/>
            <w:vAlign w:val="center"/>
          </w:tcPr>
          <w:p>
            <w:pPr>
              <w:pStyle w:val="28"/>
            </w:pPr>
            <w:r>
              <w:t>全镇收汇企业数</w:t>
            </w:r>
          </w:p>
        </w:tc>
        <w:tc>
          <w:tcPr>
            <w:tcW w:w="2551" w:type="dxa"/>
            <w:vAlign w:val="center"/>
          </w:tcPr>
          <w:p>
            <w:pPr>
              <w:pStyle w:val="28"/>
            </w:pPr>
            <w:r>
              <w:t>20个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安全生产</w:t>
            </w:r>
          </w:p>
        </w:tc>
        <w:tc>
          <w:tcPr>
            <w:tcW w:w="2835" w:type="dxa"/>
            <w:vAlign w:val="center"/>
          </w:tcPr>
          <w:p>
            <w:pPr>
              <w:pStyle w:val="28"/>
            </w:pPr>
            <w:r>
              <w:t>安全生产</w:t>
            </w:r>
          </w:p>
        </w:tc>
        <w:tc>
          <w:tcPr>
            <w:tcW w:w="2551" w:type="dxa"/>
            <w:vAlign w:val="center"/>
          </w:tcPr>
          <w:p>
            <w:pPr>
              <w:pStyle w:val="28"/>
            </w:pPr>
            <w:r>
              <w:t>生产安全保障</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资金支付及时率</w:t>
            </w:r>
          </w:p>
        </w:tc>
        <w:tc>
          <w:tcPr>
            <w:tcW w:w="2835" w:type="dxa"/>
            <w:vAlign w:val="center"/>
          </w:tcPr>
          <w:p>
            <w:pPr>
              <w:pStyle w:val="28"/>
            </w:pPr>
            <w:r>
              <w:t>资金支付及时率</w:t>
            </w:r>
          </w:p>
        </w:tc>
        <w:tc>
          <w:tcPr>
            <w:tcW w:w="2551" w:type="dxa"/>
            <w:vAlign w:val="center"/>
          </w:tcPr>
          <w:p>
            <w:pPr>
              <w:pStyle w:val="28"/>
            </w:pPr>
            <w:r>
              <w:t xml:space="preserve">≥95百分数 </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≥95百分数</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使用年限</w:t>
            </w:r>
          </w:p>
        </w:tc>
        <w:tc>
          <w:tcPr>
            <w:tcW w:w="2835" w:type="dxa"/>
            <w:vAlign w:val="center"/>
          </w:tcPr>
          <w:p>
            <w:pPr>
              <w:pStyle w:val="28"/>
            </w:pPr>
            <w:r>
              <w:t>经费使用年限</w:t>
            </w:r>
          </w:p>
        </w:tc>
        <w:tc>
          <w:tcPr>
            <w:tcW w:w="2551" w:type="dxa"/>
            <w:vAlign w:val="center"/>
          </w:tcPr>
          <w:p>
            <w:pPr>
              <w:pStyle w:val="28"/>
            </w:pPr>
            <w:r>
              <w:t>1年</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经济效益指标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满意度</w:t>
            </w:r>
          </w:p>
        </w:tc>
        <w:tc>
          <w:tcPr>
            <w:tcW w:w="2835" w:type="dxa"/>
            <w:vAlign w:val="center"/>
          </w:tcPr>
          <w:p>
            <w:pPr>
              <w:pStyle w:val="28"/>
            </w:pPr>
            <w:r>
              <w:t>满意度</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2、南孟镇2022年度环保、安全生产等经费（综合公用经费）绩效目标表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1.按照国家法律法规，进行环保治理、安全生产监管、治理安全生产隐患工作。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环保治理安全生产监管村个数</w:t>
            </w:r>
          </w:p>
        </w:tc>
        <w:tc>
          <w:tcPr>
            <w:tcW w:w="2835" w:type="dxa"/>
            <w:vAlign w:val="center"/>
          </w:tcPr>
          <w:p>
            <w:pPr>
              <w:pStyle w:val="28"/>
            </w:pPr>
            <w:r>
              <w:t>辖区内环保安全生产监管全覆盖</w:t>
            </w:r>
          </w:p>
        </w:tc>
        <w:tc>
          <w:tcPr>
            <w:tcW w:w="2551" w:type="dxa"/>
            <w:vAlign w:val="center"/>
          </w:tcPr>
          <w:p>
            <w:pPr>
              <w:pStyle w:val="28"/>
            </w:pPr>
            <w:r>
              <w:t>14个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≥95百分比</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≥95百分比</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农村生态良好安全生产得到保障</w:t>
            </w:r>
          </w:p>
        </w:tc>
        <w:tc>
          <w:tcPr>
            <w:tcW w:w="2835" w:type="dxa"/>
            <w:vAlign w:val="center"/>
          </w:tcPr>
          <w:p>
            <w:pPr>
              <w:pStyle w:val="28"/>
            </w:pPr>
            <w:r>
              <w:t>环境良好，安全生产保障</w:t>
            </w:r>
          </w:p>
        </w:tc>
        <w:tc>
          <w:tcPr>
            <w:tcW w:w="2551" w:type="dxa"/>
            <w:vAlign w:val="center"/>
          </w:tcPr>
          <w:p>
            <w:pPr>
              <w:pStyle w:val="28"/>
            </w:pPr>
            <w:r>
              <w:t>1年</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群众满意，幸福指数得到提升</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3、南孟镇2022年度机关运转工作经费（综合公用经费）绩效目标表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财政投入资金</w:t>
            </w:r>
          </w:p>
        </w:tc>
        <w:tc>
          <w:tcPr>
            <w:tcW w:w="2835" w:type="dxa"/>
            <w:vAlign w:val="center"/>
          </w:tcPr>
          <w:p>
            <w:pPr>
              <w:pStyle w:val="28"/>
            </w:pPr>
            <w:r>
              <w:t>各项工作需要投入资金数量</w:t>
            </w:r>
          </w:p>
        </w:tc>
        <w:tc>
          <w:tcPr>
            <w:tcW w:w="2551" w:type="dxa"/>
            <w:vAlign w:val="center"/>
          </w:tcPr>
          <w:p>
            <w:pPr>
              <w:pStyle w:val="28"/>
            </w:pPr>
            <w:r>
              <w:t>29.4万元</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保障各项工作顺利运行</w:t>
            </w:r>
          </w:p>
        </w:tc>
        <w:tc>
          <w:tcPr>
            <w:tcW w:w="2551" w:type="dxa"/>
            <w:vAlign w:val="center"/>
          </w:tcPr>
          <w:p>
            <w:pPr>
              <w:pStyle w:val="28"/>
            </w:pPr>
            <w:r>
              <w:t>≥95百分数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各项工作保障时间节点完成</w:t>
            </w:r>
          </w:p>
        </w:tc>
        <w:tc>
          <w:tcPr>
            <w:tcW w:w="2835" w:type="dxa"/>
            <w:vAlign w:val="center"/>
          </w:tcPr>
          <w:p>
            <w:pPr>
              <w:pStyle w:val="28"/>
            </w:pPr>
            <w:r>
              <w:t>按时完成上级安排的各项工作</w:t>
            </w:r>
          </w:p>
        </w:tc>
        <w:tc>
          <w:tcPr>
            <w:tcW w:w="2551" w:type="dxa"/>
            <w:vAlign w:val="center"/>
          </w:tcPr>
          <w:p>
            <w:pPr>
              <w:pStyle w:val="28"/>
            </w:pPr>
            <w:r>
              <w:t>≥95百分数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w:t>
            </w:r>
          </w:p>
        </w:tc>
        <w:tc>
          <w:tcPr>
            <w:tcW w:w="2551" w:type="dxa"/>
            <w:vAlign w:val="center"/>
          </w:tcPr>
          <w:p>
            <w:pPr>
              <w:pStyle w:val="28"/>
            </w:pPr>
            <w:r>
              <w:t>按规定执行</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各项工作顺利开展</w:t>
            </w:r>
          </w:p>
        </w:tc>
        <w:tc>
          <w:tcPr>
            <w:tcW w:w="2835" w:type="dxa"/>
            <w:vAlign w:val="center"/>
          </w:tcPr>
          <w:p>
            <w:pPr>
              <w:pStyle w:val="28"/>
            </w:pPr>
            <w:r>
              <w:t>各项工作统筹兼顾，顺利开展</w:t>
            </w:r>
          </w:p>
        </w:tc>
        <w:tc>
          <w:tcPr>
            <w:tcW w:w="2551" w:type="dxa"/>
            <w:vAlign w:val="center"/>
          </w:tcPr>
          <w:p>
            <w:pPr>
              <w:pStyle w:val="28"/>
            </w:pPr>
            <w:r>
              <w:t>1百分数</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在编人员满意度</w:t>
            </w:r>
          </w:p>
        </w:tc>
        <w:tc>
          <w:tcPr>
            <w:tcW w:w="2835" w:type="dxa"/>
            <w:vAlign w:val="center"/>
          </w:tcPr>
          <w:p>
            <w:pPr>
              <w:pStyle w:val="28"/>
            </w:pPr>
            <w:r>
              <w:t>按时完成各项工作，上级部门满意群众满意</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4、南孟镇2022年度学区工会费绩效目标表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1.保证工会工作的正常运转，保障工会费及时、足额上缴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≥80百分数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上缴资金占总工会费比例</w:t>
            </w:r>
          </w:p>
        </w:tc>
        <w:tc>
          <w:tcPr>
            <w:tcW w:w="2551" w:type="dxa"/>
            <w:vAlign w:val="center"/>
          </w:tcPr>
          <w:p>
            <w:pPr>
              <w:pStyle w:val="28"/>
            </w:pPr>
            <w:r>
              <w:t>≥100百分数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某一时期内上缴资金与计划上缴资金的比例</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按规定执行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职工幸福指数</w:t>
            </w:r>
          </w:p>
        </w:tc>
        <w:tc>
          <w:tcPr>
            <w:tcW w:w="2835" w:type="dxa"/>
            <w:vAlign w:val="center"/>
          </w:tcPr>
          <w:p>
            <w:pPr>
              <w:pStyle w:val="28"/>
            </w:pPr>
            <w:r>
              <w:t>工会一直为职工提供的服务让职工感受到的幸福指数</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工作活动影响力</w:t>
            </w:r>
          </w:p>
        </w:tc>
        <w:tc>
          <w:tcPr>
            <w:tcW w:w="2835" w:type="dxa"/>
            <w:vAlign w:val="center"/>
          </w:tcPr>
          <w:p>
            <w:pPr>
              <w:pStyle w:val="28"/>
            </w:pPr>
            <w:r>
              <w:t>工会利用工会费举办职工活动，丰富职工业余生活的程度</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工会满意度</w:t>
            </w:r>
          </w:p>
        </w:tc>
        <w:tc>
          <w:tcPr>
            <w:tcW w:w="2835" w:type="dxa"/>
            <w:vAlign w:val="center"/>
          </w:tcPr>
          <w:p>
            <w:pPr>
              <w:pStyle w:val="28"/>
            </w:pPr>
            <w:r>
              <w:t>工会对工会费上缴满意程度</w:t>
            </w:r>
          </w:p>
        </w:tc>
        <w:tc>
          <w:tcPr>
            <w:tcW w:w="2551" w:type="dxa"/>
            <w:vAlign w:val="center"/>
          </w:tcPr>
          <w:p>
            <w:pPr>
              <w:pStyle w:val="28"/>
            </w:pPr>
            <w:r>
              <w:t>≥95百分数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5、南孟镇2022年金五线绿化占地补偿绩效目标表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1.及时拨付金五线占地补助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占地村庄数</w:t>
            </w:r>
          </w:p>
        </w:tc>
        <w:tc>
          <w:tcPr>
            <w:tcW w:w="2835" w:type="dxa"/>
            <w:vAlign w:val="center"/>
          </w:tcPr>
          <w:p>
            <w:pPr>
              <w:pStyle w:val="28"/>
            </w:pPr>
            <w:r>
              <w:t>涉及到占地的村庄个数</w:t>
            </w:r>
          </w:p>
        </w:tc>
        <w:tc>
          <w:tcPr>
            <w:tcW w:w="2551" w:type="dxa"/>
            <w:vAlign w:val="center"/>
          </w:tcPr>
          <w:p>
            <w:pPr>
              <w:pStyle w:val="28"/>
            </w:pPr>
            <w:r>
              <w:t>9个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按照要求发放的农户数量占总占地农户数量的比例</w:t>
            </w:r>
          </w:p>
        </w:tc>
        <w:tc>
          <w:tcPr>
            <w:tcW w:w="2551" w:type="dxa"/>
            <w:vAlign w:val="center"/>
          </w:tcPr>
          <w:p>
            <w:pPr>
              <w:pStyle w:val="28"/>
            </w:pPr>
            <w:r>
              <w:t>≥100百分比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占地补贴标准</w:t>
            </w:r>
          </w:p>
        </w:tc>
        <w:tc>
          <w:tcPr>
            <w:tcW w:w="2835" w:type="dxa"/>
            <w:vAlign w:val="center"/>
          </w:tcPr>
          <w:p>
            <w:pPr>
              <w:pStyle w:val="28"/>
            </w:pPr>
            <w:r>
              <w:t>占地补贴标准</w:t>
            </w:r>
          </w:p>
        </w:tc>
        <w:tc>
          <w:tcPr>
            <w:tcW w:w="2551" w:type="dxa"/>
            <w:vAlign w:val="center"/>
          </w:tcPr>
          <w:p>
            <w:pPr>
              <w:pStyle w:val="28"/>
            </w:pPr>
            <w:r>
              <w:t>按规定执行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确保社会稳定</w:t>
            </w:r>
          </w:p>
        </w:tc>
        <w:tc>
          <w:tcPr>
            <w:tcW w:w="2835" w:type="dxa"/>
            <w:vAlign w:val="center"/>
          </w:tcPr>
          <w:p>
            <w:pPr>
              <w:pStyle w:val="28"/>
            </w:pPr>
            <w:r>
              <w:t>按时发放补偿资金，避免上访事件发生</w:t>
            </w:r>
          </w:p>
        </w:tc>
        <w:tc>
          <w:tcPr>
            <w:tcW w:w="2551" w:type="dxa"/>
            <w:vAlign w:val="center"/>
          </w:tcPr>
          <w:p>
            <w:pPr>
              <w:pStyle w:val="28"/>
            </w:pPr>
            <w:r>
              <w:t>≥98按时发放补偿资金</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群众对当年补偿资金发放整体满意度</w:t>
            </w:r>
          </w:p>
        </w:tc>
        <w:tc>
          <w:tcPr>
            <w:tcW w:w="2551" w:type="dxa"/>
            <w:vAlign w:val="center"/>
          </w:tcPr>
          <w:p>
            <w:pPr>
              <w:pStyle w:val="28"/>
            </w:pPr>
            <w:r>
              <w:t>≥98百分比</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6、南孟镇2022年农村独生子女费绩效目标表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1.按时足额发放农村独生子女父母奖金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全镇14个村</w:t>
            </w:r>
          </w:p>
        </w:tc>
        <w:tc>
          <w:tcPr>
            <w:tcW w:w="2835" w:type="dxa"/>
            <w:vAlign w:val="center"/>
          </w:tcPr>
          <w:p>
            <w:pPr>
              <w:pStyle w:val="28"/>
            </w:pPr>
            <w:r>
              <w:t>对全镇14个村独生子女户进行奖励</w:t>
            </w:r>
          </w:p>
        </w:tc>
        <w:tc>
          <w:tcPr>
            <w:tcW w:w="2551" w:type="dxa"/>
            <w:vAlign w:val="center"/>
          </w:tcPr>
          <w:p>
            <w:pPr>
              <w:pStyle w:val="28"/>
            </w:pPr>
            <w:r>
              <w:t>14个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及时足额发放</w:t>
            </w:r>
          </w:p>
        </w:tc>
        <w:tc>
          <w:tcPr>
            <w:tcW w:w="2835" w:type="dxa"/>
            <w:vAlign w:val="center"/>
          </w:tcPr>
          <w:p>
            <w:pPr>
              <w:pStyle w:val="28"/>
            </w:pPr>
            <w:r>
              <w:t>按照要求发放的农户数量占总农户数量的比例</w:t>
            </w:r>
          </w:p>
        </w:tc>
        <w:tc>
          <w:tcPr>
            <w:tcW w:w="2551" w:type="dxa"/>
            <w:vAlign w:val="center"/>
          </w:tcPr>
          <w:p>
            <w:pPr>
              <w:pStyle w:val="28"/>
            </w:pPr>
            <w:r>
              <w:t>100百分比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及时发放</w:t>
            </w:r>
          </w:p>
        </w:tc>
        <w:tc>
          <w:tcPr>
            <w:tcW w:w="2835" w:type="dxa"/>
            <w:vAlign w:val="center"/>
          </w:tcPr>
          <w:p>
            <w:pPr>
              <w:pStyle w:val="28"/>
            </w:pPr>
            <w:r>
              <w:t>某一时期内拨付资金与计划拨付资金的比例</w:t>
            </w:r>
          </w:p>
        </w:tc>
        <w:tc>
          <w:tcPr>
            <w:tcW w:w="2551" w:type="dxa"/>
            <w:vAlign w:val="center"/>
          </w:tcPr>
          <w:p>
            <w:pPr>
              <w:pStyle w:val="28"/>
            </w:pPr>
            <w:r>
              <w:t>≥95百分比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人均发放水平</w:t>
            </w:r>
          </w:p>
        </w:tc>
        <w:tc>
          <w:tcPr>
            <w:tcW w:w="2835" w:type="dxa"/>
            <w:vAlign w:val="center"/>
          </w:tcPr>
          <w:p>
            <w:pPr>
              <w:pStyle w:val="28"/>
            </w:pPr>
            <w:r>
              <w:t>控制成本预算数</w:t>
            </w:r>
          </w:p>
        </w:tc>
        <w:tc>
          <w:tcPr>
            <w:tcW w:w="2551" w:type="dxa"/>
            <w:vAlign w:val="center"/>
          </w:tcPr>
          <w:p>
            <w:pPr>
              <w:pStyle w:val="28"/>
            </w:pPr>
            <w:r>
              <w:t>元</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受益总人数</w:t>
            </w:r>
          </w:p>
        </w:tc>
        <w:tc>
          <w:tcPr>
            <w:tcW w:w="2835" w:type="dxa"/>
            <w:vAlign w:val="center"/>
          </w:tcPr>
          <w:p>
            <w:pPr>
              <w:pStyle w:val="28"/>
            </w:pPr>
            <w:r>
              <w:t>按时发放补助金，避免上访事件发生</w:t>
            </w:r>
          </w:p>
        </w:tc>
        <w:tc>
          <w:tcPr>
            <w:tcW w:w="2551" w:type="dxa"/>
            <w:vAlign w:val="center"/>
          </w:tcPr>
          <w:p>
            <w:pPr>
              <w:pStyle w:val="28"/>
            </w:pPr>
            <w:r>
              <w:t>≥98百分比</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独生子女户对奖励发放满意度</w:t>
            </w:r>
          </w:p>
        </w:tc>
        <w:tc>
          <w:tcPr>
            <w:tcW w:w="2835" w:type="dxa"/>
            <w:vAlign w:val="center"/>
          </w:tcPr>
          <w:p>
            <w:pPr>
              <w:pStyle w:val="28"/>
            </w:pPr>
            <w:r>
              <w:t>独生子女户对资金发放整体满意度</w:t>
            </w:r>
          </w:p>
        </w:tc>
        <w:tc>
          <w:tcPr>
            <w:tcW w:w="2551" w:type="dxa"/>
            <w:vAlign w:val="center"/>
          </w:tcPr>
          <w:p>
            <w:pPr>
              <w:pStyle w:val="28"/>
            </w:pPr>
            <w:r>
              <w:t>≥98百分比</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7、南孟镇2022年农村文化建设资金绩效目标表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1.支持南孟镇农村文化工作顺利开展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农村文化工作覆盖村个数</w:t>
            </w:r>
          </w:p>
        </w:tc>
        <w:tc>
          <w:tcPr>
            <w:tcW w:w="2835" w:type="dxa"/>
            <w:vAlign w:val="center"/>
          </w:tcPr>
          <w:p>
            <w:pPr>
              <w:pStyle w:val="28"/>
            </w:pPr>
            <w:r>
              <w:t>辖区内农村文化工作全覆盖</w:t>
            </w:r>
          </w:p>
        </w:tc>
        <w:tc>
          <w:tcPr>
            <w:tcW w:w="2551" w:type="dxa"/>
            <w:vAlign w:val="center"/>
          </w:tcPr>
          <w:p>
            <w:pPr>
              <w:pStyle w:val="28"/>
            </w:pPr>
            <w:r>
              <w:t>14个</w:t>
            </w:r>
          </w:p>
        </w:tc>
        <w:tc>
          <w:tcPr>
            <w:tcW w:w="2268" w:type="dxa"/>
            <w:vAlign w:val="center"/>
          </w:tcPr>
          <w:p>
            <w:pPr>
              <w:pStyle w:val="28"/>
            </w:pPr>
            <w:r>
              <w:t>年度工作目标</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编制农村环境治理等工作经费标准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农村文化工作开展得到保障</w:t>
            </w:r>
          </w:p>
        </w:tc>
        <w:tc>
          <w:tcPr>
            <w:tcW w:w="2835" w:type="dxa"/>
            <w:vAlign w:val="center"/>
          </w:tcPr>
          <w:p>
            <w:pPr>
              <w:pStyle w:val="28"/>
            </w:pPr>
            <w:r>
              <w:t>文化项目多元化</w:t>
            </w:r>
          </w:p>
        </w:tc>
        <w:tc>
          <w:tcPr>
            <w:tcW w:w="2551" w:type="dxa"/>
            <w:vAlign w:val="center"/>
          </w:tcPr>
          <w:p>
            <w:pPr>
              <w:pStyle w:val="28"/>
            </w:pPr>
            <w:r>
              <w:t>1年</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群众满意，幸福指数得到提升</w:t>
            </w:r>
          </w:p>
        </w:tc>
        <w:tc>
          <w:tcPr>
            <w:tcW w:w="2551" w:type="dxa"/>
            <w:vAlign w:val="center"/>
          </w:tcPr>
          <w:p>
            <w:pPr>
              <w:pStyle w:val="28"/>
            </w:pPr>
            <w:r>
              <w:t>≥95%</w:t>
            </w:r>
          </w:p>
        </w:tc>
        <w:tc>
          <w:tcPr>
            <w:tcW w:w="2268" w:type="dxa"/>
            <w:vAlign w:val="center"/>
          </w:tcPr>
          <w:p>
            <w:pPr>
              <w:pStyle w:val="28"/>
            </w:pPr>
            <w:r>
              <w:t>年度工作目标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8、南孟镇2022年土地执法、信访维稳、武装等工作经费（综合公用经费）绩效目标表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1.按照国家法律法规，进行土地执法、信访维稳、武装等工作。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土地执法等工作监管村个数</w:t>
            </w:r>
          </w:p>
        </w:tc>
        <w:tc>
          <w:tcPr>
            <w:tcW w:w="2835" w:type="dxa"/>
            <w:vAlign w:val="center"/>
          </w:tcPr>
          <w:p>
            <w:pPr>
              <w:pStyle w:val="28"/>
            </w:pPr>
            <w:r>
              <w:t>辖区内全覆盖</w:t>
            </w:r>
          </w:p>
        </w:tc>
        <w:tc>
          <w:tcPr>
            <w:tcW w:w="2551" w:type="dxa"/>
            <w:vAlign w:val="center"/>
          </w:tcPr>
          <w:p>
            <w:pPr>
              <w:pStyle w:val="28"/>
            </w:pPr>
            <w:r>
              <w:t>14个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保障各项工作顺利进行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按时完成各项工作任务</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编制土地执法等工作经费</w:t>
            </w:r>
          </w:p>
        </w:tc>
        <w:tc>
          <w:tcPr>
            <w:tcW w:w="2835" w:type="dxa"/>
            <w:vAlign w:val="center"/>
          </w:tcPr>
          <w:p>
            <w:pPr>
              <w:pStyle w:val="28"/>
            </w:pPr>
            <w:r>
              <w:t>编制土地执法等工作经费标准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农村土地资源利用良好信访武装工作开展顺利</w:t>
            </w:r>
          </w:p>
        </w:tc>
        <w:tc>
          <w:tcPr>
            <w:tcW w:w="2835" w:type="dxa"/>
            <w:vAlign w:val="center"/>
          </w:tcPr>
          <w:p>
            <w:pPr>
              <w:pStyle w:val="28"/>
            </w:pPr>
            <w:r>
              <w:t>土地资源利用良好，社会稳定武装工作顺利开展</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9、南孟镇2022年政府工会费绩效目标表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≥80百分数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上缴资金占总工会费的比例</w:t>
            </w:r>
          </w:p>
        </w:tc>
        <w:tc>
          <w:tcPr>
            <w:tcW w:w="2551" w:type="dxa"/>
            <w:vAlign w:val="center"/>
          </w:tcPr>
          <w:p>
            <w:pPr>
              <w:pStyle w:val="28"/>
            </w:pPr>
            <w:r>
              <w:t>≥100百分数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某一时期内上缴资金与计划上缴资金的比例</w:t>
            </w:r>
          </w:p>
        </w:tc>
        <w:tc>
          <w:tcPr>
            <w:tcW w:w="2551" w:type="dxa"/>
            <w:vAlign w:val="center"/>
          </w:tcPr>
          <w:p>
            <w:pPr>
              <w:pStyle w:val="28"/>
            </w:pPr>
            <w:r>
              <w:t>≥95百分数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控制成本预算数</w:t>
            </w:r>
          </w:p>
        </w:tc>
        <w:tc>
          <w:tcPr>
            <w:tcW w:w="2551" w:type="dxa"/>
            <w:vAlign w:val="center"/>
          </w:tcPr>
          <w:p>
            <w:pPr>
              <w:pStyle w:val="28"/>
            </w:pPr>
            <w:r>
              <w:t>按规定执行</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职工幸福指数</w:t>
            </w:r>
          </w:p>
        </w:tc>
        <w:tc>
          <w:tcPr>
            <w:tcW w:w="2835" w:type="dxa"/>
            <w:vAlign w:val="center"/>
          </w:tcPr>
          <w:p>
            <w:pPr>
              <w:pStyle w:val="28"/>
            </w:pPr>
            <w:r>
              <w:t>工会一直为职工提供的服务让职工感受到的幸福指数</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工会活动影响力</w:t>
            </w:r>
          </w:p>
        </w:tc>
        <w:tc>
          <w:tcPr>
            <w:tcW w:w="2835" w:type="dxa"/>
            <w:vAlign w:val="center"/>
          </w:tcPr>
          <w:p>
            <w:pPr>
              <w:pStyle w:val="28"/>
            </w:pPr>
            <w:r>
              <w:t>工会利用工会费举办职工活动，丰富职工业余生活的程度</w:t>
            </w:r>
          </w:p>
        </w:tc>
        <w:tc>
          <w:tcPr>
            <w:tcW w:w="2551" w:type="dxa"/>
            <w:vAlign w:val="center"/>
          </w:tcPr>
          <w:p>
            <w:pPr>
              <w:pStyle w:val="28"/>
            </w:pPr>
            <w:r>
              <w:t>≥90百分数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工会满意度</w:t>
            </w:r>
          </w:p>
        </w:tc>
        <w:tc>
          <w:tcPr>
            <w:tcW w:w="2835" w:type="dxa"/>
            <w:vAlign w:val="center"/>
          </w:tcPr>
          <w:p>
            <w:pPr>
              <w:pStyle w:val="28"/>
            </w:pPr>
            <w:r>
              <w:t>工会对工会费上缴满意程度</w:t>
            </w:r>
          </w:p>
        </w:tc>
        <w:tc>
          <w:tcPr>
            <w:tcW w:w="2551" w:type="dxa"/>
            <w:vAlign w:val="center"/>
          </w:tcPr>
          <w:p>
            <w:pPr>
              <w:pStyle w:val="28"/>
            </w:pPr>
            <w:r>
              <w:t>≥98百分数</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10、南孟镇人居环境及日常工作经费绩效目标表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1.南孟镇人居环境整治治理及日常工作支出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人居环境改善覆盖率</w:t>
            </w:r>
          </w:p>
        </w:tc>
        <w:tc>
          <w:tcPr>
            <w:tcW w:w="2551" w:type="dxa"/>
            <w:vAlign w:val="center"/>
          </w:tcPr>
          <w:p>
            <w:pPr>
              <w:pStyle w:val="28"/>
            </w:pPr>
            <w:r>
              <w:t>≥95%</w:t>
            </w:r>
          </w:p>
        </w:tc>
        <w:tc>
          <w:tcPr>
            <w:tcW w:w="2268" w:type="dxa"/>
            <w:vAlign w:val="center"/>
          </w:tcPr>
          <w:p>
            <w:pPr>
              <w:pStyle w:val="28"/>
            </w:pPr>
            <w:r>
              <w:t>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清理垃圾完成质量</w:t>
            </w:r>
          </w:p>
        </w:tc>
        <w:tc>
          <w:tcPr>
            <w:tcW w:w="2835" w:type="dxa"/>
            <w:vAlign w:val="center"/>
          </w:tcPr>
          <w:p>
            <w:pPr>
              <w:pStyle w:val="28"/>
            </w:pPr>
            <w:r>
              <w:t>清理垃圾达标率</w:t>
            </w:r>
          </w:p>
        </w:tc>
        <w:tc>
          <w:tcPr>
            <w:tcW w:w="2551" w:type="dxa"/>
            <w:vAlign w:val="center"/>
          </w:tcPr>
          <w:p>
            <w:pPr>
              <w:pStyle w:val="28"/>
            </w:pPr>
            <w:r>
              <w:t>≥95%</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工作完成及时率</w:t>
            </w:r>
          </w:p>
        </w:tc>
        <w:tc>
          <w:tcPr>
            <w:tcW w:w="2551" w:type="dxa"/>
            <w:vAlign w:val="center"/>
          </w:tcPr>
          <w:p>
            <w:pPr>
              <w:pStyle w:val="28"/>
            </w:pPr>
            <w:r>
              <w:t>≥95%</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日常工作经费</w:t>
            </w:r>
          </w:p>
        </w:tc>
        <w:tc>
          <w:tcPr>
            <w:tcW w:w="2835" w:type="dxa"/>
            <w:vAlign w:val="center"/>
          </w:tcPr>
          <w:p>
            <w:pPr>
              <w:pStyle w:val="28"/>
            </w:pPr>
            <w:r>
              <w:t>工作完成情况</w:t>
            </w:r>
          </w:p>
        </w:tc>
        <w:tc>
          <w:tcPr>
            <w:tcW w:w="2551" w:type="dxa"/>
            <w:vAlign w:val="center"/>
          </w:tcPr>
          <w:p>
            <w:pPr>
              <w:pStyle w:val="28"/>
            </w:pPr>
            <w:r>
              <w:t>≥95%</w:t>
            </w:r>
          </w:p>
        </w:tc>
        <w:tc>
          <w:tcPr>
            <w:tcW w:w="2268" w:type="dxa"/>
            <w:vAlign w:val="center"/>
          </w:tcPr>
          <w:p>
            <w:pPr>
              <w:pStyle w:val="28"/>
            </w:pPr>
            <w:r>
              <w:t>考核验收表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在全镇生产的重要影响</w:t>
            </w:r>
          </w:p>
        </w:tc>
        <w:tc>
          <w:tcPr>
            <w:tcW w:w="2551" w:type="dxa"/>
            <w:vAlign w:val="center"/>
          </w:tcPr>
          <w:p>
            <w:pPr>
              <w:pStyle w:val="28"/>
            </w:pPr>
            <w:r>
              <w:t>≥90%</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群众满意数量占总人数比率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11、石财农【2021】101号关于提前下达2022年省级农村综合改革转移支付预算的通知绩效目标表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1.用于支持南孟镇十三村农产品仓储示范区项目资金支出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农产品仓储示范区项目涉及农村数量</w:t>
            </w:r>
          </w:p>
        </w:tc>
        <w:tc>
          <w:tcPr>
            <w:tcW w:w="2835" w:type="dxa"/>
            <w:vAlign w:val="center"/>
          </w:tcPr>
          <w:p>
            <w:pPr>
              <w:pStyle w:val="28"/>
            </w:pPr>
            <w:r>
              <w:t>农产品仓储示范区项目涉及农村数量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全部工程完成后验收符合行业标准比率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按照年初预算合理计算拨付资金</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按照预算项目执行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1.支持南孟镇十三村联建农产品仓储示范区项目资金支出。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仓储示范区项目涉及农村数量</w:t>
            </w:r>
          </w:p>
        </w:tc>
        <w:tc>
          <w:tcPr>
            <w:tcW w:w="2835" w:type="dxa"/>
            <w:vAlign w:val="center"/>
          </w:tcPr>
          <w:p>
            <w:pPr>
              <w:pStyle w:val="28"/>
            </w:pPr>
            <w:r>
              <w:t>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按年初预算标准合理分配并及时拨付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1.支持南孟镇2022年一事一议项目资金支出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一事一议项目涉及农村数量</w:t>
            </w:r>
          </w:p>
        </w:tc>
        <w:tc>
          <w:tcPr>
            <w:tcW w:w="2835" w:type="dxa"/>
            <w:vAlign w:val="center"/>
          </w:tcPr>
          <w:p>
            <w:pPr>
              <w:pStyle w:val="28"/>
            </w:pPr>
            <w:r>
              <w:t>一事一议项目涉及农村数量</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按照年初预算合理分配并及时拨付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农村环境得到改善</w:t>
            </w:r>
          </w:p>
        </w:tc>
        <w:tc>
          <w:tcPr>
            <w:tcW w:w="2835" w:type="dxa"/>
            <w:vAlign w:val="center"/>
          </w:tcPr>
          <w:p>
            <w:pPr>
              <w:pStyle w:val="28"/>
            </w:pPr>
            <w:r>
              <w:t>农村环境有所提升并有效改善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14、石财农【2021】89号关于提前下达2022年市级农村综合改革转移支付预算的通知绩效目标表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1.支持南孟镇十三村联建农产品仓储示范区项目资金支出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农产品仓储示范区项目涉及农村数量</w:t>
            </w:r>
          </w:p>
        </w:tc>
        <w:tc>
          <w:tcPr>
            <w:tcW w:w="2835" w:type="dxa"/>
            <w:vAlign w:val="center"/>
          </w:tcPr>
          <w:p>
            <w:pPr>
              <w:pStyle w:val="28"/>
            </w:pPr>
            <w:r>
              <w:t>农产品仓储示范区项目涉及农村数量</w:t>
            </w:r>
          </w:p>
        </w:tc>
        <w:tc>
          <w:tcPr>
            <w:tcW w:w="2551" w:type="dxa"/>
            <w:vAlign w:val="center"/>
          </w:tcPr>
          <w:p>
            <w:pPr>
              <w:pStyle w:val="28"/>
            </w:pPr>
            <w:r>
              <w:t>13个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项目验收合格率</w:t>
            </w:r>
          </w:p>
        </w:tc>
        <w:tc>
          <w:tcPr>
            <w:tcW w:w="2835" w:type="dxa"/>
            <w:vAlign w:val="center"/>
          </w:tcPr>
          <w:p>
            <w:pPr>
              <w:pStyle w:val="28"/>
            </w:pPr>
            <w:r>
              <w:t>全部工程完工后验收符合行业标准比率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 xml:space="preserve"> 资金拨付及时率</w:t>
            </w:r>
          </w:p>
        </w:tc>
        <w:tc>
          <w:tcPr>
            <w:tcW w:w="2835" w:type="dxa"/>
            <w:vAlign w:val="center"/>
          </w:tcPr>
          <w:p>
            <w:pPr>
              <w:pStyle w:val="28"/>
            </w:pPr>
            <w:r>
              <w:t>按照年初预算标准合理分配及时拨付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≥95%</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15、石财预[2021]39号关于提前下达2022年革命老区转移支付预算的通知绩效目标表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1.保障革命老区村内修路工程资金支出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街道面积</w:t>
            </w:r>
          </w:p>
        </w:tc>
        <w:tc>
          <w:tcPr>
            <w:tcW w:w="2835" w:type="dxa"/>
            <w:vAlign w:val="center"/>
          </w:tcPr>
          <w:p>
            <w:pPr>
              <w:pStyle w:val="28"/>
            </w:pPr>
            <w:r>
              <w:t>整修街道面积</w:t>
            </w:r>
          </w:p>
        </w:tc>
        <w:tc>
          <w:tcPr>
            <w:tcW w:w="2551" w:type="dxa"/>
            <w:vAlign w:val="center"/>
          </w:tcPr>
          <w:p>
            <w:pPr>
              <w:pStyle w:val="28"/>
            </w:pPr>
            <w:r>
              <w:t>3000平方米</w:t>
            </w:r>
          </w:p>
        </w:tc>
        <w:tc>
          <w:tcPr>
            <w:tcW w:w="2268" w:type="dxa"/>
            <w:vAlign w:val="center"/>
          </w:tcPr>
          <w:p>
            <w:pPr>
              <w:pStyle w:val="28"/>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沥青铺油</w:t>
            </w:r>
          </w:p>
        </w:tc>
        <w:tc>
          <w:tcPr>
            <w:tcW w:w="2835" w:type="dxa"/>
            <w:vAlign w:val="center"/>
          </w:tcPr>
          <w:p>
            <w:pPr>
              <w:pStyle w:val="28"/>
            </w:pPr>
            <w:r>
              <w:t>刨铣路面、沥青铺油</w:t>
            </w:r>
          </w:p>
        </w:tc>
        <w:tc>
          <w:tcPr>
            <w:tcW w:w="2551" w:type="dxa"/>
            <w:vAlign w:val="center"/>
          </w:tcPr>
          <w:p>
            <w:pPr>
              <w:pStyle w:val="28"/>
            </w:pPr>
            <w:r>
              <w:t>4公分</w:t>
            </w:r>
          </w:p>
        </w:tc>
        <w:tc>
          <w:tcPr>
            <w:tcW w:w="2268" w:type="dxa"/>
            <w:vAlign w:val="center"/>
          </w:tcPr>
          <w:p>
            <w:pPr>
              <w:pStyle w:val="28"/>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完成此项工作时间</w:t>
            </w:r>
          </w:p>
        </w:tc>
        <w:tc>
          <w:tcPr>
            <w:tcW w:w="2835" w:type="dxa"/>
            <w:vAlign w:val="center"/>
          </w:tcPr>
          <w:p>
            <w:pPr>
              <w:pStyle w:val="28"/>
            </w:pPr>
            <w:r>
              <w:t>刨铣铺油及便道铺砖</w:t>
            </w:r>
          </w:p>
        </w:tc>
        <w:tc>
          <w:tcPr>
            <w:tcW w:w="2551" w:type="dxa"/>
            <w:vAlign w:val="center"/>
          </w:tcPr>
          <w:p>
            <w:pPr>
              <w:pStyle w:val="28"/>
            </w:pPr>
            <w:r>
              <w:t>1年</w:t>
            </w:r>
          </w:p>
        </w:tc>
        <w:tc>
          <w:tcPr>
            <w:tcW w:w="2268"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成本核算</w:t>
            </w:r>
          </w:p>
        </w:tc>
        <w:tc>
          <w:tcPr>
            <w:tcW w:w="2835" w:type="dxa"/>
            <w:vAlign w:val="center"/>
          </w:tcPr>
          <w:p>
            <w:pPr>
              <w:pStyle w:val="28"/>
            </w:pPr>
            <w:r>
              <w:t>完成此项工作所需经费</w:t>
            </w:r>
          </w:p>
        </w:tc>
        <w:tc>
          <w:tcPr>
            <w:tcW w:w="2551" w:type="dxa"/>
            <w:vAlign w:val="center"/>
          </w:tcPr>
          <w:p>
            <w:pPr>
              <w:pStyle w:val="28"/>
            </w:pPr>
            <w:r>
              <w:t>≥220.11万元</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村容村貌面貌提升</w:t>
            </w:r>
          </w:p>
        </w:tc>
        <w:tc>
          <w:tcPr>
            <w:tcW w:w="2835" w:type="dxa"/>
            <w:vAlign w:val="center"/>
          </w:tcPr>
          <w:p>
            <w:pPr>
              <w:pStyle w:val="28"/>
            </w:pPr>
            <w:r>
              <w:t>提高革命老区人民生活水平指数</w:t>
            </w:r>
          </w:p>
        </w:tc>
        <w:tc>
          <w:tcPr>
            <w:tcW w:w="2551" w:type="dxa"/>
            <w:vAlign w:val="center"/>
          </w:tcPr>
          <w:p>
            <w:pPr>
              <w:pStyle w:val="28"/>
            </w:pPr>
            <w:r>
              <w:t>%</w:t>
            </w:r>
          </w:p>
        </w:tc>
        <w:tc>
          <w:tcPr>
            <w:tcW w:w="2268" w:type="dxa"/>
            <w:vAlign w:val="center"/>
          </w:tcPr>
          <w:p>
            <w:pPr>
              <w:pStyle w:val="28"/>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满意群众数量占总数的比例</w:t>
            </w:r>
          </w:p>
        </w:tc>
        <w:tc>
          <w:tcPr>
            <w:tcW w:w="2551" w:type="dxa"/>
            <w:vAlign w:val="center"/>
          </w:tcPr>
          <w:p>
            <w:pPr>
              <w:pStyle w:val="28"/>
            </w:pPr>
            <w:r>
              <w:t>≥90%</w:t>
            </w:r>
          </w:p>
        </w:tc>
        <w:tc>
          <w:tcPr>
            <w:tcW w:w="2268" w:type="dxa"/>
            <w:vAlign w:val="center"/>
          </w:tcPr>
          <w:p>
            <w:pPr>
              <w:pStyle w:val="28"/>
            </w:pPr>
            <w:r>
              <w:t>调查结果</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2022年，石家庄市藁城区南孟镇人民政府本级安排政府采购预算</w:t>
      </w:r>
      <w:r>
        <w:rPr>
          <w:rFonts w:hint="eastAsia" w:eastAsia="方正仿宋_GBK" w:cs="Times New Roman"/>
          <w:b w:val="0"/>
          <w:color w:val="000000"/>
          <w:sz w:val="28"/>
          <w:lang w:val="en-US" w:eastAsia="zh-CN"/>
        </w:rPr>
        <w:t>222</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ascii="方正仿宋_GBK" w:hAnsi="方正仿宋_GBK" w:eastAsia="方正仿宋_GBK" w:cs="方正仿宋_GBK"/>
                <w:b/>
                <w:color w:val="000000"/>
                <w:sz w:val="28"/>
              </w:rPr>
              <w:t>石财预[2021]39号关于提前下达2022年革命老区转移支付预算的通知</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公路工程施工</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B0202</w:t>
            </w:r>
          </w:p>
        </w:tc>
        <w:tc>
          <w:tcPr>
            <w:tcW w:w="924"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万元</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石家庄市藁城区南孟镇人民政府本级上年末固定资产金额为1054.19万元（详见下表）。本年度拟购置固定资产总额为10.00万元，</w:t>
      </w:r>
      <w:r>
        <w:rPr>
          <w:rFonts w:hint="eastAsia" w:eastAsia="方正仿宋_GBK" w:cs="Times New Roman"/>
          <w:b w:val="0"/>
          <w:color w:val="000000"/>
          <w:sz w:val="28"/>
          <w:lang w:eastAsia="zh-CN"/>
        </w:rPr>
        <w:t>用于购买皮卡车一辆，因未达到政府采购限额，故未</w:t>
      </w:r>
      <w:r>
        <w:rPr>
          <w:rFonts w:ascii="Times New Roman" w:hAnsi="Times New Roman" w:eastAsia="方正仿宋_GBK" w:cs="Times New Roman"/>
          <w:b w:val="0"/>
          <w:color w:val="000000"/>
          <w:sz w:val="28"/>
        </w:rPr>
        <w:t>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813001石家庄市藁城区南孟镇人民政府本级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1054.19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57536</w:t>
            </w:r>
          </w:p>
        </w:tc>
        <w:tc>
          <w:tcPr>
            <w:tcW w:w="2835" w:type="dxa"/>
            <w:vAlign w:val="center"/>
          </w:tcPr>
          <w:p>
            <w:pPr>
              <w:pStyle w:val="13"/>
            </w:pPr>
            <w:r>
              <w:t>772.64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57326</w:t>
            </w:r>
          </w:p>
        </w:tc>
        <w:tc>
          <w:tcPr>
            <w:tcW w:w="2835" w:type="dxa"/>
            <w:vAlign w:val="center"/>
          </w:tcPr>
          <w:p>
            <w:pPr>
              <w:pStyle w:val="13"/>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905</w:t>
            </w:r>
          </w:p>
        </w:tc>
        <w:tc>
          <w:tcPr>
            <w:tcW w:w="2835" w:type="dxa"/>
            <w:vAlign w:val="center"/>
          </w:tcPr>
          <w:p>
            <w:pPr>
              <w:pStyle w:val="13"/>
            </w:pPr>
            <w:r>
              <w:t>284.34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C5F8ED"/>
    <w:multiLevelType w:val="singleLevel"/>
    <w:tmpl w:val="44C5F8ED"/>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FkYTUwODQ1MWVkOTMzOGY5MmE0M2Y0NjMwNDllYWIifQ=="/>
  </w:docVars>
  <w:rsids>
    <w:rsidRoot w:val="00000000"/>
    <w:rsid w:val="011D4537"/>
    <w:rsid w:val="087020F0"/>
    <w:rsid w:val="0A1B5EDE"/>
    <w:rsid w:val="10A66ACC"/>
    <w:rsid w:val="142B2A14"/>
    <w:rsid w:val="155458AE"/>
    <w:rsid w:val="1ADC2E49"/>
    <w:rsid w:val="1B295BC6"/>
    <w:rsid w:val="1E48786A"/>
    <w:rsid w:val="1FB26CD0"/>
    <w:rsid w:val="2C5030EA"/>
    <w:rsid w:val="2F625F63"/>
    <w:rsid w:val="310E6E36"/>
    <w:rsid w:val="36577EF5"/>
    <w:rsid w:val="371613A2"/>
    <w:rsid w:val="3B1E43B3"/>
    <w:rsid w:val="3B9E6312"/>
    <w:rsid w:val="3E6671E3"/>
    <w:rsid w:val="3F7E65E9"/>
    <w:rsid w:val="43F11FEE"/>
    <w:rsid w:val="44AC606D"/>
    <w:rsid w:val="4585333C"/>
    <w:rsid w:val="493124C1"/>
    <w:rsid w:val="4CA245F6"/>
    <w:rsid w:val="503021E7"/>
    <w:rsid w:val="52637DE8"/>
    <w:rsid w:val="53A719DA"/>
    <w:rsid w:val="5ED53ABD"/>
    <w:rsid w:val="5FAA484F"/>
    <w:rsid w:val="6A4E7C9E"/>
    <w:rsid w:val="6D3F1F21"/>
    <w:rsid w:val="6E2B64EF"/>
    <w:rsid w:val="6E6D56B3"/>
    <w:rsid w:val="70C50F72"/>
    <w:rsid w:val="7B772D5A"/>
    <w:rsid w:val="7B9436F8"/>
    <w:rsid w:val="7CBE2646"/>
    <w:rsid w:val="7EF7695C"/>
    <w:rsid w:val="7EFF3D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1a236ed8-1261-4023-805b-b142c1033319"/>
    <w:qFormat/>
    <w:uiPriority w:val="0"/>
    <w:rPr>
      <w:rFonts w:ascii="Times New Roman" w:hAnsi="Times New Roman" w:eastAsia="Times New Roman" w:cstheme="minorBidi"/>
      <w:sz w:val="24"/>
      <w:szCs w:val="24"/>
      <w:lang w:val="en-US" w:eastAsia="uk-UA" w:bidi="ar-SA"/>
    </w:rPr>
  </w:style>
  <w:style w:type="paragraph" w:customStyle="1" w:styleId="27">
    <w:name w:val="单元格样式1_8d2ec884-625c-44d9-866f-99158856bc5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ed54bd3-d3ae-44cb-b6b0-6d707e199f16"/>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60c90c25-cde1-4b5e-9c48-d65411d8173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2022-02-14T17:55:18Z</dcterms:created>
  <dcterms:modified xsi:type="dcterms:W3CDTF">2022-02-14T09:55:18Z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2022-02-14T17:55:23Z</dcterms:created>
  <dcterms:modified xsi:type="dcterms:W3CDTF">2022-02-14T09:55:22Z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2022-02-14T17:55:32Z</dcterms:created>
  <dcterms:modified xsi:type="dcterms:W3CDTF">2022-02-14T09:55:32Z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2022-02-14T17:55:37Z</dcterms:created>
  <dcterms:modified xsi:type="dcterms:W3CDTF">2022-02-14T09:55:36Z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2022-02-14T17:55:12Z</dcterms:created>
  <dcterms:modified xsi:type="dcterms:W3CDTF">2022-02-14T09:55:12Z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2022-02-14T17:55:37Z</dcterms:created>
  <dcterms:modified xsi:type="dcterms:W3CDTF">2022-02-14T09:55:37Z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2022-02-14T17:55:42Z</dcterms:created>
  <dcterms:modified xsi:type="dcterms:W3CDTF">2022-02-14T09:55:42Z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2022-02-14T17:55:42Z</dcterms:created>
  <dcterms:modified xsi:type="dcterms:W3CDTF">2022-02-14T09:55:42Z</dcterms:modified>
</cp:coreProperties>
</file>

<file path=customXml/itemProps1.xml><?xml version="1.0" encoding="utf-8"?>
<ds:datastoreItem xmlns:ds="http://schemas.openxmlformats.org/officeDocument/2006/customXml" ds:itemID="{15a0eb57-b989-4345-a0a6-b6c6caf3d019}">
  <ds:schemaRefs/>
</ds:datastoreItem>
</file>

<file path=customXml/itemProps10.xml><?xml version="1.0" encoding="utf-8"?>
<ds:datastoreItem xmlns:ds="http://schemas.openxmlformats.org/officeDocument/2006/customXml" ds:itemID="{41e9c914-d2b3-4fce-b227-c3da0de525a5}">
  <ds:schemaRefs/>
</ds:datastoreItem>
</file>

<file path=customXml/itemProps11.xml><?xml version="1.0" encoding="utf-8"?>
<ds:datastoreItem xmlns:ds="http://schemas.openxmlformats.org/officeDocument/2006/customXml" ds:itemID="{d65f5072-3af9-43a9-b2d9-42be4c4ba314}">
  <ds:schemaRefs/>
</ds:datastoreItem>
</file>

<file path=customXml/itemProps12.xml><?xml version="1.0" encoding="utf-8"?>
<ds:datastoreItem xmlns:ds="http://schemas.openxmlformats.org/officeDocument/2006/customXml" ds:itemID="{3a8ee1c3-aa37-45e4-9ae8-0c290bd6cc54}">
  <ds:schemaRefs/>
</ds:datastoreItem>
</file>

<file path=customXml/itemProps13.xml><?xml version="1.0" encoding="utf-8"?>
<ds:datastoreItem xmlns:ds="http://schemas.openxmlformats.org/officeDocument/2006/customXml" ds:itemID="{8a658e31-74b3-406a-a627-e35cc04544ca}">
  <ds:schemaRefs/>
</ds:datastoreItem>
</file>

<file path=customXml/itemProps14.xml><?xml version="1.0" encoding="utf-8"?>
<ds:datastoreItem xmlns:ds="http://schemas.openxmlformats.org/officeDocument/2006/customXml" ds:itemID="{230de6f1-01db-4032-a2fa-e3655831b0dc}">
  <ds:schemaRefs/>
</ds:datastoreItem>
</file>

<file path=customXml/itemProps15.xml><?xml version="1.0" encoding="utf-8"?>
<ds:datastoreItem xmlns:ds="http://schemas.openxmlformats.org/officeDocument/2006/customXml" ds:itemID="{0bd38df8-1635-401e-85ae-3d2d1dcd2b8b}">
  <ds:schemaRefs/>
</ds:datastoreItem>
</file>

<file path=customXml/itemProps16.xml><?xml version="1.0" encoding="utf-8"?>
<ds:datastoreItem xmlns:ds="http://schemas.openxmlformats.org/officeDocument/2006/customXml" ds:itemID="{5ea88cdd-6aa5-49db-90c2-7677502eb2a9}">
  <ds:schemaRefs/>
</ds:datastoreItem>
</file>

<file path=customXml/itemProps2.xml><?xml version="1.0" encoding="utf-8"?>
<ds:datastoreItem xmlns:ds="http://schemas.openxmlformats.org/officeDocument/2006/customXml" ds:itemID="{5dfb5e18-8a48-4abb-8fe8-0c905630e161}">
  <ds:schemaRefs/>
</ds:datastoreItem>
</file>

<file path=customXml/itemProps3.xml><?xml version="1.0" encoding="utf-8"?>
<ds:datastoreItem xmlns:ds="http://schemas.openxmlformats.org/officeDocument/2006/customXml" ds:itemID="{c1ecdc9d-48c5-41ea-873b-2249d204634d}">
  <ds:schemaRefs/>
</ds:datastoreItem>
</file>

<file path=customXml/itemProps4.xml><?xml version="1.0" encoding="utf-8"?>
<ds:datastoreItem xmlns:ds="http://schemas.openxmlformats.org/officeDocument/2006/customXml" ds:itemID="{db8f17db-9a91-4595-a7ac-1cc8cc17a235}">
  <ds:schemaRefs/>
</ds:datastoreItem>
</file>

<file path=customXml/itemProps5.xml><?xml version="1.0" encoding="utf-8"?>
<ds:datastoreItem xmlns:ds="http://schemas.openxmlformats.org/officeDocument/2006/customXml" ds:itemID="{f8c9c91b-9574-440c-b282-f77e586d77e7}">
  <ds:schemaRefs/>
</ds:datastoreItem>
</file>

<file path=customXml/itemProps6.xml><?xml version="1.0" encoding="utf-8"?>
<ds:datastoreItem xmlns:ds="http://schemas.openxmlformats.org/officeDocument/2006/customXml" ds:itemID="{cd53d8e4-c980-4d8c-b4fe-c6c6445cbe2c}">
  <ds:schemaRefs/>
</ds:datastoreItem>
</file>

<file path=customXml/itemProps7.xml><?xml version="1.0" encoding="utf-8"?>
<ds:datastoreItem xmlns:ds="http://schemas.openxmlformats.org/officeDocument/2006/customXml" ds:itemID="{5cc8874f-891d-4636-a9a7-adee6a4fe1a6}">
  <ds:schemaRefs/>
</ds:datastoreItem>
</file>

<file path=customXml/itemProps8.xml><?xml version="1.0" encoding="utf-8"?>
<ds:datastoreItem xmlns:ds="http://schemas.openxmlformats.org/officeDocument/2006/customXml" ds:itemID="{15a7a86d-d0e1-421d-98d3-92f1f9e8991a}">
  <ds:schemaRefs/>
</ds:datastoreItem>
</file>

<file path=customXml/itemProps9.xml><?xml version="1.0" encoding="utf-8"?>
<ds:datastoreItem xmlns:ds="http://schemas.openxmlformats.org/officeDocument/2006/customXml" ds:itemID="{bd608e54-d1b9-4888-9629-75dfa8725b5b}">
  <ds:schemaRefs/>
</ds:datastoreItem>
</file>

<file path=docProps/app.xml><?xml version="1.0" encoding="utf-8"?>
<Properties xmlns="http://schemas.openxmlformats.org/officeDocument/2006/extended-properties" xmlns:vt="http://schemas.openxmlformats.org/officeDocument/2006/docPropsVTypes">
  <Pages>99</Pages>
  <Words>23225</Words>
  <Characters>27994</Characters>
  <TotalTime>17</TotalTime>
  <ScaleCrop>false</ScaleCrop>
  <LinksUpToDate>false</LinksUpToDate>
  <CharactersWithSpaces>28356</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2022-02-14T17:55:00Z</dcterms:created>
  <dc:creator>Administrator</dc:creator>
  <cp:lastModifiedBy>辛玉斋</cp:lastModifiedBy>
  <dcterms:modified xsi:type="dcterms:W3CDTF">2023-09-21T03:09:41Z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A35C9086E40A4815B3017A164D587AFE</vt:lpwstr>
  </property>
</Properties>
</file>