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ind w:left="0" w:leftChars="0" w:right="0" w:rightChars="0" w:firstLine="0" w:firstLineChars="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中国共产党石家庄市藁城区委员会宣传部</w:t>
      </w:r>
    </w:p>
    <w:p>
      <w:pPr>
        <w:adjustRightInd w:val="0"/>
        <w:snapToGrid w:val="0"/>
        <w:ind w:left="0" w:leftChars="0" w:right="0" w:rightChars="0" w:firstLine="0" w:firstLineChars="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按照《中华人民共和国预算法》、《地方预决算公开操作规程》和《河北省省级预算公开办法》规定，现将</w:t>
      </w:r>
      <w:r>
        <w:rPr>
          <w:rFonts w:hint="eastAsia" w:ascii="Times New Roman" w:hAnsi="Times New Roman" w:eastAsia="仿宋" w:cs="Times New Roman"/>
          <w:sz w:val="32"/>
          <w:szCs w:val="32"/>
          <w:lang w:eastAsia="zh-CN"/>
        </w:rPr>
        <w:t>中国共产党石家庄市藁城区委员会宣传部</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pPr>
        <w:ind w:firstLine="640"/>
        <w:rPr>
          <w:rFonts w:hint="eastAsia" w:ascii="仿宋" w:hAnsi="仿宋" w:eastAsia="仿宋" w:cs="Times New Roman"/>
          <w:b w:val="0"/>
          <w:bCs/>
          <w:sz w:val="32"/>
          <w:szCs w:val="32"/>
        </w:rPr>
      </w:pPr>
      <w:r>
        <w:rPr>
          <w:rFonts w:hint="eastAsia" w:ascii="仿宋" w:hAnsi="仿宋" w:eastAsia="仿宋" w:cs="Times New Roman"/>
          <w:b/>
          <w:bCs w:val="0"/>
          <w:sz w:val="32"/>
          <w:szCs w:val="32"/>
        </w:rPr>
        <w:t>部门</w:t>
      </w:r>
      <w:r>
        <w:rPr>
          <w:rFonts w:ascii="仿宋" w:hAnsi="仿宋" w:eastAsia="仿宋" w:cs="Times New Roman"/>
          <w:b/>
          <w:bCs w:val="0"/>
          <w:sz w:val="32"/>
          <w:szCs w:val="32"/>
        </w:rPr>
        <w:t>职责</w:t>
      </w:r>
      <w:r>
        <w:rPr>
          <w:rFonts w:ascii="仿宋" w:hAnsi="仿宋" w:eastAsia="仿宋" w:cs="Times New Roman"/>
          <w:b w:val="0"/>
          <w:bCs/>
          <w:sz w:val="32"/>
          <w:szCs w:val="32"/>
        </w:rPr>
        <w:t>：</w:t>
      </w:r>
      <w:r>
        <w:rPr>
          <w:rFonts w:hint="eastAsia" w:ascii="仿宋" w:hAnsi="仿宋" w:eastAsia="仿宋" w:cs="Times New Roman"/>
          <w:b w:val="0"/>
          <w:bCs/>
          <w:sz w:val="32"/>
          <w:szCs w:val="32"/>
        </w:rPr>
        <w:t>1、负责区委中心组和全区党委中心组以及全区广大党员干部的理论学习教育和考核工作。</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2、负责全区舆论引导的把握和全区各项工作的新闻宣传，对电视台、报社的工作实施政治方向和方针、政策的指导。</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3、规划部署全区思想政治工作，负责全区爱国主义教育基地的建设和管理，负责全区政工职称的评定和政工人员的管理。</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4、研究制定全区文化事业的发展规划，指导协调全区文化市场和文化环境的净化与管理。负责重大节日的气氛营造和其他社会宣传工作。对文广新局的工作，实施政治和方针、政策的指导和协调。</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5、研究拟定有关全区思想道德和精神文明建设的工作方针、政策；规划部署全区思想道德和精神文明建设工作；组织指导全区群众精神文明创建活动。</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6、负责谋划协调全区对外宣传、网上新闻和舆论引导。</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7、指导全区国防教育领导小组办公室的工作。</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8、开展多种形式的爱国主义教育活动。</w:t>
      </w:r>
    </w:p>
    <w:p>
      <w:pPr>
        <w:ind w:firstLine="640"/>
        <w:rPr>
          <w:rFonts w:hint="eastAsia" w:ascii="仿宋" w:hAnsi="仿宋" w:eastAsia="仿宋" w:cs="Times New Roman"/>
          <w:b w:val="0"/>
          <w:bCs/>
          <w:sz w:val="32"/>
          <w:szCs w:val="32"/>
        </w:rPr>
      </w:pPr>
      <w:r>
        <w:rPr>
          <w:rFonts w:hint="eastAsia" w:ascii="仿宋" w:hAnsi="仿宋" w:eastAsia="仿宋" w:cs="Times New Roman"/>
          <w:b w:val="0"/>
          <w:bCs/>
          <w:sz w:val="32"/>
          <w:szCs w:val="32"/>
        </w:rPr>
        <w:t>9、做好纪念馆日常维护工作，确保正常开放。</w:t>
      </w:r>
    </w:p>
    <w:p>
      <w:pPr>
        <w:ind w:firstLine="640" w:firstLineChars="200"/>
        <w:rPr>
          <w:rFonts w:ascii="Times New Roman" w:hAnsi="Times New Roman" w:eastAsia="仿宋" w:cs="Times New Roman"/>
          <w:b w:val="0"/>
          <w:bCs/>
          <w:sz w:val="32"/>
          <w:szCs w:val="32"/>
        </w:rPr>
      </w:pPr>
      <w:r>
        <w:rPr>
          <w:rFonts w:hint="eastAsia" w:ascii="仿宋" w:hAnsi="仿宋" w:eastAsia="仿宋" w:cs="Times New Roman"/>
          <w:b w:val="0"/>
          <w:bCs/>
          <w:sz w:val="32"/>
          <w:szCs w:val="32"/>
        </w:rPr>
        <w:t>10、针对现有问题有效整改，做好保级工作。</w:t>
      </w:r>
    </w:p>
    <w:p>
      <w:pPr>
        <w:rPr>
          <w:rFonts w:ascii="仿宋" w:hAnsi="仿宋" w:eastAsia="仿宋" w:cs="Times New Roman"/>
          <w:b w:val="0"/>
          <w:bCs/>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noWrap w:val="0"/>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rPr>
                <w:rFonts w:ascii="Times New Roman" w:hAnsi="Times New Roman" w:cs="Times New Roman"/>
                <w:szCs w:val="24"/>
              </w:rPr>
            </w:pPr>
          </w:p>
        </w:tc>
        <w:tc>
          <w:tcPr>
            <w:tcW w:w="1134" w:type="dxa"/>
            <w:vMerge w:val="continue"/>
            <w:noWrap w:val="0"/>
            <w:vAlign w:val="center"/>
          </w:tcPr>
          <w:p>
            <w:pPr>
              <w:spacing w:line="300" w:lineRule="exact"/>
              <w:jc w:val="left"/>
              <w:outlineLvl w:val="0"/>
              <w:rPr>
                <w:rFonts w:ascii="Times New Roman" w:hAnsi="Times New Roman" w:cs="Times New Roman"/>
                <w:szCs w:val="24"/>
              </w:rPr>
            </w:pPr>
          </w:p>
        </w:tc>
        <w:tc>
          <w:tcPr>
            <w:tcW w:w="1276" w:type="dxa"/>
            <w:vMerge w:val="continue"/>
            <w:noWrap w:val="0"/>
            <w:vAlign w:val="center"/>
          </w:tcPr>
          <w:p>
            <w:pPr>
              <w:spacing w:line="300" w:lineRule="exact"/>
              <w:jc w:val="left"/>
              <w:outlineLvl w:val="0"/>
              <w:rPr>
                <w:rFonts w:ascii="Times New Roman" w:hAnsi="Times New Roman" w:cs="Times New Roman"/>
                <w:szCs w:val="24"/>
              </w:rPr>
            </w:pPr>
          </w:p>
        </w:tc>
        <w:tc>
          <w:tcPr>
            <w:tcW w:w="2902" w:type="dxa"/>
            <w:vMerge w:val="continue"/>
            <w:noWrap w:val="0"/>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中国共产党石家庄市藁城区委员会宣传部</w:t>
            </w:r>
          </w:p>
        </w:tc>
        <w:tc>
          <w:tcPr>
            <w:tcW w:w="1134" w:type="dxa"/>
            <w:noWrap w:val="0"/>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noWrap w:val="0"/>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902" w:type="dxa"/>
            <w:noWrap w:val="0"/>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Times New Roman" w:hAnsi="Times New Roman" w:eastAsia="方正书宋_GBK" w:cs="Times New Roman"/>
                <w:szCs w:val="24"/>
                <w:lang w:val="en-US" w:eastAsia="zh-CN"/>
              </w:rPr>
            </w:pPr>
            <w:r>
              <w:rPr>
                <w:rFonts w:hint="eastAsia" w:ascii="Times New Roman" w:hAnsi="Times New Roman" w:eastAsia="方正书宋_GBK" w:cs="Times New Roman"/>
                <w:szCs w:val="24"/>
                <w:lang w:val="en-US" w:eastAsia="zh-CN"/>
              </w:rPr>
              <w:t>石家庄市藁城区梅花惨案纪念馆</w:t>
            </w:r>
          </w:p>
        </w:tc>
        <w:tc>
          <w:tcPr>
            <w:tcW w:w="1134" w:type="dxa"/>
            <w:noWrap w:val="0"/>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noWrap w:val="0"/>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w:t>
            </w:r>
            <w:r>
              <w:rPr>
                <w:rFonts w:hint="eastAsia" w:ascii="Times New Roman" w:hAnsi="Times New Roman" w:eastAsia="方正书宋_GBK" w:cs="Times New Roman"/>
                <w:szCs w:val="24"/>
                <w:lang w:eastAsia="zh-CN"/>
              </w:rPr>
              <w:t>科</w:t>
            </w:r>
            <w:r>
              <w:rPr>
                <w:rFonts w:hint="eastAsia" w:ascii="Times New Roman" w:hAnsi="Times New Roman" w:eastAsia="方正书宋_GBK" w:cs="Times New Roman"/>
                <w:szCs w:val="24"/>
              </w:rPr>
              <w:t>级</w:t>
            </w:r>
          </w:p>
        </w:tc>
        <w:tc>
          <w:tcPr>
            <w:tcW w:w="2902" w:type="dxa"/>
            <w:noWrap w:val="0"/>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numPr>
          <w:ilvl w:val="0"/>
          <w:numId w:val="1"/>
        </w:numPr>
        <w:ind w:firstLine="640"/>
        <w:rPr>
          <w:rFonts w:hint="eastAsia" w:ascii="黑体" w:hAnsi="黑体" w:eastAsia="黑体" w:cs="Times New Roman"/>
          <w:sz w:val="32"/>
          <w:szCs w:val="32"/>
        </w:rPr>
      </w:pPr>
      <w:r>
        <w:rPr>
          <w:rFonts w:hint="eastAsia" w:ascii="黑体" w:hAnsi="黑体" w:eastAsia="黑体" w:cs="Times New Roman"/>
          <w:sz w:val="32"/>
          <w:szCs w:val="32"/>
        </w:rPr>
        <w:t>部门预算安排的总体情况</w:t>
      </w:r>
    </w:p>
    <w:p>
      <w:pPr>
        <w:numPr>
          <w:ilvl w:val="0"/>
          <w:numId w:val="1"/>
        </w:num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中国共产党石家庄市藁城区委员会宣传部</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年预算收入410.8万元，其中：一般公共预算收入</w:t>
      </w:r>
      <w:r>
        <w:rPr>
          <w:rFonts w:hint="eastAsia" w:ascii="Times New Roman" w:hAnsi="Times New Roman" w:eastAsia="仿宋" w:cs="Times New Roman"/>
          <w:sz w:val="32"/>
          <w:szCs w:val="32"/>
          <w:lang w:val="en-US" w:eastAsia="zh-CN"/>
        </w:rPr>
        <w:t>410.8</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藁城区委宣传部</w:t>
      </w:r>
      <w:r>
        <w:rPr>
          <w:rFonts w:hint="eastAsia" w:ascii="Times New Roman" w:hAnsi="Times New Roman" w:eastAsia="仿宋" w:cs="Times New Roman"/>
          <w:sz w:val="32"/>
          <w:szCs w:val="32"/>
        </w:rPr>
        <w:t>预算中支出预算的总体情况。</w:t>
      </w: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年部门支出预算为410.8万元，其中基本支出277.90万元，包括人员经费250.47万元和日常公用经费27.43万元；项目支出132.90万元，主要为宣传事务84.85</w:t>
      </w:r>
      <w:r>
        <w:rPr>
          <w:rFonts w:hint="eastAsia" w:ascii="Times New Roman" w:hAnsi="Times New Roman" w:eastAsia="仿宋" w:cs="Times New Roman"/>
          <w:sz w:val="32"/>
          <w:szCs w:val="32"/>
          <w:lang w:eastAsia="zh-CN"/>
        </w:rPr>
        <w:t>万元，文化旅游体育与传媒支出48.05万元。</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eastAsia="zh-CN"/>
        </w:rPr>
        <w:t>2021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rPr>
        <w:t>410.8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hint="eastAsia" w:ascii="Times New Roman" w:hAnsi="Times New Roman" w:eastAsia="仿宋" w:cs="Times New Roman"/>
          <w:sz w:val="32"/>
          <w:szCs w:val="32"/>
          <w:lang w:eastAsia="zh-CN"/>
        </w:rPr>
        <w:t>2020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347.66</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132.43</w:t>
      </w:r>
      <w:r>
        <w:rPr>
          <w:rFonts w:hint="eastAsia" w:ascii="Times New Roman" w:hAnsi="Times New Roman" w:eastAsia="仿宋" w:cs="Times New Roman"/>
          <w:sz w:val="32"/>
          <w:szCs w:val="32"/>
        </w:rPr>
        <w:t>万元，主要是人员减少，相应减少人员经费和日常公用经费；项目支出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215.23</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减少理论学习工作经费、版权工作经费、新闻宣传、理论教育、意识形态综合事务、与石家庄日报联合办版费等项目。</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我部门机关运行经费共计安排277.9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2021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color w:val="auto"/>
          <w:sz w:val="32"/>
          <w:szCs w:val="32"/>
        </w:rPr>
        <w:t>（其中：公务用车购置费0万元，公务用车运行维护费</w:t>
      </w:r>
      <w:r>
        <w:rPr>
          <w:rFonts w:hint="eastAsia" w:ascii="Times New Roman" w:hAnsi="Times New Roman" w:eastAsia="仿宋" w:cs="Times New Roman"/>
          <w:color w:val="auto"/>
          <w:sz w:val="32"/>
          <w:szCs w:val="32"/>
          <w:lang w:val="en-US" w:eastAsia="zh-CN"/>
        </w:rPr>
        <w:t>0</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hint="eastAsia" w:ascii="Times New Roman" w:hAnsi="Times New Roman" w:eastAsia="方正仿宋_GBK" w:cs="Times New Roman"/>
          <w:sz w:val="32"/>
          <w:szCs w:val="32"/>
          <w:lang w:val="en-US" w:eastAsia="zh-CN"/>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仿宋" w:hAnsi="仿宋" w:eastAsia="仿宋"/>
          <w:sz w:val="32"/>
        </w:rPr>
      </w:pPr>
      <w:r>
        <w:rPr>
          <w:rFonts w:hint="eastAsia" w:ascii="仿宋" w:hAnsi="仿宋" w:eastAsia="仿宋"/>
          <w:sz w:val="32"/>
        </w:rPr>
        <w:t>区委宣传部将组织全区宣传思想战线，坚持以学习宣传贯彻习近平新时代中国特色社会主义思想和党的十九大精神为首要政治任务和工作主线，深入贯彻落实全国、全区宣传思想工作会议精神，坚持要在守正、贵在创新、重在实践，把统一思想、凝聚力量作为中心环节，统筹推进理论、舆论、文化繁荣发展和精神文明建设，举旗帜、聚民心、育新人、兴文化、展形象，为新时代建设经济强省、美丽藁城提供坚强思想舆论保证和强大精神文化力量。</w:t>
      </w:r>
    </w:p>
    <w:p>
      <w:pPr>
        <w:autoSpaceDE w:val="0"/>
        <w:autoSpaceDN w:val="0"/>
        <w:adjustRightInd w:val="0"/>
        <w:ind w:left="198" w:firstLine="640" w:firstLineChars="200"/>
        <w:jc w:val="left"/>
        <w:rPr>
          <w:rFonts w:hint="eastAsia" w:ascii="仿宋" w:hAnsi="仿宋" w:eastAsia="仿宋"/>
          <w:sz w:val="32"/>
        </w:rPr>
      </w:pPr>
      <w:r>
        <w:rPr>
          <w:rFonts w:hint="eastAsia" w:ascii="仿宋" w:hAnsi="仿宋" w:eastAsia="仿宋"/>
          <w:sz w:val="32"/>
        </w:rPr>
        <w:t>在理论武装工作中，深入学习宣传贯彻党的十九大精神，持续推进</w:t>
      </w:r>
      <w:r>
        <w:rPr>
          <w:rFonts w:hint="eastAsia" w:ascii="仿宋" w:hAnsi="仿宋" w:eastAsia="仿宋"/>
          <w:sz w:val="32"/>
          <w:lang w:val="en-US" w:eastAsia="zh-CN"/>
        </w:rPr>
        <w:t>党的</w:t>
      </w:r>
      <w:r>
        <w:rPr>
          <w:rFonts w:hint="eastAsia" w:ascii="仿宋" w:hAnsi="仿宋" w:eastAsia="仿宋"/>
          <w:sz w:val="32"/>
        </w:rPr>
        <w:t>十九大精神进社区、进农村、进企业、进校园、进机关。坚持每半年对全区意识形态工作进行一次考核。全年组织区委中心组学习不少于12天，中心组成员每人撰写调研文章或理论文章不少于2篇。全年组织各类理论宣讲活动不少于50场。全年编辑印发《理论学堂》不少于24期。积极申请社会科学研究课题，撰写调研文章不少于2篇。</w:t>
      </w:r>
    </w:p>
    <w:p>
      <w:pPr>
        <w:autoSpaceDE w:val="0"/>
        <w:autoSpaceDN w:val="0"/>
        <w:adjustRightInd w:val="0"/>
        <w:ind w:left="198" w:firstLine="640" w:firstLineChars="200"/>
        <w:jc w:val="left"/>
        <w:rPr>
          <w:rFonts w:hint="eastAsia" w:ascii="仿宋" w:hAnsi="仿宋" w:eastAsia="仿宋"/>
          <w:sz w:val="32"/>
        </w:rPr>
      </w:pPr>
      <w:r>
        <w:rPr>
          <w:rFonts w:hint="eastAsia" w:ascii="仿宋" w:hAnsi="仿宋" w:eastAsia="仿宋"/>
          <w:sz w:val="32"/>
        </w:rPr>
        <w:t>在新闻宣传工作中，紧紧围绕宣传贯彻党的十九大精神，精心组织宣传报道和舆论引导。围绕项目园区建设、现代农业、城市建设、美丽乡村、社会民生等区委、区政府重点工作，以及“不忘初心、牢记使命”、十九大宣传报道等专题教育活动，组织开展一系列报道，持续做好社会主义核心价值观报道。</w:t>
      </w:r>
    </w:p>
    <w:p>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360" w:lineRule="auto"/>
        <w:ind w:firstLine="560"/>
        <w:jc w:val="left"/>
        <w:rPr>
          <w:rFonts w:hint="eastAsia" w:ascii="仿宋" w:hAnsi="仿宋" w:eastAsia="仿宋"/>
          <w:sz w:val="32"/>
        </w:rPr>
      </w:pPr>
      <w:r>
        <w:rPr>
          <w:rFonts w:hint="eastAsia" w:ascii="仿宋" w:hAnsi="仿宋" w:eastAsia="仿宋"/>
          <w:sz w:val="32"/>
        </w:rPr>
        <w:t>在文化产业和文艺精品创做中，抓好春节、十一、“彩色周末”等群众文化活动。大力培育各类文化人才、文化队伍，深入挖掘我区丰富的文化资源，创作推出一批体现本土特色的文艺精品。打造“核心价值观示范村”“最美人物”评选等品牌文化活动。积极推进宫灯文化小镇规划建设，促进文化产业提档升级。</w:t>
      </w:r>
    </w:p>
    <w:p>
      <w:pPr>
        <w:pStyle w:val="14"/>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360" w:lineRule="auto"/>
        <w:rPr>
          <w:rFonts w:ascii="Times New Roman" w:hAnsi="Times New Roman" w:eastAsia="仿宋" w:cs="Times New Roman"/>
          <w:sz w:val="32"/>
          <w:szCs w:val="32"/>
        </w:rPr>
      </w:pPr>
      <w:r>
        <w:rPr>
          <w:rFonts w:hint="eastAsia" w:ascii="仿宋" w:hAnsi="仿宋" w:eastAsia="仿宋"/>
          <w:sz w:val="32"/>
        </w:rPr>
        <w:t xml:space="preserve">    在精神文明建设中，继续大力开展文明交通、文明村镇等十大提升行动，做好全国文明城市和省级文明城区复检准备工作。加强“十个一”建设。做好年度省、市、区文明单位申报评选工作。继续打造“善美藁城”发布厅活动品牌。继续开展“小手拉大手  共筑文明校园  创建文明城市”活动。组织开展乡村学校少年宫文艺汇报演出。</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b/>
          <w:sz w:val="32"/>
        </w:rPr>
      </w:pPr>
      <w:r>
        <w:rPr>
          <w:rFonts w:hint="eastAsia" w:ascii="仿宋_GB2312" w:hAnsi="仿宋_GB2312" w:eastAsia="仿宋_GB2312"/>
          <w:b/>
          <w:sz w:val="32"/>
        </w:rPr>
        <w:t>（一）宣传思想工作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b/>
          <w:sz w:val="32"/>
        </w:rPr>
      </w:pPr>
      <w:r>
        <w:rPr>
          <w:rFonts w:hint="eastAsia" w:ascii="仿宋_GB2312" w:hAnsi="仿宋_GB2312" w:eastAsia="仿宋_GB2312"/>
          <w:b/>
          <w:sz w:val="32"/>
        </w:rPr>
        <w:t>1、深入学习宣传贯彻习近平新时代中国特色社会主义思想和党的十九大精神</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rPr>
          <w:rFonts w:hint="eastAsia" w:ascii="仿宋_GB2312" w:hAnsi="仿宋_GB2312" w:eastAsia="仿宋_GB2312"/>
          <w:sz w:val="32"/>
        </w:rPr>
      </w:pPr>
      <w:r>
        <w:rPr>
          <w:rFonts w:hint="eastAsia" w:ascii="仿宋_GB2312" w:hAnsi="仿宋_GB2312" w:eastAsia="仿宋_GB2312"/>
          <w:sz w:val="32"/>
        </w:rPr>
        <w:t xml:space="preserve">    </w:t>
      </w:r>
      <w:r>
        <w:rPr>
          <w:rFonts w:hint="eastAsia" w:ascii="仿宋_GB2312" w:hAnsi="仿宋_GB2312" w:eastAsia="仿宋_GB2312"/>
          <w:b/>
          <w:sz w:val="32"/>
        </w:rPr>
        <w:t>绩效目标：</w:t>
      </w:r>
      <w:r>
        <w:rPr>
          <w:rFonts w:hint="eastAsia" w:ascii="仿宋_GB2312" w:hAnsi="仿宋_GB2312" w:eastAsia="仿宋_GB2312"/>
          <w:sz w:val="32"/>
        </w:rPr>
        <w:t>推动习近平新时代中国特色社会主义思想和党的十九大精神进企业、进农村、进机关、进校园、进社区、进网站；精心组织主题宣传、形势宣传、政策宣传、成就宣传、典型宣传，围绕全区重点工作开展舆论监督；做大做强区级主流新闻媒体，提升技术装备水平，加强重点栏目建设，为全区改革发展稳定营造良好的舆论氛围。</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rPr>
          <w:rFonts w:hint="eastAsia" w:ascii="仿宋_GB2312" w:hAnsi="仿宋_GB2312" w:eastAsia="仿宋_GB2312"/>
          <w:sz w:val="32"/>
        </w:rPr>
      </w:pPr>
      <w:r>
        <w:rPr>
          <w:rFonts w:hint="eastAsia" w:ascii="仿宋_GB2312" w:hAnsi="仿宋_GB2312" w:eastAsia="仿宋_GB2312"/>
          <w:sz w:val="32"/>
        </w:rPr>
        <w:t xml:space="preserve">   </w:t>
      </w:r>
      <w:r>
        <w:rPr>
          <w:rFonts w:hint="eastAsia" w:ascii="仿宋_GB2312" w:hAnsi="仿宋_GB2312" w:eastAsia="仿宋_GB2312"/>
          <w:b/>
          <w:sz w:val="32"/>
        </w:rPr>
        <w:t xml:space="preserve"> 绩效指标：</w:t>
      </w:r>
      <w:r>
        <w:rPr>
          <w:rFonts w:hint="eastAsia" w:ascii="仿宋_GB2312" w:hAnsi="仿宋_GB2312" w:eastAsia="仿宋_GB2312"/>
          <w:sz w:val="32"/>
        </w:rPr>
        <w:t>按照中央和省市部署，抓好新时代文明实践中心建设；积极探索更加有效的宣传载体和方式方法，持续掀起学习宣传贯彻习近平新时代中国特色社会主义思想的热潮。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b/>
          <w:sz w:val="32"/>
        </w:rPr>
      </w:pPr>
      <w:r>
        <w:rPr>
          <w:rFonts w:hint="eastAsia" w:ascii="仿宋_GB2312" w:hAnsi="仿宋_GB2312" w:eastAsia="仿宋_GB2312"/>
          <w:b/>
          <w:sz w:val="32"/>
        </w:rPr>
        <w:t>2、深入推进意识形态工作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绩效目标：</w:t>
      </w:r>
      <w:r>
        <w:rPr>
          <w:rFonts w:hint="eastAsia" w:ascii="仿宋_GB2312" w:hAnsi="仿宋_GB2312" w:eastAsia="仿宋_GB2312"/>
          <w:sz w:val="32"/>
        </w:rPr>
        <w:t>深入推进意识形态工作责任制落实，加强阵地建设，强化风险防控，确保我区意识形态安全。通过宣传具有较强先进性、代表性、时代性和典型性，事迹厚重感人、道德情操高尚、影响广泛深远的重大先进典型。引导全区人民解放思想、抢抓机遇、奋发作为、协同发展，凝聚起发展、团结、奋斗的强大精神力量。</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绩效指标：</w:t>
      </w:r>
      <w:r>
        <w:rPr>
          <w:rFonts w:hint="eastAsia" w:ascii="仿宋_GB2312" w:hAnsi="仿宋_GB2312" w:eastAsia="仿宋_GB2312"/>
          <w:sz w:val="32"/>
        </w:rPr>
        <w:t>支持关系民生、影响面广的教育卫生等行业领域，深入开展社会主义核心价值观等主题教育实践活动。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b/>
          <w:sz w:val="32"/>
        </w:rPr>
      </w:pPr>
      <w:r>
        <w:rPr>
          <w:rFonts w:hint="eastAsia" w:ascii="仿宋_GB2312" w:hAnsi="仿宋_GB2312" w:eastAsia="仿宋_GB2312"/>
          <w:b/>
          <w:sz w:val="32"/>
        </w:rPr>
        <w:t>3、深入开展全区精神文明创建工作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绩效目标：</w:t>
      </w:r>
      <w:r>
        <w:rPr>
          <w:rFonts w:hint="eastAsia" w:ascii="仿宋_GB2312" w:hAnsi="仿宋_GB2312" w:eastAsia="仿宋_GB2312"/>
          <w:sz w:val="32"/>
        </w:rPr>
        <w:t>广泛开展群众性精神文明创建活动。开展系列主题活动，深入推进公益广告宣传。</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绩效指标：</w:t>
      </w:r>
      <w:r>
        <w:rPr>
          <w:rFonts w:hint="eastAsia" w:ascii="仿宋_GB2312" w:hAnsi="仿宋_GB2312" w:eastAsia="仿宋_GB2312"/>
          <w:sz w:val="32"/>
        </w:rPr>
        <w:t>开展公民道德建设和时代新人培育工作；深化精神文明创建活动；支持全区精神文明建设相关工作经费；支持全区各地开展精神文明创建工作。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（二）推动文化发展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绩效目标：</w:t>
      </w:r>
      <w:r>
        <w:rPr>
          <w:rFonts w:hint="eastAsia" w:ascii="仿宋_GB2312" w:hAnsi="仿宋_GB2312" w:eastAsia="仿宋_GB2312"/>
          <w:sz w:val="32"/>
        </w:rPr>
        <w:t>大力净化社会文化环境。不断深化“扫黄打非”工作向基层延伸，积极推进办公软件正版化。及时稳妥处置涉政、涉民族宗教有害出版物事件与网络事件。加强属地影院和电影市场监管，加强对藁城区电影公司人员管理，开展公益电影放映，落实好原乡镇（公社）老电影放映员生活补助资金发放工作。把满足人民精神文化需求作为文艺和文艺工作的出发点和落脚点。推动“农家书屋”、“社区书屋”共建共享，配置16套图书；建设3座24h智慧图书馆，以文化云平为依托，构建15分钟文化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绩效指标：</w:t>
      </w:r>
      <w:r>
        <w:rPr>
          <w:rFonts w:hint="eastAsia" w:ascii="仿宋_GB2312" w:hAnsi="仿宋_GB2312" w:eastAsia="仿宋_GB2312"/>
          <w:sz w:val="32"/>
        </w:rPr>
        <w:t>加强非物质文化遗产保护、传承和传播。组织开展“非遗进景区活动展演”，举办省级非遗项目北周卦乱弹培训、非遗培训班、声乐培训班、美术书法培训班等，樊红霞入选“2020年河北省戏曲中青年演员推广工程”。积极探索文化产业发展新途径。继续推进宫灯宫面文化小镇建设。继续深入挖掘耿村故事、藁城宫灯、藁城宫面、藁城战鼓等历史文化资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（三）宣传事务管理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绩效目标：</w:t>
      </w:r>
      <w:r>
        <w:rPr>
          <w:rFonts w:hint="eastAsia" w:ascii="仿宋_GB2312" w:hAnsi="仿宋_GB2312" w:eastAsia="仿宋_GB2312"/>
          <w:sz w:val="32"/>
        </w:rPr>
        <w:t>加强宣传思想工作基层基础建设。加强宣传战线党的建设，开展调研工作，通过举办各类培训班,分级抓好党员培训。深入开展增强脚力、眼力、脑力、笔力教育培训，深入推进作风纪律专项整治。</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sz w:val="32"/>
        </w:rPr>
        <w:t>加强专业人才队伍建设。扎实做好专业领域拔尖人才、业务骨干的选拔推荐工作。加强人才学习培训、资助扶持和宣传推介，完善人才队伍建设数据库，建立健全人才引导激励、考核评估、跟踪管理等工作机制。积极推进基层宣传文化人才队伍建设，在城乡基层宣传文化领域选拔培养一批乡土文化人才、基层文化能人。</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80" w:lineRule="exact"/>
        <w:ind w:firstLine="560"/>
        <w:rPr>
          <w:rFonts w:hint="eastAsia" w:ascii="仿宋_GB2312" w:hAnsi="仿宋_GB2312" w:eastAsia="仿宋_GB2312"/>
          <w:sz w:val="32"/>
        </w:rPr>
      </w:pPr>
      <w:r>
        <w:rPr>
          <w:rFonts w:hint="eastAsia" w:ascii="仿宋_GB2312" w:hAnsi="仿宋_GB2312" w:eastAsia="仿宋_GB2312"/>
          <w:b/>
          <w:sz w:val="32"/>
        </w:rPr>
        <w:t>绩效指标：</w:t>
      </w:r>
      <w:r>
        <w:rPr>
          <w:rFonts w:hint="eastAsia" w:ascii="仿宋_GB2312" w:hAnsi="仿宋_GB2312" w:eastAsia="仿宋_GB2312"/>
          <w:sz w:val="32"/>
        </w:rPr>
        <w:t>保障机关工作正常高效运转。进一步加强机关公文流转办理、会议组织管理、财务资产管理、信息化建设、机关党建和老干部工作等，保障机关工作正常高效运转。</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default" w:ascii="Times New Roman" w:hAnsi="Times New Roman" w:eastAsia="仿宋" w:cs="Times New Roman"/>
          <w:sz w:val="32"/>
          <w:szCs w:val="32"/>
        </w:rPr>
      </w:pPr>
      <w:r>
        <w:rPr>
          <w:rFonts w:hint="eastAsia" w:ascii="Times New Roman" w:hAnsi="Times New Roman" w:eastAsia="仿宋" w:cs="Times New Roman"/>
          <w:sz w:val="32"/>
          <w:szCs w:val="32"/>
        </w:rPr>
        <w:t>为进一步贯彻落实《中华人民共和国预算法》，全面实施预算绩效管理，提高资金使用效益，实现部门年度绩效目标，从加强组织领导、完善制度建设、规范财务支出管理、宣传培训等方面制定保障措施，现汇报如下：</w:t>
      </w:r>
    </w:p>
    <w:p>
      <w:pPr>
        <w:autoSpaceDE w:val="0"/>
        <w:autoSpaceDN w:val="0"/>
        <w:adjustRightInd w:val="0"/>
        <w:ind w:left="198" w:firstLine="640" w:firstLineChars="200"/>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1</w:t>
      </w:r>
      <w:r>
        <w:rPr>
          <w:rFonts w:hint="eastAsia" w:ascii="Times New Roman" w:hAnsi="Times New Roman" w:eastAsia="仿宋" w:cs="Times New Roman"/>
          <w:sz w:val="32"/>
          <w:szCs w:val="32"/>
        </w:rPr>
        <w:t>、加强组织领导，确保绩效管理体制健全</w:t>
      </w:r>
    </w:p>
    <w:p>
      <w:pPr>
        <w:autoSpaceDE w:val="0"/>
        <w:autoSpaceDN w:val="0"/>
        <w:adjustRightInd w:val="0"/>
        <w:ind w:left="198" w:firstLine="640" w:firstLineChars="200"/>
        <w:jc w:val="left"/>
        <w:rPr>
          <w:rFonts w:hint="default" w:ascii="Times New Roman" w:hAnsi="Times New Roman" w:eastAsia="仿宋" w:cs="Times New Roman"/>
          <w:sz w:val="32"/>
          <w:szCs w:val="32"/>
        </w:rPr>
      </w:pPr>
      <w:r>
        <w:rPr>
          <w:rFonts w:hint="eastAsia" w:ascii="Times New Roman" w:hAnsi="Times New Roman" w:eastAsia="仿宋" w:cs="Times New Roman"/>
          <w:sz w:val="32"/>
          <w:szCs w:val="32"/>
        </w:rPr>
        <w:t>高度重视预算绩效工作，为全面加强我单位绩效管理，我单位几年来已形成</w:t>
      </w:r>
      <w:r>
        <w:rPr>
          <w:rFonts w:hint="default" w:ascii="Times New Roman" w:hAnsi="Times New Roman" w:eastAsia="仿宋" w:cs="Times New Roman"/>
          <w:sz w:val="32"/>
          <w:szCs w:val="32"/>
        </w:rPr>
        <w:t>“</w:t>
      </w:r>
      <w:r>
        <w:rPr>
          <w:rFonts w:hint="eastAsia" w:ascii="Times New Roman" w:hAnsi="Times New Roman" w:eastAsia="仿宋" w:cs="Times New Roman"/>
          <w:sz w:val="32"/>
          <w:szCs w:val="32"/>
        </w:rPr>
        <w:t>一把手亲自抓，分管领导具体管，业务部门严格落实</w:t>
      </w:r>
      <w:r>
        <w:rPr>
          <w:rFonts w:hint="default" w:ascii="Times New Roman" w:hAnsi="Times New Roman" w:eastAsia="仿宋" w:cs="Times New Roman"/>
          <w:sz w:val="32"/>
          <w:szCs w:val="32"/>
        </w:rPr>
        <w:t>”</w:t>
      </w:r>
      <w:r>
        <w:rPr>
          <w:rFonts w:hint="eastAsia" w:ascii="Times New Roman" w:hAnsi="Times New Roman" w:eastAsia="仿宋" w:cs="Times New Roman"/>
          <w:sz w:val="32"/>
          <w:szCs w:val="32"/>
        </w:rPr>
        <w:t>的长效工作机制，从成立绩效领导小组，到制定工作方案，再到具体编制项目绩效目标和指标，年终绩效考评都形成了一套闭合管理体制，从根本上建立绩效管理的组织体系，保证预算绩效工作健康有序发展。</w:t>
      </w:r>
    </w:p>
    <w:p>
      <w:pPr>
        <w:autoSpaceDE w:val="0"/>
        <w:autoSpaceDN w:val="0"/>
        <w:adjustRightInd w:val="0"/>
        <w:ind w:left="198" w:firstLine="640" w:firstLineChars="200"/>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2</w:t>
      </w:r>
      <w:r>
        <w:rPr>
          <w:rFonts w:hint="eastAsia" w:ascii="Times New Roman" w:hAnsi="Times New Roman" w:eastAsia="仿宋" w:cs="Times New Roman"/>
          <w:sz w:val="32"/>
          <w:szCs w:val="32"/>
        </w:rPr>
        <w:t>、加强制度建设，促进内部控制不断完善</w:t>
      </w:r>
    </w:p>
    <w:p>
      <w:pPr>
        <w:autoSpaceDE w:val="0"/>
        <w:autoSpaceDN w:val="0"/>
        <w:adjustRightInd w:val="0"/>
        <w:ind w:left="198" w:firstLine="640" w:firstLineChars="200"/>
        <w:jc w:val="left"/>
        <w:rPr>
          <w:rFonts w:hint="default" w:ascii="Times New Roman" w:hAnsi="Times New Roman" w:eastAsia="仿宋" w:cs="Times New Roman"/>
          <w:sz w:val="32"/>
          <w:szCs w:val="32"/>
        </w:rPr>
      </w:pPr>
      <w:r>
        <w:rPr>
          <w:rFonts w:hint="eastAsia" w:ascii="Times New Roman" w:hAnsi="Times New Roman" w:eastAsia="仿宋" w:cs="Times New Roman"/>
          <w:sz w:val="32"/>
          <w:szCs w:val="32"/>
        </w:rPr>
        <w:t>我部门从部门层面、单位层面、项目层面分别制定了多项管理办法，并编制了《内控手册》，为年度预算的编制、执行、项目监督、绩效评价等系列工作提供了制度基础，同时也明确了各部室（事业单位）的工作任务，工作职责。</w:t>
      </w:r>
      <w:r>
        <w:rPr>
          <w:rFonts w:hint="default" w:ascii="Times New Roman" w:hAnsi="Times New Roman" w:eastAsia="仿宋" w:cs="Times New Roman"/>
          <w:sz w:val="32"/>
          <w:szCs w:val="32"/>
        </w:rPr>
        <w:t>2021</w:t>
      </w:r>
      <w:r>
        <w:rPr>
          <w:rFonts w:hint="eastAsia" w:ascii="Times New Roman" w:hAnsi="Times New Roman" w:eastAsia="仿宋" w:cs="Times New Roman"/>
          <w:sz w:val="32"/>
          <w:szCs w:val="32"/>
        </w:rPr>
        <w:t>年我们将依据此类文件，修订完善部门绩效管理制度的相关文件，确保我部门绩效管理工作有效开展。</w:t>
      </w:r>
    </w:p>
    <w:p>
      <w:pPr>
        <w:autoSpaceDE w:val="0"/>
        <w:autoSpaceDN w:val="0"/>
        <w:adjustRightInd w:val="0"/>
        <w:ind w:left="198" w:firstLine="640" w:firstLineChars="200"/>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2</w:t>
      </w:r>
      <w:r>
        <w:rPr>
          <w:rFonts w:hint="eastAsia" w:ascii="Times New Roman" w:hAnsi="Times New Roman" w:eastAsia="仿宋" w:cs="Times New Roman"/>
          <w:sz w:val="32"/>
          <w:szCs w:val="32"/>
        </w:rPr>
        <w:t>、加强支出管理，确保绩效运行安全合理</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支出管理是预算执行的重要组成部分，是预算编制的延续，我部门通过优化支出结构、细化预算编制、专人负责政府采购等多种措施，确保支出规范，进度达标</w:t>
      </w:r>
      <w:r>
        <w:rPr>
          <w:rFonts w:hint="eastAsia" w:ascii="Times New Roman" w:hAnsi="Times New Roman" w:eastAsia="仿宋" w:cs="Times New Roman"/>
          <w:sz w:val="32"/>
          <w:szCs w:val="32"/>
          <w:lang w:eastAsia="zh-CN"/>
        </w:rPr>
        <w:t>。</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lang w:eastAsia="zh-CN"/>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方正仿宋_GBK" w:eastAsia="方正仿宋_GBK"/>
          <w:b/>
          <w:sz w:val="28"/>
        </w:rPr>
        <w:t xml:space="preserve">  1、新时代文明实践中心工作经费绩效目标表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5、河北人大历史陈列馆建设及办公用房修缮资金（预内基建）绩效目标表 \f C \l 1</w:instrText>
      </w:r>
      <w:r>
        <w:rPr>
          <w:rFonts w:ascii="方正仿宋_GBK" w:eastAsia="方正仿宋_GBK"/>
          <w:b/>
          <w:sz w:val="28"/>
        </w:rPr>
        <w:instrText xml:space="preserve"> </w:instrText>
      </w:r>
      <w:r>
        <w:rPr>
          <w:rFonts w:ascii="方正仿宋_GBK" w:eastAsia="方正仿宋_GBK"/>
          <w:b/>
          <w:sz w:val="28"/>
        </w:rPr>
        <w:fldChar w:fldCharType="end"/>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、推动习近平新时代中国特色社会主义思想更加深入人心,进一步加强改进农村基层宣传思想文化工作和精神文明建设</w:t>
            </w:r>
            <w:r>
              <w:rPr>
                <w:rFonts w:hint="eastAsia" w:ascii="方正书宋_GBK" w:eastAsia="方正书宋_GBK"/>
                <w:lang w:eastAsia="zh-CN"/>
              </w:rPr>
              <w:t>；</w:t>
            </w:r>
            <w:r>
              <w:rPr>
                <w:rFonts w:hint="eastAsia" w:ascii="方正书宋_GBK" w:eastAsia="方正书宋_GBK"/>
              </w:rPr>
              <w:t>扎实推进新时代文明实践工作，打通宣传群众、教育群众、关心群众、服务群众的“最后一公里”。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、整合阵地资源、组建志愿队伍、开展实践活动.即坚持以人</w:t>
            </w:r>
            <w:r>
              <w:rPr>
                <w:rFonts w:hint="eastAsia" w:ascii="方正书宋_GBK" w:eastAsia="方正书宋_GBK"/>
                <w:lang w:eastAsia="zh-CN"/>
              </w:rPr>
              <w:t>民</w:t>
            </w:r>
            <w:bookmarkStart w:id="12" w:name="_GoBack"/>
            <w:bookmarkEnd w:id="12"/>
            <w:r>
              <w:rPr>
                <w:rFonts w:hint="eastAsia" w:ascii="方正书宋_GBK" w:eastAsia="方正书宋_GBK"/>
              </w:rPr>
              <w:t>为中心，凝聚群众、引导群众、以文化人、成风化俗，推广“传评帮乐建”工作经验，全面做好我区新时代文明实践工作。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组织开展新时代文明实践系列活动（次）</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开展主题活动</w:t>
            </w:r>
          </w:p>
        </w:tc>
        <w:tc>
          <w:tcPr>
            <w:tcW w:w="1276" w:type="dxa"/>
            <w:noWrap w:val="0"/>
            <w:vAlign w:val="center"/>
          </w:tcPr>
          <w:p>
            <w:pPr>
              <w:spacing w:line="300" w:lineRule="exact"/>
              <w:jc w:val="left"/>
              <w:rPr>
                <w:rFonts w:hint="default" w:ascii="方正书宋_GBK" w:eastAsia="方正书宋_GBK"/>
                <w:lang w:val="en-US"/>
              </w:rPr>
            </w:pPr>
            <w:r>
              <w:rPr>
                <w:rFonts w:hint="eastAsia" w:ascii="方正书宋_GBK" w:eastAsia="方正书宋_GBK"/>
              </w:rPr>
              <w:t>≥</w:t>
            </w:r>
            <w:r>
              <w:rPr>
                <w:rFonts w:hint="eastAsia" w:ascii="方正书宋_GBK" w:eastAsia="方正书宋_GBK"/>
                <w:lang w:val="en-US" w:eastAsia="zh-CN"/>
              </w:rPr>
              <w:t>50场次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每年制定下发全新时代文明实践活动方案等红头文件。</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每年制定下发新时代文明实践活动方案等红头文件。</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5份</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场所完善建设</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按照“七有”标准完善场所建设</w:t>
            </w:r>
          </w:p>
        </w:tc>
        <w:tc>
          <w:tcPr>
            <w:tcW w:w="1276"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成本指标</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新时代文明实践中心活动经费</w:t>
            </w:r>
          </w:p>
        </w:tc>
        <w:tc>
          <w:tcPr>
            <w:tcW w:w="2891"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新时代文明实践中心活动经费</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按规定</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营造文明实践工作氛围</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新时代文明实践中心、所、站建设基本完成，各类实践活动如火如荼，形成人人知晓、践行文明的浓厚氛围。</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群众满意度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根据上级文件</w:t>
            </w:r>
          </w:p>
        </w:tc>
      </w:tr>
    </w:tbl>
    <w:p>
      <w:pPr>
        <w:spacing w:line="300" w:lineRule="exact"/>
        <w:jc w:val="left"/>
      </w:pPr>
    </w:p>
    <w:p>
      <w:pPr>
        <w:jc w:val="left"/>
        <w:outlineLvl w:val="1"/>
        <w:rPr>
          <w:rFonts w:ascii="Times New Roman" w:hAnsi="宋体"/>
          <w:b/>
          <w:sz w:val="28"/>
        </w:rPr>
      </w:pPr>
      <w:r>
        <w:rPr>
          <w:rFonts w:hint="eastAsia" w:ascii="方正仿宋_GBK" w:eastAsia="方正仿宋_GBK"/>
          <w:b/>
          <w:sz w:val="28"/>
        </w:rPr>
        <w:t xml:space="preserve">  2、</w:t>
      </w:r>
      <w:r>
        <w:rPr>
          <w:rFonts w:hint="eastAsia" w:ascii="方正仿宋_GBK" w:eastAsia="方正仿宋_GBK"/>
          <w:b/>
          <w:sz w:val="28"/>
          <w:lang w:eastAsia="zh-CN"/>
        </w:rPr>
        <w:t>国防教育工作经费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hint="eastAsia" w:ascii="方正书宋_GBK" w:eastAsia="方正书宋_GBK"/>
                <w:lang w:val="en-US" w:eastAsia="zh-CN"/>
              </w:rPr>
              <w:t>了解和掌握国防教育情况，对全区国防教育活动予以指导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hint="eastAsia" w:ascii="方正书宋_GBK" w:eastAsia="方正书宋_GBK"/>
                <w:lang w:val="en-US" w:eastAsia="zh-CN"/>
              </w:rPr>
              <w:t>组织各项国防教育宣传、活动，营造良好氛围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组织国防教育活动、宣传国防教育次数</w:t>
            </w:r>
          </w:p>
        </w:tc>
        <w:tc>
          <w:tcPr>
            <w:tcW w:w="2891" w:type="dxa"/>
            <w:noWrap w:val="0"/>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组织国防教育活动、宣传国防教育次数</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2次</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国防教育各项活动有内容、有实绩、有亮点，被区级及以上媒体报道次数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扎实组织开展全区国防教育各项活动，有内容、有实绩、有亮点，被区级及以上媒体报道次数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按照时间节点组织活动比例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每年在重要时间节点举办相应活动的比例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国防教育活动物资等</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国防教育活动物资等</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按规定执行</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国防教育各项活动扎实开展，宣传效果影响程度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积极营造国防教育宣传氛围，影响效果程度</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影响较大</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群众满意度等</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群众对我区国防教育工作的满意程度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0</w:t>
            </w:r>
            <w:r>
              <w:rPr>
                <w:rFonts w:hint="eastAsia" w:ascii="方正书宋_GBK" w:eastAsia="方正书宋_GBK"/>
              </w:rPr>
              <w:t>%</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问卷调查</w:t>
            </w:r>
          </w:p>
        </w:tc>
      </w:tr>
    </w:tbl>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rPr>
        <w:t>3、</w:t>
      </w:r>
      <w:r>
        <w:rPr>
          <w:rFonts w:hint="eastAsia" w:ascii="方正仿宋_GBK" w:eastAsia="方正仿宋_GBK"/>
          <w:b/>
          <w:sz w:val="28"/>
          <w:lang w:eastAsia="zh-CN"/>
        </w:rPr>
        <w:t>创建办招聘人员工资费用（劳务派遣人员）</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、管好用好劳务派遣人员，提高劳务派遣人员工作能力和综合素质，顺利完成文明城市创建实地督导、材料审核、问卷调查等各项工作任务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、及时发放，劳务派遣人员获得感、幸福感增强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工资发放给劳务派遣人员足额率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每季度足额发放工资给劳务派遣人员</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5</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缴纳社保及时率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为创建办人员及时缴纳各项社保</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0</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工资发放及时率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每季度及时发放工资</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0</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工资（福利）社会保障等标准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工资（福利）社会保障等发放（缴纳）标准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按规定执行</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创建办劳务派遣人员工作积极性的提升程度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创建办劳务派遣人员工作积极性的提升程度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普遍提升</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创建办人员满意度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创建办人员对工资福利等发放工作的满意程度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0</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问卷调查</w:t>
            </w:r>
          </w:p>
        </w:tc>
      </w:tr>
    </w:tbl>
    <w:p>
      <w:pPr>
        <w:spacing w:line="300" w:lineRule="exact"/>
        <w:jc w:val="left"/>
      </w:pPr>
    </w:p>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rPr>
        <w:t>4、</w:t>
      </w:r>
      <w:r>
        <w:rPr>
          <w:rFonts w:hint="eastAsia" w:ascii="方正仿宋_GBK" w:eastAsia="方正仿宋_GBK"/>
          <w:b/>
          <w:sz w:val="28"/>
          <w:lang w:eastAsia="zh-CN"/>
        </w:rPr>
        <w:t>宣传文化事务经费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1"/>
      <w:r>
        <w:rPr>
          <w:rFonts w:hint="eastAsia" w:ascii="方正仿宋_GBK" w:eastAsia="方正仿宋_GBK"/>
          <w:b/>
          <w:sz w:val="28"/>
        </w:rPr>
        <w:instrText xml:space="preserve">10、省人大办公厅办公用房修缮及基础设施改造资金（预内基建）绩效目标表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、研究制定全区文化产业发展政策，管理文化产业、文化事业专项资金，支持重点文化产业项目。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、推进全区文化事业产业健康发展。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扶持群众性文艺社团团体和基层宣讲员文化队伍</w:t>
            </w:r>
          </w:p>
        </w:tc>
        <w:tc>
          <w:tcPr>
            <w:tcW w:w="2891" w:type="dxa"/>
            <w:noWrap w:val="0"/>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扶持群众性文艺社团、演出团体和基层宣讲员、业余文化队伍数量</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4支</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扶持各类文化人才和文化活动积极分子</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反映全区性主题宣传教育活动开展情况（次）</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5次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培养扎根基层宣传工作者</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培养扎根基层的乡土文化能人、民族民间文化传承人、基层文化设施管理人员等基层宣传工作者</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10人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扶持团体和个人活动物资等</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扶持团体和个人活动物资等</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按规定</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宣传文化示范村、文化队伍、文化人才建设培训次数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宣传文化示范村、文化队伍、文化人才建设培训次数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3次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对社会宣传文化事业健康发展的满意度。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实地走访、问卷调查等</w:t>
            </w:r>
          </w:p>
        </w:tc>
      </w:tr>
    </w:tbl>
    <w:p>
      <w:pPr>
        <w:spacing w:line="300" w:lineRule="exact"/>
        <w:ind w:firstLine="420" w:firstLineChars="200"/>
        <w:jc w:val="left"/>
      </w:pPr>
    </w:p>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rPr>
        <w:t>5、</w:t>
      </w:r>
      <w:r>
        <w:rPr>
          <w:rFonts w:hint="eastAsia" w:ascii="方正仿宋_GBK" w:eastAsia="方正仿宋_GBK"/>
          <w:b/>
          <w:sz w:val="28"/>
          <w:lang w:eastAsia="zh-CN"/>
        </w:rPr>
        <w:t>电影院农村公益电影放映补助经费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484642"/>
      <w:r>
        <w:rPr>
          <w:rFonts w:hint="eastAsia" w:ascii="方正仿宋_GBK" w:eastAsia="方正仿宋_GBK"/>
          <w:b/>
          <w:sz w:val="28"/>
        </w:rPr>
        <w:instrText xml:space="preserve">11、省人大常委会办公厅信息化建设资金（预内基建）绩效目标表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、根据《河北省农村电影放映工程实施管理办法》，按时完成放映任务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、放映内容积极向上，确保最新节目更新，社会影响力强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全年完成农村电影公益放映数量</w:t>
            </w:r>
          </w:p>
        </w:tc>
        <w:tc>
          <w:tcPr>
            <w:tcW w:w="2891" w:type="dxa"/>
            <w:noWrap w:val="0"/>
            <w:vAlign w:val="center"/>
          </w:tcPr>
          <w:p>
            <w:pPr>
              <w:spacing w:line="300" w:lineRule="exact"/>
              <w:jc w:val="left"/>
              <w:rPr>
                <w:rFonts w:hint="eastAsia" w:ascii="方正书宋_GBK" w:eastAsia="方正书宋_GBK"/>
              </w:rPr>
            </w:pPr>
            <w:r>
              <w:rPr>
                <w:rFonts w:hint="eastAsia" w:ascii="方正书宋_GBK" w:eastAsia="方正书宋_GBK"/>
              </w:rPr>
              <w:t>保证放映场次</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2000场</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放映质量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合理制定计划，监控实施放映，确保内容积极向上，最新影视作品放映占比</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60</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放映及时率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农村电影公益放映及时率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80</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放映所需物资等</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控制放映所需物资等的成本</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较大</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影视作品对群众影响力</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影视作品对群众影响力</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按规定执行</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放映内容满意度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60</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bl>
    <w:p>
      <w:pPr>
        <w:ind w:firstLine="560" w:firstLineChars="200"/>
        <w:jc w:val="left"/>
        <w:outlineLvl w:val="1"/>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6、</w:t>
      </w:r>
      <w:r>
        <w:rPr>
          <w:rFonts w:hint="eastAsia" w:ascii="方正仿宋_GBK" w:eastAsia="方正仿宋_GBK"/>
          <w:b/>
          <w:sz w:val="28"/>
          <w:lang w:eastAsia="zh-CN"/>
        </w:rPr>
        <w:t>精神文明创建工作经费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484631"/>
      <w:r>
        <w:rPr>
          <w:rFonts w:hint="eastAsia" w:ascii="方正仿宋_GBK" w:eastAsia="方正仿宋_GBK"/>
          <w:b/>
          <w:sz w:val="28"/>
        </w:rPr>
        <w:instrText xml:space="preserve">1、河北省人民代表大会会议费绩效目标表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、全区城乡文明程度显著提升，和谐向善的社会风气逐步形成。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、全区市民文明素质显著提升，群众获得感、幸福感增强。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开展活动次数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组织开展文明村镇、文明单位评选等群众性精神文明创建活动及其他活动</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3次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推广作品质量</w:t>
            </w:r>
          </w:p>
        </w:tc>
        <w:tc>
          <w:tcPr>
            <w:tcW w:w="2891" w:type="dxa"/>
            <w:noWrap w:val="0"/>
            <w:vAlign w:val="center"/>
          </w:tcPr>
          <w:p>
            <w:pPr>
              <w:spacing w:line="300" w:lineRule="exact"/>
              <w:jc w:val="left"/>
              <w:rPr>
                <w:rFonts w:hint="eastAsia" w:ascii="方正书宋_GBK" w:eastAsia="方正书宋_GBK"/>
              </w:rPr>
            </w:pPr>
            <w:r>
              <w:rPr>
                <w:rFonts w:hint="eastAsia" w:ascii="方正书宋_GBK" w:eastAsia="方正书宋_GBK"/>
              </w:rPr>
              <w:t>推广作品在区级及以上媒体发表的篇数</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5篇</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时效</w:t>
            </w:r>
            <w:r>
              <w:rPr>
                <w:rFonts w:hint="eastAsia" w:ascii="方正书宋_GBK" w:eastAsia="方正书宋_GBK"/>
              </w:rPr>
              <w:t>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组织活动及时率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按重要时间节点及时提醒有关单位或组织活动</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及时性</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精神文明创建活动物资等</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精神文明创建活动物资购买和保存</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按规定执行</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文明程度和文明素养提升程度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全区城乡文明程度和市民文明程度提升程度</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普遍提升</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实地走访、问卷调查等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群众对我区精神文明创建活动的满意程度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r>
              <w:rPr>
                <w:rFonts w:hint="eastAsia" w:ascii="方正书宋_GBK" w:eastAsia="方正书宋_GBK"/>
              </w:rPr>
              <w:t>%</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实地走访、问卷调查等</w:t>
            </w:r>
          </w:p>
        </w:tc>
      </w:tr>
    </w:tbl>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rPr>
        <w:t xml:space="preserve"> </w:t>
      </w:r>
      <w:r>
        <w:rPr>
          <w:rFonts w:hint="eastAsia" w:ascii="方正仿宋_GBK" w:eastAsia="方正仿宋_GBK"/>
          <w:b/>
          <w:sz w:val="28"/>
          <w:lang w:val="en-US" w:eastAsia="zh-CN"/>
        </w:rPr>
        <w:t>7</w:t>
      </w:r>
      <w:r>
        <w:rPr>
          <w:rFonts w:hint="eastAsia" w:ascii="方正仿宋_GBK" w:eastAsia="方正仿宋_GBK"/>
          <w:b/>
          <w:sz w:val="28"/>
        </w:rPr>
        <w:t>、</w:t>
      </w:r>
      <w:r>
        <w:rPr>
          <w:rFonts w:hint="eastAsia" w:ascii="方正仿宋_GBK" w:eastAsia="方正仿宋_GBK"/>
          <w:b/>
          <w:sz w:val="28"/>
          <w:lang w:eastAsia="zh-CN"/>
        </w:rPr>
        <w:t>老放映电影员生活补助</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5、河北人大历史陈列馆建设及办公用房修缮资金（预内基建）绩效目标表 \f C \l 1</w:instrText>
      </w:r>
      <w:r>
        <w:rPr>
          <w:rFonts w:ascii="方正仿宋_GBK" w:eastAsia="方正仿宋_GBK"/>
          <w:b/>
          <w:sz w:val="28"/>
        </w:rPr>
        <w:instrText xml:space="preserve"> </w:instrText>
      </w:r>
      <w:r>
        <w:rPr>
          <w:rFonts w:ascii="方正仿宋_GBK" w:eastAsia="方正仿宋_GBK"/>
          <w:b/>
          <w:sz w:val="28"/>
        </w:rPr>
        <w:fldChar w:fldCharType="end"/>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3、第三方评价工作经费绩效目标表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、妥善解决我区老放映员的基本权益。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、维护社会和谐稳定。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补助发放足额率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足额发放补助</w:t>
            </w:r>
          </w:p>
        </w:tc>
        <w:tc>
          <w:tcPr>
            <w:tcW w:w="1276"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补助发放准确率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按季度、按人员、按标准，准确发放</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补助发放及时率</w:t>
            </w:r>
          </w:p>
        </w:tc>
        <w:tc>
          <w:tcPr>
            <w:tcW w:w="1276"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按规定时间发放</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成本指标</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发放补助资金</w:t>
            </w:r>
          </w:p>
        </w:tc>
        <w:tc>
          <w:tcPr>
            <w:tcW w:w="2891"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监管补助资金数</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按规定</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合理制定计划，按时足额发放率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解决老放映员的基本权益，维护社会和谐稳定</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问卷调查、走访调查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老放映员满意百分率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老放映员满意率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问卷调查、走访调查</w:t>
            </w:r>
          </w:p>
        </w:tc>
      </w:tr>
    </w:tbl>
    <w:p>
      <w:pPr>
        <w:jc w:val="left"/>
        <w:outlineLvl w:val="1"/>
        <w:rPr>
          <w:rFonts w:ascii="Times New Roman" w:hAnsi="宋体"/>
          <w:b/>
          <w:sz w:val="28"/>
        </w:rPr>
      </w:pPr>
      <w:r>
        <w:rPr>
          <w:rFonts w:hint="eastAsia" w:ascii="方正仿宋_GBK" w:eastAsia="方正仿宋_GBK"/>
          <w:b/>
          <w:sz w:val="28"/>
        </w:rPr>
        <w:t xml:space="preserve"> </w:t>
      </w:r>
      <w:r>
        <w:rPr>
          <w:rFonts w:hint="eastAsia" w:ascii="方正仿宋_GBK" w:eastAsia="方正仿宋_GBK"/>
          <w:b/>
          <w:sz w:val="28"/>
          <w:lang w:val="en-US" w:eastAsia="zh-CN"/>
        </w:rPr>
        <w:t>8</w:t>
      </w:r>
      <w:r>
        <w:rPr>
          <w:rFonts w:hint="eastAsia" w:ascii="方正仿宋_GBK" w:eastAsia="方正仿宋_GBK"/>
          <w:b/>
          <w:sz w:val="28"/>
        </w:rPr>
        <w:t>、</w:t>
      </w:r>
      <w:r>
        <w:rPr>
          <w:rFonts w:hint="eastAsia" w:ascii="方正仿宋_GBK" w:eastAsia="方正仿宋_GBK"/>
          <w:b/>
          <w:sz w:val="28"/>
          <w:lang w:eastAsia="zh-CN"/>
        </w:rPr>
        <w:t>扫黄打非</w:t>
      </w:r>
      <w:r>
        <w:rPr>
          <w:rFonts w:hint="eastAsia" w:ascii="方正仿宋_GBK" w:eastAsia="方正仿宋_GBK"/>
          <w:b/>
          <w:sz w:val="28"/>
        </w:rPr>
        <w:t>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5、河北人大历史陈列馆建设及办公用房修缮资金（预内基建）绩效目标表 \f C \l 1</w:instrText>
      </w:r>
      <w:r>
        <w:rPr>
          <w:rFonts w:ascii="方正仿宋_GBK" w:eastAsia="方正仿宋_GBK"/>
          <w:b/>
          <w:sz w:val="28"/>
        </w:rPr>
        <w:instrText xml:space="preserve"> </w:instrText>
      </w:r>
      <w:r>
        <w:rPr>
          <w:rFonts w:ascii="方正仿宋_GBK" w:eastAsia="方正仿宋_GBK"/>
          <w:b/>
          <w:sz w:val="28"/>
        </w:rPr>
        <w:fldChar w:fldCharType="end"/>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3、第三方评价工作经费绩效目标表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、在基层站点配置上按照“六有”标准，实现“六个到位”，做到有人抓、有人管、有成效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、指导全区“扫黄打非”工作取得一定成效。</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完成相关培训讲座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举办“扫黄打非”基层培训活动</w:t>
            </w:r>
          </w:p>
        </w:tc>
        <w:tc>
          <w:tcPr>
            <w:tcW w:w="1276" w:type="dxa"/>
            <w:noWrap w:val="0"/>
            <w:vAlign w:val="center"/>
          </w:tcPr>
          <w:p>
            <w:pPr>
              <w:spacing w:line="300" w:lineRule="exact"/>
              <w:jc w:val="left"/>
              <w:rPr>
                <w:rFonts w:hint="default" w:ascii="方正书宋_GBK" w:eastAsia="方正书宋_GBK"/>
                <w:lang w:val="en-US"/>
              </w:rPr>
            </w:pPr>
            <w:r>
              <w:rPr>
                <w:rFonts w:hint="eastAsia" w:ascii="方正书宋_GBK" w:eastAsia="方正书宋_GBK"/>
              </w:rPr>
              <w:t>≥</w:t>
            </w:r>
            <w:r>
              <w:rPr>
                <w:rFonts w:hint="eastAsia" w:ascii="方正书宋_GBK" w:eastAsia="方正书宋_GBK"/>
                <w:lang w:val="en-US" w:eastAsia="zh-CN"/>
              </w:rPr>
              <w:t>1次</w:t>
            </w:r>
          </w:p>
        </w:tc>
        <w:tc>
          <w:tcPr>
            <w:tcW w:w="170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加强队伍建设、搞好业务培训</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加强队伍建设，搞好业务培训</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1次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达到“六有”标准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按照“六有”标准，实现“六个到位”开展督导检查</w:t>
            </w:r>
          </w:p>
        </w:tc>
        <w:tc>
          <w:tcPr>
            <w:tcW w:w="1276"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2次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成本指标</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宣传培训活动物资等</w:t>
            </w:r>
          </w:p>
        </w:tc>
        <w:tc>
          <w:tcPr>
            <w:tcW w:w="2891"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开展“扫黄打非”宣传培训活动使用到的物资等</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按规定执行</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营造良好文化市场环境，维护社会政治稳定。</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营造良好文化市场环境，维护社会政治稳定。</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实地走访、问卷调查等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按照“六有”标准，实现“六个到位</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按照“六有”标准，实现“六个到位”打造优秀基层站点</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实地走访、问卷调查等</w:t>
            </w:r>
          </w:p>
        </w:tc>
      </w:tr>
    </w:tbl>
    <w:p>
      <w:pPr>
        <w:jc w:val="left"/>
        <w:outlineLvl w:val="1"/>
        <w:rPr>
          <w:rFonts w:hint="eastAsia" w:ascii="方正仿宋_GBK" w:eastAsia="方正仿宋_GBK"/>
          <w:b/>
          <w:sz w:val="28"/>
        </w:rPr>
      </w:pPr>
    </w:p>
    <w:p>
      <w:pPr>
        <w:jc w:val="left"/>
        <w:outlineLvl w:val="1"/>
        <w:rPr>
          <w:rFonts w:ascii="Times New Roman" w:hAnsi="宋体"/>
          <w:b/>
          <w:sz w:val="28"/>
        </w:rPr>
      </w:pPr>
      <w:r>
        <w:rPr>
          <w:rFonts w:hint="eastAsia" w:ascii="方正仿宋_GBK" w:eastAsia="方正仿宋_GBK"/>
          <w:b/>
          <w:sz w:val="28"/>
        </w:rPr>
        <w:t xml:space="preserve"> </w:t>
      </w:r>
      <w:r>
        <w:rPr>
          <w:rFonts w:hint="eastAsia" w:ascii="方正仿宋_GBK" w:eastAsia="方正仿宋_GBK"/>
          <w:b/>
          <w:sz w:val="28"/>
          <w:lang w:val="en-US" w:eastAsia="zh-CN"/>
        </w:rPr>
        <w:t>9</w:t>
      </w:r>
      <w:r>
        <w:rPr>
          <w:rFonts w:hint="eastAsia" w:ascii="方正仿宋_GBK" w:eastAsia="方正仿宋_GBK"/>
          <w:b/>
          <w:sz w:val="28"/>
        </w:rPr>
        <w:t>、</w:t>
      </w:r>
      <w:r>
        <w:rPr>
          <w:rFonts w:hint="eastAsia" w:ascii="方正仿宋_GBK" w:eastAsia="方正仿宋_GBK"/>
          <w:b/>
          <w:sz w:val="28"/>
          <w:lang w:eastAsia="zh-CN"/>
        </w:rPr>
        <w:t>解决电影公司经营困难补助</w:t>
      </w:r>
      <w:r>
        <w:rPr>
          <w:rFonts w:hint="eastAsia" w:ascii="方正仿宋_GBK" w:eastAsia="方正仿宋_GBK"/>
          <w:b/>
          <w:sz w:val="28"/>
        </w:rPr>
        <w:t>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5、河北人大历史陈列馆建设及办公用房修缮资金（预内基建）绩效目标表 \f C \l 1</w:instrText>
      </w:r>
      <w:r>
        <w:rPr>
          <w:rFonts w:ascii="方正仿宋_GBK" w:eastAsia="方正仿宋_GBK"/>
          <w:b/>
          <w:sz w:val="28"/>
        </w:rPr>
        <w:instrText xml:space="preserve"> </w:instrText>
      </w:r>
      <w:r>
        <w:rPr>
          <w:rFonts w:ascii="方正仿宋_GBK" w:eastAsia="方正仿宋_GBK"/>
          <w:b/>
          <w:sz w:val="28"/>
        </w:rPr>
        <w:fldChar w:fldCharType="end"/>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3、第三方评价工作经费绩效目标表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、确保养老保险的缴纳。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、稳定职工情绪。</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公司人员各项保险缴纳百分率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稳定职工情绪，确保缴纳</w:t>
            </w:r>
          </w:p>
        </w:tc>
        <w:tc>
          <w:tcPr>
            <w:tcW w:w="1276" w:type="dxa"/>
            <w:noWrap w:val="0"/>
            <w:vAlign w:val="center"/>
          </w:tcPr>
          <w:p>
            <w:pPr>
              <w:spacing w:line="300" w:lineRule="exact"/>
              <w:jc w:val="left"/>
              <w:rPr>
                <w:rFonts w:hint="default" w:ascii="方正书宋_GBK" w:eastAsia="方正书宋_GBK"/>
                <w:lang w:val="en-US"/>
              </w:rPr>
            </w:pP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稳定工作达标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稳定职工情绪。</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补助发放及时率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及时发放困难补助</w:t>
            </w:r>
          </w:p>
        </w:tc>
        <w:tc>
          <w:tcPr>
            <w:tcW w:w="1276"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按规定时间发放</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成本指标</w:t>
            </w:r>
          </w:p>
        </w:tc>
        <w:tc>
          <w:tcPr>
            <w:tcW w:w="1276"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电影公司经营困难补助经费</w:t>
            </w:r>
          </w:p>
        </w:tc>
        <w:tc>
          <w:tcPr>
            <w:tcW w:w="2891" w:type="dxa"/>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按规发放补助</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按规定执行</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电影公司职工养老保险全额缴纳率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保障电影公司整体稳定</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职工情绪稳定，满意度程度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问卷调查</w:t>
            </w:r>
          </w:p>
        </w:tc>
      </w:tr>
    </w:tbl>
    <w:p>
      <w:pPr>
        <w:spacing w:line="300" w:lineRule="exact"/>
        <w:ind w:firstLine="560" w:firstLineChars="200"/>
        <w:jc w:val="left"/>
      </w:pPr>
      <w:r>
        <w:rPr>
          <w:rFonts w:hint="eastAsia" w:ascii="方正仿宋_GBK" w:eastAsia="方正仿宋_GBK"/>
          <w:b/>
          <w:sz w:val="28"/>
        </w:rPr>
        <w:t xml:space="preserve"> </w:t>
      </w: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w:t>
      </w:r>
      <w:r>
        <w:rPr>
          <w:rFonts w:hint="eastAsia" w:ascii="Times New Roman" w:hAnsi="Times New Roman" w:eastAsia="仿宋" w:cs="Times New Roman"/>
          <w:sz w:val="32"/>
          <w:szCs w:val="24"/>
          <w:lang w:eastAsia="zh-CN"/>
        </w:rPr>
        <w:t>2021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万元。具体内容见下表。</w:t>
      </w:r>
      <w:bookmarkEnd w:id="10"/>
    </w:p>
    <w:p>
      <w:pPr>
        <w:ind w:firstLine="640" w:firstLineChars="200"/>
        <w:outlineLvl w:val="0"/>
        <w:rPr>
          <w:rFonts w:ascii="Times New Roman" w:hAnsi="Times New Roman" w:eastAsia="仿宋" w:cs="Times New Roman"/>
          <w:color w:val="auto"/>
          <w:sz w:val="32"/>
          <w:szCs w:val="24"/>
        </w:rPr>
      </w:pPr>
      <w:r>
        <w:rPr>
          <w:rFonts w:hint="eastAsia" w:ascii="黑体" w:hAnsi="黑体" w:eastAsia="黑体" w:cs="Times New Roman"/>
          <w:color w:val="auto"/>
          <w:sz w:val="32"/>
          <w:szCs w:val="32"/>
          <w:lang w:eastAsia="zh-CN"/>
        </w:rPr>
        <w:t>注：本部门无</w:t>
      </w:r>
      <w:r>
        <w:rPr>
          <w:rFonts w:hint="eastAsia" w:ascii="黑体" w:hAnsi="黑体" w:eastAsia="黑体" w:cs="Times New Roman"/>
          <w:color w:val="auto"/>
          <w:sz w:val="32"/>
          <w:szCs w:val="32"/>
        </w:rPr>
        <w:t>政府采购预算情况</w:t>
      </w:r>
      <w:r>
        <w:rPr>
          <w:rFonts w:hint="eastAsia" w:ascii="黑体" w:hAnsi="黑体" w:eastAsia="黑体" w:cs="Times New Roman"/>
          <w:color w:val="auto"/>
          <w:sz w:val="32"/>
          <w:szCs w:val="32"/>
          <w:lang w:eastAsia="zh-CN"/>
        </w:rPr>
        <w:t>，故空表列示。</w:t>
      </w: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211中国共产党石家庄市藁城区委宣传部</w:t>
            </w:r>
          </w:p>
        </w:tc>
        <w:tc>
          <w:tcPr>
            <w:tcW w:w="585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noWrap w:val="0"/>
            <w:vAlign w:val="center"/>
          </w:tcPr>
          <w:p>
            <w:pPr>
              <w:spacing w:line="300" w:lineRule="exact"/>
              <w:jc w:val="left"/>
              <w:outlineLvl w:val="0"/>
              <w:rPr>
                <w:rFonts w:ascii="Times New Roman" w:eastAsia="方正仿宋_GBK"/>
                <w:sz w:val="28"/>
              </w:rPr>
            </w:pPr>
          </w:p>
        </w:tc>
        <w:tc>
          <w:tcPr>
            <w:tcW w:w="1417" w:type="dxa"/>
            <w:vMerge w:val="continue"/>
            <w:noWrap w:val="0"/>
            <w:vAlign w:val="center"/>
          </w:tcPr>
          <w:p>
            <w:pPr>
              <w:spacing w:line="300" w:lineRule="exact"/>
              <w:jc w:val="left"/>
              <w:outlineLvl w:val="0"/>
              <w:rPr>
                <w:rFonts w:ascii="Times New Roman" w:eastAsia="方正仿宋_GBK"/>
                <w:sz w:val="28"/>
              </w:rPr>
            </w:pPr>
          </w:p>
        </w:tc>
        <w:tc>
          <w:tcPr>
            <w:tcW w:w="709" w:type="dxa"/>
            <w:vMerge w:val="continue"/>
            <w:noWrap w:val="0"/>
            <w:vAlign w:val="center"/>
          </w:tcPr>
          <w:p>
            <w:pPr>
              <w:spacing w:line="300" w:lineRule="exact"/>
              <w:jc w:val="left"/>
              <w:outlineLvl w:val="0"/>
              <w:rPr>
                <w:rFonts w:ascii="Times New Roman" w:eastAsia="方正仿宋_GBK"/>
                <w:sz w:val="28"/>
              </w:rPr>
            </w:pPr>
          </w:p>
        </w:tc>
        <w:tc>
          <w:tcPr>
            <w:tcW w:w="851" w:type="dxa"/>
            <w:vMerge w:val="continue"/>
            <w:noWrap w:val="0"/>
            <w:vAlign w:val="center"/>
          </w:tcPr>
          <w:p>
            <w:pPr>
              <w:spacing w:line="300" w:lineRule="exact"/>
              <w:jc w:val="left"/>
              <w:outlineLvl w:val="0"/>
              <w:rPr>
                <w:rFonts w:ascii="Times New Roman" w:eastAsia="方正仿宋_GBK"/>
                <w:sz w:val="28"/>
              </w:rPr>
            </w:pPr>
          </w:p>
        </w:tc>
        <w:tc>
          <w:tcPr>
            <w:tcW w:w="992" w:type="dxa"/>
            <w:vMerge w:val="continue"/>
            <w:noWrap w:val="0"/>
            <w:vAlign w:val="center"/>
          </w:tcPr>
          <w:p>
            <w:pPr>
              <w:spacing w:line="300" w:lineRule="exact"/>
              <w:jc w:val="left"/>
              <w:outlineLvl w:val="0"/>
              <w:rPr>
                <w:rFonts w:ascii="Times New Roman" w:eastAsia="方正仿宋_GBK"/>
                <w:sz w:val="28"/>
              </w:rPr>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noWrap w:val="0"/>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noWrap w:val="0"/>
            <w:vAlign w:val="center"/>
          </w:tcPr>
          <w:p>
            <w:pPr>
              <w:spacing w:line="300" w:lineRule="exact"/>
              <w:jc w:val="right"/>
              <w:rPr>
                <w:rFonts w:ascii="方正书宋_GBK" w:eastAsia="方正书宋_GBK"/>
                <w:b/>
              </w:rPr>
            </w:pPr>
          </w:p>
        </w:tc>
        <w:tc>
          <w:tcPr>
            <w:tcW w:w="1559" w:type="dxa"/>
            <w:noWrap w:val="0"/>
            <w:vAlign w:val="center"/>
          </w:tcPr>
          <w:p>
            <w:pPr>
              <w:spacing w:line="300" w:lineRule="exact"/>
              <w:jc w:val="left"/>
              <w:rPr>
                <w:rFonts w:ascii="方正书宋_GBK" w:eastAsia="方正书宋_GBK"/>
                <w:b/>
              </w:rPr>
            </w:pPr>
          </w:p>
        </w:tc>
        <w:tc>
          <w:tcPr>
            <w:tcW w:w="1417"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left"/>
              <w:rPr>
                <w:rFonts w:ascii="方正书宋_GBK" w:eastAsia="方正书宋_GBK"/>
                <w:b/>
              </w:rPr>
            </w:pPr>
          </w:p>
        </w:tc>
        <w:tc>
          <w:tcPr>
            <w:tcW w:w="851" w:type="dxa"/>
            <w:noWrap w:val="0"/>
            <w:vAlign w:val="center"/>
          </w:tcPr>
          <w:p>
            <w:pPr>
              <w:spacing w:line="300" w:lineRule="exact"/>
              <w:jc w:val="right"/>
              <w:rPr>
                <w:rFonts w:ascii="方正书宋_GBK" w:eastAsia="方正书宋_GBK"/>
                <w:b/>
              </w:rPr>
            </w:pPr>
          </w:p>
        </w:tc>
        <w:tc>
          <w:tcPr>
            <w:tcW w:w="992" w:type="dxa"/>
            <w:noWrap w:val="0"/>
            <w:vAlign w:val="center"/>
          </w:tcPr>
          <w:p>
            <w:pPr>
              <w:spacing w:line="300" w:lineRule="exact"/>
              <w:jc w:val="right"/>
              <w:rPr>
                <w:rFonts w:ascii="方正书宋_GBK" w:eastAsia="方正书宋_GBK"/>
                <w:b/>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3"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850" w:type="dxa"/>
            <w:noWrap w:val="0"/>
            <w:vAlign w:val="center"/>
          </w:tcPr>
          <w:p>
            <w:pPr>
              <w:spacing w:line="300" w:lineRule="exact"/>
              <w:jc w:val="right"/>
              <w:rPr>
                <w:rFonts w:ascii="方正书宋_GBK" w:eastAsia="方正书宋_GBK"/>
                <w:b/>
              </w:rPr>
            </w:pPr>
          </w:p>
        </w:tc>
        <w:tc>
          <w:tcPr>
            <w:tcW w:w="893"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center"/>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559" w:type="dxa"/>
            <w:noWrap w:val="0"/>
            <w:vAlign w:val="center"/>
          </w:tcPr>
          <w:p>
            <w:pPr>
              <w:spacing w:line="300" w:lineRule="exact"/>
              <w:jc w:val="left"/>
              <w:rPr>
                <w:rFonts w:ascii="方正书宋_GBK" w:eastAsia="方正书宋_GBK"/>
                <w:b/>
              </w:rPr>
            </w:pPr>
          </w:p>
        </w:tc>
        <w:tc>
          <w:tcPr>
            <w:tcW w:w="1417"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left"/>
              <w:rPr>
                <w:rFonts w:ascii="方正书宋_GBK" w:eastAsia="方正书宋_GBK"/>
                <w:b/>
              </w:rPr>
            </w:pPr>
          </w:p>
        </w:tc>
        <w:tc>
          <w:tcPr>
            <w:tcW w:w="851" w:type="dxa"/>
            <w:noWrap w:val="0"/>
            <w:vAlign w:val="center"/>
          </w:tcPr>
          <w:p>
            <w:pPr>
              <w:spacing w:line="300" w:lineRule="exact"/>
              <w:jc w:val="right"/>
              <w:rPr>
                <w:rFonts w:ascii="方正书宋_GBK" w:eastAsia="方正书宋_GBK"/>
                <w:b/>
              </w:rPr>
            </w:pPr>
          </w:p>
        </w:tc>
        <w:tc>
          <w:tcPr>
            <w:tcW w:w="992" w:type="dxa"/>
            <w:noWrap w:val="0"/>
            <w:vAlign w:val="center"/>
          </w:tcPr>
          <w:p>
            <w:pPr>
              <w:spacing w:line="300" w:lineRule="exact"/>
              <w:jc w:val="right"/>
              <w:rPr>
                <w:rFonts w:ascii="方正书宋_GBK" w:eastAsia="方正书宋_GBK"/>
                <w:b/>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2" w:type="dxa"/>
            <w:noWrap w:val="0"/>
            <w:vAlign w:val="center"/>
          </w:tcPr>
          <w:p>
            <w:pPr>
              <w:adjustRightInd w:val="0"/>
              <w:snapToGrid w:val="0"/>
              <w:jc w:val="right"/>
              <w:rPr>
                <w:rFonts w:ascii="方正书宋_GBK" w:hAnsi="宋体" w:eastAsia="方正书宋_GBK" w:cs="宋体"/>
                <w:b/>
                <w:bCs/>
                <w:color w:val="000000"/>
                <w:szCs w:val="21"/>
              </w:rPr>
            </w:pPr>
          </w:p>
        </w:tc>
        <w:tc>
          <w:tcPr>
            <w:tcW w:w="993"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850" w:type="dxa"/>
            <w:noWrap w:val="0"/>
            <w:vAlign w:val="center"/>
          </w:tcPr>
          <w:p>
            <w:pPr>
              <w:spacing w:line="300" w:lineRule="exact"/>
              <w:jc w:val="right"/>
              <w:rPr>
                <w:rFonts w:ascii="方正书宋_GBK" w:eastAsia="方正书宋_GBK"/>
                <w:b/>
              </w:rPr>
            </w:pPr>
          </w:p>
        </w:tc>
        <w:tc>
          <w:tcPr>
            <w:tcW w:w="893"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lef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559" w:type="dxa"/>
            <w:noWrap w:val="0"/>
            <w:vAlign w:val="center"/>
          </w:tcPr>
          <w:p>
            <w:pPr>
              <w:spacing w:line="300" w:lineRule="exact"/>
              <w:jc w:val="left"/>
              <w:rPr>
                <w:rFonts w:ascii="方正书宋_GBK" w:eastAsia="方正书宋_GBK"/>
              </w:rPr>
            </w:pPr>
          </w:p>
        </w:tc>
        <w:tc>
          <w:tcPr>
            <w:tcW w:w="1417" w:type="dxa"/>
            <w:noWrap w:val="0"/>
            <w:vAlign w:val="center"/>
          </w:tcPr>
          <w:p>
            <w:pPr>
              <w:spacing w:line="300" w:lineRule="exact"/>
              <w:jc w:val="left"/>
              <w:rPr>
                <w:rFonts w:ascii="方正书宋_GBK" w:eastAsia="方正书宋_GBK"/>
              </w:rPr>
            </w:pPr>
          </w:p>
        </w:tc>
        <w:tc>
          <w:tcPr>
            <w:tcW w:w="709" w:type="dxa"/>
            <w:noWrap w:val="0"/>
            <w:vAlign w:val="center"/>
          </w:tcPr>
          <w:p>
            <w:pPr>
              <w:spacing w:line="300" w:lineRule="exact"/>
              <w:jc w:val="left"/>
              <w:rPr>
                <w:rFonts w:ascii="方正书宋_GBK" w:eastAsia="方正书宋_GBK"/>
              </w:rPr>
            </w:pPr>
          </w:p>
        </w:tc>
        <w:tc>
          <w:tcPr>
            <w:tcW w:w="851"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3"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850" w:type="dxa"/>
            <w:noWrap w:val="0"/>
            <w:vAlign w:val="center"/>
          </w:tcPr>
          <w:p>
            <w:pPr>
              <w:spacing w:line="300" w:lineRule="exact"/>
              <w:jc w:val="right"/>
              <w:rPr>
                <w:rFonts w:ascii="方正书宋_GBK" w:eastAsia="方正书宋_GBK"/>
              </w:rPr>
            </w:pPr>
          </w:p>
        </w:tc>
        <w:tc>
          <w:tcPr>
            <w:tcW w:w="893"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lef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559" w:type="dxa"/>
            <w:noWrap w:val="0"/>
            <w:vAlign w:val="center"/>
          </w:tcPr>
          <w:p>
            <w:pPr>
              <w:spacing w:line="300" w:lineRule="exact"/>
              <w:jc w:val="left"/>
              <w:rPr>
                <w:rFonts w:ascii="方正书宋_GBK" w:eastAsia="方正书宋_GBK"/>
              </w:rPr>
            </w:pPr>
          </w:p>
        </w:tc>
        <w:tc>
          <w:tcPr>
            <w:tcW w:w="1417" w:type="dxa"/>
            <w:noWrap w:val="0"/>
            <w:vAlign w:val="center"/>
          </w:tcPr>
          <w:p>
            <w:pPr>
              <w:spacing w:line="300" w:lineRule="exact"/>
              <w:jc w:val="left"/>
              <w:rPr>
                <w:rFonts w:ascii="方正书宋_GBK" w:eastAsia="方正书宋_GBK"/>
              </w:rPr>
            </w:pPr>
          </w:p>
        </w:tc>
        <w:tc>
          <w:tcPr>
            <w:tcW w:w="709" w:type="dxa"/>
            <w:noWrap w:val="0"/>
            <w:vAlign w:val="center"/>
          </w:tcPr>
          <w:p>
            <w:pPr>
              <w:spacing w:line="300" w:lineRule="exact"/>
              <w:jc w:val="left"/>
              <w:rPr>
                <w:rFonts w:ascii="方正书宋_GBK" w:eastAsia="方正书宋_GBK"/>
              </w:rPr>
            </w:pPr>
          </w:p>
        </w:tc>
        <w:tc>
          <w:tcPr>
            <w:tcW w:w="851"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3"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850" w:type="dxa"/>
            <w:noWrap w:val="0"/>
            <w:vAlign w:val="center"/>
          </w:tcPr>
          <w:p>
            <w:pPr>
              <w:spacing w:line="300" w:lineRule="exact"/>
              <w:jc w:val="right"/>
              <w:rPr>
                <w:rFonts w:ascii="方正书宋_GBK" w:eastAsia="方正书宋_GBK"/>
              </w:rPr>
            </w:pPr>
          </w:p>
        </w:tc>
        <w:tc>
          <w:tcPr>
            <w:tcW w:w="893"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lef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559" w:type="dxa"/>
            <w:noWrap w:val="0"/>
            <w:vAlign w:val="center"/>
          </w:tcPr>
          <w:p>
            <w:pPr>
              <w:spacing w:line="300" w:lineRule="exact"/>
              <w:jc w:val="left"/>
              <w:rPr>
                <w:rFonts w:ascii="方正书宋_GBK" w:eastAsia="方正书宋_GBK"/>
              </w:rPr>
            </w:pPr>
          </w:p>
        </w:tc>
        <w:tc>
          <w:tcPr>
            <w:tcW w:w="1417" w:type="dxa"/>
            <w:noWrap w:val="0"/>
            <w:vAlign w:val="center"/>
          </w:tcPr>
          <w:p>
            <w:pPr>
              <w:spacing w:line="300" w:lineRule="exact"/>
              <w:jc w:val="left"/>
              <w:rPr>
                <w:rFonts w:ascii="方正书宋_GBK" w:eastAsia="方正书宋_GBK"/>
              </w:rPr>
            </w:pPr>
          </w:p>
        </w:tc>
        <w:tc>
          <w:tcPr>
            <w:tcW w:w="709" w:type="dxa"/>
            <w:noWrap w:val="0"/>
            <w:vAlign w:val="center"/>
          </w:tcPr>
          <w:p>
            <w:pPr>
              <w:spacing w:line="300" w:lineRule="exact"/>
              <w:jc w:val="left"/>
              <w:rPr>
                <w:rFonts w:ascii="方正书宋_GBK" w:eastAsia="方正书宋_GBK"/>
              </w:rPr>
            </w:pPr>
          </w:p>
        </w:tc>
        <w:tc>
          <w:tcPr>
            <w:tcW w:w="851"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3"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850" w:type="dxa"/>
            <w:noWrap w:val="0"/>
            <w:vAlign w:val="center"/>
          </w:tcPr>
          <w:p>
            <w:pPr>
              <w:spacing w:line="300" w:lineRule="exact"/>
              <w:jc w:val="right"/>
              <w:rPr>
                <w:rFonts w:ascii="方正书宋_GBK" w:eastAsia="方正书宋_GBK"/>
              </w:rPr>
            </w:pPr>
          </w:p>
        </w:tc>
        <w:tc>
          <w:tcPr>
            <w:tcW w:w="893"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lef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559" w:type="dxa"/>
            <w:noWrap w:val="0"/>
            <w:vAlign w:val="center"/>
          </w:tcPr>
          <w:p>
            <w:pPr>
              <w:spacing w:line="300" w:lineRule="exact"/>
              <w:jc w:val="left"/>
              <w:rPr>
                <w:rFonts w:ascii="方正书宋_GBK" w:eastAsia="方正书宋_GBK"/>
              </w:rPr>
            </w:pPr>
          </w:p>
        </w:tc>
        <w:tc>
          <w:tcPr>
            <w:tcW w:w="1417" w:type="dxa"/>
            <w:noWrap w:val="0"/>
            <w:vAlign w:val="center"/>
          </w:tcPr>
          <w:p>
            <w:pPr>
              <w:spacing w:line="300" w:lineRule="exact"/>
              <w:jc w:val="left"/>
              <w:rPr>
                <w:rFonts w:ascii="方正书宋_GBK" w:eastAsia="方正书宋_GBK"/>
              </w:rPr>
            </w:pPr>
          </w:p>
        </w:tc>
        <w:tc>
          <w:tcPr>
            <w:tcW w:w="709" w:type="dxa"/>
            <w:noWrap w:val="0"/>
            <w:vAlign w:val="center"/>
          </w:tcPr>
          <w:p>
            <w:pPr>
              <w:spacing w:line="300" w:lineRule="exact"/>
              <w:jc w:val="left"/>
              <w:rPr>
                <w:rFonts w:ascii="方正书宋_GBK" w:eastAsia="方正书宋_GBK"/>
              </w:rPr>
            </w:pPr>
          </w:p>
        </w:tc>
        <w:tc>
          <w:tcPr>
            <w:tcW w:w="851"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3"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850" w:type="dxa"/>
            <w:noWrap w:val="0"/>
            <w:vAlign w:val="center"/>
          </w:tcPr>
          <w:p>
            <w:pPr>
              <w:spacing w:line="300" w:lineRule="exact"/>
              <w:jc w:val="right"/>
              <w:rPr>
                <w:rFonts w:ascii="方正书宋_GBK" w:eastAsia="方正书宋_GBK"/>
              </w:rPr>
            </w:pPr>
          </w:p>
        </w:tc>
        <w:tc>
          <w:tcPr>
            <w:tcW w:w="893"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lef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559" w:type="dxa"/>
            <w:noWrap w:val="0"/>
            <w:vAlign w:val="center"/>
          </w:tcPr>
          <w:p>
            <w:pPr>
              <w:spacing w:line="300" w:lineRule="exact"/>
              <w:jc w:val="left"/>
              <w:rPr>
                <w:rFonts w:ascii="方正书宋_GBK" w:eastAsia="方正书宋_GBK"/>
              </w:rPr>
            </w:pPr>
          </w:p>
        </w:tc>
        <w:tc>
          <w:tcPr>
            <w:tcW w:w="1417" w:type="dxa"/>
            <w:noWrap w:val="0"/>
            <w:vAlign w:val="center"/>
          </w:tcPr>
          <w:p>
            <w:pPr>
              <w:spacing w:line="300" w:lineRule="exact"/>
              <w:jc w:val="left"/>
              <w:rPr>
                <w:rFonts w:ascii="方正书宋_GBK" w:eastAsia="方正书宋_GBK"/>
              </w:rPr>
            </w:pPr>
          </w:p>
        </w:tc>
        <w:tc>
          <w:tcPr>
            <w:tcW w:w="709" w:type="dxa"/>
            <w:noWrap w:val="0"/>
            <w:vAlign w:val="center"/>
          </w:tcPr>
          <w:p>
            <w:pPr>
              <w:spacing w:line="300" w:lineRule="exact"/>
              <w:jc w:val="left"/>
              <w:rPr>
                <w:rFonts w:ascii="方正书宋_GBK" w:eastAsia="方正书宋_GBK"/>
              </w:rPr>
            </w:pPr>
          </w:p>
        </w:tc>
        <w:tc>
          <w:tcPr>
            <w:tcW w:w="851"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3"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850" w:type="dxa"/>
            <w:noWrap w:val="0"/>
            <w:vAlign w:val="center"/>
          </w:tcPr>
          <w:p>
            <w:pPr>
              <w:spacing w:line="300" w:lineRule="exact"/>
              <w:jc w:val="right"/>
              <w:rPr>
                <w:rFonts w:ascii="方正书宋_GBK" w:eastAsia="方正书宋_GBK"/>
              </w:rPr>
            </w:pPr>
          </w:p>
        </w:tc>
        <w:tc>
          <w:tcPr>
            <w:tcW w:w="893"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lef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559" w:type="dxa"/>
            <w:noWrap w:val="0"/>
            <w:vAlign w:val="center"/>
          </w:tcPr>
          <w:p>
            <w:pPr>
              <w:spacing w:line="300" w:lineRule="exact"/>
              <w:jc w:val="left"/>
              <w:rPr>
                <w:rFonts w:ascii="方正书宋_GBK" w:eastAsia="方正书宋_GBK"/>
              </w:rPr>
            </w:pPr>
          </w:p>
        </w:tc>
        <w:tc>
          <w:tcPr>
            <w:tcW w:w="1417" w:type="dxa"/>
            <w:noWrap w:val="0"/>
            <w:vAlign w:val="center"/>
          </w:tcPr>
          <w:p>
            <w:pPr>
              <w:spacing w:line="300" w:lineRule="exact"/>
              <w:jc w:val="left"/>
              <w:rPr>
                <w:rFonts w:ascii="方正书宋_GBK" w:eastAsia="方正书宋_GBK"/>
              </w:rPr>
            </w:pPr>
          </w:p>
        </w:tc>
        <w:tc>
          <w:tcPr>
            <w:tcW w:w="709" w:type="dxa"/>
            <w:noWrap w:val="0"/>
            <w:vAlign w:val="center"/>
          </w:tcPr>
          <w:p>
            <w:pPr>
              <w:spacing w:line="300" w:lineRule="exact"/>
              <w:jc w:val="left"/>
              <w:rPr>
                <w:rFonts w:ascii="方正书宋_GBK" w:eastAsia="方正书宋_GBK"/>
              </w:rPr>
            </w:pPr>
          </w:p>
        </w:tc>
        <w:tc>
          <w:tcPr>
            <w:tcW w:w="851"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3"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850" w:type="dxa"/>
            <w:noWrap w:val="0"/>
            <w:vAlign w:val="center"/>
          </w:tcPr>
          <w:p>
            <w:pPr>
              <w:spacing w:line="300" w:lineRule="exact"/>
              <w:jc w:val="right"/>
              <w:rPr>
                <w:rFonts w:ascii="方正书宋_GBK" w:eastAsia="方正书宋_GBK"/>
              </w:rPr>
            </w:pPr>
          </w:p>
        </w:tc>
        <w:tc>
          <w:tcPr>
            <w:tcW w:w="893"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noWrap w:val="0"/>
            <w:vAlign w:val="center"/>
          </w:tcPr>
          <w:p>
            <w:pPr>
              <w:spacing w:line="300" w:lineRule="exact"/>
              <w:jc w:val="lef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559" w:type="dxa"/>
            <w:noWrap w:val="0"/>
            <w:vAlign w:val="center"/>
          </w:tcPr>
          <w:p>
            <w:pPr>
              <w:spacing w:line="300" w:lineRule="exact"/>
              <w:jc w:val="left"/>
              <w:rPr>
                <w:rFonts w:ascii="方正书宋_GBK" w:eastAsia="方正书宋_GBK"/>
              </w:rPr>
            </w:pPr>
          </w:p>
        </w:tc>
        <w:tc>
          <w:tcPr>
            <w:tcW w:w="1417" w:type="dxa"/>
            <w:noWrap w:val="0"/>
            <w:vAlign w:val="center"/>
          </w:tcPr>
          <w:p>
            <w:pPr>
              <w:spacing w:line="300" w:lineRule="exact"/>
              <w:jc w:val="left"/>
              <w:rPr>
                <w:rFonts w:ascii="方正书宋_GBK" w:eastAsia="方正书宋_GBK"/>
              </w:rPr>
            </w:pPr>
          </w:p>
        </w:tc>
        <w:tc>
          <w:tcPr>
            <w:tcW w:w="709" w:type="dxa"/>
            <w:noWrap w:val="0"/>
            <w:vAlign w:val="center"/>
          </w:tcPr>
          <w:p>
            <w:pPr>
              <w:spacing w:line="300" w:lineRule="exact"/>
              <w:jc w:val="left"/>
              <w:rPr>
                <w:rFonts w:ascii="方正书宋_GBK" w:eastAsia="方正书宋_GBK"/>
              </w:rPr>
            </w:pPr>
          </w:p>
        </w:tc>
        <w:tc>
          <w:tcPr>
            <w:tcW w:w="851"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2" w:type="dxa"/>
            <w:noWrap w:val="0"/>
            <w:vAlign w:val="center"/>
          </w:tcPr>
          <w:p>
            <w:pPr>
              <w:spacing w:line="300" w:lineRule="exact"/>
              <w:jc w:val="right"/>
              <w:rPr>
                <w:rFonts w:ascii="方正书宋_GBK" w:eastAsia="方正书宋_GBK"/>
              </w:rPr>
            </w:pPr>
          </w:p>
        </w:tc>
        <w:tc>
          <w:tcPr>
            <w:tcW w:w="993"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850" w:type="dxa"/>
            <w:noWrap w:val="0"/>
            <w:vAlign w:val="center"/>
          </w:tcPr>
          <w:p>
            <w:pPr>
              <w:spacing w:line="300" w:lineRule="exact"/>
              <w:jc w:val="right"/>
              <w:rPr>
                <w:rFonts w:ascii="方正书宋_GBK" w:eastAsia="方正书宋_GBK"/>
              </w:rPr>
            </w:pPr>
          </w:p>
        </w:tc>
        <w:tc>
          <w:tcPr>
            <w:tcW w:w="893" w:type="dxa"/>
            <w:noWrap w:val="0"/>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注：本部门无</w:t>
      </w:r>
      <w:r>
        <w:rPr>
          <w:rFonts w:hint="eastAsia" w:ascii="黑体" w:hAnsi="黑体" w:eastAsia="黑体" w:cs="Times New Roman"/>
          <w:color w:val="auto"/>
          <w:sz w:val="32"/>
          <w:szCs w:val="32"/>
        </w:rPr>
        <w:t>政府采购预算情况</w:t>
      </w:r>
      <w:r>
        <w:rPr>
          <w:rFonts w:hint="eastAsia" w:ascii="黑体" w:hAnsi="黑体" w:eastAsia="黑体" w:cs="Times New Roman"/>
          <w:color w:val="auto"/>
          <w:sz w:val="32"/>
          <w:szCs w:val="32"/>
          <w:lang w:eastAsia="zh-CN"/>
        </w:rPr>
        <w:t>，故空表列示。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藁城区委宣传部2020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10266.2</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0"/>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中国共产党石家庄市藁城区委宣传部</w:t>
            </w:r>
            <w:r>
              <w:rPr>
                <w:rFonts w:hint="eastAsia" w:ascii="宋体" w:hAnsi="宋体" w:cs="宋体"/>
                <w:b/>
                <w:bCs/>
                <w:kern w:val="0"/>
                <w:sz w:val="32"/>
                <w:szCs w:val="32"/>
              </w:rPr>
              <w:t>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0"/>
            <w:vAlign w:val="center"/>
          </w:tcPr>
          <w:p>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中国共产党石家庄市藁城区委宣传部</w:t>
            </w:r>
          </w:p>
        </w:tc>
        <w:tc>
          <w:tcPr>
            <w:tcW w:w="5103" w:type="dxa"/>
            <w:tcBorders>
              <w:top w:val="nil"/>
              <w:left w:val="nil"/>
              <w:bottom w:val="nil"/>
              <w:right w:val="nil"/>
            </w:tcBorders>
            <w:noWrap w:val="0"/>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w:t>
            </w:r>
            <w:r>
              <w:rPr>
                <w:rFonts w:hint="eastAsia" w:ascii="Times New Roman" w:hAnsi="Times New Roman" w:eastAsia="仿宋" w:cs="Times New Roman"/>
                <w:kern w:val="0"/>
                <w:sz w:val="22"/>
                <w:lang w:eastAsia="zh-CN"/>
              </w:rPr>
              <w:t>2020</w:t>
            </w:r>
            <w:r>
              <w:rPr>
                <w:rFonts w:ascii="Times New Roman" w:hAnsi="Times New Roman" w:eastAsia="仿宋" w:cs="Times New Roman"/>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10266.2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10266.2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_GBK">
    <w:altName w:val="微软雅黑"/>
    <w:panose1 w:val="03000509000000000000"/>
    <w:charset w:val="86"/>
    <w:family w:val="auto"/>
    <w:pitch w:val="default"/>
    <w:sig w:usb0="00000000" w:usb1="00000000" w:usb2="00000010" w:usb3="00000000" w:csb0="00040000" w:csb1="00000000"/>
  </w:font>
  <w:font w:name="方正仿宋_GBK">
    <w:altName w:val="微软雅黑"/>
    <w:panose1 w:val="03000509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30DA1E"/>
    <w:multiLevelType w:val="singleLevel"/>
    <w:tmpl w:val="1330DA1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zVkZmJlMDJkZDY3NjEwNTlmMDRhYWVjYTUwM2YifQ=="/>
  </w:docVars>
  <w:rsids>
    <w:rsidRoot w:val="00172A27"/>
    <w:rsid w:val="0116237E"/>
    <w:rsid w:val="03C66455"/>
    <w:rsid w:val="05144AEC"/>
    <w:rsid w:val="0774348E"/>
    <w:rsid w:val="08387178"/>
    <w:rsid w:val="097B16D8"/>
    <w:rsid w:val="0DD367B4"/>
    <w:rsid w:val="100614B3"/>
    <w:rsid w:val="105429A2"/>
    <w:rsid w:val="115546F7"/>
    <w:rsid w:val="16730E93"/>
    <w:rsid w:val="19B2001D"/>
    <w:rsid w:val="1D711453"/>
    <w:rsid w:val="1E130C7A"/>
    <w:rsid w:val="1E617D22"/>
    <w:rsid w:val="1F45049E"/>
    <w:rsid w:val="21083C51"/>
    <w:rsid w:val="23125FF5"/>
    <w:rsid w:val="25841B76"/>
    <w:rsid w:val="298D7B6B"/>
    <w:rsid w:val="2A345316"/>
    <w:rsid w:val="2A3D44A3"/>
    <w:rsid w:val="2C385EE1"/>
    <w:rsid w:val="2E750A05"/>
    <w:rsid w:val="3938400B"/>
    <w:rsid w:val="3DF94A19"/>
    <w:rsid w:val="50BB6745"/>
    <w:rsid w:val="52CA77D9"/>
    <w:rsid w:val="551241AB"/>
    <w:rsid w:val="597D1535"/>
    <w:rsid w:val="59867429"/>
    <w:rsid w:val="5B125634"/>
    <w:rsid w:val="5CC36D0A"/>
    <w:rsid w:val="5D09361C"/>
    <w:rsid w:val="5FF3056F"/>
    <w:rsid w:val="61922352"/>
    <w:rsid w:val="6252465B"/>
    <w:rsid w:val="659530A3"/>
    <w:rsid w:val="670409C3"/>
    <w:rsid w:val="6A6C0E87"/>
    <w:rsid w:val="6E6F30E1"/>
    <w:rsid w:val="6F687560"/>
    <w:rsid w:val="70BC3B1F"/>
    <w:rsid w:val="72D85868"/>
    <w:rsid w:val="76C172EB"/>
    <w:rsid w:val="7DBD74B0"/>
    <w:rsid w:val="7E11024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rPr>
  </w:style>
  <w:style w:type="character" w:default="1" w:styleId="8">
    <w:name w:val="Default Paragraph Font"/>
    <w:autoRedefine/>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footer"/>
    <w:basedOn w:val="1"/>
    <w:link w:val="13"/>
    <w:autoRedefine/>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2"/>
    <w:autoRedefine/>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autoRedefine/>
    <w:qFormat/>
    <w:uiPriority w:val="0"/>
    <w:rPr>
      <w:rFonts w:ascii="Times New Roman" w:hAnsi="Times New Roman" w:cs="Times New Roman"/>
      <w:szCs w:val="24"/>
    </w:rPr>
  </w:style>
  <w:style w:type="paragraph" w:styleId="5">
    <w:name w:val="footnote text"/>
    <w:basedOn w:val="1"/>
    <w:autoRedefine/>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footnote reference"/>
    <w:autoRedefine/>
    <w:qFormat/>
    <w:uiPriority w:val="0"/>
    <w:rPr>
      <w:vertAlign w:val="superscript"/>
    </w:rPr>
  </w:style>
  <w:style w:type="paragraph" w:customStyle="1" w:styleId="10">
    <w:name w:val="Char"/>
    <w:basedOn w:val="1"/>
    <w:autoRedefine/>
    <w:qFormat/>
    <w:uiPriority w:val="0"/>
    <w:rPr>
      <w:rFonts w:ascii="Times New Roman" w:hAnsi="Times New Roman" w:cs="Times New Roman"/>
      <w:szCs w:val="24"/>
    </w:rPr>
  </w:style>
  <w:style w:type="character" w:customStyle="1" w:styleId="11">
    <w:name w:val="页码1"/>
    <w:autoRedefine/>
    <w:qFormat/>
    <w:uiPriority w:val="0"/>
  </w:style>
  <w:style w:type="character" w:customStyle="1" w:styleId="12">
    <w:name w:val="页眉 Char Char"/>
    <w:link w:val="3"/>
    <w:autoRedefine/>
    <w:qFormat/>
    <w:uiPriority w:val="0"/>
    <w:rPr>
      <w:rFonts w:ascii="Times New Roman" w:hAnsi="Times New Roman" w:eastAsia="宋体" w:cs="Times New Roman"/>
      <w:sz w:val="18"/>
      <w:szCs w:val="18"/>
    </w:rPr>
  </w:style>
  <w:style w:type="character" w:customStyle="1" w:styleId="13">
    <w:name w:val="页脚 Char Char"/>
    <w:link w:val="2"/>
    <w:autoRedefine/>
    <w:qFormat/>
    <w:uiPriority w:val="0"/>
    <w:rPr>
      <w:rFonts w:ascii="Times New Roman" w:hAnsi="Times New Roman" w:eastAsia="宋体" w:cs="Times New Roman"/>
      <w:sz w:val="18"/>
      <w:szCs w:val="18"/>
    </w:rPr>
  </w:style>
  <w:style w:type="paragraph" w:customStyle="1" w:styleId="14">
    <w:name w:val="[Normal]"/>
    <w:autoRedefine/>
    <w:unhideWhenUsed/>
    <w:qFormat/>
    <w:uiPriority w:val="99"/>
    <w:pPr>
      <w:widowControl w:val="0"/>
      <w:autoSpaceDE w:val="0"/>
      <w:autoSpaceDN w:val="0"/>
      <w:adjustRightInd w:val="0"/>
      <w:spacing w:beforeLines="0" w:afterLines="0"/>
    </w:pPr>
    <w:rPr>
      <w:rFonts w:hint="eastAsia" w:ascii="宋体" w:hAnsi="宋体" w:eastAsia="宋体"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4</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Candise·聪·</cp:lastModifiedBy>
  <cp:lastPrinted>2020-01-10T15:53:00Z</cp:lastPrinted>
  <dcterms:modified xsi:type="dcterms:W3CDTF">2024-02-23T01:36:03Z</dcterms:modified>
  <dc:title>办公室</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KSOSaveFontToCloudKey">
    <vt:lpwstr>596123064_stopsync</vt:lpwstr>
  </property>
  <property fmtid="{D5CDD505-2E9C-101B-9397-08002B2CF9AE}" pid="4" name="ICV">
    <vt:lpwstr>DC4CCC0B402F4B7BAFDD2F7B17504FC0_13</vt:lpwstr>
  </property>
</Properties>
</file>