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56" w:name="_GoBack"/>
      <w:bookmarkEnd w:id="56"/>
      <w:r>
        <w:rPr>
          <w:rFonts w:hint="eastAsia" w:ascii="黑体" w:hAnsi="黑体" w:eastAsia="黑体" w:cs="黑体"/>
          <w:b w:val="0"/>
          <w:bCs w:val="0"/>
          <w:sz w:val="44"/>
          <w:szCs w:val="44"/>
        </w:rPr>
        <w:t>中共石家庄市藁城区委党史研究室</w:t>
      </w:r>
      <w:r>
        <w:rPr>
          <w:rFonts w:hint="eastAsia" w:ascii="黑体" w:hAnsi="黑体" w:eastAsia="黑体" w:cs="黑体"/>
          <w:b w:val="0"/>
          <w:bCs w:val="0"/>
          <w:sz w:val="44"/>
          <w:szCs w:val="44"/>
          <w:lang w:eastAsia="zh-CN"/>
        </w:rPr>
        <w:t>部门</w:t>
      </w:r>
      <w:r>
        <w:rPr>
          <w:rFonts w:ascii="黑体" w:hAnsi="黑体" w:eastAsia="黑体" w:cs="黑体"/>
          <w:b w:val="0"/>
          <w:bCs w:val="0"/>
          <w:color w:val="000000"/>
          <w:sz w:val="44"/>
        </w:rPr>
        <w:t>2022年</w:t>
      </w:r>
      <w:r>
        <w:rPr>
          <w:rFonts w:hint="eastAsia" w:ascii="黑体" w:hAnsi="黑体" w:eastAsia="黑体" w:cs="黑体"/>
          <w:b w:val="0"/>
          <w:bCs w:val="0"/>
          <w:color w:val="000000"/>
          <w:sz w:val="44"/>
          <w:lang w:eastAsia="zh-CN"/>
        </w:rPr>
        <w:t>度</w:t>
      </w:r>
      <w:r>
        <w:rPr>
          <w:rFonts w:ascii="黑体" w:hAnsi="黑体" w:eastAsia="黑体" w:cs="黑体"/>
          <w:b w:val="0"/>
          <w:bCs w:val="0"/>
          <w:color w:val="000000"/>
          <w:sz w:val="44"/>
        </w:rPr>
        <w:t>预算公开</w:t>
      </w:r>
      <w:r>
        <w:rPr>
          <w:rFonts w:ascii="黑体" w:hAnsi="黑体" w:eastAsia="黑体" w:cs="黑体"/>
          <w:b/>
          <w:color w:val="000000"/>
          <w:sz w:val="30"/>
        </w:rPr>
        <w:t xml:space="preserve"> </w:t>
      </w:r>
    </w:p>
    <w:p>
      <w:pPr>
        <w:spacing w:before="0" w:after="0" w:line="240" w:lineRule="auto"/>
        <w:ind w:firstLine="0"/>
        <w:jc w:val="center"/>
        <w:outlineLvl w:val="9"/>
      </w:pP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6"/>
        <w:tabs>
          <w:tab w:val="right" w:leader="dot" w:pos="14800"/>
        </w:tabs>
      </w:pPr>
      <w:r>
        <w:fldChar w:fldCharType="begin"/>
      </w:r>
      <w:r>
        <w:instrText xml:space="preserve">TOC \o "2-2" \h \z \u</w:instrText>
      </w:r>
      <w:r>
        <w:fldChar w:fldCharType="separate"/>
      </w:r>
      <w:r>
        <w:fldChar w:fldCharType="begin"/>
      </w:r>
      <w:r>
        <w:instrText xml:space="preserve"> HYPERLINK \l _Toc17044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_Toc17044 \h </w:instrText>
      </w:r>
      <w:r>
        <w:fldChar w:fldCharType="separate"/>
      </w:r>
      <w:r>
        <w:t>2</w:t>
      </w:r>
      <w:r>
        <w:fldChar w:fldCharType="end"/>
      </w:r>
      <w:r>
        <w:fldChar w:fldCharType="end"/>
      </w:r>
    </w:p>
    <w:p>
      <w:pPr>
        <w:pStyle w:val="6"/>
        <w:tabs>
          <w:tab w:val="right" w:leader="dot" w:pos="14800"/>
        </w:tabs>
      </w:pPr>
      <w:r>
        <w:fldChar w:fldCharType="begin"/>
      </w:r>
      <w:r>
        <w:instrText xml:space="preserve"> HYPERLINK \l _Toc31173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_Toc31173 \h </w:instrText>
      </w:r>
      <w:r>
        <w:fldChar w:fldCharType="separate"/>
      </w:r>
      <w:r>
        <w:t>6</w:t>
      </w:r>
      <w:r>
        <w:fldChar w:fldCharType="end"/>
      </w:r>
      <w:r>
        <w:fldChar w:fldCharType="end"/>
      </w:r>
    </w:p>
    <w:p>
      <w:pPr>
        <w:pStyle w:val="6"/>
        <w:tabs>
          <w:tab w:val="right" w:leader="dot" w:pos="14800"/>
        </w:tabs>
      </w:pPr>
      <w:r>
        <w:fldChar w:fldCharType="begin"/>
      </w:r>
      <w:r>
        <w:instrText xml:space="preserve"> HYPERLINK \l _Toc27878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_Toc27878 \h </w:instrText>
      </w:r>
      <w:r>
        <w:fldChar w:fldCharType="separate"/>
      </w:r>
      <w:r>
        <w:t>8</w:t>
      </w:r>
      <w:r>
        <w:fldChar w:fldCharType="end"/>
      </w:r>
      <w:r>
        <w:fldChar w:fldCharType="end"/>
      </w:r>
    </w:p>
    <w:p>
      <w:pPr>
        <w:pStyle w:val="6"/>
        <w:tabs>
          <w:tab w:val="right" w:leader="dot" w:pos="14800"/>
        </w:tabs>
      </w:pPr>
      <w:r>
        <w:fldChar w:fldCharType="begin"/>
      </w:r>
      <w:r>
        <w:instrText xml:space="preserve"> HYPERLINK \l _Toc29911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_Toc29911 \h </w:instrText>
      </w:r>
      <w:r>
        <w:fldChar w:fldCharType="separate"/>
      </w:r>
      <w:r>
        <w:t>9</w:t>
      </w:r>
      <w:r>
        <w:fldChar w:fldCharType="end"/>
      </w:r>
      <w:r>
        <w:fldChar w:fldCharType="end"/>
      </w:r>
    </w:p>
    <w:p>
      <w:pPr>
        <w:pStyle w:val="6"/>
        <w:tabs>
          <w:tab w:val="right" w:leader="dot" w:pos="14800"/>
        </w:tabs>
      </w:pPr>
      <w:r>
        <w:fldChar w:fldCharType="begin"/>
      </w:r>
      <w:r>
        <w:instrText xml:space="preserve"> HYPERLINK \l _Toc30394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_Toc30394 \h </w:instrText>
      </w:r>
      <w:r>
        <w:fldChar w:fldCharType="separate"/>
      </w:r>
      <w:r>
        <w:t>16</w:t>
      </w:r>
      <w:r>
        <w:fldChar w:fldCharType="end"/>
      </w:r>
      <w:r>
        <w:fldChar w:fldCharType="end"/>
      </w:r>
    </w:p>
    <w:p>
      <w:pPr>
        <w:pStyle w:val="6"/>
        <w:tabs>
          <w:tab w:val="right" w:leader="dot" w:pos="14800"/>
        </w:tabs>
      </w:pPr>
      <w:r>
        <w:fldChar w:fldCharType="begin"/>
      </w:r>
      <w:r>
        <w:instrText xml:space="preserve"> HYPERLINK \l _Toc10977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_Toc10977 \h </w:instrText>
      </w:r>
      <w:r>
        <w:fldChar w:fldCharType="separate"/>
      </w:r>
      <w:r>
        <w:t>17</w:t>
      </w:r>
      <w:r>
        <w:fldChar w:fldCharType="end"/>
      </w:r>
      <w:r>
        <w:fldChar w:fldCharType="end"/>
      </w:r>
    </w:p>
    <w:p>
      <w:pPr>
        <w:pStyle w:val="6"/>
        <w:tabs>
          <w:tab w:val="right" w:leader="dot" w:pos="14800"/>
        </w:tabs>
      </w:pPr>
      <w:r>
        <w:fldChar w:fldCharType="begin"/>
      </w:r>
      <w:r>
        <w:instrText xml:space="preserve"> HYPERLINK \l _Toc3112 </w:instrText>
      </w:r>
      <w:r>
        <w:fldChar w:fldCharType="separate"/>
      </w:r>
      <w:r>
        <w:rPr>
          <w:rFonts w:ascii="方正小标宋_GBK" w:hAnsi="方正小标宋_GBK" w:eastAsia="方正小标宋_GBK" w:cs="方正小标宋_GBK"/>
        </w:rPr>
        <w:t>部门预算政府基金预算财政拨款支出表</w:t>
      </w:r>
      <w:r>
        <w:tab/>
      </w:r>
      <w:r>
        <w:fldChar w:fldCharType="begin"/>
      </w:r>
      <w:r>
        <w:instrText xml:space="preserve"> PAGEREF _Toc3112 \h </w:instrText>
      </w:r>
      <w:r>
        <w:fldChar w:fldCharType="separate"/>
      </w:r>
      <w:r>
        <w:t>19</w:t>
      </w:r>
      <w:r>
        <w:fldChar w:fldCharType="end"/>
      </w:r>
      <w:r>
        <w:fldChar w:fldCharType="end"/>
      </w:r>
    </w:p>
    <w:p>
      <w:pPr>
        <w:pStyle w:val="6"/>
        <w:tabs>
          <w:tab w:val="right" w:leader="dot" w:pos="14800"/>
        </w:tabs>
      </w:pPr>
      <w:r>
        <w:fldChar w:fldCharType="begin"/>
      </w:r>
      <w:r>
        <w:instrText xml:space="preserve"> HYPERLINK \l _Toc11660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_Toc11660 \h </w:instrText>
      </w:r>
      <w:r>
        <w:fldChar w:fldCharType="separate"/>
      </w:r>
      <w:r>
        <w:t>20</w:t>
      </w:r>
      <w:r>
        <w:fldChar w:fldCharType="end"/>
      </w:r>
      <w:r>
        <w:fldChar w:fldCharType="end"/>
      </w:r>
    </w:p>
    <w:p>
      <w:pPr>
        <w:pStyle w:val="6"/>
        <w:tabs>
          <w:tab w:val="right" w:leader="dot" w:pos="14800"/>
        </w:tabs>
      </w:pPr>
      <w:r>
        <w:fldChar w:fldCharType="begin"/>
      </w:r>
      <w:r>
        <w:instrText xml:space="preserve"> HYPERLINK \l _Toc32357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_Toc32357 \h </w:instrText>
      </w:r>
      <w:r>
        <w:fldChar w:fldCharType="separate"/>
      </w:r>
      <w:r>
        <w:t>21</w:t>
      </w:r>
      <w:r>
        <w:fldChar w:fldCharType="end"/>
      </w:r>
      <w:r>
        <w:fldChar w:fldCharType="end"/>
      </w:r>
    </w:p>
    <w:p>
      <w:pPr>
        <w:spacing w:before="0" w:after="0" w:line="240" w:lineRule="auto"/>
        <w:ind w:firstLine="0"/>
        <w:jc w:val="left"/>
        <w:outlineLvl w:val="9"/>
        <w:rPr>
          <w:sz w:val="28"/>
          <w:szCs w:val="28"/>
        </w:rPr>
      </w:pPr>
      <w:r>
        <w:fldChar w:fldCharType="end"/>
      </w:r>
      <w:r>
        <w:rPr>
          <w:rFonts w:ascii="方正楷体_GBK" w:hAnsi="方正楷体_GBK" w:eastAsia="方正楷体_GBK" w:cs="方正楷体_GBK"/>
          <w:b/>
          <w:color w:val="000000"/>
          <w:sz w:val="28"/>
          <w:szCs w:val="28"/>
        </w:rPr>
        <w:t>部门预算信息公开情况说明</w:t>
      </w:r>
    </w:p>
    <w:p>
      <w:pPr>
        <w:pStyle w:val="6"/>
        <w:tabs>
          <w:tab w:val="right" w:leader="dot" w:pos="14800"/>
        </w:tabs>
        <w:rPr>
          <w:rFonts w:ascii="方正小标宋_GBK" w:hAnsi="方正小标宋_GBK" w:eastAsia="方正小标宋_GBK" w:cs="方正小标宋_GBK"/>
        </w:rPr>
      </w:pPr>
      <w:r>
        <w:fldChar w:fldCharType="begin"/>
      </w:r>
      <w:r>
        <w:instrText xml:space="preserve">TOC \o "3-3" \h \z \u</w:instrText>
      </w:r>
      <w:r>
        <w:fldChar w:fldCharType="separate"/>
      </w:r>
      <w:r>
        <w:rPr>
          <w:rFonts w:ascii="方正小标宋_GBK" w:hAnsi="方正小标宋_GBK" w:eastAsia="方正小标宋_GBK" w:cs="方正小标宋_GBK"/>
        </w:rPr>
        <w:fldChar w:fldCharType="begin"/>
      </w:r>
      <w:r>
        <w:rPr>
          <w:rFonts w:ascii="方正小标宋_GBK" w:hAnsi="方正小标宋_GBK" w:eastAsia="方正小标宋_GBK" w:cs="方正小标宋_GBK"/>
        </w:rPr>
        <w:instrText xml:space="preserve"> HYPERLINK \l _Toc9465 </w:instrText>
      </w:r>
      <w:r>
        <w:rPr>
          <w:rFonts w:ascii="方正小标宋_GBK" w:hAnsi="方正小标宋_GBK" w:eastAsia="方正小标宋_GBK" w:cs="方正小标宋_GBK"/>
        </w:rPr>
        <w:fldChar w:fldCharType="separate"/>
      </w:r>
      <w:r>
        <w:rPr>
          <w:rFonts w:ascii="方正小标宋_GBK" w:hAnsi="方正小标宋_GBK" w:eastAsia="方正小标宋_GBK" w:cs="方正小标宋_GBK"/>
        </w:rPr>
        <w:t>一、部门职责及机构设置情况</w:t>
      </w:r>
      <w:r>
        <w:rPr>
          <w:rFonts w:ascii="方正小标宋_GBK" w:hAnsi="方正小标宋_GBK" w:eastAsia="方正小标宋_GBK" w:cs="方正小标宋_GBK"/>
        </w:rPr>
        <w:tab/>
      </w:r>
      <w:r>
        <w:rPr>
          <w:rFonts w:ascii="方正小标宋_GBK" w:hAnsi="方正小标宋_GBK" w:eastAsia="方正小标宋_GBK" w:cs="方正小标宋_GBK"/>
        </w:rPr>
        <w:fldChar w:fldCharType="begin"/>
      </w:r>
      <w:r>
        <w:rPr>
          <w:rFonts w:ascii="方正小标宋_GBK" w:hAnsi="方正小标宋_GBK" w:eastAsia="方正小标宋_GBK" w:cs="方正小标宋_GBK"/>
        </w:rPr>
        <w:instrText xml:space="preserve"> PAGEREF _Toc9465 \h </w:instrText>
      </w:r>
      <w:r>
        <w:rPr>
          <w:rFonts w:ascii="方正小标宋_GBK" w:hAnsi="方正小标宋_GBK" w:eastAsia="方正小标宋_GBK" w:cs="方正小标宋_GBK"/>
        </w:rPr>
        <w:fldChar w:fldCharType="separate"/>
      </w:r>
      <w:r>
        <w:rPr>
          <w:rFonts w:ascii="方正小标宋_GBK" w:hAnsi="方正小标宋_GBK" w:eastAsia="方正小标宋_GBK" w:cs="方正小标宋_GBK"/>
        </w:rPr>
        <w:t>22</w:t>
      </w:r>
      <w:r>
        <w:rPr>
          <w:rFonts w:ascii="方正小标宋_GBK" w:hAnsi="方正小标宋_GBK" w:eastAsia="方正小标宋_GBK" w:cs="方正小标宋_GBK"/>
        </w:rPr>
        <w:fldChar w:fldCharType="end"/>
      </w:r>
      <w:r>
        <w:rPr>
          <w:rFonts w:ascii="方正小标宋_GBK" w:hAnsi="方正小标宋_GBK" w:eastAsia="方正小标宋_GBK" w:cs="方正小标宋_GBK"/>
        </w:rPr>
        <w:fldChar w:fldCharType="end"/>
      </w:r>
    </w:p>
    <w:p>
      <w:pPr>
        <w:pStyle w:val="6"/>
        <w:tabs>
          <w:tab w:val="right" w:leader="dot" w:pos="14800"/>
        </w:tabs>
        <w:rPr>
          <w:rFonts w:ascii="方正小标宋_GBK" w:hAnsi="方正小标宋_GBK" w:eastAsia="方正小标宋_GBK" w:cs="方正小标宋_GBK"/>
        </w:rPr>
      </w:pPr>
      <w:r>
        <w:rPr>
          <w:rFonts w:ascii="方正小标宋_GBK" w:hAnsi="方正小标宋_GBK" w:eastAsia="方正小标宋_GBK" w:cs="方正小标宋_GBK"/>
        </w:rPr>
        <w:fldChar w:fldCharType="begin"/>
      </w:r>
      <w:r>
        <w:rPr>
          <w:rFonts w:ascii="方正小标宋_GBK" w:hAnsi="方正小标宋_GBK" w:eastAsia="方正小标宋_GBK" w:cs="方正小标宋_GBK"/>
        </w:rPr>
        <w:instrText xml:space="preserve"> HYPERLINK \l _Toc30695 </w:instrText>
      </w:r>
      <w:r>
        <w:rPr>
          <w:rFonts w:ascii="方正小标宋_GBK" w:hAnsi="方正小标宋_GBK" w:eastAsia="方正小标宋_GBK" w:cs="方正小标宋_GBK"/>
        </w:rPr>
        <w:fldChar w:fldCharType="separate"/>
      </w:r>
      <w:r>
        <w:rPr>
          <w:rFonts w:ascii="方正小标宋_GBK" w:hAnsi="方正小标宋_GBK" w:eastAsia="方正小标宋_GBK" w:cs="方正小标宋_GBK"/>
        </w:rPr>
        <w:t>二、部门预算安排的总体情况</w:t>
      </w:r>
      <w:r>
        <w:rPr>
          <w:rFonts w:ascii="方正小标宋_GBK" w:hAnsi="方正小标宋_GBK" w:eastAsia="方正小标宋_GBK" w:cs="方正小标宋_GBK"/>
        </w:rPr>
        <w:tab/>
      </w:r>
      <w:r>
        <w:rPr>
          <w:rFonts w:ascii="方正小标宋_GBK" w:hAnsi="方正小标宋_GBK" w:eastAsia="方正小标宋_GBK" w:cs="方正小标宋_GBK"/>
        </w:rPr>
        <w:fldChar w:fldCharType="begin"/>
      </w:r>
      <w:r>
        <w:rPr>
          <w:rFonts w:ascii="方正小标宋_GBK" w:hAnsi="方正小标宋_GBK" w:eastAsia="方正小标宋_GBK" w:cs="方正小标宋_GBK"/>
        </w:rPr>
        <w:instrText xml:space="preserve"> PAGEREF _Toc30695 \h </w:instrText>
      </w:r>
      <w:r>
        <w:rPr>
          <w:rFonts w:ascii="方正小标宋_GBK" w:hAnsi="方正小标宋_GBK" w:eastAsia="方正小标宋_GBK" w:cs="方正小标宋_GBK"/>
        </w:rPr>
        <w:fldChar w:fldCharType="separate"/>
      </w:r>
      <w:r>
        <w:rPr>
          <w:rFonts w:ascii="方正小标宋_GBK" w:hAnsi="方正小标宋_GBK" w:eastAsia="方正小标宋_GBK" w:cs="方正小标宋_GBK"/>
        </w:rPr>
        <w:t>23</w:t>
      </w:r>
      <w:r>
        <w:rPr>
          <w:rFonts w:ascii="方正小标宋_GBK" w:hAnsi="方正小标宋_GBK" w:eastAsia="方正小标宋_GBK" w:cs="方正小标宋_GBK"/>
        </w:rPr>
        <w:fldChar w:fldCharType="end"/>
      </w:r>
      <w:r>
        <w:rPr>
          <w:rFonts w:ascii="方正小标宋_GBK" w:hAnsi="方正小标宋_GBK" w:eastAsia="方正小标宋_GBK" w:cs="方正小标宋_GBK"/>
        </w:rPr>
        <w:fldChar w:fldCharType="end"/>
      </w:r>
    </w:p>
    <w:p>
      <w:pPr>
        <w:pStyle w:val="6"/>
        <w:tabs>
          <w:tab w:val="right" w:leader="dot" w:pos="14800"/>
        </w:tabs>
        <w:rPr>
          <w:rFonts w:ascii="方正小标宋_GBK" w:hAnsi="方正小标宋_GBK" w:eastAsia="方正小标宋_GBK" w:cs="方正小标宋_GBK"/>
        </w:rPr>
      </w:pPr>
      <w:r>
        <w:rPr>
          <w:rFonts w:ascii="方正小标宋_GBK" w:hAnsi="方正小标宋_GBK" w:eastAsia="方正小标宋_GBK" w:cs="方正小标宋_GBK"/>
        </w:rPr>
        <w:fldChar w:fldCharType="begin"/>
      </w:r>
      <w:r>
        <w:rPr>
          <w:rFonts w:ascii="方正小标宋_GBK" w:hAnsi="方正小标宋_GBK" w:eastAsia="方正小标宋_GBK" w:cs="方正小标宋_GBK"/>
        </w:rPr>
        <w:instrText xml:space="preserve"> HYPERLINK \l _Toc25564 </w:instrText>
      </w:r>
      <w:r>
        <w:rPr>
          <w:rFonts w:ascii="方正小标宋_GBK" w:hAnsi="方正小标宋_GBK" w:eastAsia="方正小标宋_GBK" w:cs="方正小标宋_GBK"/>
        </w:rPr>
        <w:fldChar w:fldCharType="separate"/>
      </w:r>
      <w:r>
        <w:rPr>
          <w:rFonts w:hint="eastAsia" w:ascii="方正小标宋_GBK" w:hAnsi="方正小标宋_GBK" w:eastAsia="方正小标宋_GBK" w:cs="方正小标宋_GBK"/>
        </w:rPr>
        <w:t xml:space="preserve">三、 </w:t>
      </w:r>
      <w:r>
        <w:rPr>
          <w:rFonts w:ascii="方正小标宋_GBK" w:hAnsi="方正小标宋_GBK" w:eastAsia="方正小标宋_GBK" w:cs="方正小标宋_GBK"/>
        </w:rPr>
        <w:t>机关运行经费安排情况</w:t>
      </w:r>
      <w:r>
        <w:rPr>
          <w:rFonts w:ascii="方正小标宋_GBK" w:hAnsi="方正小标宋_GBK" w:eastAsia="方正小标宋_GBK" w:cs="方正小标宋_GBK"/>
        </w:rPr>
        <w:tab/>
      </w:r>
      <w:r>
        <w:rPr>
          <w:rFonts w:ascii="方正小标宋_GBK" w:hAnsi="方正小标宋_GBK" w:eastAsia="方正小标宋_GBK" w:cs="方正小标宋_GBK"/>
        </w:rPr>
        <w:fldChar w:fldCharType="begin"/>
      </w:r>
      <w:r>
        <w:rPr>
          <w:rFonts w:ascii="方正小标宋_GBK" w:hAnsi="方正小标宋_GBK" w:eastAsia="方正小标宋_GBK" w:cs="方正小标宋_GBK"/>
        </w:rPr>
        <w:instrText xml:space="preserve"> PAGEREF _Toc25564 \h </w:instrText>
      </w:r>
      <w:r>
        <w:rPr>
          <w:rFonts w:ascii="方正小标宋_GBK" w:hAnsi="方正小标宋_GBK" w:eastAsia="方正小标宋_GBK" w:cs="方正小标宋_GBK"/>
        </w:rPr>
        <w:fldChar w:fldCharType="separate"/>
      </w:r>
      <w:r>
        <w:rPr>
          <w:rFonts w:ascii="方正小标宋_GBK" w:hAnsi="方正小标宋_GBK" w:eastAsia="方正小标宋_GBK" w:cs="方正小标宋_GBK"/>
        </w:rPr>
        <w:t>24</w:t>
      </w:r>
      <w:r>
        <w:rPr>
          <w:rFonts w:ascii="方正小标宋_GBK" w:hAnsi="方正小标宋_GBK" w:eastAsia="方正小标宋_GBK" w:cs="方正小标宋_GBK"/>
        </w:rPr>
        <w:fldChar w:fldCharType="end"/>
      </w:r>
      <w:r>
        <w:rPr>
          <w:rFonts w:ascii="方正小标宋_GBK" w:hAnsi="方正小标宋_GBK" w:eastAsia="方正小标宋_GBK" w:cs="方正小标宋_GBK"/>
        </w:rPr>
        <w:fldChar w:fldCharType="end"/>
      </w:r>
    </w:p>
    <w:p>
      <w:pPr>
        <w:pStyle w:val="6"/>
        <w:tabs>
          <w:tab w:val="right" w:leader="dot" w:pos="14800"/>
        </w:tabs>
        <w:rPr>
          <w:rFonts w:ascii="方正小标宋_GBK" w:hAnsi="方正小标宋_GBK" w:eastAsia="方正小标宋_GBK" w:cs="方正小标宋_GBK"/>
        </w:rPr>
      </w:pPr>
      <w:r>
        <w:rPr>
          <w:rFonts w:ascii="方正小标宋_GBK" w:hAnsi="方正小标宋_GBK" w:eastAsia="方正小标宋_GBK" w:cs="方正小标宋_GBK"/>
        </w:rPr>
        <w:fldChar w:fldCharType="begin"/>
      </w:r>
      <w:r>
        <w:rPr>
          <w:rFonts w:ascii="方正小标宋_GBK" w:hAnsi="方正小标宋_GBK" w:eastAsia="方正小标宋_GBK" w:cs="方正小标宋_GBK"/>
        </w:rPr>
        <w:instrText xml:space="preserve"> HYPERLINK \l _Toc10469 </w:instrText>
      </w:r>
      <w:r>
        <w:rPr>
          <w:rFonts w:ascii="方正小标宋_GBK" w:hAnsi="方正小标宋_GBK" w:eastAsia="方正小标宋_GBK" w:cs="方正小标宋_GBK"/>
        </w:rPr>
        <w:fldChar w:fldCharType="separate"/>
      </w:r>
      <w:r>
        <w:rPr>
          <w:rFonts w:hint="eastAsia" w:ascii="方正小标宋_GBK" w:hAnsi="方正小标宋_GBK" w:eastAsia="方正小标宋_GBK" w:cs="方正小标宋_GBK"/>
        </w:rPr>
        <w:t xml:space="preserve">四、 </w:t>
      </w:r>
      <w:r>
        <w:rPr>
          <w:rFonts w:ascii="方正小标宋_GBK" w:hAnsi="方正小标宋_GBK" w:eastAsia="方正小标宋_GBK" w:cs="方正小标宋_GBK"/>
        </w:rPr>
        <w:t>财政拨款“三公”经费预算情况及增减变化原因</w:t>
      </w:r>
      <w:r>
        <w:rPr>
          <w:rFonts w:ascii="方正小标宋_GBK" w:hAnsi="方正小标宋_GBK" w:eastAsia="方正小标宋_GBK" w:cs="方正小标宋_GBK"/>
        </w:rPr>
        <w:tab/>
      </w:r>
      <w:r>
        <w:rPr>
          <w:rFonts w:ascii="方正小标宋_GBK" w:hAnsi="方正小标宋_GBK" w:eastAsia="方正小标宋_GBK" w:cs="方正小标宋_GBK"/>
        </w:rPr>
        <w:fldChar w:fldCharType="begin"/>
      </w:r>
      <w:r>
        <w:rPr>
          <w:rFonts w:ascii="方正小标宋_GBK" w:hAnsi="方正小标宋_GBK" w:eastAsia="方正小标宋_GBK" w:cs="方正小标宋_GBK"/>
        </w:rPr>
        <w:instrText xml:space="preserve"> PAGEREF _Toc10469 \h </w:instrText>
      </w:r>
      <w:r>
        <w:rPr>
          <w:rFonts w:ascii="方正小标宋_GBK" w:hAnsi="方正小标宋_GBK" w:eastAsia="方正小标宋_GBK" w:cs="方正小标宋_GBK"/>
        </w:rPr>
        <w:fldChar w:fldCharType="separate"/>
      </w:r>
      <w:r>
        <w:rPr>
          <w:rFonts w:ascii="方正小标宋_GBK" w:hAnsi="方正小标宋_GBK" w:eastAsia="方正小标宋_GBK" w:cs="方正小标宋_GBK"/>
        </w:rPr>
        <w:t>24</w:t>
      </w:r>
      <w:r>
        <w:rPr>
          <w:rFonts w:ascii="方正小标宋_GBK" w:hAnsi="方正小标宋_GBK" w:eastAsia="方正小标宋_GBK" w:cs="方正小标宋_GBK"/>
        </w:rPr>
        <w:fldChar w:fldCharType="end"/>
      </w:r>
      <w:r>
        <w:rPr>
          <w:rFonts w:ascii="方正小标宋_GBK" w:hAnsi="方正小标宋_GBK" w:eastAsia="方正小标宋_GBK" w:cs="方正小标宋_GBK"/>
        </w:rPr>
        <w:fldChar w:fldCharType="end"/>
      </w:r>
    </w:p>
    <w:p>
      <w:pPr>
        <w:pStyle w:val="6"/>
        <w:tabs>
          <w:tab w:val="right" w:leader="dot" w:pos="14800"/>
        </w:tabs>
        <w:rPr>
          <w:rFonts w:ascii="方正小标宋_GBK" w:hAnsi="方正小标宋_GBK" w:eastAsia="方正小标宋_GBK" w:cs="方正小标宋_GBK"/>
        </w:rPr>
      </w:pPr>
      <w:r>
        <w:rPr>
          <w:rFonts w:ascii="方正小标宋_GBK" w:hAnsi="方正小标宋_GBK" w:eastAsia="方正小标宋_GBK" w:cs="方正小标宋_GBK"/>
        </w:rPr>
        <w:fldChar w:fldCharType="begin"/>
      </w:r>
      <w:r>
        <w:rPr>
          <w:rFonts w:ascii="方正小标宋_GBK" w:hAnsi="方正小标宋_GBK" w:eastAsia="方正小标宋_GBK" w:cs="方正小标宋_GBK"/>
        </w:rPr>
        <w:instrText xml:space="preserve"> HYPERLINK \l _Toc11802 </w:instrText>
      </w:r>
      <w:r>
        <w:rPr>
          <w:rFonts w:ascii="方正小标宋_GBK" w:hAnsi="方正小标宋_GBK" w:eastAsia="方正小标宋_GBK" w:cs="方正小标宋_GBK"/>
        </w:rPr>
        <w:fldChar w:fldCharType="separate"/>
      </w:r>
      <w:r>
        <w:rPr>
          <w:rFonts w:ascii="方正小标宋_GBK" w:hAnsi="方正小标宋_GBK" w:eastAsia="方正小标宋_GBK" w:cs="方正小标宋_GBK"/>
        </w:rPr>
        <w:t>五、预算绩效信息</w:t>
      </w:r>
      <w:r>
        <w:rPr>
          <w:rFonts w:ascii="方正小标宋_GBK" w:hAnsi="方正小标宋_GBK" w:eastAsia="方正小标宋_GBK" w:cs="方正小标宋_GBK"/>
        </w:rPr>
        <w:tab/>
      </w:r>
      <w:r>
        <w:rPr>
          <w:rFonts w:ascii="方正小标宋_GBK" w:hAnsi="方正小标宋_GBK" w:eastAsia="方正小标宋_GBK" w:cs="方正小标宋_GBK"/>
        </w:rPr>
        <w:fldChar w:fldCharType="begin"/>
      </w:r>
      <w:r>
        <w:rPr>
          <w:rFonts w:ascii="方正小标宋_GBK" w:hAnsi="方正小标宋_GBK" w:eastAsia="方正小标宋_GBK" w:cs="方正小标宋_GBK"/>
        </w:rPr>
        <w:instrText xml:space="preserve"> PAGEREF _Toc11802 \h </w:instrText>
      </w:r>
      <w:r>
        <w:rPr>
          <w:rFonts w:ascii="方正小标宋_GBK" w:hAnsi="方正小标宋_GBK" w:eastAsia="方正小标宋_GBK" w:cs="方正小标宋_GBK"/>
        </w:rPr>
        <w:fldChar w:fldCharType="separate"/>
      </w:r>
      <w:r>
        <w:rPr>
          <w:rFonts w:ascii="方正小标宋_GBK" w:hAnsi="方正小标宋_GBK" w:eastAsia="方正小标宋_GBK" w:cs="方正小标宋_GBK"/>
        </w:rPr>
        <w:t>25</w:t>
      </w:r>
      <w:r>
        <w:rPr>
          <w:rFonts w:ascii="方正小标宋_GBK" w:hAnsi="方正小标宋_GBK" w:eastAsia="方正小标宋_GBK" w:cs="方正小标宋_GBK"/>
        </w:rPr>
        <w:fldChar w:fldCharType="end"/>
      </w:r>
      <w:r>
        <w:rPr>
          <w:rFonts w:ascii="方正小标宋_GBK" w:hAnsi="方正小标宋_GBK" w:eastAsia="方正小标宋_GBK" w:cs="方正小标宋_GBK"/>
        </w:rPr>
        <w:fldChar w:fldCharType="end"/>
      </w:r>
    </w:p>
    <w:p>
      <w:pPr>
        <w:pStyle w:val="6"/>
        <w:tabs>
          <w:tab w:val="right" w:leader="dot" w:pos="14800"/>
        </w:tabs>
        <w:rPr>
          <w:rFonts w:ascii="方正小标宋_GBK" w:hAnsi="方正小标宋_GBK" w:eastAsia="方正小标宋_GBK" w:cs="方正小标宋_GBK"/>
        </w:rPr>
      </w:pPr>
      <w:r>
        <w:rPr>
          <w:rFonts w:ascii="方正小标宋_GBK" w:hAnsi="方正小标宋_GBK" w:eastAsia="方正小标宋_GBK" w:cs="方正小标宋_GBK"/>
        </w:rPr>
        <w:fldChar w:fldCharType="begin"/>
      </w:r>
      <w:r>
        <w:rPr>
          <w:rFonts w:ascii="方正小标宋_GBK" w:hAnsi="方正小标宋_GBK" w:eastAsia="方正小标宋_GBK" w:cs="方正小标宋_GBK"/>
        </w:rPr>
        <w:instrText xml:space="preserve"> HYPERLINK \l _Toc13175 </w:instrText>
      </w:r>
      <w:r>
        <w:rPr>
          <w:rFonts w:ascii="方正小标宋_GBK" w:hAnsi="方正小标宋_GBK" w:eastAsia="方正小标宋_GBK" w:cs="方正小标宋_GBK"/>
        </w:rPr>
        <w:fldChar w:fldCharType="separate"/>
      </w:r>
      <w:r>
        <w:rPr>
          <w:rFonts w:ascii="方正小标宋_GBK" w:hAnsi="方正小标宋_GBK" w:eastAsia="方正小标宋_GBK" w:cs="方正小标宋_GBK"/>
        </w:rPr>
        <w:t>六、政府采购预算情况</w:t>
      </w:r>
      <w:r>
        <w:rPr>
          <w:rFonts w:ascii="方正小标宋_GBK" w:hAnsi="方正小标宋_GBK" w:eastAsia="方正小标宋_GBK" w:cs="方正小标宋_GBK"/>
        </w:rPr>
        <w:tab/>
      </w:r>
      <w:r>
        <w:rPr>
          <w:rFonts w:ascii="方正小标宋_GBK" w:hAnsi="方正小标宋_GBK" w:eastAsia="方正小标宋_GBK" w:cs="方正小标宋_GBK"/>
        </w:rPr>
        <w:fldChar w:fldCharType="begin"/>
      </w:r>
      <w:r>
        <w:rPr>
          <w:rFonts w:ascii="方正小标宋_GBK" w:hAnsi="方正小标宋_GBK" w:eastAsia="方正小标宋_GBK" w:cs="方正小标宋_GBK"/>
        </w:rPr>
        <w:instrText xml:space="preserve"> PAGEREF _Toc13175 \h </w:instrText>
      </w:r>
      <w:r>
        <w:rPr>
          <w:rFonts w:ascii="方正小标宋_GBK" w:hAnsi="方正小标宋_GBK" w:eastAsia="方正小标宋_GBK" w:cs="方正小标宋_GBK"/>
        </w:rPr>
        <w:fldChar w:fldCharType="separate"/>
      </w:r>
      <w:r>
        <w:rPr>
          <w:rFonts w:ascii="方正小标宋_GBK" w:hAnsi="方正小标宋_GBK" w:eastAsia="方正小标宋_GBK" w:cs="方正小标宋_GBK"/>
        </w:rPr>
        <w:t>29</w:t>
      </w:r>
      <w:r>
        <w:rPr>
          <w:rFonts w:ascii="方正小标宋_GBK" w:hAnsi="方正小标宋_GBK" w:eastAsia="方正小标宋_GBK" w:cs="方正小标宋_GBK"/>
        </w:rPr>
        <w:fldChar w:fldCharType="end"/>
      </w:r>
      <w:r>
        <w:rPr>
          <w:rFonts w:ascii="方正小标宋_GBK" w:hAnsi="方正小标宋_GBK" w:eastAsia="方正小标宋_GBK" w:cs="方正小标宋_GBK"/>
        </w:rPr>
        <w:fldChar w:fldCharType="end"/>
      </w:r>
    </w:p>
    <w:p>
      <w:pPr>
        <w:pStyle w:val="6"/>
        <w:tabs>
          <w:tab w:val="right" w:leader="dot" w:pos="14800"/>
        </w:tabs>
        <w:rPr>
          <w:rFonts w:ascii="方正小标宋_GBK" w:hAnsi="方正小标宋_GBK" w:eastAsia="方正小标宋_GBK" w:cs="方正小标宋_GBK"/>
        </w:rPr>
      </w:pPr>
      <w:r>
        <w:rPr>
          <w:rFonts w:ascii="方正小标宋_GBK" w:hAnsi="方正小标宋_GBK" w:eastAsia="方正小标宋_GBK" w:cs="方正小标宋_GBK"/>
        </w:rPr>
        <w:fldChar w:fldCharType="begin"/>
      </w:r>
      <w:r>
        <w:rPr>
          <w:rFonts w:ascii="方正小标宋_GBK" w:hAnsi="方正小标宋_GBK" w:eastAsia="方正小标宋_GBK" w:cs="方正小标宋_GBK"/>
        </w:rPr>
        <w:instrText xml:space="preserve"> HYPERLINK \l _Toc13966 </w:instrText>
      </w:r>
      <w:r>
        <w:rPr>
          <w:rFonts w:ascii="方正小标宋_GBK" w:hAnsi="方正小标宋_GBK" w:eastAsia="方正小标宋_GBK" w:cs="方正小标宋_GBK"/>
        </w:rPr>
        <w:fldChar w:fldCharType="separate"/>
      </w:r>
      <w:r>
        <w:rPr>
          <w:rFonts w:ascii="方正小标宋_GBK" w:hAnsi="方正小标宋_GBK" w:eastAsia="方正小标宋_GBK" w:cs="方正小标宋_GBK"/>
        </w:rPr>
        <w:t>七、国有资产信息</w:t>
      </w:r>
      <w:r>
        <w:rPr>
          <w:rFonts w:ascii="方正小标宋_GBK" w:hAnsi="方正小标宋_GBK" w:eastAsia="方正小标宋_GBK" w:cs="方正小标宋_GBK"/>
        </w:rPr>
        <w:tab/>
      </w:r>
      <w:r>
        <w:rPr>
          <w:rFonts w:ascii="方正小标宋_GBK" w:hAnsi="方正小标宋_GBK" w:eastAsia="方正小标宋_GBK" w:cs="方正小标宋_GBK"/>
        </w:rPr>
        <w:fldChar w:fldCharType="begin"/>
      </w:r>
      <w:r>
        <w:rPr>
          <w:rFonts w:ascii="方正小标宋_GBK" w:hAnsi="方正小标宋_GBK" w:eastAsia="方正小标宋_GBK" w:cs="方正小标宋_GBK"/>
        </w:rPr>
        <w:instrText xml:space="preserve"> PAGEREF _Toc13966 \h </w:instrText>
      </w:r>
      <w:r>
        <w:rPr>
          <w:rFonts w:ascii="方正小标宋_GBK" w:hAnsi="方正小标宋_GBK" w:eastAsia="方正小标宋_GBK" w:cs="方正小标宋_GBK"/>
        </w:rPr>
        <w:fldChar w:fldCharType="separate"/>
      </w:r>
      <w:r>
        <w:rPr>
          <w:rFonts w:ascii="方正小标宋_GBK" w:hAnsi="方正小标宋_GBK" w:eastAsia="方正小标宋_GBK" w:cs="方正小标宋_GBK"/>
        </w:rPr>
        <w:t>30</w:t>
      </w:r>
      <w:r>
        <w:rPr>
          <w:rFonts w:ascii="方正小标宋_GBK" w:hAnsi="方正小标宋_GBK" w:eastAsia="方正小标宋_GBK" w:cs="方正小标宋_GBK"/>
        </w:rPr>
        <w:fldChar w:fldCharType="end"/>
      </w:r>
      <w:r>
        <w:rPr>
          <w:rFonts w:ascii="方正小标宋_GBK" w:hAnsi="方正小标宋_GBK" w:eastAsia="方正小标宋_GBK" w:cs="方正小标宋_GBK"/>
        </w:rPr>
        <w:fldChar w:fldCharType="end"/>
      </w:r>
    </w:p>
    <w:p>
      <w:pPr>
        <w:pStyle w:val="6"/>
        <w:tabs>
          <w:tab w:val="right" w:leader="dot" w:pos="14800"/>
        </w:tabs>
        <w:rPr>
          <w:rFonts w:ascii="方正小标宋_GBK" w:hAnsi="方正小标宋_GBK" w:eastAsia="方正小标宋_GBK" w:cs="方正小标宋_GBK"/>
        </w:rPr>
      </w:pPr>
      <w:r>
        <w:rPr>
          <w:rFonts w:ascii="方正小标宋_GBK" w:hAnsi="方正小标宋_GBK" w:eastAsia="方正小标宋_GBK" w:cs="方正小标宋_GBK"/>
        </w:rPr>
        <w:fldChar w:fldCharType="begin"/>
      </w:r>
      <w:r>
        <w:rPr>
          <w:rFonts w:ascii="方正小标宋_GBK" w:hAnsi="方正小标宋_GBK" w:eastAsia="方正小标宋_GBK" w:cs="方正小标宋_GBK"/>
        </w:rPr>
        <w:instrText xml:space="preserve"> HYPERLINK \l _Toc12529 </w:instrText>
      </w:r>
      <w:r>
        <w:rPr>
          <w:rFonts w:ascii="方正小标宋_GBK" w:hAnsi="方正小标宋_GBK" w:eastAsia="方正小标宋_GBK" w:cs="方正小标宋_GBK"/>
        </w:rPr>
        <w:fldChar w:fldCharType="separate"/>
      </w:r>
      <w:r>
        <w:rPr>
          <w:rFonts w:ascii="方正小标宋_GBK" w:hAnsi="方正小标宋_GBK" w:eastAsia="方正小标宋_GBK" w:cs="方正小标宋_GBK"/>
        </w:rPr>
        <w:t>八、名词解释</w:t>
      </w:r>
      <w:r>
        <w:rPr>
          <w:rFonts w:ascii="方正小标宋_GBK" w:hAnsi="方正小标宋_GBK" w:eastAsia="方正小标宋_GBK" w:cs="方正小标宋_GBK"/>
        </w:rPr>
        <w:tab/>
      </w:r>
      <w:r>
        <w:rPr>
          <w:rFonts w:ascii="方正小标宋_GBK" w:hAnsi="方正小标宋_GBK" w:eastAsia="方正小标宋_GBK" w:cs="方正小标宋_GBK"/>
        </w:rPr>
        <w:fldChar w:fldCharType="begin"/>
      </w:r>
      <w:r>
        <w:rPr>
          <w:rFonts w:ascii="方正小标宋_GBK" w:hAnsi="方正小标宋_GBK" w:eastAsia="方正小标宋_GBK" w:cs="方正小标宋_GBK"/>
        </w:rPr>
        <w:instrText xml:space="preserve"> PAGEREF _Toc12529 \h </w:instrText>
      </w:r>
      <w:r>
        <w:rPr>
          <w:rFonts w:ascii="方正小标宋_GBK" w:hAnsi="方正小标宋_GBK" w:eastAsia="方正小标宋_GBK" w:cs="方正小标宋_GBK"/>
        </w:rPr>
        <w:fldChar w:fldCharType="separate"/>
      </w:r>
      <w:r>
        <w:rPr>
          <w:rFonts w:ascii="方正小标宋_GBK" w:hAnsi="方正小标宋_GBK" w:eastAsia="方正小标宋_GBK" w:cs="方正小标宋_GBK"/>
        </w:rPr>
        <w:t>30</w:t>
      </w:r>
      <w:r>
        <w:rPr>
          <w:rFonts w:ascii="方正小标宋_GBK" w:hAnsi="方正小标宋_GBK" w:eastAsia="方正小标宋_GBK" w:cs="方正小标宋_GBK"/>
        </w:rPr>
        <w:fldChar w:fldCharType="end"/>
      </w:r>
      <w:r>
        <w:rPr>
          <w:rFonts w:ascii="方正小标宋_GBK" w:hAnsi="方正小标宋_GBK" w:eastAsia="方正小标宋_GBK" w:cs="方正小标宋_GBK"/>
        </w:rPr>
        <w:fldChar w:fldCharType="end"/>
      </w:r>
    </w:p>
    <w:p>
      <w:pPr>
        <w:pStyle w:val="6"/>
        <w:tabs>
          <w:tab w:val="right" w:leader="dot" w:pos="14800"/>
        </w:tabs>
      </w:pPr>
      <w:r>
        <w:rPr>
          <w:rFonts w:ascii="方正小标宋_GBK" w:hAnsi="方正小标宋_GBK" w:eastAsia="方正小标宋_GBK" w:cs="方正小标宋_GBK"/>
        </w:rPr>
        <w:fldChar w:fldCharType="begin"/>
      </w:r>
      <w:r>
        <w:rPr>
          <w:rFonts w:ascii="方正小标宋_GBK" w:hAnsi="方正小标宋_GBK" w:eastAsia="方正小标宋_GBK" w:cs="方正小标宋_GBK"/>
        </w:rPr>
        <w:instrText xml:space="preserve"> HYPERLINK \l _Toc16193 </w:instrText>
      </w:r>
      <w:r>
        <w:rPr>
          <w:rFonts w:ascii="方正小标宋_GBK" w:hAnsi="方正小标宋_GBK" w:eastAsia="方正小标宋_GBK" w:cs="方正小标宋_GBK"/>
        </w:rPr>
        <w:fldChar w:fldCharType="separate"/>
      </w:r>
      <w:r>
        <w:rPr>
          <w:rFonts w:ascii="方正小标宋_GBK" w:hAnsi="方正小标宋_GBK" w:eastAsia="方正小标宋_GBK" w:cs="方正小标宋_GBK"/>
        </w:rPr>
        <w:t>九、其他需要说明的事项</w:t>
      </w:r>
      <w:r>
        <w:rPr>
          <w:rFonts w:ascii="方正小标宋_GBK" w:hAnsi="方正小标宋_GBK" w:eastAsia="方正小标宋_GBK" w:cs="方正小标宋_GBK"/>
        </w:rPr>
        <w:tab/>
      </w:r>
      <w:r>
        <w:rPr>
          <w:rFonts w:ascii="方正小标宋_GBK" w:hAnsi="方正小标宋_GBK" w:eastAsia="方正小标宋_GBK" w:cs="方正小标宋_GBK"/>
        </w:rPr>
        <w:fldChar w:fldCharType="begin"/>
      </w:r>
      <w:r>
        <w:rPr>
          <w:rFonts w:ascii="方正小标宋_GBK" w:hAnsi="方正小标宋_GBK" w:eastAsia="方正小标宋_GBK" w:cs="方正小标宋_GBK"/>
        </w:rPr>
        <w:instrText xml:space="preserve"> PAGEREF _Toc16193 \h </w:instrText>
      </w:r>
      <w:r>
        <w:rPr>
          <w:rFonts w:ascii="方正小标宋_GBK" w:hAnsi="方正小标宋_GBK" w:eastAsia="方正小标宋_GBK" w:cs="方正小标宋_GBK"/>
        </w:rPr>
        <w:fldChar w:fldCharType="separate"/>
      </w:r>
      <w:r>
        <w:rPr>
          <w:rFonts w:ascii="方正小标宋_GBK" w:hAnsi="方正小标宋_GBK" w:eastAsia="方正小标宋_GBK" w:cs="方正小标宋_GBK"/>
        </w:rPr>
        <w:t>31</w:t>
      </w:r>
      <w:r>
        <w:rPr>
          <w:rFonts w:ascii="方正小标宋_GBK" w:hAnsi="方正小标宋_GBK" w:eastAsia="方正小标宋_GBK" w:cs="方正小标宋_GBK"/>
        </w:rPr>
        <w:fldChar w:fldCharType="end"/>
      </w:r>
      <w:r>
        <w:rPr>
          <w:rFonts w:ascii="方正小标宋_GBK" w:hAnsi="方正小标宋_GBK" w:eastAsia="方正小标宋_GBK" w:cs="方正小标宋_GBK"/>
        </w:rPr>
        <w:fldChar w:fldCharType="end"/>
      </w:r>
    </w:p>
    <w:p>
      <w:pPr>
        <w:pStyle w:val="6"/>
        <w:tabs>
          <w:tab w:val="right" w:leader="dot" w:pos="14800"/>
        </w:tabs>
      </w:pPr>
      <w:r>
        <w:fldChar w:fldCharType="end"/>
      </w:r>
      <w: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17044"/>
      <w:r>
        <w:rPr>
          <w:rFonts w:ascii="方正小标宋_GBK" w:hAnsi="方正小标宋_GBK" w:eastAsia="方正小标宋_GBK" w:cs="方正小标宋_GBK"/>
          <w:color w:val="000000"/>
          <w:sz w:val="36"/>
        </w:rPr>
        <w:t>部门预算收支总表</w:t>
      </w:r>
      <w:bookmarkEnd w:id="0"/>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2"/>
            </w:pPr>
            <w:r>
              <w:t>283中共石家庄市藁城区委党史研究室</w:t>
            </w:r>
          </w:p>
        </w:tc>
        <w:tc>
          <w:tcPr>
            <w:tcW w:w="1971" w:type="dxa"/>
            <w:tcBorders>
              <w:top w:val="single" w:color="FFFFFF" w:sz="6" w:space="0"/>
              <w:left w:val="single" w:color="FFFFFF" w:sz="6" w:space="0"/>
              <w:right w:val="single" w:color="FFFFFF" w:sz="6" w:space="0"/>
            </w:tcBorders>
            <w:vAlign w:val="center"/>
          </w:tcPr>
          <w:p>
            <w:pPr>
              <w:pStyle w:val="11"/>
            </w:pPr>
            <w:r>
              <w:t>预算年度：2022</w:t>
            </w:r>
          </w:p>
        </w:tc>
        <w:tc>
          <w:tcPr>
            <w:tcW w:w="394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3"/>
            </w:pPr>
            <w:r>
              <w:t>序号</w:t>
            </w:r>
          </w:p>
        </w:tc>
        <w:tc>
          <w:tcPr>
            <w:tcW w:w="3942" w:type="dxa"/>
            <w:gridSpan w:val="2"/>
            <w:vAlign w:val="center"/>
          </w:tcPr>
          <w:p>
            <w:pPr>
              <w:pStyle w:val="13"/>
            </w:pPr>
            <w:r>
              <w:t>收入</w:t>
            </w:r>
          </w:p>
        </w:tc>
        <w:tc>
          <w:tcPr>
            <w:tcW w:w="3942"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3"/>
            </w:pPr>
            <w:r>
              <w:t>项  目</w:t>
            </w:r>
          </w:p>
        </w:tc>
        <w:tc>
          <w:tcPr>
            <w:tcW w:w="1971" w:type="dxa"/>
            <w:vAlign w:val="center"/>
          </w:tcPr>
          <w:p>
            <w:pPr>
              <w:pStyle w:val="13"/>
            </w:pPr>
            <w:r>
              <w:t>预算数</w:t>
            </w:r>
          </w:p>
        </w:tc>
        <w:tc>
          <w:tcPr>
            <w:tcW w:w="1971" w:type="dxa"/>
            <w:vAlign w:val="center"/>
          </w:tcPr>
          <w:p>
            <w:pPr>
              <w:pStyle w:val="13"/>
            </w:pPr>
            <w:r>
              <w:t>项  目</w:t>
            </w:r>
          </w:p>
        </w:tc>
        <w:tc>
          <w:tcPr>
            <w:tcW w:w="1971"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3"/>
            </w:pPr>
            <w:r>
              <w:t>栏次</w:t>
            </w:r>
          </w:p>
        </w:tc>
        <w:tc>
          <w:tcPr>
            <w:tcW w:w="1971" w:type="dxa"/>
            <w:vAlign w:val="center"/>
          </w:tcPr>
          <w:p>
            <w:pPr>
              <w:pStyle w:val="13"/>
            </w:pPr>
            <w:r>
              <w:t>1</w:t>
            </w:r>
          </w:p>
        </w:tc>
        <w:tc>
          <w:tcPr>
            <w:tcW w:w="1971" w:type="dxa"/>
            <w:vAlign w:val="center"/>
          </w:tcPr>
          <w:p>
            <w:pPr>
              <w:pStyle w:val="13"/>
            </w:pPr>
            <w:r>
              <w:t>2</w:t>
            </w:r>
          </w:p>
        </w:tc>
        <w:tc>
          <w:tcPr>
            <w:tcW w:w="1971" w:type="dxa"/>
            <w:vAlign w:val="center"/>
          </w:tcPr>
          <w:p>
            <w:pPr>
              <w:pStyle w:val="13"/>
            </w:pPr>
            <w:r>
              <w:t>3</w:t>
            </w:r>
          </w:p>
        </w:tc>
        <w:tc>
          <w:tcPr>
            <w:tcW w:w="1971"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w:t>
            </w:r>
          </w:p>
        </w:tc>
        <w:tc>
          <w:tcPr>
            <w:tcW w:w="1971" w:type="dxa"/>
            <w:vAlign w:val="center"/>
          </w:tcPr>
          <w:p>
            <w:pPr>
              <w:pStyle w:val="15"/>
            </w:pPr>
            <w:r>
              <w:t>一、一般公共预算拨款收入</w:t>
            </w:r>
          </w:p>
        </w:tc>
        <w:tc>
          <w:tcPr>
            <w:tcW w:w="1971" w:type="dxa"/>
            <w:vAlign w:val="center"/>
          </w:tcPr>
          <w:p>
            <w:pPr>
              <w:pStyle w:val="14"/>
            </w:pPr>
            <w:r>
              <w:t>77.78</w:t>
            </w:r>
          </w:p>
        </w:tc>
        <w:tc>
          <w:tcPr>
            <w:tcW w:w="1971" w:type="dxa"/>
            <w:vAlign w:val="center"/>
          </w:tcPr>
          <w:p>
            <w:pPr>
              <w:pStyle w:val="15"/>
            </w:pPr>
            <w:r>
              <w:t>一、一般公共服务支出</w:t>
            </w:r>
          </w:p>
        </w:tc>
        <w:tc>
          <w:tcPr>
            <w:tcW w:w="1971" w:type="dxa"/>
            <w:vAlign w:val="center"/>
          </w:tcPr>
          <w:p>
            <w:pPr>
              <w:pStyle w:val="14"/>
            </w:pPr>
            <w:r>
              <w:t>77.78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w:t>
            </w:r>
          </w:p>
        </w:tc>
        <w:tc>
          <w:tcPr>
            <w:tcW w:w="1971" w:type="dxa"/>
            <w:vAlign w:val="center"/>
          </w:tcPr>
          <w:p>
            <w:pPr>
              <w:pStyle w:val="15"/>
            </w:pPr>
            <w:r>
              <w:t>二、政府性基金预算拨款收入</w:t>
            </w:r>
          </w:p>
        </w:tc>
        <w:tc>
          <w:tcPr>
            <w:tcW w:w="1971" w:type="dxa"/>
            <w:vAlign w:val="center"/>
          </w:tcPr>
          <w:p>
            <w:pPr>
              <w:pStyle w:val="14"/>
            </w:pPr>
          </w:p>
        </w:tc>
        <w:tc>
          <w:tcPr>
            <w:tcW w:w="1971" w:type="dxa"/>
            <w:vAlign w:val="center"/>
          </w:tcPr>
          <w:p>
            <w:pPr>
              <w:pStyle w:val="15"/>
            </w:pPr>
            <w:r>
              <w:t>二、外交支出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3</w:t>
            </w:r>
          </w:p>
        </w:tc>
        <w:tc>
          <w:tcPr>
            <w:tcW w:w="1971" w:type="dxa"/>
            <w:vAlign w:val="center"/>
          </w:tcPr>
          <w:p>
            <w:pPr>
              <w:pStyle w:val="15"/>
            </w:pPr>
            <w:r>
              <w:t>三、国有资本经营预算拨款收入</w:t>
            </w:r>
          </w:p>
        </w:tc>
        <w:tc>
          <w:tcPr>
            <w:tcW w:w="1971" w:type="dxa"/>
            <w:vAlign w:val="center"/>
          </w:tcPr>
          <w:p>
            <w:pPr>
              <w:pStyle w:val="14"/>
            </w:pPr>
          </w:p>
        </w:tc>
        <w:tc>
          <w:tcPr>
            <w:tcW w:w="1971" w:type="dxa"/>
            <w:vAlign w:val="center"/>
          </w:tcPr>
          <w:p>
            <w:pPr>
              <w:pStyle w:val="15"/>
            </w:pPr>
            <w:r>
              <w:t>三、国防支出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4</w:t>
            </w:r>
          </w:p>
        </w:tc>
        <w:tc>
          <w:tcPr>
            <w:tcW w:w="1971" w:type="dxa"/>
            <w:vAlign w:val="center"/>
          </w:tcPr>
          <w:p>
            <w:pPr>
              <w:pStyle w:val="15"/>
            </w:pPr>
            <w:r>
              <w:t>四、财政专户管理资金收入</w:t>
            </w:r>
          </w:p>
        </w:tc>
        <w:tc>
          <w:tcPr>
            <w:tcW w:w="1971" w:type="dxa"/>
            <w:vAlign w:val="center"/>
          </w:tcPr>
          <w:p>
            <w:pPr>
              <w:pStyle w:val="14"/>
            </w:pPr>
          </w:p>
        </w:tc>
        <w:tc>
          <w:tcPr>
            <w:tcW w:w="1971" w:type="dxa"/>
            <w:vAlign w:val="center"/>
          </w:tcPr>
          <w:p>
            <w:pPr>
              <w:pStyle w:val="15"/>
            </w:pPr>
            <w:r>
              <w:t>四、公共安全支出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5</w:t>
            </w:r>
          </w:p>
        </w:tc>
        <w:tc>
          <w:tcPr>
            <w:tcW w:w="1971" w:type="dxa"/>
            <w:vAlign w:val="center"/>
          </w:tcPr>
          <w:p>
            <w:pPr>
              <w:pStyle w:val="15"/>
            </w:pPr>
            <w:r>
              <w:t>五、事业收入</w:t>
            </w:r>
          </w:p>
        </w:tc>
        <w:tc>
          <w:tcPr>
            <w:tcW w:w="1971" w:type="dxa"/>
            <w:vAlign w:val="center"/>
          </w:tcPr>
          <w:p>
            <w:pPr>
              <w:pStyle w:val="14"/>
            </w:pPr>
          </w:p>
        </w:tc>
        <w:tc>
          <w:tcPr>
            <w:tcW w:w="1971" w:type="dxa"/>
            <w:vAlign w:val="center"/>
          </w:tcPr>
          <w:p>
            <w:pPr>
              <w:pStyle w:val="15"/>
            </w:pPr>
            <w:r>
              <w:t>五、教育支出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6</w:t>
            </w:r>
          </w:p>
        </w:tc>
        <w:tc>
          <w:tcPr>
            <w:tcW w:w="1971" w:type="dxa"/>
            <w:vAlign w:val="center"/>
          </w:tcPr>
          <w:p>
            <w:pPr>
              <w:pStyle w:val="15"/>
            </w:pPr>
            <w:r>
              <w:t>六、事业单位经营收入</w:t>
            </w:r>
          </w:p>
        </w:tc>
        <w:tc>
          <w:tcPr>
            <w:tcW w:w="1971" w:type="dxa"/>
            <w:vAlign w:val="center"/>
          </w:tcPr>
          <w:p>
            <w:pPr>
              <w:pStyle w:val="14"/>
            </w:pPr>
          </w:p>
        </w:tc>
        <w:tc>
          <w:tcPr>
            <w:tcW w:w="1971" w:type="dxa"/>
            <w:vAlign w:val="center"/>
          </w:tcPr>
          <w:p>
            <w:pPr>
              <w:pStyle w:val="15"/>
            </w:pPr>
            <w:r>
              <w:t>六、科学技术支出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7</w:t>
            </w:r>
          </w:p>
        </w:tc>
        <w:tc>
          <w:tcPr>
            <w:tcW w:w="1971" w:type="dxa"/>
            <w:vAlign w:val="center"/>
          </w:tcPr>
          <w:p>
            <w:pPr>
              <w:pStyle w:val="15"/>
            </w:pPr>
            <w:r>
              <w:t>七、上级补助收入</w:t>
            </w:r>
          </w:p>
        </w:tc>
        <w:tc>
          <w:tcPr>
            <w:tcW w:w="1971" w:type="dxa"/>
            <w:vAlign w:val="center"/>
          </w:tcPr>
          <w:p>
            <w:pPr>
              <w:pStyle w:val="14"/>
            </w:pPr>
          </w:p>
        </w:tc>
        <w:tc>
          <w:tcPr>
            <w:tcW w:w="1971" w:type="dxa"/>
            <w:vAlign w:val="center"/>
          </w:tcPr>
          <w:p>
            <w:pPr>
              <w:pStyle w:val="15"/>
            </w:pPr>
            <w:r>
              <w:t>七、文化旅游体育与传媒支出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8</w:t>
            </w:r>
          </w:p>
        </w:tc>
        <w:tc>
          <w:tcPr>
            <w:tcW w:w="1971" w:type="dxa"/>
            <w:vAlign w:val="center"/>
          </w:tcPr>
          <w:p>
            <w:pPr>
              <w:pStyle w:val="15"/>
            </w:pPr>
            <w:r>
              <w:t>八、附属单位上缴收入</w:t>
            </w:r>
          </w:p>
        </w:tc>
        <w:tc>
          <w:tcPr>
            <w:tcW w:w="1971" w:type="dxa"/>
            <w:vAlign w:val="center"/>
          </w:tcPr>
          <w:p>
            <w:pPr>
              <w:pStyle w:val="14"/>
            </w:pPr>
          </w:p>
        </w:tc>
        <w:tc>
          <w:tcPr>
            <w:tcW w:w="1971" w:type="dxa"/>
            <w:vAlign w:val="center"/>
          </w:tcPr>
          <w:p>
            <w:pPr>
              <w:pStyle w:val="15"/>
            </w:pPr>
            <w:r>
              <w:t>八、社会保障和就业支出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9</w:t>
            </w:r>
          </w:p>
        </w:tc>
        <w:tc>
          <w:tcPr>
            <w:tcW w:w="1971" w:type="dxa"/>
            <w:vAlign w:val="center"/>
          </w:tcPr>
          <w:p>
            <w:pPr>
              <w:pStyle w:val="15"/>
            </w:pPr>
            <w:r>
              <w:t>九、其他收入</w:t>
            </w:r>
          </w:p>
        </w:tc>
        <w:tc>
          <w:tcPr>
            <w:tcW w:w="1971" w:type="dxa"/>
            <w:vAlign w:val="center"/>
          </w:tcPr>
          <w:p>
            <w:pPr>
              <w:pStyle w:val="14"/>
            </w:pPr>
          </w:p>
        </w:tc>
        <w:tc>
          <w:tcPr>
            <w:tcW w:w="1971" w:type="dxa"/>
            <w:vAlign w:val="center"/>
          </w:tcPr>
          <w:p>
            <w:pPr>
              <w:pStyle w:val="15"/>
            </w:pPr>
            <w:r>
              <w:t>九、社会保险基金支出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10</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十、卫生健康支出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11</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十一、节能环保支出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12</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十二、城乡社区支出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13</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十三、农林水支出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14</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十四、交通运输支出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15</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十五、资源勘探工业信息等支出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16</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十六、商业服务业等支出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17</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十七、金融支出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18</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十八、援助其他地区支出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19</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十九、自然资源海洋气象等支出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20</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二十、住房保障支出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21</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二十一、粮油物资储备支出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22</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二十二、国有资本经营预算支出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23</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二十三、灾害防治及应急管理支出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24</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二十四、预备费</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25</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二十五、其他支出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26</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二十六、转移性支出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27</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二十七、债务还本支出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28</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二十八、债务付息支出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29</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二十九、债务发行费用支出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30</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三十、抗疫特别国债安排的支出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31</w:t>
            </w:r>
          </w:p>
        </w:tc>
        <w:tc>
          <w:tcPr>
            <w:tcW w:w="1971" w:type="dxa"/>
            <w:vAlign w:val="center"/>
          </w:tcPr>
          <w:p>
            <w:pPr>
              <w:pStyle w:val="17"/>
            </w:pPr>
            <w:r>
              <w:t>本年收入合计</w:t>
            </w:r>
          </w:p>
        </w:tc>
        <w:tc>
          <w:tcPr>
            <w:tcW w:w="1971" w:type="dxa"/>
            <w:vAlign w:val="center"/>
          </w:tcPr>
          <w:p>
            <w:pPr>
              <w:pStyle w:val="18"/>
            </w:pPr>
            <w:r>
              <w:t>77.78</w:t>
            </w:r>
          </w:p>
        </w:tc>
        <w:tc>
          <w:tcPr>
            <w:tcW w:w="1971" w:type="dxa"/>
            <w:vAlign w:val="center"/>
          </w:tcPr>
          <w:p>
            <w:pPr>
              <w:pStyle w:val="17"/>
            </w:pPr>
            <w:r>
              <w:t>本年支出合计</w:t>
            </w:r>
          </w:p>
        </w:tc>
        <w:tc>
          <w:tcPr>
            <w:tcW w:w="1971" w:type="dxa"/>
            <w:vAlign w:val="center"/>
          </w:tcPr>
          <w:p>
            <w:pPr>
              <w:pStyle w:val="18"/>
            </w:pPr>
            <w:r>
              <w:t>77.78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32</w:t>
            </w:r>
          </w:p>
        </w:tc>
        <w:tc>
          <w:tcPr>
            <w:tcW w:w="1971" w:type="dxa"/>
            <w:vAlign w:val="center"/>
          </w:tcPr>
          <w:p>
            <w:pPr>
              <w:pStyle w:val="15"/>
            </w:pPr>
            <w:r>
              <w:t>上年结转结余</w:t>
            </w:r>
          </w:p>
        </w:tc>
        <w:tc>
          <w:tcPr>
            <w:tcW w:w="1971" w:type="dxa"/>
            <w:vAlign w:val="center"/>
          </w:tcPr>
          <w:p>
            <w:pPr>
              <w:pStyle w:val="14"/>
            </w:pPr>
          </w:p>
        </w:tc>
        <w:tc>
          <w:tcPr>
            <w:tcW w:w="1971" w:type="dxa"/>
            <w:vAlign w:val="center"/>
          </w:tcPr>
          <w:p>
            <w:pPr>
              <w:pStyle w:val="15"/>
            </w:pPr>
            <w:r>
              <w:t>年终结转结余</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33</w:t>
            </w:r>
          </w:p>
        </w:tc>
        <w:tc>
          <w:tcPr>
            <w:tcW w:w="1971" w:type="dxa"/>
            <w:vAlign w:val="center"/>
          </w:tcPr>
          <w:p>
            <w:pPr>
              <w:pStyle w:val="17"/>
            </w:pPr>
            <w:r>
              <w:t>收入总计</w:t>
            </w:r>
          </w:p>
        </w:tc>
        <w:tc>
          <w:tcPr>
            <w:tcW w:w="1971" w:type="dxa"/>
            <w:vAlign w:val="center"/>
          </w:tcPr>
          <w:p>
            <w:pPr>
              <w:pStyle w:val="18"/>
            </w:pPr>
            <w:r>
              <w:t>77.78</w:t>
            </w:r>
          </w:p>
        </w:tc>
        <w:tc>
          <w:tcPr>
            <w:tcW w:w="1971" w:type="dxa"/>
            <w:vAlign w:val="center"/>
          </w:tcPr>
          <w:p>
            <w:pPr>
              <w:pStyle w:val="17"/>
            </w:pPr>
            <w:r>
              <w:t>支出总计</w:t>
            </w:r>
          </w:p>
        </w:tc>
        <w:tc>
          <w:tcPr>
            <w:tcW w:w="1971" w:type="dxa"/>
            <w:vAlign w:val="center"/>
          </w:tcPr>
          <w:p>
            <w:pPr>
              <w:pStyle w:val="18"/>
            </w:pPr>
            <w:r>
              <w:t>77.78</w:t>
            </w:r>
          </w:p>
        </w:tc>
      </w:tr>
    </w:tbl>
    <w:p>
      <w:pPr>
        <w:sectPr>
          <w:footerReference r:id="rId3" w:type="default"/>
          <w:footerReference r:id="rId4" w:type="even"/>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1" w:name="_Toc31173"/>
      <w:r>
        <w:rPr>
          <w:rFonts w:ascii="方正小标宋_GBK" w:hAnsi="方正小标宋_GBK" w:eastAsia="方正小标宋_GBK" w:cs="方正小标宋_GBK"/>
          <w:color w:val="000000"/>
          <w:sz w:val="36"/>
        </w:rPr>
        <w:t>部门预算收入总表</w:t>
      </w:r>
      <w:bookmarkEnd w:id="1"/>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2"/>
            </w:pPr>
            <w:r>
              <w:t>283中共石家庄市藁城区委党史研究室</w:t>
            </w:r>
          </w:p>
        </w:tc>
        <w:tc>
          <w:tcPr>
            <w:tcW w:w="2274" w:type="dxa"/>
            <w:gridSpan w:val="3"/>
            <w:tcBorders>
              <w:top w:val="single" w:color="FFFFFF" w:sz="6" w:space="0"/>
              <w:left w:val="single" w:color="FFFFFF" w:sz="6" w:space="0"/>
              <w:right w:val="single" w:color="FFFFFF" w:sz="6" w:space="0"/>
            </w:tcBorders>
            <w:vAlign w:val="center"/>
          </w:tcPr>
          <w:p>
            <w:pPr>
              <w:pStyle w:val="11"/>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3"/>
            </w:pPr>
            <w:r>
              <w:t>序号</w:t>
            </w:r>
          </w:p>
        </w:tc>
        <w:tc>
          <w:tcPr>
            <w:tcW w:w="1516" w:type="dxa"/>
            <w:gridSpan w:val="2"/>
            <w:vAlign w:val="center"/>
          </w:tcPr>
          <w:p>
            <w:pPr>
              <w:pStyle w:val="13"/>
            </w:pPr>
            <w:r>
              <w:t>功能分类科目</w:t>
            </w:r>
          </w:p>
        </w:tc>
        <w:tc>
          <w:tcPr>
            <w:tcW w:w="758" w:type="dxa"/>
            <w:vMerge w:val="restart"/>
            <w:vAlign w:val="center"/>
          </w:tcPr>
          <w:p>
            <w:pPr>
              <w:pStyle w:val="13"/>
            </w:pPr>
            <w:r>
              <w:t>合计</w:t>
            </w:r>
          </w:p>
        </w:tc>
        <w:tc>
          <w:tcPr>
            <w:tcW w:w="6064" w:type="dxa"/>
            <w:gridSpan w:val="8"/>
            <w:vAlign w:val="center"/>
          </w:tcPr>
          <w:p>
            <w:pPr>
              <w:pStyle w:val="13"/>
            </w:pPr>
            <w:r>
              <w:t>本年收入</w:t>
            </w:r>
          </w:p>
        </w:tc>
        <w:tc>
          <w:tcPr>
            <w:tcW w:w="758"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3"/>
            </w:pPr>
            <w:r>
              <w:t>科目    编码</w:t>
            </w:r>
          </w:p>
        </w:tc>
        <w:tc>
          <w:tcPr>
            <w:tcW w:w="758" w:type="dxa"/>
            <w:vAlign w:val="center"/>
          </w:tcPr>
          <w:p>
            <w:pPr>
              <w:pStyle w:val="13"/>
            </w:pPr>
            <w:r>
              <w:t>科目名称</w:t>
            </w:r>
          </w:p>
        </w:tc>
        <w:tc>
          <w:tcPr>
            <w:tcW w:w="758" w:type="dxa"/>
            <w:vMerge w:val="continue"/>
          </w:tcPr>
          <w:p/>
        </w:tc>
        <w:tc>
          <w:tcPr>
            <w:tcW w:w="758" w:type="dxa"/>
            <w:vAlign w:val="center"/>
          </w:tcPr>
          <w:p>
            <w:pPr>
              <w:pStyle w:val="13"/>
            </w:pPr>
            <w:r>
              <w:t>小计</w:t>
            </w:r>
          </w:p>
        </w:tc>
        <w:tc>
          <w:tcPr>
            <w:tcW w:w="758" w:type="dxa"/>
            <w:vAlign w:val="center"/>
          </w:tcPr>
          <w:p>
            <w:pPr>
              <w:pStyle w:val="13"/>
            </w:pPr>
            <w:r>
              <w:t>财政拨款 收入</w:t>
            </w:r>
          </w:p>
        </w:tc>
        <w:tc>
          <w:tcPr>
            <w:tcW w:w="758" w:type="dxa"/>
            <w:vAlign w:val="center"/>
          </w:tcPr>
          <w:p>
            <w:pPr>
              <w:pStyle w:val="13"/>
            </w:pPr>
            <w:r>
              <w:t>财政专户 收入</w:t>
            </w:r>
          </w:p>
        </w:tc>
        <w:tc>
          <w:tcPr>
            <w:tcW w:w="758" w:type="dxa"/>
            <w:vAlign w:val="center"/>
          </w:tcPr>
          <w:p>
            <w:pPr>
              <w:pStyle w:val="13"/>
            </w:pPr>
            <w:r>
              <w:t>事业收入</w:t>
            </w:r>
          </w:p>
        </w:tc>
        <w:tc>
          <w:tcPr>
            <w:tcW w:w="758" w:type="dxa"/>
            <w:vAlign w:val="center"/>
          </w:tcPr>
          <w:p>
            <w:pPr>
              <w:pStyle w:val="13"/>
            </w:pPr>
            <w:r>
              <w:t>经营收入</w:t>
            </w:r>
          </w:p>
        </w:tc>
        <w:tc>
          <w:tcPr>
            <w:tcW w:w="758" w:type="dxa"/>
            <w:vAlign w:val="center"/>
          </w:tcPr>
          <w:p>
            <w:pPr>
              <w:pStyle w:val="13"/>
            </w:pPr>
            <w:r>
              <w:t>上级补助收入</w:t>
            </w:r>
          </w:p>
        </w:tc>
        <w:tc>
          <w:tcPr>
            <w:tcW w:w="758" w:type="dxa"/>
            <w:vAlign w:val="center"/>
          </w:tcPr>
          <w:p>
            <w:pPr>
              <w:pStyle w:val="13"/>
            </w:pPr>
            <w:r>
              <w:t>附属单位上缴收入</w:t>
            </w:r>
          </w:p>
        </w:tc>
        <w:tc>
          <w:tcPr>
            <w:tcW w:w="758" w:type="dxa"/>
            <w:vAlign w:val="center"/>
          </w:tcPr>
          <w:p>
            <w:pPr>
              <w:pStyle w:val="13"/>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3"/>
            </w:pPr>
            <w:r>
              <w:t>栏次</w:t>
            </w:r>
          </w:p>
        </w:tc>
        <w:tc>
          <w:tcPr>
            <w:tcW w:w="758" w:type="dxa"/>
            <w:vAlign w:val="center"/>
          </w:tcPr>
          <w:p>
            <w:pPr>
              <w:pStyle w:val="13"/>
            </w:pPr>
            <w:r>
              <w:t>1</w:t>
            </w:r>
          </w:p>
        </w:tc>
        <w:tc>
          <w:tcPr>
            <w:tcW w:w="758" w:type="dxa"/>
            <w:vAlign w:val="center"/>
          </w:tcPr>
          <w:p>
            <w:pPr>
              <w:pStyle w:val="13"/>
            </w:pPr>
            <w:r>
              <w:t>2</w:t>
            </w:r>
          </w:p>
        </w:tc>
        <w:tc>
          <w:tcPr>
            <w:tcW w:w="758" w:type="dxa"/>
            <w:vAlign w:val="center"/>
          </w:tcPr>
          <w:p>
            <w:pPr>
              <w:pStyle w:val="13"/>
            </w:pPr>
            <w:r>
              <w:t>3</w:t>
            </w:r>
          </w:p>
        </w:tc>
        <w:tc>
          <w:tcPr>
            <w:tcW w:w="758" w:type="dxa"/>
            <w:vAlign w:val="center"/>
          </w:tcPr>
          <w:p>
            <w:pPr>
              <w:pStyle w:val="13"/>
            </w:pPr>
            <w:r>
              <w:t>4</w:t>
            </w:r>
          </w:p>
        </w:tc>
        <w:tc>
          <w:tcPr>
            <w:tcW w:w="758" w:type="dxa"/>
            <w:vAlign w:val="center"/>
          </w:tcPr>
          <w:p>
            <w:pPr>
              <w:pStyle w:val="13"/>
            </w:pPr>
            <w:r>
              <w:t>5</w:t>
            </w:r>
          </w:p>
        </w:tc>
        <w:tc>
          <w:tcPr>
            <w:tcW w:w="758" w:type="dxa"/>
            <w:vAlign w:val="center"/>
          </w:tcPr>
          <w:p>
            <w:pPr>
              <w:pStyle w:val="13"/>
            </w:pPr>
            <w:r>
              <w:t>6</w:t>
            </w:r>
          </w:p>
        </w:tc>
        <w:tc>
          <w:tcPr>
            <w:tcW w:w="758" w:type="dxa"/>
            <w:vAlign w:val="center"/>
          </w:tcPr>
          <w:p>
            <w:pPr>
              <w:pStyle w:val="13"/>
            </w:pPr>
            <w:r>
              <w:t>7</w:t>
            </w:r>
          </w:p>
        </w:tc>
        <w:tc>
          <w:tcPr>
            <w:tcW w:w="758" w:type="dxa"/>
            <w:vAlign w:val="center"/>
          </w:tcPr>
          <w:p>
            <w:pPr>
              <w:pStyle w:val="13"/>
            </w:pPr>
            <w:r>
              <w:t>8</w:t>
            </w:r>
          </w:p>
        </w:tc>
        <w:tc>
          <w:tcPr>
            <w:tcW w:w="758" w:type="dxa"/>
            <w:vAlign w:val="center"/>
          </w:tcPr>
          <w:p>
            <w:pPr>
              <w:pStyle w:val="13"/>
            </w:pPr>
            <w:r>
              <w:t>9</w:t>
            </w:r>
          </w:p>
        </w:tc>
        <w:tc>
          <w:tcPr>
            <w:tcW w:w="758" w:type="dxa"/>
            <w:vAlign w:val="center"/>
          </w:tcPr>
          <w:p>
            <w:pPr>
              <w:pStyle w:val="13"/>
            </w:pPr>
            <w:r>
              <w:t>10</w:t>
            </w:r>
          </w:p>
        </w:tc>
        <w:tc>
          <w:tcPr>
            <w:tcW w:w="758" w:type="dxa"/>
            <w:vAlign w:val="center"/>
          </w:tcPr>
          <w:p>
            <w:pPr>
              <w:pStyle w:val="13"/>
            </w:pPr>
            <w:r>
              <w:t>11</w:t>
            </w:r>
          </w:p>
        </w:tc>
        <w:tc>
          <w:tcPr>
            <w:tcW w:w="758"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w:t>
            </w:r>
          </w:p>
        </w:tc>
        <w:tc>
          <w:tcPr>
            <w:tcW w:w="758" w:type="dxa"/>
            <w:vAlign w:val="center"/>
          </w:tcPr>
          <w:p>
            <w:pPr>
              <w:pStyle w:val="19"/>
            </w:pPr>
          </w:p>
        </w:tc>
        <w:tc>
          <w:tcPr>
            <w:tcW w:w="758" w:type="dxa"/>
            <w:vAlign w:val="center"/>
          </w:tcPr>
          <w:p>
            <w:pPr>
              <w:pStyle w:val="17"/>
            </w:pPr>
            <w:r>
              <w:t>合计</w:t>
            </w:r>
          </w:p>
        </w:tc>
        <w:tc>
          <w:tcPr>
            <w:tcW w:w="758" w:type="dxa"/>
            <w:vAlign w:val="center"/>
          </w:tcPr>
          <w:p>
            <w:pPr>
              <w:pStyle w:val="18"/>
            </w:pPr>
            <w:r>
              <w:t>77.78</w:t>
            </w:r>
          </w:p>
        </w:tc>
        <w:tc>
          <w:tcPr>
            <w:tcW w:w="758" w:type="dxa"/>
            <w:vAlign w:val="center"/>
          </w:tcPr>
          <w:p>
            <w:pPr>
              <w:pStyle w:val="18"/>
            </w:pPr>
            <w:r>
              <w:t>77.78</w:t>
            </w:r>
          </w:p>
        </w:tc>
        <w:tc>
          <w:tcPr>
            <w:tcW w:w="758" w:type="dxa"/>
            <w:vAlign w:val="center"/>
          </w:tcPr>
          <w:p>
            <w:pPr>
              <w:pStyle w:val="18"/>
            </w:pPr>
            <w:r>
              <w:t>77.78</w:t>
            </w: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w:t>
            </w:r>
          </w:p>
        </w:tc>
        <w:tc>
          <w:tcPr>
            <w:tcW w:w="758" w:type="dxa"/>
            <w:vAlign w:val="center"/>
          </w:tcPr>
          <w:p>
            <w:pPr>
              <w:pStyle w:val="15"/>
            </w:pPr>
            <w:r>
              <w:t>201</w:t>
            </w:r>
          </w:p>
        </w:tc>
        <w:tc>
          <w:tcPr>
            <w:tcW w:w="758" w:type="dxa"/>
            <w:vAlign w:val="center"/>
          </w:tcPr>
          <w:p>
            <w:pPr>
              <w:pStyle w:val="15"/>
            </w:pPr>
            <w:r>
              <w:t>一般公共服务支出</w:t>
            </w:r>
          </w:p>
        </w:tc>
        <w:tc>
          <w:tcPr>
            <w:tcW w:w="758" w:type="dxa"/>
            <w:vAlign w:val="center"/>
          </w:tcPr>
          <w:p>
            <w:pPr>
              <w:pStyle w:val="14"/>
            </w:pPr>
            <w:r>
              <w:t>77.78</w:t>
            </w:r>
          </w:p>
        </w:tc>
        <w:tc>
          <w:tcPr>
            <w:tcW w:w="758" w:type="dxa"/>
            <w:vAlign w:val="center"/>
          </w:tcPr>
          <w:p>
            <w:pPr>
              <w:pStyle w:val="14"/>
            </w:pPr>
            <w:r>
              <w:t>77.78</w:t>
            </w:r>
          </w:p>
        </w:tc>
        <w:tc>
          <w:tcPr>
            <w:tcW w:w="758" w:type="dxa"/>
            <w:vAlign w:val="center"/>
          </w:tcPr>
          <w:p>
            <w:pPr>
              <w:pStyle w:val="14"/>
            </w:pPr>
            <w:r>
              <w:t>77.78</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3</w:t>
            </w:r>
          </w:p>
        </w:tc>
        <w:tc>
          <w:tcPr>
            <w:tcW w:w="758" w:type="dxa"/>
            <w:vAlign w:val="center"/>
          </w:tcPr>
          <w:p>
            <w:pPr>
              <w:pStyle w:val="15"/>
            </w:pPr>
            <w:r>
              <w:t>20136</w:t>
            </w:r>
          </w:p>
        </w:tc>
        <w:tc>
          <w:tcPr>
            <w:tcW w:w="758" w:type="dxa"/>
            <w:vAlign w:val="center"/>
          </w:tcPr>
          <w:p>
            <w:pPr>
              <w:pStyle w:val="15"/>
            </w:pPr>
            <w:r>
              <w:t>其他共产党事务支出</w:t>
            </w:r>
          </w:p>
        </w:tc>
        <w:tc>
          <w:tcPr>
            <w:tcW w:w="758" w:type="dxa"/>
            <w:vAlign w:val="center"/>
          </w:tcPr>
          <w:p>
            <w:pPr>
              <w:pStyle w:val="14"/>
            </w:pPr>
            <w:r>
              <w:t>77.78</w:t>
            </w:r>
          </w:p>
        </w:tc>
        <w:tc>
          <w:tcPr>
            <w:tcW w:w="758" w:type="dxa"/>
            <w:vAlign w:val="center"/>
          </w:tcPr>
          <w:p>
            <w:pPr>
              <w:pStyle w:val="14"/>
            </w:pPr>
            <w:r>
              <w:t>77.78</w:t>
            </w:r>
          </w:p>
        </w:tc>
        <w:tc>
          <w:tcPr>
            <w:tcW w:w="758" w:type="dxa"/>
            <w:vAlign w:val="center"/>
          </w:tcPr>
          <w:p>
            <w:pPr>
              <w:pStyle w:val="14"/>
            </w:pPr>
            <w:r>
              <w:t>77.78</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4</w:t>
            </w:r>
          </w:p>
        </w:tc>
        <w:tc>
          <w:tcPr>
            <w:tcW w:w="758" w:type="dxa"/>
            <w:vAlign w:val="center"/>
          </w:tcPr>
          <w:p>
            <w:pPr>
              <w:pStyle w:val="15"/>
            </w:pPr>
            <w:r>
              <w:t>2013601</w:t>
            </w:r>
          </w:p>
        </w:tc>
        <w:tc>
          <w:tcPr>
            <w:tcW w:w="758" w:type="dxa"/>
            <w:vAlign w:val="center"/>
          </w:tcPr>
          <w:p>
            <w:pPr>
              <w:pStyle w:val="15"/>
            </w:pPr>
            <w:r>
              <w:t>行政运行</w:t>
            </w:r>
          </w:p>
        </w:tc>
        <w:tc>
          <w:tcPr>
            <w:tcW w:w="758" w:type="dxa"/>
            <w:vAlign w:val="center"/>
          </w:tcPr>
          <w:p>
            <w:pPr>
              <w:pStyle w:val="14"/>
            </w:pPr>
            <w:r>
              <w:t>70.13</w:t>
            </w:r>
          </w:p>
        </w:tc>
        <w:tc>
          <w:tcPr>
            <w:tcW w:w="758" w:type="dxa"/>
            <w:vAlign w:val="center"/>
          </w:tcPr>
          <w:p>
            <w:pPr>
              <w:pStyle w:val="14"/>
            </w:pPr>
            <w:r>
              <w:t>70.13</w:t>
            </w:r>
          </w:p>
        </w:tc>
        <w:tc>
          <w:tcPr>
            <w:tcW w:w="758" w:type="dxa"/>
            <w:vAlign w:val="center"/>
          </w:tcPr>
          <w:p>
            <w:pPr>
              <w:pStyle w:val="14"/>
            </w:pPr>
            <w:r>
              <w:t>70.13</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5</w:t>
            </w:r>
          </w:p>
        </w:tc>
        <w:tc>
          <w:tcPr>
            <w:tcW w:w="758" w:type="dxa"/>
            <w:vAlign w:val="center"/>
          </w:tcPr>
          <w:p>
            <w:pPr>
              <w:pStyle w:val="15"/>
            </w:pPr>
            <w:r>
              <w:t>2013602</w:t>
            </w:r>
          </w:p>
        </w:tc>
        <w:tc>
          <w:tcPr>
            <w:tcW w:w="758" w:type="dxa"/>
            <w:vAlign w:val="center"/>
          </w:tcPr>
          <w:p>
            <w:pPr>
              <w:pStyle w:val="15"/>
            </w:pPr>
            <w:r>
              <w:t>一般行政管理事务</w:t>
            </w:r>
          </w:p>
        </w:tc>
        <w:tc>
          <w:tcPr>
            <w:tcW w:w="758" w:type="dxa"/>
            <w:vAlign w:val="center"/>
          </w:tcPr>
          <w:p>
            <w:pPr>
              <w:pStyle w:val="14"/>
            </w:pPr>
            <w:r>
              <w:t>7.65</w:t>
            </w:r>
          </w:p>
        </w:tc>
        <w:tc>
          <w:tcPr>
            <w:tcW w:w="758" w:type="dxa"/>
            <w:vAlign w:val="center"/>
          </w:tcPr>
          <w:p>
            <w:pPr>
              <w:pStyle w:val="14"/>
            </w:pPr>
            <w:r>
              <w:t>7.65</w:t>
            </w:r>
          </w:p>
        </w:tc>
        <w:tc>
          <w:tcPr>
            <w:tcW w:w="758" w:type="dxa"/>
            <w:vAlign w:val="center"/>
          </w:tcPr>
          <w:p>
            <w:pPr>
              <w:pStyle w:val="14"/>
            </w:pPr>
            <w:r>
              <w:t>7.65</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2" w:name="_Toc27878"/>
      <w:r>
        <w:rPr>
          <w:rFonts w:ascii="方正小标宋_GBK" w:hAnsi="方正小标宋_GBK" w:eastAsia="方正小标宋_GBK" w:cs="方正小标宋_GBK"/>
          <w:color w:val="000000"/>
          <w:sz w:val="36"/>
        </w:rPr>
        <w:t>部门预算支出总表</w:t>
      </w:r>
      <w:bookmarkEnd w:id="2"/>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2"/>
            </w:pPr>
            <w:r>
              <w:t>283中共石家庄市藁城区委党史研究室</w:t>
            </w:r>
          </w:p>
        </w:tc>
        <w:tc>
          <w:tcPr>
            <w:tcW w:w="2190" w:type="dxa"/>
            <w:gridSpan w:val="2"/>
            <w:tcBorders>
              <w:top w:val="single" w:color="FFFFFF" w:sz="6" w:space="0"/>
              <w:left w:val="single" w:color="FFFFFF" w:sz="6" w:space="0"/>
              <w:right w:val="single" w:color="FFFFFF" w:sz="6" w:space="0"/>
            </w:tcBorders>
            <w:vAlign w:val="center"/>
          </w:tcPr>
          <w:p>
            <w:pPr>
              <w:pStyle w:val="11"/>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3"/>
            </w:pPr>
            <w:r>
              <w:t>序号</w:t>
            </w:r>
          </w:p>
        </w:tc>
        <w:tc>
          <w:tcPr>
            <w:tcW w:w="2190" w:type="dxa"/>
            <w:gridSpan w:val="2"/>
            <w:vAlign w:val="center"/>
          </w:tcPr>
          <w:p>
            <w:pPr>
              <w:pStyle w:val="13"/>
            </w:pPr>
            <w:r>
              <w:t>功能分类科目</w:t>
            </w:r>
          </w:p>
        </w:tc>
        <w:tc>
          <w:tcPr>
            <w:tcW w:w="1095" w:type="dxa"/>
            <w:vMerge w:val="restart"/>
            <w:vAlign w:val="center"/>
          </w:tcPr>
          <w:p>
            <w:pPr>
              <w:pStyle w:val="13"/>
            </w:pPr>
            <w:r>
              <w:t>合计</w:t>
            </w:r>
          </w:p>
        </w:tc>
        <w:tc>
          <w:tcPr>
            <w:tcW w:w="1095"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109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3"/>
            </w:pPr>
            <w:r>
              <w:t>科目    编码</w:t>
            </w:r>
          </w:p>
        </w:tc>
        <w:tc>
          <w:tcPr>
            <w:tcW w:w="1095" w:type="dxa"/>
            <w:vAlign w:val="center"/>
          </w:tcPr>
          <w:p>
            <w:pPr>
              <w:pStyle w:val="13"/>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3"/>
            </w:pPr>
            <w:r>
              <w:t>栏次</w:t>
            </w:r>
          </w:p>
        </w:tc>
        <w:tc>
          <w:tcPr>
            <w:tcW w:w="1095" w:type="dxa"/>
            <w:vAlign w:val="center"/>
          </w:tcPr>
          <w:p>
            <w:pPr>
              <w:pStyle w:val="13"/>
            </w:pPr>
            <w:r>
              <w:t>1</w:t>
            </w:r>
          </w:p>
        </w:tc>
        <w:tc>
          <w:tcPr>
            <w:tcW w:w="1095" w:type="dxa"/>
            <w:vAlign w:val="center"/>
          </w:tcPr>
          <w:p>
            <w:pPr>
              <w:pStyle w:val="13"/>
            </w:pPr>
            <w:r>
              <w:t>2</w:t>
            </w:r>
          </w:p>
        </w:tc>
        <w:tc>
          <w:tcPr>
            <w:tcW w:w="1095" w:type="dxa"/>
            <w:vAlign w:val="center"/>
          </w:tcPr>
          <w:p>
            <w:pPr>
              <w:pStyle w:val="13"/>
            </w:pPr>
            <w:r>
              <w:t>3</w:t>
            </w:r>
          </w:p>
        </w:tc>
        <w:tc>
          <w:tcPr>
            <w:tcW w:w="1095"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109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w:t>
            </w:r>
          </w:p>
        </w:tc>
        <w:tc>
          <w:tcPr>
            <w:tcW w:w="1095" w:type="dxa"/>
            <w:vAlign w:val="center"/>
          </w:tcPr>
          <w:p>
            <w:pPr>
              <w:pStyle w:val="19"/>
            </w:pPr>
          </w:p>
        </w:tc>
        <w:tc>
          <w:tcPr>
            <w:tcW w:w="1095" w:type="dxa"/>
            <w:vAlign w:val="center"/>
          </w:tcPr>
          <w:p>
            <w:pPr>
              <w:pStyle w:val="17"/>
            </w:pPr>
            <w:r>
              <w:t>合计</w:t>
            </w:r>
          </w:p>
        </w:tc>
        <w:tc>
          <w:tcPr>
            <w:tcW w:w="1095" w:type="dxa"/>
            <w:vAlign w:val="center"/>
          </w:tcPr>
          <w:p>
            <w:pPr>
              <w:pStyle w:val="18"/>
            </w:pPr>
            <w:r>
              <w:t>77.78</w:t>
            </w:r>
          </w:p>
        </w:tc>
        <w:tc>
          <w:tcPr>
            <w:tcW w:w="1095" w:type="dxa"/>
            <w:vAlign w:val="center"/>
          </w:tcPr>
          <w:p>
            <w:pPr>
              <w:pStyle w:val="18"/>
            </w:pPr>
            <w:r>
              <w:t>70.13</w:t>
            </w:r>
          </w:p>
        </w:tc>
        <w:tc>
          <w:tcPr>
            <w:tcW w:w="1095" w:type="dxa"/>
            <w:vAlign w:val="center"/>
          </w:tcPr>
          <w:p>
            <w:pPr>
              <w:pStyle w:val="18"/>
            </w:pPr>
            <w:r>
              <w:t>7.65</w:t>
            </w: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w:t>
            </w:r>
          </w:p>
        </w:tc>
        <w:tc>
          <w:tcPr>
            <w:tcW w:w="1095" w:type="dxa"/>
            <w:vAlign w:val="center"/>
          </w:tcPr>
          <w:p>
            <w:pPr>
              <w:pStyle w:val="15"/>
            </w:pPr>
            <w:r>
              <w:t>201</w:t>
            </w:r>
          </w:p>
        </w:tc>
        <w:tc>
          <w:tcPr>
            <w:tcW w:w="1095" w:type="dxa"/>
            <w:vAlign w:val="center"/>
          </w:tcPr>
          <w:p>
            <w:pPr>
              <w:pStyle w:val="15"/>
            </w:pPr>
            <w:r>
              <w:t>一般公共服务支出</w:t>
            </w:r>
          </w:p>
        </w:tc>
        <w:tc>
          <w:tcPr>
            <w:tcW w:w="1095" w:type="dxa"/>
            <w:vAlign w:val="center"/>
          </w:tcPr>
          <w:p>
            <w:pPr>
              <w:pStyle w:val="14"/>
            </w:pPr>
            <w:r>
              <w:t>77.78</w:t>
            </w:r>
          </w:p>
        </w:tc>
        <w:tc>
          <w:tcPr>
            <w:tcW w:w="1095" w:type="dxa"/>
            <w:vAlign w:val="center"/>
          </w:tcPr>
          <w:p>
            <w:pPr>
              <w:pStyle w:val="14"/>
            </w:pPr>
            <w:r>
              <w:t>70.13</w:t>
            </w:r>
          </w:p>
        </w:tc>
        <w:tc>
          <w:tcPr>
            <w:tcW w:w="1095" w:type="dxa"/>
            <w:vAlign w:val="center"/>
          </w:tcPr>
          <w:p>
            <w:pPr>
              <w:pStyle w:val="14"/>
            </w:pPr>
            <w:r>
              <w:t>7.65</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3</w:t>
            </w:r>
          </w:p>
        </w:tc>
        <w:tc>
          <w:tcPr>
            <w:tcW w:w="1095" w:type="dxa"/>
            <w:vAlign w:val="center"/>
          </w:tcPr>
          <w:p>
            <w:pPr>
              <w:pStyle w:val="15"/>
            </w:pPr>
            <w:r>
              <w:t>20136</w:t>
            </w:r>
          </w:p>
        </w:tc>
        <w:tc>
          <w:tcPr>
            <w:tcW w:w="1095" w:type="dxa"/>
            <w:vAlign w:val="center"/>
          </w:tcPr>
          <w:p>
            <w:pPr>
              <w:pStyle w:val="15"/>
            </w:pPr>
            <w:r>
              <w:t>其他共产党事务支出</w:t>
            </w:r>
          </w:p>
        </w:tc>
        <w:tc>
          <w:tcPr>
            <w:tcW w:w="1095" w:type="dxa"/>
            <w:vAlign w:val="center"/>
          </w:tcPr>
          <w:p>
            <w:pPr>
              <w:pStyle w:val="14"/>
            </w:pPr>
            <w:r>
              <w:t>77.78</w:t>
            </w:r>
          </w:p>
        </w:tc>
        <w:tc>
          <w:tcPr>
            <w:tcW w:w="1095" w:type="dxa"/>
            <w:vAlign w:val="center"/>
          </w:tcPr>
          <w:p>
            <w:pPr>
              <w:pStyle w:val="14"/>
            </w:pPr>
            <w:r>
              <w:t>70.13</w:t>
            </w:r>
          </w:p>
        </w:tc>
        <w:tc>
          <w:tcPr>
            <w:tcW w:w="1095" w:type="dxa"/>
            <w:vAlign w:val="center"/>
          </w:tcPr>
          <w:p>
            <w:pPr>
              <w:pStyle w:val="14"/>
            </w:pPr>
            <w:r>
              <w:t>7.65</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4</w:t>
            </w:r>
          </w:p>
        </w:tc>
        <w:tc>
          <w:tcPr>
            <w:tcW w:w="1095" w:type="dxa"/>
            <w:vAlign w:val="center"/>
          </w:tcPr>
          <w:p>
            <w:pPr>
              <w:pStyle w:val="15"/>
            </w:pPr>
            <w:r>
              <w:t>2013601</w:t>
            </w:r>
          </w:p>
        </w:tc>
        <w:tc>
          <w:tcPr>
            <w:tcW w:w="1095" w:type="dxa"/>
            <w:vAlign w:val="center"/>
          </w:tcPr>
          <w:p>
            <w:pPr>
              <w:pStyle w:val="15"/>
            </w:pPr>
            <w:r>
              <w:t>行政运行</w:t>
            </w:r>
          </w:p>
        </w:tc>
        <w:tc>
          <w:tcPr>
            <w:tcW w:w="1095" w:type="dxa"/>
            <w:vAlign w:val="center"/>
          </w:tcPr>
          <w:p>
            <w:pPr>
              <w:pStyle w:val="14"/>
            </w:pPr>
            <w:r>
              <w:t>70.13</w:t>
            </w:r>
          </w:p>
        </w:tc>
        <w:tc>
          <w:tcPr>
            <w:tcW w:w="1095" w:type="dxa"/>
            <w:vAlign w:val="center"/>
          </w:tcPr>
          <w:p>
            <w:pPr>
              <w:pStyle w:val="14"/>
            </w:pPr>
            <w:r>
              <w:t>70.13</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5</w:t>
            </w:r>
          </w:p>
        </w:tc>
        <w:tc>
          <w:tcPr>
            <w:tcW w:w="1095" w:type="dxa"/>
            <w:vAlign w:val="center"/>
          </w:tcPr>
          <w:p>
            <w:pPr>
              <w:pStyle w:val="15"/>
            </w:pPr>
            <w:r>
              <w:t>2013602</w:t>
            </w:r>
          </w:p>
        </w:tc>
        <w:tc>
          <w:tcPr>
            <w:tcW w:w="1095" w:type="dxa"/>
            <w:vAlign w:val="center"/>
          </w:tcPr>
          <w:p>
            <w:pPr>
              <w:pStyle w:val="15"/>
            </w:pPr>
            <w:r>
              <w:t>一般行政管理事务</w:t>
            </w:r>
          </w:p>
        </w:tc>
        <w:tc>
          <w:tcPr>
            <w:tcW w:w="1095" w:type="dxa"/>
            <w:vAlign w:val="center"/>
          </w:tcPr>
          <w:p>
            <w:pPr>
              <w:pStyle w:val="14"/>
            </w:pPr>
            <w:r>
              <w:t>7.65</w:t>
            </w:r>
          </w:p>
        </w:tc>
        <w:tc>
          <w:tcPr>
            <w:tcW w:w="1095" w:type="dxa"/>
            <w:vAlign w:val="center"/>
          </w:tcPr>
          <w:p>
            <w:pPr>
              <w:pStyle w:val="14"/>
            </w:pPr>
          </w:p>
        </w:tc>
        <w:tc>
          <w:tcPr>
            <w:tcW w:w="1095" w:type="dxa"/>
            <w:vAlign w:val="center"/>
          </w:tcPr>
          <w:p>
            <w:pPr>
              <w:pStyle w:val="14"/>
            </w:pPr>
            <w:r>
              <w:t>7.65</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3" w:name="_Toc29911"/>
      <w:r>
        <w:rPr>
          <w:rFonts w:ascii="方正小标宋_GBK" w:hAnsi="方正小标宋_GBK" w:eastAsia="方正小标宋_GBK" w:cs="方正小标宋_GBK"/>
          <w:color w:val="000000"/>
          <w:sz w:val="36"/>
        </w:rPr>
        <w:t>部门预算财政拨款收支总表</w:t>
      </w:r>
      <w:bookmarkEnd w:id="3"/>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2"/>
            </w:pPr>
            <w:r>
              <w:t>283中共石家庄市藁城区委党史研究室</w:t>
            </w:r>
          </w:p>
        </w:tc>
        <w:tc>
          <w:tcPr>
            <w:tcW w:w="1232" w:type="dxa"/>
            <w:tcBorders>
              <w:top w:val="single" w:color="FFFFFF" w:sz="6" w:space="0"/>
              <w:left w:val="single" w:color="FFFFFF" w:sz="6" w:space="0"/>
              <w:right w:val="single" w:color="FFFFFF" w:sz="6" w:space="0"/>
            </w:tcBorders>
            <w:vAlign w:val="center"/>
          </w:tcPr>
          <w:p>
            <w:pPr>
              <w:pStyle w:val="11"/>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3"/>
            </w:pPr>
            <w:r>
              <w:t>序号</w:t>
            </w:r>
          </w:p>
        </w:tc>
        <w:tc>
          <w:tcPr>
            <w:tcW w:w="2464" w:type="dxa"/>
            <w:gridSpan w:val="2"/>
            <w:vAlign w:val="center"/>
          </w:tcPr>
          <w:p>
            <w:pPr>
              <w:pStyle w:val="13"/>
            </w:pPr>
            <w:r>
              <w:t>收入</w:t>
            </w:r>
          </w:p>
        </w:tc>
        <w:tc>
          <w:tcPr>
            <w:tcW w:w="6160"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3"/>
            </w:pPr>
            <w:r>
              <w:t>项  目</w:t>
            </w:r>
          </w:p>
        </w:tc>
        <w:tc>
          <w:tcPr>
            <w:tcW w:w="1232" w:type="dxa"/>
            <w:vAlign w:val="center"/>
          </w:tcPr>
          <w:p>
            <w:pPr>
              <w:pStyle w:val="13"/>
            </w:pPr>
            <w:r>
              <w:t>金额</w:t>
            </w:r>
          </w:p>
        </w:tc>
        <w:tc>
          <w:tcPr>
            <w:tcW w:w="1232" w:type="dxa"/>
            <w:vAlign w:val="center"/>
          </w:tcPr>
          <w:p>
            <w:pPr>
              <w:pStyle w:val="13"/>
            </w:pPr>
            <w:r>
              <w:t>项  目</w:t>
            </w:r>
          </w:p>
        </w:tc>
        <w:tc>
          <w:tcPr>
            <w:tcW w:w="1232" w:type="dxa"/>
            <w:vAlign w:val="center"/>
          </w:tcPr>
          <w:p>
            <w:pPr>
              <w:pStyle w:val="13"/>
            </w:pPr>
            <w:r>
              <w:t>合计</w:t>
            </w:r>
          </w:p>
        </w:tc>
        <w:tc>
          <w:tcPr>
            <w:tcW w:w="1232" w:type="dxa"/>
            <w:vAlign w:val="center"/>
          </w:tcPr>
          <w:p>
            <w:pPr>
              <w:pStyle w:val="13"/>
            </w:pPr>
            <w:r>
              <w:t>一般公共预算财政拨款</w:t>
            </w:r>
          </w:p>
        </w:tc>
        <w:tc>
          <w:tcPr>
            <w:tcW w:w="1232" w:type="dxa"/>
            <w:vAlign w:val="center"/>
          </w:tcPr>
          <w:p>
            <w:pPr>
              <w:pStyle w:val="13"/>
            </w:pPr>
            <w:r>
              <w:t>政府性基金预算财政    拨款</w:t>
            </w:r>
          </w:p>
        </w:tc>
        <w:tc>
          <w:tcPr>
            <w:tcW w:w="1232"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3"/>
            </w:pPr>
            <w:r>
              <w:t>栏次</w:t>
            </w:r>
          </w:p>
        </w:tc>
        <w:tc>
          <w:tcPr>
            <w:tcW w:w="1232" w:type="dxa"/>
            <w:vAlign w:val="center"/>
          </w:tcPr>
          <w:p>
            <w:pPr>
              <w:pStyle w:val="13"/>
            </w:pPr>
            <w:r>
              <w:t>1</w:t>
            </w:r>
          </w:p>
        </w:tc>
        <w:tc>
          <w:tcPr>
            <w:tcW w:w="1232" w:type="dxa"/>
            <w:vAlign w:val="center"/>
          </w:tcPr>
          <w:p>
            <w:pPr>
              <w:pStyle w:val="13"/>
            </w:pPr>
            <w:r>
              <w:t>2</w:t>
            </w:r>
          </w:p>
        </w:tc>
        <w:tc>
          <w:tcPr>
            <w:tcW w:w="1232" w:type="dxa"/>
            <w:vAlign w:val="center"/>
          </w:tcPr>
          <w:p>
            <w:pPr>
              <w:pStyle w:val="13"/>
            </w:pPr>
            <w:r>
              <w:t>3</w:t>
            </w:r>
          </w:p>
        </w:tc>
        <w:tc>
          <w:tcPr>
            <w:tcW w:w="1232" w:type="dxa"/>
            <w:vAlign w:val="center"/>
          </w:tcPr>
          <w:p>
            <w:pPr>
              <w:pStyle w:val="13"/>
            </w:pPr>
            <w:r>
              <w:t>4</w:t>
            </w:r>
          </w:p>
        </w:tc>
        <w:tc>
          <w:tcPr>
            <w:tcW w:w="1232" w:type="dxa"/>
            <w:vAlign w:val="center"/>
          </w:tcPr>
          <w:p>
            <w:pPr>
              <w:pStyle w:val="13"/>
            </w:pPr>
            <w:r>
              <w:t>5</w:t>
            </w:r>
          </w:p>
        </w:tc>
        <w:tc>
          <w:tcPr>
            <w:tcW w:w="1232" w:type="dxa"/>
            <w:vAlign w:val="center"/>
          </w:tcPr>
          <w:p>
            <w:pPr>
              <w:pStyle w:val="13"/>
            </w:pPr>
            <w:r>
              <w:t>6</w:t>
            </w:r>
          </w:p>
        </w:tc>
        <w:tc>
          <w:tcPr>
            <w:tcW w:w="1232"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w:t>
            </w:r>
          </w:p>
        </w:tc>
        <w:tc>
          <w:tcPr>
            <w:tcW w:w="1232" w:type="dxa"/>
            <w:vAlign w:val="center"/>
          </w:tcPr>
          <w:p>
            <w:pPr>
              <w:pStyle w:val="15"/>
            </w:pPr>
            <w:r>
              <w:t>一、一般公共预算拨款</w:t>
            </w:r>
          </w:p>
        </w:tc>
        <w:tc>
          <w:tcPr>
            <w:tcW w:w="1232" w:type="dxa"/>
            <w:vAlign w:val="center"/>
          </w:tcPr>
          <w:p>
            <w:pPr>
              <w:pStyle w:val="14"/>
            </w:pPr>
            <w:r>
              <w:t>77.78</w:t>
            </w:r>
          </w:p>
        </w:tc>
        <w:tc>
          <w:tcPr>
            <w:tcW w:w="1232" w:type="dxa"/>
            <w:vAlign w:val="center"/>
          </w:tcPr>
          <w:p>
            <w:pPr>
              <w:pStyle w:val="15"/>
            </w:pPr>
            <w:r>
              <w:t>一、一般公共服务支出</w:t>
            </w:r>
          </w:p>
        </w:tc>
        <w:tc>
          <w:tcPr>
            <w:tcW w:w="1232" w:type="dxa"/>
            <w:vAlign w:val="center"/>
          </w:tcPr>
          <w:p>
            <w:pPr>
              <w:pStyle w:val="14"/>
            </w:pPr>
            <w:r>
              <w:t>77.78</w:t>
            </w:r>
          </w:p>
        </w:tc>
        <w:tc>
          <w:tcPr>
            <w:tcW w:w="1232" w:type="dxa"/>
            <w:vAlign w:val="center"/>
          </w:tcPr>
          <w:p>
            <w:pPr>
              <w:pStyle w:val="14"/>
            </w:pPr>
            <w:r>
              <w:t>77.78</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五、教育支出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八、社会保障和就业支出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十、卫生健康支出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十一、节能环保支出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十二、城乡社区支出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十三、农林水支出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二十、住房保障支出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二十五、其他支出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二十七、债务还本支出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二十八、债务付息支出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二十九、债务发行费用支出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31</w:t>
            </w:r>
          </w:p>
        </w:tc>
        <w:tc>
          <w:tcPr>
            <w:tcW w:w="1232" w:type="dxa"/>
            <w:vAlign w:val="center"/>
          </w:tcPr>
          <w:p>
            <w:pPr>
              <w:pStyle w:val="17"/>
            </w:pPr>
            <w:r>
              <w:t>本年收入合计</w:t>
            </w:r>
          </w:p>
        </w:tc>
        <w:tc>
          <w:tcPr>
            <w:tcW w:w="1232" w:type="dxa"/>
            <w:vAlign w:val="center"/>
          </w:tcPr>
          <w:p>
            <w:pPr>
              <w:pStyle w:val="18"/>
            </w:pPr>
            <w:r>
              <w:t>77.78</w:t>
            </w:r>
          </w:p>
        </w:tc>
        <w:tc>
          <w:tcPr>
            <w:tcW w:w="1232" w:type="dxa"/>
            <w:vAlign w:val="center"/>
          </w:tcPr>
          <w:p>
            <w:pPr>
              <w:pStyle w:val="17"/>
            </w:pPr>
            <w:r>
              <w:t>本年支出合计</w:t>
            </w:r>
          </w:p>
        </w:tc>
        <w:tc>
          <w:tcPr>
            <w:tcW w:w="1232" w:type="dxa"/>
            <w:vAlign w:val="center"/>
          </w:tcPr>
          <w:p>
            <w:pPr>
              <w:pStyle w:val="18"/>
            </w:pPr>
            <w:r>
              <w:t>77.78</w:t>
            </w:r>
          </w:p>
        </w:tc>
        <w:tc>
          <w:tcPr>
            <w:tcW w:w="1232" w:type="dxa"/>
            <w:vAlign w:val="center"/>
          </w:tcPr>
          <w:p>
            <w:pPr>
              <w:pStyle w:val="18"/>
            </w:pPr>
            <w:r>
              <w:t>77.78</w:t>
            </w:r>
          </w:p>
        </w:tc>
        <w:tc>
          <w:tcPr>
            <w:tcW w:w="1232" w:type="dxa"/>
            <w:vAlign w:val="center"/>
          </w:tcPr>
          <w:p>
            <w:pPr>
              <w:pStyle w:val="18"/>
            </w:pPr>
          </w:p>
        </w:tc>
        <w:tc>
          <w:tcPr>
            <w:tcW w:w="123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32</w:t>
            </w:r>
          </w:p>
        </w:tc>
        <w:tc>
          <w:tcPr>
            <w:tcW w:w="1232" w:type="dxa"/>
            <w:vAlign w:val="center"/>
          </w:tcPr>
          <w:p>
            <w:pPr>
              <w:pStyle w:val="15"/>
            </w:pPr>
            <w:r>
              <w:t>年初财政拨款结转和结余</w:t>
            </w:r>
          </w:p>
        </w:tc>
        <w:tc>
          <w:tcPr>
            <w:tcW w:w="1232" w:type="dxa"/>
            <w:vAlign w:val="center"/>
          </w:tcPr>
          <w:p>
            <w:pPr>
              <w:pStyle w:val="14"/>
            </w:pPr>
          </w:p>
        </w:tc>
        <w:tc>
          <w:tcPr>
            <w:tcW w:w="1232" w:type="dxa"/>
            <w:vAlign w:val="center"/>
          </w:tcPr>
          <w:p>
            <w:pPr>
              <w:pStyle w:val="15"/>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33</w:t>
            </w:r>
          </w:p>
        </w:tc>
        <w:tc>
          <w:tcPr>
            <w:tcW w:w="1232" w:type="dxa"/>
            <w:vAlign w:val="center"/>
          </w:tcPr>
          <w:p>
            <w:pPr>
              <w:pStyle w:val="15"/>
            </w:pPr>
            <w:r>
              <w:t>一、一般公共预算拨款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34</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35</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36</w:t>
            </w:r>
          </w:p>
        </w:tc>
        <w:tc>
          <w:tcPr>
            <w:tcW w:w="1232" w:type="dxa"/>
            <w:vAlign w:val="center"/>
          </w:tcPr>
          <w:p>
            <w:pPr>
              <w:pStyle w:val="17"/>
            </w:pPr>
            <w:r>
              <w:t>收入总计</w:t>
            </w:r>
          </w:p>
        </w:tc>
        <w:tc>
          <w:tcPr>
            <w:tcW w:w="1232" w:type="dxa"/>
            <w:vAlign w:val="center"/>
          </w:tcPr>
          <w:p>
            <w:pPr>
              <w:pStyle w:val="18"/>
            </w:pPr>
            <w:r>
              <w:t>77.78</w:t>
            </w:r>
          </w:p>
        </w:tc>
        <w:tc>
          <w:tcPr>
            <w:tcW w:w="1232" w:type="dxa"/>
            <w:vAlign w:val="center"/>
          </w:tcPr>
          <w:p>
            <w:pPr>
              <w:pStyle w:val="17"/>
            </w:pPr>
            <w:r>
              <w:t>支出总计</w:t>
            </w:r>
          </w:p>
        </w:tc>
        <w:tc>
          <w:tcPr>
            <w:tcW w:w="1232" w:type="dxa"/>
            <w:vAlign w:val="center"/>
          </w:tcPr>
          <w:p>
            <w:pPr>
              <w:pStyle w:val="18"/>
            </w:pPr>
            <w:r>
              <w:t>77.78</w:t>
            </w:r>
          </w:p>
        </w:tc>
        <w:tc>
          <w:tcPr>
            <w:tcW w:w="1232" w:type="dxa"/>
            <w:vAlign w:val="center"/>
          </w:tcPr>
          <w:p>
            <w:pPr>
              <w:pStyle w:val="18"/>
            </w:pPr>
            <w:r>
              <w:t>77.78</w:t>
            </w:r>
          </w:p>
        </w:tc>
        <w:tc>
          <w:tcPr>
            <w:tcW w:w="1232" w:type="dxa"/>
            <w:vAlign w:val="center"/>
          </w:tcPr>
          <w:p>
            <w:pPr>
              <w:pStyle w:val="18"/>
            </w:pPr>
          </w:p>
        </w:tc>
        <w:tc>
          <w:tcPr>
            <w:tcW w:w="1232" w:type="dxa"/>
            <w:vAlign w:val="center"/>
          </w:tcPr>
          <w:p>
            <w:pPr>
              <w:pStyle w:val="18"/>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4" w:name="_Toc30394"/>
      <w:r>
        <w:rPr>
          <w:rFonts w:ascii="方正小标宋_GBK" w:hAnsi="方正小标宋_GBK" w:eastAsia="方正小标宋_GBK" w:cs="方正小标宋_GBK"/>
          <w:color w:val="000000"/>
          <w:sz w:val="36"/>
        </w:rPr>
        <w:t>部门预算一般公共预算财政拨款支出表</w:t>
      </w:r>
      <w:bookmarkEnd w:id="4"/>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283中共石家庄市藁城区委党史研究室</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77.78</w:t>
            </w:r>
          </w:p>
        </w:tc>
        <w:tc>
          <w:tcPr>
            <w:tcW w:w="1643" w:type="dxa"/>
            <w:vAlign w:val="center"/>
          </w:tcPr>
          <w:p>
            <w:pPr>
              <w:pStyle w:val="18"/>
            </w:pPr>
            <w:r>
              <w:t>70.13</w:t>
            </w:r>
          </w:p>
        </w:tc>
        <w:tc>
          <w:tcPr>
            <w:tcW w:w="1643" w:type="dxa"/>
            <w:vAlign w:val="center"/>
          </w:tcPr>
          <w:p>
            <w:pPr>
              <w:pStyle w:val="18"/>
            </w:pPr>
            <w:r>
              <w:t>7.65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201</w:t>
            </w:r>
          </w:p>
        </w:tc>
        <w:tc>
          <w:tcPr>
            <w:tcW w:w="1643" w:type="dxa"/>
            <w:vAlign w:val="center"/>
          </w:tcPr>
          <w:p>
            <w:pPr>
              <w:pStyle w:val="15"/>
            </w:pPr>
            <w:r>
              <w:t>一般公共服务支出</w:t>
            </w:r>
          </w:p>
        </w:tc>
        <w:tc>
          <w:tcPr>
            <w:tcW w:w="1643" w:type="dxa"/>
            <w:vAlign w:val="center"/>
          </w:tcPr>
          <w:p>
            <w:pPr>
              <w:pStyle w:val="14"/>
            </w:pPr>
            <w:r>
              <w:t>77.78</w:t>
            </w:r>
          </w:p>
        </w:tc>
        <w:tc>
          <w:tcPr>
            <w:tcW w:w="1643" w:type="dxa"/>
            <w:vAlign w:val="center"/>
          </w:tcPr>
          <w:p>
            <w:pPr>
              <w:pStyle w:val="14"/>
            </w:pPr>
            <w:r>
              <w:t>70.13</w:t>
            </w:r>
          </w:p>
        </w:tc>
        <w:tc>
          <w:tcPr>
            <w:tcW w:w="1643" w:type="dxa"/>
            <w:vAlign w:val="center"/>
          </w:tcPr>
          <w:p>
            <w:pPr>
              <w:pStyle w:val="14"/>
            </w:pPr>
            <w:r>
              <w:t>7.65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20136</w:t>
            </w:r>
          </w:p>
        </w:tc>
        <w:tc>
          <w:tcPr>
            <w:tcW w:w="1643" w:type="dxa"/>
            <w:vAlign w:val="center"/>
          </w:tcPr>
          <w:p>
            <w:pPr>
              <w:pStyle w:val="15"/>
            </w:pPr>
            <w:r>
              <w:t>其他共产党事务支出</w:t>
            </w:r>
          </w:p>
        </w:tc>
        <w:tc>
          <w:tcPr>
            <w:tcW w:w="1643" w:type="dxa"/>
            <w:vAlign w:val="center"/>
          </w:tcPr>
          <w:p>
            <w:pPr>
              <w:pStyle w:val="14"/>
            </w:pPr>
            <w:r>
              <w:t>77.78</w:t>
            </w:r>
          </w:p>
        </w:tc>
        <w:tc>
          <w:tcPr>
            <w:tcW w:w="1643" w:type="dxa"/>
            <w:vAlign w:val="center"/>
          </w:tcPr>
          <w:p>
            <w:pPr>
              <w:pStyle w:val="14"/>
            </w:pPr>
            <w:r>
              <w:t>70.13</w:t>
            </w:r>
          </w:p>
        </w:tc>
        <w:tc>
          <w:tcPr>
            <w:tcW w:w="1643" w:type="dxa"/>
            <w:vAlign w:val="center"/>
          </w:tcPr>
          <w:p>
            <w:pPr>
              <w:pStyle w:val="14"/>
            </w:pPr>
            <w:r>
              <w:t>7.65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2013601</w:t>
            </w:r>
          </w:p>
        </w:tc>
        <w:tc>
          <w:tcPr>
            <w:tcW w:w="1643" w:type="dxa"/>
            <w:vAlign w:val="center"/>
          </w:tcPr>
          <w:p>
            <w:pPr>
              <w:pStyle w:val="15"/>
            </w:pPr>
            <w:r>
              <w:t>行政运行</w:t>
            </w:r>
          </w:p>
        </w:tc>
        <w:tc>
          <w:tcPr>
            <w:tcW w:w="1643" w:type="dxa"/>
            <w:vAlign w:val="center"/>
          </w:tcPr>
          <w:p>
            <w:pPr>
              <w:pStyle w:val="14"/>
            </w:pPr>
            <w:r>
              <w:t>70.13</w:t>
            </w:r>
          </w:p>
        </w:tc>
        <w:tc>
          <w:tcPr>
            <w:tcW w:w="1643" w:type="dxa"/>
            <w:vAlign w:val="center"/>
          </w:tcPr>
          <w:p>
            <w:pPr>
              <w:pStyle w:val="14"/>
            </w:pPr>
            <w:r>
              <w:t>70.13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2013602</w:t>
            </w:r>
          </w:p>
        </w:tc>
        <w:tc>
          <w:tcPr>
            <w:tcW w:w="1643" w:type="dxa"/>
            <w:vAlign w:val="center"/>
          </w:tcPr>
          <w:p>
            <w:pPr>
              <w:pStyle w:val="15"/>
            </w:pPr>
            <w:r>
              <w:t>一般行政管理事务</w:t>
            </w:r>
          </w:p>
        </w:tc>
        <w:tc>
          <w:tcPr>
            <w:tcW w:w="1643" w:type="dxa"/>
            <w:vAlign w:val="center"/>
          </w:tcPr>
          <w:p>
            <w:pPr>
              <w:pStyle w:val="14"/>
            </w:pPr>
            <w:r>
              <w:t>7.65</w:t>
            </w:r>
          </w:p>
        </w:tc>
        <w:tc>
          <w:tcPr>
            <w:tcW w:w="1643" w:type="dxa"/>
            <w:vAlign w:val="center"/>
          </w:tcPr>
          <w:p>
            <w:pPr>
              <w:pStyle w:val="14"/>
            </w:pPr>
          </w:p>
        </w:tc>
        <w:tc>
          <w:tcPr>
            <w:tcW w:w="1643" w:type="dxa"/>
            <w:vAlign w:val="center"/>
          </w:tcPr>
          <w:p>
            <w:pPr>
              <w:pStyle w:val="14"/>
            </w:pPr>
            <w:r>
              <w:t>7.65</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5" w:name="_Toc10977"/>
      <w:r>
        <w:rPr>
          <w:rFonts w:ascii="方正小标宋_GBK" w:hAnsi="方正小标宋_GBK" w:eastAsia="方正小标宋_GBK" w:cs="方正小标宋_GBK"/>
          <w:color w:val="000000"/>
          <w:sz w:val="36"/>
        </w:rPr>
        <w:t>部门预算一般公共预算财政拨款基本支出表</w:t>
      </w:r>
      <w:bookmarkEnd w:id="5"/>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283中共石家庄市藁城区委党史研究室</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支出部门经济分类科目</w:t>
            </w:r>
          </w:p>
        </w:tc>
        <w:tc>
          <w:tcPr>
            <w:tcW w:w="4929"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Align w:val="center"/>
          </w:tcPr>
          <w:p>
            <w:pPr>
              <w:pStyle w:val="13"/>
            </w:pPr>
            <w:r>
              <w:t>合计</w:t>
            </w:r>
          </w:p>
        </w:tc>
        <w:tc>
          <w:tcPr>
            <w:tcW w:w="1643" w:type="dxa"/>
            <w:vAlign w:val="center"/>
          </w:tcPr>
          <w:p>
            <w:pPr>
              <w:pStyle w:val="13"/>
            </w:pPr>
            <w:r>
              <w:t>人员经费</w:t>
            </w:r>
          </w:p>
        </w:tc>
        <w:tc>
          <w:tcPr>
            <w:tcW w:w="1643"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70.13</w:t>
            </w:r>
          </w:p>
        </w:tc>
        <w:tc>
          <w:tcPr>
            <w:tcW w:w="1643" w:type="dxa"/>
            <w:vAlign w:val="center"/>
          </w:tcPr>
          <w:p>
            <w:pPr>
              <w:pStyle w:val="18"/>
            </w:pPr>
            <w:r>
              <w:t>63.49</w:t>
            </w:r>
          </w:p>
        </w:tc>
        <w:tc>
          <w:tcPr>
            <w:tcW w:w="1643" w:type="dxa"/>
            <w:vAlign w:val="center"/>
          </w:tcPr>
          <w:p>
            <w:pPr>
              <w:pStyle w:val="18"/>
            </w:pPr>
            <w:r>
              <w:t>6.63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301</w:t>
            </w:r>
          </w:p>
        </w:tc>
        <w:tc>
          <w:tcPr>
            <w:tcW w:w="1643" w:type="dxa"/>
            <w:vAlign w:val="center"/>
          </w:tcPr>
          <w:p>
            <w:pPr>
              <w:pStyle w:val="15"/>
            </w:pPr>
            <w:r>
              <w:t>工资福利支出</w:t>
            </w:r>
          </w:p>
        </w:tc>
        <w:tc>
          <w:tcPr>
            <w:tcW w:w="1643" w:type="dxa"/>
            <w:vAlign w:val="center"/>
          </w:tcPr>
          <w:p>
            <w:pPr>
              <w:pStyle w:val="14"/>
            </w:pPr>
            <w:r>
              <w:t>62.57</w:t>
            </w:r>
          </w:p>
        </w:tc>
        <w:tc>
          <w:tcPr>
            <w:tcW w:w="1643" w:type="dxa"/>
            <w:vAlign w:val="center"/>
          </w:tcPr>
          <w:p>
            <w:pPr>
              <w:pStyle w:val="14"/>
            </w:pPr>
            <w:r>
              <w:t>62.57</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30101</w:t>
            </w:r>
          </w:p>
        </w:tc>
        <w:tc>
          <w:tcPr>
            <w:tcW w:w="1643" w:type="dxa"/>
            <w:vAlign w:val="center"/>
          </w:tcPr>
          <w:p>
            <w:pPr>
              <w:pStyle w:val="15"/>
            </w:pPr>
            <w:r>
              <w:t>基本工资</w:t>
            </w:r>
          </w:p>
        </w:tc>
        <w:tc>
          <w:tcPr>
            <w:tcW w:w="1643" w:type="dxa"/>
            <w:vAlign w:val="center"/>
          </w:tcPr>
          <w:p>
            <w:pPr>
              <w:pStyle w:val="14"/>
            </w:pPr>
            <w:r>
              <w:t>13.83</w:t>
            </w:r>
          </w:p>
        </w:tc>
        <w:tc>
          <w:tcPr>
            <w:tcW w:w="1643" w:type="dxa"/>
            <w:vAlign w:val="center"/>
          </w:tcPr>
          <w:p>
            <w:pPr>
              <w:pStyle w:val="14"/>
            </w:pPr>
            <w:r>
              <w:t>13.83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30102</w:t>
            </w:r>
          </w:p>
        </w:tc>
        <w:tc>
          <w:tcPr>
            <w:tcW w:w="1643" w:type="dxa"/>
            <w:vAlign w:val="center"/>
          </w:tcPr>
          <w:p>
            <w:pPr>
              <w:pStyle w:val="15"/>
            </w:pPr>
            <w:r>
              <w:t>津贴补贴</w:t>
            </w:r>
          </w:p>
        </w:tc>
        <w:tc>
          <w:tcPr>
            <w:tcW w:w="1643" w:type="dxa"/>
            <w:vAlign w:val="center"/>
          </w:tcPr>
          <w:p>
            <w:pPr>
              <w:pStyle w:val="14"/>
            </w:pPr>
            <w:r>
              <w:t>27.35</w:t>
            </w:r>
          </w:p>
        </w:tc>
        <w:tc>
          <w:tcPr>
            <w:tcW w:w="1643" w:type="dxa"/>
            <w:vAlign w:val="center"/>
          </w:tcPr>
          <w:p>
            <w:pPr>
              <w:pStyle w:val="14"/>
            </w:pPr>
            <w:r>
              <w:t>27.35</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30103</w:t>
            </w:r>
          </w:p>
        </w:tc>
        <w:tc>
          <w:tcPr>
            <w:tcW w:w="1643" w:type="dxa"/>
            <w:vAlign w:val="center"/>
          </w:tcPr>
          <w:p>
            <w:pPr>
              <w:pStyle w:val="15"/>
            </w:pPr>
            <w:r>
              <w:t>奖金</w:t>
            </w:r>
          </w:p>
        </w:tc>
        <w:tc>
          <w:tcPr>
            <w:tcW w:w="1643" w:type="dxa"/>
            <w:vAlign w:val="center"/>
          </w:tcPr>
          <w:p>
            <w:pPr>
              <w:pStyle w:val="14"/>
            </w:pPr>
            <w:r>
              <w:t>1.15</w:t>
            </w:r>
          </w:p>
        </w:tc>
        <w:tc>
          <w:tcPr>
            <w:tcW w:w="1643" w:type="dxa"/>
            <w:vAlign w:val="center"/>
          </w:tcPr>
          <w:p>
            <w:pPr>
              <w:pStyle w:val="14"/>
            </w:pPr>
            <w:r>
              <w:t>1.15</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30108</w:t>
            </w:r>
          </w:p>
        </w:tc>
        <w:tc>
          <w:tcPr>
            <w:tcW w:w="1643" w:type="dxa"/>
            <w:vAlign w:val="center"/>
          </w:tcPr>
          <w:p>
            <w:pPr>
              <w:pStyle w:val="15"/>
            </w:pPr>
            <w:r>
              <w:t>机关事业单位基本养老保险缴费</w:t>
            </w:r>
          </w:p>
        </w:tc>
        <w:tc>
          <w:tcPr>
            <w:tcW w:w="1643" w:type="dxa"/>
            <w:vAlign w:val="center"/>
          </w:tcPr>
          <w:p>
            <w:pPr>
              <w:pStyle w:val="14"/>
            </w:pPr>
            <w:r>
              <w:t>5.45</w:t>
            </w:r>
          </w:p>
        </w:tc>
        <w:tc>
          <w:tcPr>
            <w:tcW w:w="1643" w:type="dxa"/>
            <w:vAlign w:val="center"/>
          </w:tcPr>
          <w:p>
            <w:pPr>
              <w:pStyle w:val="14"/>
            </w:pPr>
            <w:r>
              <w:t>5.45</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30110</w:t>
            </w:r>
          </w:p>
        </w:tc>
        <w:tc>
          <w:tcPr>
            <w:tcW w:w="1643" w:type="dxa"/>
            <w:vAlign w:val="center"/>
          </w:tcPr>
          <w:p>
            <w:pPr>
              <w:pStyle w:val="15"/>
            </w:pPr>
            <w:r>
              <w:t>职工基本医疗保险缴费</w:t>
            </w:r>
          </w:p>
        </w:tc>
        <w:tc>
          <w:tcPr>
            <w:tcW w:w="1643" w:type="dxa"/>
            <w:vAlign w:val="center"/>
          </w:tcPr>
          <w:p>
            <w:pPr>
              <w:pStyle w:val="14"/>
            </w:pPr>
            <w:r>
              <w:t>2.86</w:t>
            </w:r>
          </w:p>
        </w:tc>
        <w:tc>
          <w:tcPr>
            <w:tcW w:w="1643" w:type="dxa"/>
            <w:vAlign w:val="center"/>
          </w:tcPr>
          <w:p>
            <w:pPr>
              <w:pStyle w:val="14"/>
            </w:pPr>
            <w:r>
              <w:t>2.86</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8</w:t>
            </w:r>
          </w:p>
        </w:tc>
        <w:tc>
          <w:tcPr>
            <w:tcW w:w="1643" w:type="dxa"/>
            <w:vAlign w:val="center"/>
          </w:tcPr>
          <w:p>
            <w:pPr>
              <w:pStyle w:val="15"/>
            </w:pPr>
            <w:r>
              <w:t>30111</w:t>
            </w:r>
          </w:p>
        </w:tc>
        <w:tc>
          <w:tcPr>
            <w:tcW w:w="1643" w:type="dxa"/>
            <w:vAlign w:val="center"/>
          </w:tcPr>
          <w:p>
            <w:pPr>
              <w:pStyle w:val="15"/>
            </w:pPr>
            <w:r>
              <w:t>公务员医疗补助缴费</w:t>
            </w:r>
          </w:p>
        </w:tc>
        <w:tc>
          <w:tcPr>
            <w:tcW w:w="1643" w:type="dxa"/>
            <w:vAlign w:val="center"/>
          </w:tcPr>
          <w:p>
            <w:pPr>
              <w:pStyle w:val="14"/>
            </w:pPr>
            <w:r>
              <w:t>2.21</w:t>
            </w:r>
          </w:p>
        </w:tc>
        <w:tc>
          <w:tcPr>
            <w:tcW w:w="1643" w:type="dxa"/>
            <w:vAlign w:val="center"/>
          </w:tcPr>
          <w:p>
            <w:pPr>
              <w:pStyle w:val="14"/>
            </w:pPr>
            <w:r>
              <w:t>2.21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9</w:t>
            </w:r>
          </w:p>
        </w:tc>
        <w:tc>
          <w:tcPr>
            <w:tcW w:w="1643" w:type="dxa"/>
            <w:vAlign w:val="center"/>
          </w:tcPr>
          <w:p>
            <w:pPr>
              <w:pStyle w:val="15"/>
            </w:pPr>
            <w:r>
              <w:t>30112</w:t>
            </w:r>
          </w:p>
        </w:tc>
        <w:tc>
          <w:tcPr>
            <w:tcW w:w="1643" w:type="dxa"/>
            <w:vAlign w:val="center"/>
          </w:tcPr>
          <w:p>
            <w:pPr>
              <w:pStyle w:val="15"/>
            </w:pPr>
            <w:r>
              <w:t>其他社会保障缴费</w:t>
            </w:r>
          </w:p>
        </w:tc>
        <w:tc>
          <w:tcPr>
            <w:tcW w:w="1643" w:type="dxa"/>
            <w:vAlign w:val="center"/>
          </w:tcPr>
          <w:p>
            <w:pPr>
              <w:pStyle w:val="14"/>
            </w:pPr>
            <w:r>
              <w:t>5.21</w:t>
            </w:r>
          </w:p>
        </w:tc>
        <w:tc>
          <w:tcPr>
            <w:tcW w:w="1643" w:type="dxa"/>
            <w:vAlign w:val="center"/>
          </w:tcPr>
          <w:p>
            <w:pPr>
              <w:pStyle w:val="14"/>
            </w:pPr>
            <w:r>
              <w:t>5.21</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10</w:t>
            </w:r>
          </w:p>
        </w:tc>
        <w:tc>
          <w:tcPr>
            <w:tcW w:w="1643" w:type="dxa"/>
            <w:vAlign w:val="center"/>
          </w:tcPr>
          <w:p>
            <w:pPr>
              <w:pStyle w:val="15"/>
            </w:pPr>
            <w:r>
              <w:t>30113</w:t>
            </w:r>
          </w:p>
        </w:tc>
        <w:tc>
          <w:tcPr>
            <w:tcW w:w="1643" w:type="dxa"/>
            <w:vAlign w:val="center"/>
          </w:tcPr>
          <w:p>
            <w:pPr>
              <w:pStyle w:val="15"/>
            </w:pPr>
            <w:r>
              <w:t>住房公积金</w:t>
            </w:r>
          </w:p>
        </w:tc>
        <w:tc>
          <w:tcPr>
            <w:tcW w:w="1643" w:type="dxa"/>
            <w:vAlign w:val="center"/>
          </w:tcPr>
          <w:p>
            <w:pPr>
              <w:pStyle w:val="14"/>
            </w:pPr>
            <w:r>
              <w:t>4.52</w:t>
            </w:r>
          </w:p>
        </w:tc>
        <w:tc>
          <w:tcPr>
            <w:tcW w:w="1643" w:type="dxa"/>
            <w:vAlign w:val="center"/>
          </w:tcPr>
          <w:p>
            <w:pPr>
              <w:pStyle w:val="14"/>
            </w:pPr>
            <w:r>
              <w:t>4.52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11</w:t>
            </w:r>
          </w:p>
        </w:tc>
        <w:tc>
          <w:tcPr>
            <w:tcW w:w="1643" w:type="dxa"/>
            <w:vAlign w:val="center"/>
          </w:tcPr>
          <w:p>
            <w:pPr>
              <w:pStyle w:val="15"/>
            </w:pPr>
            <w:r>
              <w:t>302</w:t>
            </w:r>
          </w:p>
        </w:tc>
        <w:tc>
          <w:tcPr>
            <w:tcW w:w="1643" w:type="dxa"/>
            <w:vAlign w:val="center"/>
          </w:tcPr>
          <w:p>
            <w:pPr>
              <w:pStyle w:val="15"/>
            </w:pPr>
            <w:r>
              <w:t>商品和服务支出</w:t>
            </w:r>
          </w:p>
        </w:tc>
        <w:tc>
          <w:tcPr>
            <w:tcW w:w="1643" w:type="dxa"/>
            <w:vAlign w:val="center"/>
          </w:tcPr>
          <w:p>
            <w:pPr>
              <w:pStyle w:val="14"/>
            </w:pPr>
            <w:r>
              <w:t>6.63</w:t>
            </w:r>
          </w:p>
        </w:tc>
        <w:tc>
          <w:tcPr>
            <w:tcW w:w="1643" w:type="dxa"/>
            <w:vAlign w:val="center"/>
          </w:tcPr>
          <w:p>
            <w:pPr>
              <w:pStyle w:val="14"/>
            </w:pPr>
          </w:p>
        </w:tc>
        <w:tc>
          <w:tcPr>
            <w:tcW w:w="1643" w:type="dxa"/>
            <w:vAlign w:val="center"/>
          </w:tcPr>
          <w:p>
            <w:pPr>
              <w:pStyle w:val="14"/>
            </w:pPr>
            <w:r>
              <w:t>6.63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12</w:t>
            </w:r>
          </w:p>
        </w:tc>
        <w:tc>
          <w:tcPr>
            <w:tcW w:w="1643" w:type="dxa"/>
            <w:vAlign w:val="center"/>
          </w:tcPr>
          <w:p>
            <w:pPr>
              <w:pStyle w:val="15"/>
            </w:pPr>
            <w:r>
              <w:t>30201</w:t>
            </w:r>
          </w:p>
        </w:tc>
        <w:tc>
          <w:tcPr>
            <w:tcW w:w="1643" w:type="dxa"/>
            <w:vAlign w:val="center"/>
          </w:tcPr>
          <w:p>
            <w:pPr>
              <w:pStyle w:val="15"/>
            </w:pPr>
            <w:r>
              <w:t>办公费</w:t>
            </w:r>
          </w:p>
        </w:tc>
        <w:tc>
          <w:tcPr>
            <w:tcW w:w="1643" w:type="dxa"/>
            <w:vAlign w:val="center"/>
          </w:tcPr>
          <w:p>
            <w:pPr>
              <w:pStyle w:val="14"/>
            </w:pPr>
            <w:r>
              <w:t>1.20</w:t>
            </w:r>
          </w:p>
        </w:tc>
        <w:tc>
          <w:tcPr>
            <w:tcW w:w="1643" w:type="dxa"/>
            <w:vAlign w:val="center"/>
          </w:tcPr>
          <w:p>
            <w:pPr>
              <w:pStyle w:val="14"/>
            </w:pPr>
          </w:p>
        </w:tc>
        <w:tc>
          <w:tcPr>
            <w:tcW w:w="1643" w:type="dxa"/>
            <w:vAlign w:val="center"/>
          </w:tcPr>
          <w:p>
            <w:pPr>
              <w:pStyle w:val="14"/>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13</w:t>
            </w:r>
          </w:p>
        </w:tc>
        <w:tc>
          <w:tcPr>
            <w:tcW w:w="1643" w:type="dxa"/>
            <w:vAlign w:val="center"/>
          </w:tcPr>
          <w:p>
            <w:pPr>
              <w:pStyle w:val="15"/>
            </w:pPr>
            <w:r>
              <w:t>30207</w:t>
            </w:r>
          </w:p>
        </w:tc>
        <w:tc>
          <w:tcPr>
            <w:tcW w:w="1643" w:type="dxa"/>
            <w:vAlign w:val="center"/>
          </w:tcPr>
          <w:p>
            <w:pPr>
              <w:pStyle w:val="15"/>
            </w:pPr>
            <w:r>
              <w:t>邮电费</w:t>
            </w:r>
          </w:p>
        </w:tc>
        <w:tc>
          <w:tcPr>
            <w:tcW w:w="1643" w:type="dxa"/>
            <w:vAlign w:val="center"/>
          </w:tcPr>
          <w:p>
            <w:pPr>
              <w:pStyle w:val="14"/>
            </w:pPr>
            <w:r>
              <w:t>1.98</w:t>
            </w:r>
          </w:p>
        </w:tc>
        <w:tc>
          <w:tcPr>
            <w:tcW w:w="1643" w:type="dxa"/>
            <w:vAlign w:val="center"/>
          </w:tcPr>
          <w:p>
            <w:pPr>
              <w:pStyle w:val="14"/>
            </w:pPr>
          </w:p>
        </w:tc>
        <w:tc>
          <w:tcPr>
            <w:tcW w:w="1643" w:type="dxa"/>
            <w:vAlign w:val="center"/>
          </w:tcPr>
          <w:p>
            <w:pPr>
              <w:pStyle w:val="14"/>
            </w:pPr>
            <w:r>
              <w:t>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14</w:t>
            </w:r>
          </w:p>
        </w:tc>
        <w:tc>
          <w:tcPr>
            <w:tcW w:w="1643" w:type="dxa"/>
            <w:vAlign w:val="center"/>
          </w:tcPr>
          <w:p>
            <w:pPr>
              <w:pStyle w:val="15"/>
            </w:pPr>
            <w:r>
              <w:t>30228</w:t>
            </w:r>
          </w:p>
        </w:tc>
        <w:tc>
          <w:tcPr>
            <w:tcW w:w="1643" w:type="dxa"/>
            <w:vAlign w:val="center"/>
          </w:tcPr>
          <w:p>
            <w:pPr>
              <w:pStyle w:val="15"/>
            </w:pPr>
            <w:r>
              <w:t>工会经费</w:t>
            </w:r>
          </w:p>
        </w:tc>
        <w:tc>
          <w:tcPr>
            <w:tcW w:w="1643" w:type="dxa"/>
            <w:vAlign w:val="center"/>
          </w:tcPr>
          <w:p>
            <w:pPr>
              <w:pStyle w:val="14"/>
            </w:pPr>
            <w:r>
              <w:t>0.31</w:t>
            </w:r>
          </w:p>
        </w:tc>
        <w:tc>
          <w:tcPr>
            <w:tcW w:w="1643" w:type="dxa"/>
            <w:vAlign w:val="center"/>
          </w:tcPr>
          <w:p>
            <w:pPr>
              <w:pStyle w:val="14"/>
            </w:pPr>
          </w:p>
        </w:tc>
        <w:tc>
          <w:tcPr>
            <w:tcW w:w="1643" w:type="dxa"/>
            <w:vAlign w:val="center"/>
          </w:tcPr>
          <w:p>
            <w:pPr>
              <w:pStyle w:val="14"/>
            </w:pPr>
            <w:r>
              <w:t>0.31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15</w:t>
            </w:r>
          </w:p>
        </w:tc>
        <w:tc>
          <w:tcPr>
            <w:tcW w:w="1643" w:type="dxa"/>
            <w:vAlign w:val="center"/>
          </w:tcPr>
          <w:p>
            <w:pPr>
              <w:pStyle w:val="15"/>
            </w:pPr>
            <w:r>
              <w:t>30229</w:t>
            </w:r>
          </w:p>
        </w:tc>
        <w:tc>
          <w:tcPr>
            <w:tcW w:w="1643" w:type="dxa"/>
            <w:vAlign w:val="center"/>
          </w:tcPr>
          <w:p>
            <w:pPr>
              <w:pStyle w:val="15"/>
            </w:pPr>
            <w:r>
              <w:t>福利费</w:t>
            </w:r>
          </w:p>
        </w:tc>
        <w:tc>
          <w:tcPr>
            <w:tcW w:w="1643" w:type="dxa"/>
            <w:vAlign w:val="center"/>
          </w:tcPr>
          <w:p>
            <w:pPr>
              <w:pStyle w:val="14"/>
            </w:pPr>
            <w:r>
              <w:t>0.35</w:t>
            </w:r>
          </w:p>
        </w:tc>
        <w:tc>
          <w:tcPr>
            <w:tcW w:w="1643" w:type="dxa"/>
            <w:vAlign w:val="center"/>
          </w:tcPr>
          <w:p>
            <w:pPr>
              <w:pStyle w:val="14"/>
            </w:pPr>
          </w:p>
        </w:tc>
        <w:tc>
          <w:tcPr>
            <w:tcW w:w="1643" w:type="dxa"/>
            <w:vAlign w:val="center"/>
          </w:tcPr>
          <w:p>
            <w:pPr>
              <w:pStyle w:val="14"/>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16</w:t>
            </w:r>
          </w:p>
        </w:tc>
        <w:tc>
          <w:tcPr>
            <w:tcW w:w="1643" w:type="dxa"/>
            <w:vAlign w:val="center"/>
          </w:tcPr>
          <w:p>
            <w:pPr>
              <w:pStyle w:val="15"/>
            </w:pPr>
            <w:r>
              <w:t>30239</w:t>
            </w:r>
          </w:p>
        </w:tc>
        <w:tc>
          <w:tcPr>
            <w:tcW w:w="1643" w:type="dxa"/>
            <w:vAlign w:val="center"/>
          </w:tcPr>
          <w:p>
            <w:pPr>
              <w:pStyle w:val="15"/>
            </w:pPr>
            <w:r>
              <w:t>其他交通费用</w:t>
            </w:r>
          </w:p>
        </w:tc>
        <w:tc>
          <w:tcPr>
            <w:tcW w:w="1643" w:type="dxa"/>
            <w:vAlign w:val="center"/>
          </w:tcPr>
          <w:p>
            <w:pPr>
              <w:pStyle w:val="14"/>
            </w:pPr>
            <w:r>
              <w:t>2.28</w:t>
            </w:r>
          </w:p>
        </w:tc>
        <w:tc>
          <w:tcPr>
            <w:tcW w:w="1643" w:type="dxa"/>
            <w:vAlign w:val="center"/>
          </w:tcPr>
          <w:p>
            <w:pPr>
              <w:pStyle w:val="14"/>
            </w:pPr>
          </w:p>
        </w:tc>
        <w:tc>
          <w:tcPr>
            <w:tcW w:w="1643" w:type="dxa"/>
            <w:vAlign w:val="center"/>
          </w:tcPr>
          <w:p>
            <w:pPr>
              <w:pStyle w:val="14"/>
            </w:pPr>
            <w:r>
              <w:t>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17</w:t>
            </w:r>
          </w:p>
        </w:tc>
        <w:tc>
          <w:tcPr>
            <w:tcW w:w="1643" w:type="dxa"/>
            <w:vAlign w:val="center"/>
          </w:tcPr>
          <w:p>
            <w:pPr>
              <w:pStyle w:val="15"/>
            </w:pPr>
            <w:r>
              <w:t>30299</w:t>
            </w:r>
          </w:p>
        </w:tc>
        <w:tc>
          <w:tcPr>
            <w:tcW w:w="1643" w:type="dxa"/>
            <w:vAlign w:val="center"/>
          </w:tcPr>
          <w:p>
            <w:pPr>
              <w:pStyle w:val="15"/>
            </w:pPr>
            <w:r>
              <w:t>其他商品和服务支出</w:t>
            </w:r>
          </w:p>
        </w:tc>
        <w:tc>
          <w:tcPr>
            <w:tcW w:w="1643" w:type="dxa"/>
            <w:vAlign w:val="center"/>
          </w:tcPr>
          <w:p>
            <w:pPr>
              <w:pStyle w:val="14"/>
            </w:pPr>
            <w:r>
              <w:t>0.51</w:t>
            </w:r>
          </w:p>
        </w:tc>
        <w:tc>
          <w:tcPr>
            <w:tcW w:w="1643" w:type="dxa"/>
            <w:vAlign w:val="center"/>
          </w:tcPr>
          <w:p>
            <w:pPr>
              <w:pStyle w:val="14"/>
            </w:pPr>
          </w:p>
        </w:tc>
        <w:tc>
          <w:tcPr>
            <w:tcW w:w="1643" w:type="dxa"/>
            <w:vAlign w:val="center"/>
          </w:tcPr>
          <w:p>
            <w:pPr>
              <w:pStyle w:val="14"/>
            </w:pPr>
            <w: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18</w:t>
            </w:r>
          </w:p>
        </w:tc>
        <w:tc>
          <w:tcPr>
            <w:tcW w:w="1643" w:type="dxa"/>
            <w:vAlign w:val="center"/>
          </w:tcPr>
          <w:p>
            <w:pPr>
              <w:pStyle w:val="15"/>
            </w:pPr>
            <w:r>
              <w:t>303</w:t>
            </w:r>
          </w:p>
        </w:tc>
        <w:tc>
          <w:tcPr>
            <w:tcW w:w="1643" w:type="dxa"/>
            <w:vAlign w:val="center"/>
          </w:tcPr>
          <w:p>
            <w:pPr>
              <w:pStyle w:val="15"/>
            </w:pPr>
            <w:r>
              <w:t>对个人和家庭的补助</w:t>
            </w:r>
          </w:p>
        </w:tc>
        <w:tc>
          <w:tcPr>
            <w:tcW w:w="1643" w:type="dxa"/>
            <w:vAlign w:val="center"/>
          </w:tcPr>
          <w:p>
            <w:pPr>
              <w:pStyle w:val="14"/>
            </w:pPr>
            <w:r>
              <w:t>0.92</w:t>
            </w:r>
          </w:p>
        </w:tc>
        <w:tc>
          <w:tcPr>
            <w:tcW w:w="1643" w:type="dxa"/>
            <w:vAlign w:val="center"/>
          </w:tcPr>
          <w:p>
            <w:pPr>
              <w:pStyle w:val="14"/>
            </w:pPr>
            <w:r>
              <w:t>0.92</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19</w:t>
            </w:r>
          </w:p>
        </w:tc>
        <w:tc>
          <w:tcPr>
            <w:tcW w:w="1643" w:type="dxa"/>
            <w:vAlign w:val="center"/>
          </w:tcPr>
          <w:p>
            <w:pPr>
              <w:pStyle w:val="15"/>
            </w:pPr>
            <w:r>
              <w:t>30305</w:t>
            </w:r>
          </w:p>
        </w:tc>
        <w:tc>
          <w:tcPr>
            <w:tcW w:w="1643" w:type="dxa"/>
            <w:vAlign w:val="center"/>
          </w:tcPr>
          <w:p>
            <w:pPr>
              <w:pStyle w:val="15"/>
            </w:pPr>
            <w:r>
              <w:t>生活补助</w:t>
            </w:r>
          </w:p>
        </w:tc>
        <w:tc>
          <w:tcPr>
            <w:tcW w:w="1643" w:type="dxa"/>
            <w:vAlign w:val="center"/>
          </w:tcPr>
          <w:p>
            <w:pPr>
              <w:pStyle w:val="14"/>
            </w:pPr>
            <w:r>
              <w:t>0.92</w:t>
            </w:r>
          </w:p>
        </w:tc>
        <w:tc>
          <w:tcPr>
            <w:tcW w:w="1643" w:type="dxa"/>
            <w:vAlign w:val="center"/>
          </w:tcPr>
          <w:p>
            <w:pPr>
              <w:pStyle w:val="14"/>
            </w:pPr>
            <w:r>
              <w:t>0.92</w:t>
            </w:r>
          </w:p>
        </w:tc>
        <w:tc>
          <w:tcPr>
            <w:tcW w:w="1643"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6" w:name="_Toc3112"/>
      <w:r>
        <w:rPr>
          <w:rFonts w:ascii="方正小标宋_GBK" w:hAnsi="方正小标宋_GBK" w:eastAsia="方正小标宋_GBK" w:cs="方正小标宋_GBK"/>
          <w:color w:val="000000"/>
          <w:sz w:val="36"/>
        </w:rPr>
        <w:t>部门预算政府基金预算财政拨款支出表</w:t>
      </w:r>
      <w:bookmarkEnd w:id="6"/>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283中共石家庄市藁城区委党史研究室</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11660"/>
      <w:r>
        <w:rPr>
          <w:rFonts w:ascii="方正小标宋_GBK" w:hAnsi="方正小标宋_GBK" w:eastAsia="方正小标宋_GBK" w:cs="方正小标宋_GBK"/>
          <w:color w:val="000000"/>
          <w:sz w:val="36"/>
        </w:rPr>
        <w:t>部门预算国有资本经营预算财政拨款支出表</w:t>
      </w:r>
      <w:bookmarkEnd w:id="7"/>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283中共石家庄市藁城区委党史研究室</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32357"/>
      <w:r>
        <w:rPr>
          <w:rFonts w:ascii="方正小标宋_GBK" w:hAnsi="方正小标宋_GBK" w:eastAsia="方正小标宋_GBK" w:cs="方正小标宋_GBK"/>
          <w:color w:val="000000"/>
          <w:sz w:val="36"/>
        </w:rPr>
        <w:t>部门预算财政拨款“三公”经费支出表</w:t>
      </w:r>
      <w:bookmarkEnd w:id="8"/>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283中共石家庄市藁城区委党史研究室</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1643" w:type="dxa"/>
            <w:vMerge w:val="restart"/>
            <w:vAlign w:val="center"/>
          </w:tcPr>
          <w:p>
            <w:pPr>
              <w:pStyle w:val="13"/>
            </w:pPr>
            <w:r>
              <w:t>项  目</w:t>
            </w:r>
          </w:p>
        </w:tc>
        <w:tc>
          <w:tcPr>
            <w:tcW w:w="6572"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3"/>
            </w:pPr>
            <w:r>
              <w:t>合计</w:t>
            </w:r>
          </w:p>
        </w:tc>
        <w:tc>
          <w:tcPr>
            <w:tcW w:w="1643" w:type="dxa"/>
            <w:vAlign w:val="center"/>
          </w:tcPr>
          <w:p>
            <w:pPr>
              <w:pStyle w:val="13"/>
            </w:pPr>
            <w:r>
              <w:t>一般公共预算              财政拨款</w:t>
            </w:r>
          </w:p>
        </w:tc>
        <w:tc>
          <w:tcPr>
            <w:tcW w:w="1643"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中共石家庄市藁城区委党史研究室2022年部门预算信息公开情况说明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中共石家庄市藁城区委党史研究室2022年部门预算信息公开情况说明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按照《预算法》、《地方预决算公开操作规程》和《关于进一步推进预算公开工作的实施意见》规定，现将中共石家庄市藁城区委党史研究室2022年部门预算公开如下：</w:t>
      </w:r>
    </w:p>
    <w:p>
      <w:pPr>
        <w:spacing w:before="10" w:after="10" w:line="360" w:lineRule="auto"/>
        <w:ind w:firstLine="640"/>
        <w:jc w:val="left"/>
        <w:outlineLvl w:val="2"/>
      </w:pPr>
      <w:bookmarkStart w:id="9" w:name="_Toc11688"/>
      <w:bookmarkStart w:id="10" w:name="_Toc9465"/>
      <w:bookmarkStart w:id="11" w:name="_Toc22748"/>
      <w:r>
        <w:rPr>
          <w:rFonts w:ascii="黑体" w:hAnsi="黑体" w:eastAsia="黑体" w:cs="黑体"/>
          <w:color w:val="000000"/>
          <w:sz w:val="32"/>
        </w:rPr>
        <w:t>一、部门职责及机构设置情况</w:t>
      </w:r>
      <w:bookmarkEnd w:id="9"/>
      <w:bookmarkEnd w:id="10"/>
      <w:bookmarkEnd w:id="11"/>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0"/>
      </w:pPr>
      <w:r>
        <w:t>部门职责：</w:t>
      </w:r>
    </w:p>
    <w:p>
      <w:pPr>
        <w:pStyle w:val="20"/>
      </w:pPr>
      <w:r>
        <w:t>（一）、在区委和上级党史研究部门的领号和指导下,全面贯彻执行党的基本路线,以马列主义、毛泽东思想、邓小平理论和“三个代表”重要思想、科学发展观和习近平新时代中国特色社会主义思想为指导,坚持历史唯物主义，全面深入地开展全区党史资料的征集、研究、整理和宣传、教育工作。</w:t>
      </w:r>
    </w:p>
    <w:p>
      <w:pPr>
        <w:pStyle w:val="20"/>
      </w:pPr>
      <w:r>
        <w:t>（二）、做好党史资料的研究工作。按照辩证唯物主义史观,以对党对人民负责的态度,认真、踏实做好党史资料的研究工作,达到去伪存真、去粗取精的目的,使写出的觉史真实、可靠,符合历史史实。</w:t>
      </w:r>
    </w:p>
    <w:p>
      <w:pPr>
        <w:pStyle w:val="20"/>
      </w:pPr>
      <w:r>
        <w:t>（三）、搞好党史专题、文章及论文的撰写工作。把党史中重大历史事件、重要会议、重要问题、重要人物写成专题、介绍文章或论文,使党史资料完整、系统,增加史料的使用价值。</w:t>
      </w:r>
    </w:p>
    <w:p>
      <w:pPr>
        <w:pStyle w:val="20"/>
      </w:pPr>
      <w:r>
        <w:t>（四）、编纂、出版党史资料书刊。把党的各个时期的党史大事记、专题资料集、组织史资料、党史人物传记及觉的地方历史编纂成书出版,使党史资料成为反映历史、提供镜鉴、教育人民的生动教材。</w:t>
      </w:r>
    </w:p>
    <w:p>
      <w:pPr>
        <w:pStyle w:val="20"/>
      </w:pPr>
      <w:r>
        <w:t>（五）、对征集到的各和资料认真考证、核实、整理,分类编目立卷,实行科学管理,进行专题研究;编写出版党史资料或专题研究丛书，充分发挥党史资料的作用。</w:t>
      </w:r>
    </w:p>
    <w:p>
      <w:pPr>
        <w:pStyle w:val="20"/>
      </w:pPr>
      <w:r>
        <w:t>（六）、积极动员、组织全区党政机关、企事业单位搞好党史资料征集、宣传协作工作。</w:t>
      </w:r>
    </w:p>
    <w:p>
      <w:pPr>
        <w:pStyle w:val="20"/>
      </w:pPr>
      <w:r>
        <w:t>（七）、承担区委交办的其他工作。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3"/>
            </w:pPr>
            <w:r>
              <w:t>单位名称</w:t>
            </w:r>
          </w:p>
        </w:tc>
        <w:tc>
          <w:tcPr>
            <w:tcW w:w="2464" w:type="dxa"/>
            <w:vAlign w:val="center"/>
          </w:tcPr>
          <w:p>
            <w:pPr>
              <w:pStyle w:val="13"/>
            </w:pPr>
            <w:r>
              <w:t>单位性质</w:t>
            </w:r>
          </w:p>
        </w:tc>
        <w:tc>
          <w:tcPr>
            <w:tcW w:w="2464" w:type="dxa"/>
            <w:vAlign w:val="center"/>
          </w:tcPr>
          <w:p>
            <w:pPr>
              <w:pStyle w:val="13"/>
            </w:pPr>
            <w:r>
              <w:t>单位规格</w:t>
            </w:r>
          </w:p>
        </w:tc>
        <w:tc>
          <w:tcPr>
            <w:tcW w:w="2464"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中共石家庄市藁城区委党史研究室</w:t>
            </w:r>
          </w:p>
        </w:tc>
        <w:tc>
          <w:tcPr>
            <w:tcW w:w="2464" w:type="dxa"/>
            <w:vAlign w:val="center"/>
          </w:tcPr>
          <w:p>
            <w:pPr>
              <w:pStyle w:val="16"/>
            </w:pPr>
            <w:r>
              <w:t>事业</w:t>
            </w:r>
          </w:p>
        </w:tc>
        <w:tc>
          <w:tcPr>
            <w:tcW w:w="2464" w:type="dxa"/>
            <w:vAlign w:val="center"/>
          </w:tcPr>
          <w:p>
            <w:pPr>
              <w:pStyle w:val="16"/>
            </w:pPr>
            <w:r>
              <w:t>正科级</w:t>
            </w:r>
          </w:p>
        </w:tc>
        <w:tc>
          <w:tcPr>
            <w:tcW w:w="2464" w:type="dxa"/>
            <w:vAlign w:val="center"/>
          </w:tcPr>
          <w:p>
            <w:pPr>
              <w:pStyle w:val="16"/>
            </w:pPr>
            <w:r>
              <w:t>财政性资金基本保证</w:t>
            </w:r>
          </w:p>
        </w:tc>
      </w:tr>
    </w:tbl>
    <w:p>
      <w:pPr>
        <w:spacing w:before="10" w:after="10" w:line="360" w:lineRule="auto"/>
        <w:ind w:firstLine="640"/>
        <w:jc w:val="left"/>
        <w:outlineLvl w:val="2"/>
      </w:pPr>
      <w:bookmarkStart w:id="12" w:name="_Toc30695"/>
      <w:bookmarkStart w:id="13" w:name="_Toc29985"/>
      <w:bookmarkStart w:id="14" w:name="_Toc3801"/>
      <w:r>
        <w:rPr>
          <w:rFonts w:ascii="黑体" w:hAnsi="黑体" w:eastAsia="黑体" w:cs="黑体"/>
          <w:color w:val="000000"/>
          <w:sz w:val="32"/>
        </w:rPr>
        <w:t>二、部门预算安排的总体情况</w:t>
      </w:r>
      <w:bookmarkEnd w:id="12"/>
      <w:bookmarkEnd w:id="13"/>
      <w:bookmarkEnd w:id="14"/>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按照预算管理有关规定，目前我省部门预算的编制实行综合预算管理，即全部收入和支出都反映在预算中。中共石家庄市藁城区委党史研究室机关及所属事业单位的收支包含在部门预算中。</w:t>
      </w:r>
    </w:p>
    <w:p>
      <w:pPr>
        <w:keepNext w:val="0"/>
        <w:keepLines w:val="0"/>
        <w:pageBreakBefore w:val="0"/>
        <w:widowControl/>
        <w:kinsoku/>
        <w:wordWrap/>
        <w:overflowPunct/>
        <w:topLinePunct w:val="0"/>
        <w:autoSpaceDE/>
        <w:autoSpaceDN/>
        <w:bidi w:val="0"/>
        <w:adjustRightInd/>
        <w:snapToGrid/>
        <w:spacing w:line="360" w:lineRule="auto"/>
        <w:ind w:firstLine="641"/>
        <w:textAlignment w:val="auto"/>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ind w:left="640" w:leftChars="0" w:firstLine="641" w:firstLineChars="0"/>
        <w:jc w:val="left"/>
        <w:textAlignment w:val="auto"/>
        <w:outlineLvl w:val="2"/>
        <w:rPr>
          <w:rFonts w:hint="eastAsia" w:ascii="Times New Roman" w:hAnsi="Times New Roman" w:eastAsia="仿宋" w:cs="Times New Roman"/>
          <w:sz w:val="32"/>
          <w:szCs w:val="32"/>
        </w:rPr>
      </w:pPr>
      <w:bookmarkStart w:id="15" w:name="_Toc32430"/>
      <w:bookmarkStart w:id="16" w:name="_Toc32679"/>
      <w:bookmarkStart w:id="17" w:name="_Toc24382"/>
      <w:bookmarkStart w:id="18" w:name="_Toc31574"/>
      <w:r>
        <w:rPr>
          <w:rFonts w:hint="eastAsia" w:ascii="Times New Roman" w:hAnsi="Times New Roman" w:eastAsia="仿宋" w:cs="Times New Roman"/>
          <w:sz w:val="32"/>
          <w:szCs w:val="32"/>
        </w:rPr>
        <w:t>反映本部门当年全部收入。2022年预算收入</w:t>
      </w:r>
      <w:r>
        <w:rPr>
          <w:rFonts w:hint="eastAsia" w:ascii="Times New Roman" w:hAnsi="Times New Roman" w:eastAsia="仿宋" w:cs="Times New Roman"/>
          <w:sz w:val="32"/>
          <w:szCs w:val="32"/>
          <w:lang w:val="en-US" w:eastAsia="zh-CN"/>
        </w:rPr>
        <w:t>77.78</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77.78</w:t>
      </w:r>
      <w:r>
        <w:rPr>
          <w:rFonts w:hint="eastAsia" w:ascii="Times New Roman" w:hAnsi="Times New Roman" w:eastAsia="仿宋" w:cs="Times New Roman"/>
          <w:sz w:val="32"/>
          <w:szCs w:val="32"/>
        </w:rPr>
        <w:t>万元，基金预算收入0万元，财政专户核拨收入0万元，其他来源收入0万元。</w:t>
      </w:r>
      <w:bookmarkEnd w:id="15"/>
      <w:bookmarkEnd w:id="16"/>
      <w:bookmarkEnd w:id="17"/>
      <w:bookmarkEnd w:id="18"/>
    </w:p>
    <w:p>
      <w:pPr>
        <w:keepNext w:val="0"/>
        <w:keepLines w:val="0"/>
        <w:pageBreakBefore w:val="0"/>
        <w:widowControl/>
        <w:kinsoku/>
        <w:wordWrap/>
        <w:overflowPunct/>
        <w:topLinePunct w:val="0"/>
        <w:autoSpaceDE/>
        <w:autoSpaceDN/>
        <w:bidi w:val="0"/>
        <w:adjustRightInd/>
        <w:snapToGrid/>
        <w:spacing w:line="360" w:lineRule="auto"/>
        <w:ind w:firstLine="641"/>
        <w:textAlignment w:val="auto"/>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ind w:left="640" w:leftChars="0" w:firstLine="641" w:firstLineChars="0"/>
        <w:jc w:val="left"/>
        <w:textAlignment w:val="auto"/>
        <w:outlineLvl w:val="2"/>
        <w:rPr>
          <w:rFonts w:hint="eastAsia" w:ascii="Times New Roman" w:hAnsi="Times New Roman" w:eastAsia="仿宋" w:cs="Times New Roman"/>
          <w:sz w:val="32"/>
          <w:szCs w:val="32"/>
        </w:rPr>
      </w:pPr>
      <w:bookmarkStart w:id="19" w:name="_Toc1991"/>
      <w:bookmarkStart w:id="20" w:name="_Toc17617"/>
      <w:bookmarkStart w:id="21" w:name="_Toc5789"/>
      <w:bookmarkStart w:id="22" w:name="_Toc9876"/>
      <w:r>
        <w:rPr>
          <w:rFonts w:hint="eastAsia" w:ascii="Times New Roman" w:hAnsi="Times New Roman" w:eastAsia="仿宋" w:cs="Times New Roman"/>
          <w:sz w:val="32"/>
          <w:szCs w:val="32"/>
        </w:rPr>
        <w:t>收支预算总表支出栏、基本支出表、项目支出表按经济分类和支出功能分类科目编制，反映本部门预算中支出预算的总体情况。2022年部门支出预算为</w:t>
      </w:r>
      <w:r>
        <w:rPr>
          <w:rFonts w:hint="eastAsia" w:ascii="Times New Roman" w:hAnsi="Times New Roman" w:eastAsia="仿宋" w:cs="Times New Roman"/>
          <w:sz w:val="32"/>
          <w:szCs w:val="32"/>
          <w:lang w:val="en-US" w:eastAsia="zh-CN"/>
        </w:rPr>
        <w:t>77.78</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70.13</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63.49</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6.63</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7.65</w:t>
      </w:r>
      <w:r>
        <w:rPr>
          <w:rFonts w:hint="eastAsia" w:ascii="Times New Roman" w:hAnsi="Times New Roman" w:eastAsia="仿宋" w:cs="Times New Roman"/>
          <w:sz w:val="32"/>
          <w:szCs w:val="32"/>
        </w:rPr>
        <w:t>万元，主要为</w:t>
      </w:r>
      <w:r>
        <w:rPr>
          <w:rFonts w:hint="eastAsia" w:ascii="Times New Roman" w:hAnsi="Times New Roman" w:eastAsia="仿宋" w:cs="Times New Roman"/>
          <w:sz w:val="32"/>
          <w:szCs w:val="32"/>
          <w:lang w:eastAsia="zh-CN"/>
        </w:rPr>
        <w:t>出版《中国共产党藁城历史》（第二卷）</w:t>
      </w:r>
      <w:r>
        <w:rPr>
          <w:rFonts w:hint="eastAsia" w:ascii="Times New Roman" w:hAnsi="Times New Roman" w:eastAsia="仿宋" w:cs="Times New Roman"/>
          <w:sz w:val="32"/>
          <w:szCs w:val="32"/>
          <w:lang w:val="en-US" w:eastAsia="zh-CN"/>
        </w:rPr>
        <w:t>印刷</w:t>
      </w:r>
      <w:r>
        <w:rPr>
          <w:rFonts w:hint="eastAsia" w:ascii="Times New Roman" w:hAnsi="Times New Roman" w:eastAsia="仿宋" w:cs="Times New Roman"/>
          <w:sz w:val="32"/>
          <w:szCs w:val="32"/>
          <w:lang w:eastAsia="zh-CN"/>
        </w:rPr>
        <w:t>经费</w:t>
      </w:r>
      <w:r>
        <w:rPr>
          <w:rFonts w:hint="eastAsia" w:ascii="Times New Roman" w:hAnsi="Times New Roman" w:eastAsia="仿宋" w:cs="Times New Roman"/>
          <w:sz w:val="32"/>
          <w:szCs w:val="32"/>
          <w:lang w:val="en-US" w:eastAsia="zh-CN"/>
        </w:rPr>
        <w:t>7.65万元</w:t>
      </w:r>
      <w:r>
        <w:rPr>
          <w:rFonts w:hint="eastAsia" w:ascii="Times New Roman" w:hAnsi="Times New Roman" w:eastAsia="仿宋" w:cs="Times New Roman"/>
          <w:sz w:val="32"/>
          <w:szCs w:val="32"/>
        </w:rPr>
        <w:t>；其他支出0万元。</w:t>
      </w:r>
      <w:bookmarkEnd w:id="19"/>
      <w:bookmarkEnd w:id="20"/>
      <w:bookmarkEnd w:id="21"/>
      <w:bookmarkEnd w:id="22"/>
    </w:p>
    <w:p>
      <w:pPr>
        <w:keepNext w:val="0"/>
        <w:keepLines w:val="0"/>
        <w:pageBreakBefore w:val="0"/>
        <w:widowControl/>
        <w:numPr>
          <w:ilvl w:val="0"/>
          <w:numId w:val="1"/>
        </w:numPr>
        <w:kinsoku/>
        <w:wordWrap/>
        <w:overflowPunct/>
        <w:topLinePunct w:val="0"/>
        <w:autoSpaceDE/>
        <w:autoSpaceDN/>
        <w:bidi w:val="0"/>
        <w:adjustRightInd/>
        <w:snapToGrid/>
        <w:spacing w:line="360" w:lineRule="auto"/>
        <w:ind w:firstLine="641"/>
        <w:textAlignment w:val="auto"/>
        <w:rPr>
          <w:rFonts w:ascii="Times New Roman" w:hAnsi="Times New Roman" w:eastAsia="仿宋" w:cs="Times New Roman"/>
          <w:sz w:val="32"/>
          <w:szCs w:val="32"/>
        </w:rPr>
      </w:pPr>
      <w:r>
        <w:rPr>
          <w:rFonts w:ascii="Times New Roman" w:hAnsi="Times New Roman" w:eastAsia="仿宋" w:cs="Times New Roman"/>
          <w:sz w:val="32"/>
          <w:szCs w:val="32"/>
        </w:rPr>
        <w:t>比上年增减情况</w:t>
      </w:r>
    </w:p>
    <w:p>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ind w:left="640" w:leftChars="0" w:firstLine="641" w:firstLineChars="0"/>
        <w:jc w:val="left"/>
        <w:textAlignment w:val="auto"/>
        <w:outlineLvl w:val="2"/>
      </w:pPr>
      <w:bookmarkStart w:id="23" w:name="_Toc22714"/>
      <w:bookmarkStart w:id="24" w:name="_Toc2405"/>
      <w:bookmarkStart w:id="25" w:name="_Toc15939"/>
      <w:bookmarkStart w:id="26" w:name="_Toc19300"/>
      <w:r>
        <w:rPr>
          <w:rFonts w:hint="eastAsia" w:ascii="Times New Roman" w:hAnsi="Times New Roman" w:eastAsia="仿宋" w:cs="Times New Roman"/>
          <w:sz w:val="32"/>
          <w:szCs w:val="32"/>
        </w:rPr>
        <w:t>2022年部门预算收支安排</w:t>
      </w:r>
      <w:r>
        <w:rPr>
          <w:rFonts w:hint="eastAsia" w:ascii="Times New Roman" w:hAnsi="Times New Roman" w:eastAsia="仿宋" w:cs="Times New Roman"/>
          <w:sz w:val="32"/>
          <w:szCs w:val="32"/>
          <w:lang w:val="en-US" w:eastAsia="zh-CN"/>
        </w:rPr>
        <w:t>77.78</w:t>
      </w:r>
      <w:r>
        <w:rPr>
          <w:rFonts w:hint="eastAsia" w:ascii="Times New Roman" w:hAnsi="Times New Roman" w:eastAsia="仿宋" w:cs="Times New Roman"/>
          <w:sz w:val="32"/>
          <w:szCs w:val="32"/>
        </w:rPr>
        <w:t>万元，较2021年增加</w:t>
      </w:r>
      <w:r>
        <w:rPr>
          <w:rFonts w:hint="eastAsia" w:ascii="Times New Roman" w:hAnsi="Times New Roman" w:eastAsia="仿宋" w:cs="Times New Roman"/>
          <w:sz w:val="32"/>
          <w:szCs w:val="32"/>
          <w:lang w:val="en-US" w:eastAsia="zh-CN"/>
        </w:rPr>
        <w:t>24.77</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lang w:val="en-US" w:eastAsia="zh-CN"/>
        </w:rPr>
        <w:t>19.12</w:t>
      </w:r>
      <w:r>
        <w:rPr>
          <w:rFonts w:hint="eastAsia" w:ascii="Times New Roman" w:hAnsi="Times New Roman" w:eastAsia="仿宋" w:cs="Times New Roman"/>
          <w:sz w:val="32"/>
          <w:szCs w:val="32"/>
        </w:rPr>
        <w:t>万元，主要是人员</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rPr>
        <w:t>，相应</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rPr>
        <w:t>人员经费和日常公用经费；项目支出增加</w:t>
      </w:r>
      <w:r>
        <w:rPr>
          <w:rFonts w:hint="eastAsia" w:ascii="Times New Roman" w:hAnsi="Times New Roman" w:eastAsia="仿宋" w:cs="Times New Roman"/>
          <w:sz w:val="32"/>
          <w:szCs w:val="32"/>
          <w:lang w:val="en-US" w:eastAsia="zh-CN"/>
        </w:rPr>
        <w:t>5.65</w:t>
      </w:r>
      <w:r>
        <w:rPr>
          <w:rFonts w:hint="eastAsia" w:ascii="Times New Roman" w:hAnsi="Times New Roman" w:eastAsia="仿宋" w:cs="Times New Roman"/>
          <w:sz w:val="32"/>
          <w:szCs w:val="32"/>
        </w:rPr>
        <w:t>万元，主要是</w:t>
      </w:r>
      <w:r>
        <w:rPr>
          <w:rFonts w:hint="eastAsia" w:ascii="Times New Roman" w:hAnsi="Times New Roman" w:eastAsia="仿宋" w:cs="Times New Roman"/>
          <w:sz w:val="32"/>
          <w:szCs w:val="32"/>
          <w:lang w:eastAsia="zh-CN"/>
        </w:rPr>
        <w:t>出版《中国共产党藁城历史》（第二卷）印刷</w:t>
      </w:r>
      <w:r>
        <w:rPr>
          <w:rFonts w:hint="eastAsia" w:ascii="Times New Roman" w:hAnsi="Times New Roman" w:eastAsia="仿宋" w:cs="Times New Roman"/>
          <w:sz w:val="32"/>
          <w:szCs w:val="32"/>
        </w:rPr>
        <w:t>资金；其他支出无增减变化。</w:t>
      </w:r>
      <w:bookmarkEnd w:id="23"/>
      <w:bookmarkEnd w:id="24"/>
      <w:bookmarkEnd w:id="25"/>
      <w:bookmarkEnd w:id="26"/>
    </w:p>
    <w:p>
      <w:pPr>
        <w:numPr>
          <w:ilvl w:val="0"/>
          <w:numId w:val="2"/>
        </w:numPr>
        <w:spacing w:before="10" w:after="10" w:line="360" w:lineRule="auto"/>
        <w:ind w:firstLine="640"/>
        <w:jc w:val="left"/>
        <w:outlineLvl w:val="2"/>
        <w:rPr>
          <w:rFonts w:ascii="黑体" w:hAnsi="黑体" w:eastAsia="黑体" w:cs="黑体"/>
          <w:color w:val="000000"/>
          <w:sz w:val="32"/>
        </w:rPr>
      </w:pPr>
      <w:bookmarkStart w:id="27" w:name="_Toc32535"/>
      <w:bookmarkStart w:id="28" w:name="_Toc4433"/>
      <w:bookmarkStart w:id="29" w:name="_Toc25564"/>
      <w:r>
        <w:rPr>
          <w:rFonts w:ascii="黑体" w:hAnsi="黑体" w:eastAsia="黑体" w:cs="黑体"/>
          <w:color w:val="000000"/>
          <w:sz w:val="32"/>
        </w:rPr>
        <w:t>机关运行经费安排情况</w:t>
      </w:r>
      <w:bookmarkEnd w:id="27"/>
      <w:bookmarkEnd w:id="28"/>
      <w:bookmarkEnd w:id="29"/>
    </w:p>
    <w:p>
      <w:pPr>
        <w:numPr>
          <w:ilvl w:val="0"/>
          <w:numId w:val="0"/>
        </w:numPr>
        <w:spacing w:before="10" w:after="10" w:line="360" w:lineRule="auto"/>
        <w:ind w:left="641" w:leftChars="267" w:firstLine="640" w:firstLineChars="200"/>
        <w:jc w:val="left"/>
        <w:outlineLvl w:val="2"/>
        <w:rPr>
          <w:rFonts w:hint="eastAsia" w:ascii="Times New Roman" w:hAnsi="Times New Roman" w:eastAsia="仿宋" w:cs="Times New Roman"/>
          <w:sz w:val="32"/>
          <w:szCs w:val="32"/>
        </w:rPr>
      </w:pPr>
      <w:bookmarkStart w:id="30" w:name="_Toc21606"/>
      <w:bookmarkStart w:id="31" w:name="_Toc27873"/>
      <w:bookmarkStart w:id="32" w:name="_Toc208"/>
      <w:bookmarkStart w:id="33" w:name="_Toc22232"/>
      <w:r>
        <w:rPr>
          <w:rFonts w:hint="eastAsia" w:ascii="Times New Roman" w:hAnsi="Times New Roman" w:eastAsia="仿宋" w:cs="Times New Roman"/>
          <w:sz w:val="32"/>
          <w:szCs w:val="32"/>
        </w:rPr>
        <w:t>2022年，我部门机关运行经费共计安排</w:t>
      </w:r>
      <w:r>
        <w:rPr>
          <w:rFonts w:hint="eastAsia" w:ascii="Times New Roman" w:hAnsi="Times New Roman" w:eastAsia="仿宋" w:cs="Times New Roman"/>
          <w:sz w:val="32"/>
          <w:szCs w:val="32"/>
          <w:lang w:val="en-US" w:eastAsia="zh-CN"/>
        </w:rPr>
        <w:t>6.63</w:t>
      </w:r>
      <w:r>
        <w:rPr>
          <w:rFonts w:hint="eastAsia" w:ascii="Times New Roman" w:hAnsi="Times New Roman" w:eastAsia="仿宋" w:cs="Times New Roman"/>
          <w:sz w:val="32"/>
          <w:szCs w:val="32"/>
        </w:rPr>
        <w:t>万元，主要用于保证机关正常运转的办公及印刷费、邮电费、差旅费、会议费、福利费、专用材料及一般设备购置费、日常维修费等支出。</w:t>
      </w:r>
      <w:bookmarkEnd w:id="30"/>
      <w:bookmarkEnd w:id="31"/>
      <w:bookmarkEnd w:id="32"/>
      <w:bookmarkEnd w:id="33"/>
    </w:p>
    <w:p>
      <w:pPr>
        <w:numPr>
          <w:ilvl w:val="0"/>
          <w:numId w:val="2"/>
        </w:numPr>
        <w:spacing w:before="10" w:after="10" w:line="360" w:lineRule="auto"/>
        <w:ind w:left="0" w:leftChars="0" w:firstLine="640" w:firstLineChars="0"/>
        <w:jc w:val="left"/>
        <w:outlineLvl w:val="2"/>
        <w:rPr>
          <w:rFonts w:ascii="黑体" w:hAnsi="黑体" w:eastAsia="黑体" w:cs="黑体"/>
          <w:color w:val="000000"/>
          <w:sz w:val="32"/>
        </w:rPr>
      </w:pPr>
      <w:bookmarkStart w:id="34" w:name="_Toc13341"/>
      <w:bookmarkStart w:id="35" w:name="_Toc10469"/>
      <w:bookmarkStart w:id="36" w:name="_Toc7143"/>
      <w:r>
        <w:rPr>
          <w:rFonts w:ascii="黑体" w:hAnsi="黑体" w:eastAsia="黑体" w:cs="黑体"/>
          <w:color w:val="000000"/>
          <w:sz w:val="32"/>
        </w:rPr>
        <w:t>财政拨款“三公”经费预算情况及增减变化原因</w:t>
      </w:r>
      <w:bookmarkEnd w:id="34"/>
      <w:bookmarkEnd w:id="35"/>
      <w:bookmarkEnd w:id="36"/>
    </w:p>
    <w:p>
      <w:pPr>
        <w:numPr>
          <w:ilvl w:val="0"/>
          <w:numId w:val="0"/>
        </w:numPr>
        <w:spacing w:before="10" w:after="10" w:line="360" w:lineRule="auto"/>
        <w:ind w:left="640" w:leftChars="0" w:firstLine="640" w:firstLineChars="0"/>
        <w:jc w:val="left"/>
        <w:outlineLvl w:val="2"/>
      </w:pPr>
      <w:bookmarkStart w:id="37" w:name="_Toc28640"/>
      <w:bookmarkStart w:id="38" w:name="_Toc1856"/>
      <w:bookmarkStart w:id="39" w:name="_Toc11728"/>
      <w:bookmarkStart w:id="40" w:name="_Toc5358"/>
      <w:r>
        <w:rPr>
          <w:rFonts w:hint="eastAsia" w:ascii="Times New Roman" w:hAnsi="Times New Roman" w:eastAsia="仿宋" w:cs="Times New Roman"/>
          <w:sz w:val="32"/>
          <w:szCs w:val="32"/>
        </w:rPr>
        <w:t>2022年</w:t>
      </w:r>
      <w:r>
        <w:rPr>
          <w:rFonts w:hint="eastAsia" w:eastAsia="仿宋" w:cs="Times New Roman"/>
          <w:sz w:val="32"/>
          <w:szCs w:val="32"/>
          <w:lang w:eastAsia="zh-CN"/>
        </w:rPr>
        <w:t>本</w:t>
      </w:r>
      <w:r>
        <w:rPr>
          <w:rFonts w:hint="eastAsia" w:ascii="Times New Roman" w:hAnsi="Times New Roman" w:eastAsia="仿宋" w:cs="Times New Roman"/>
          <w:sz w:val="32"/>
          <w:szCs w:val="32"/>
        </w:rPr>
        <w:t>部门财政拨款“三公”经费预算安排</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万元（其中：公务用车购置费0万元，公务用车运行维护费0万元)；公务接待费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w:t>
      </w:r>
      <w:r>
        <w:rPr>
          <w:rFonts w:hint="eastAsia" w:eastAsia="仿宋" w:cs="Times New Roman"/>
          <w:sz w:val="32"/>
          <w:szCs w:val="32"/>
          <w:lang w:eastAsia="zh-CN"/>
        </w:rPr>
        <w:t>与</w:t>
      </w:r>
      <w:r>
        <w:rPr>
          <w:rFonts w:hint="eastAsia" w:eastAsia="仿宋" w:cs="Times New Roman"/>
          <w:sz w:val="32"/>
          <w:szCs w:val="32"/>
          <w:lang w:val="en-US" w:eastAsia="zh-CN"/>
        </w:rPr>
        <w:t>2021年相比，</w:t>
      </w:r>
      <w:r>
        <w:rPr>
          <w:rFonts w:hint="eastAsia" w:ascii="Times New Roman" w:hAnsi="Times New Roman" w:eastAsia="仿宋" w:cs="Times New Roman"/>
          <w:sz w:val="32"/>
          <w:szCs w:val="32"/>
        </w:rPr>
        <w:t>“三公”经费与上年持平，无增减变化。</w:t>
      </w:r>
      <w:bookmarkEnd w:id="37"/>
      <w:bookmarkEnd w:id="38"/>
      <w:bookmarkEnd w:id="39"/>
      <w:bookmarkEnd w:id="40"/>
    </w:p>
    <w:p>
      <w:pPr>
        <w:spacing w:before="10" w:after="10" w:line="360" w:lineRule="auto"/>
        <w:ind w:firstLine="640"/>
        <w:jc w:val="left"/>
        <w:outlineLvl w:val="2"/>
        <w:rPr>
          <w:rFonts w:ascii="黑体" w:hAnsi="黑体" w:eastAsia="黑体" w:cs="黑体"/>
          <w:color w:val="000000"/>
          <w:sz w:val="32"/>
        </w:rPr>
      </w:pPr>
      <w:bookmarkStart w:id="41" w:name="_Toc16909"/>
      <w:bookmarkStart w:id="42" w:name="_Toc17080"/>
    </w:p>
    <w:p>
      <w:pPr>
        <w:spacing w:before="10" w:after="10" w:line="360" w:lineRule="auto"/>
        <w:ind w:firstLine="640"/>
        <w:jc w:val="left"/>
        <w:outlineLvl w:val="2"/>
      </w:pPr>
      <w:bookmarkStart w:id="43" w:name="_Toc11802"/>
      <w:r>
        <w:rPr>
          <w:rFonts w:ascii="黑体" w:hAnsi="黑体" w:eastAsia="黑体" w:cs="黑体"/>
          <w:color w:val="000000"/>
          <w:sz w:val="32"/>
        </w:rPr>
        <w:t>五、预算绩效信息</w:t>
      </w:r>
      <w:bookmarkEnd w:id="41"/>
      <w:bookmarkEnd w:id="42"/>
      <w:bookmarkEnd w:id="43"/>
    </w:p>
    <w:p>
      <w:pPr>
        <w:spacing w:before="0" w:after="0" w:line="240" w:lineRule="auto"/>
        <w:ind w:firstLine="640"/>
        <w:jc w:val="left"/>
        <w:outlineLvl w:val="9"/>
      </w:pPr>
      <w:r>
        <w:rPr>
          <w:rFonts w:ascii="方正楷体_GBK" w:hAnsi="方正楷体_GBK" w:eastAsia="方正楷体_GBK" w:cs="方正楷体_GBK"/>
          <w:b w:val="0"/>
          <w:bCs/>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4"/>
      </w:pPr>
      <w:r>
        <w:rPr>
          <w:rFonts w:hint="eastAsia"/>
          <w:lang w:val="en-US" w:eastAsia="zh-CN"/>
        </w:rPr>
        <w:t>一、</w:t>
      </w:r>
      <w:r>
        <w:t>部门总体绩效</w:t>
      </w:r>
    </w:p>
    <w:p>
      <w:pPr>
        <w:pStyle w:val="24"/>
      </w:pPr>
      <w:r>
        <w:t>一是继续做好党史资料的征编工作。在完成中国共产党藁城历史二卷的出版工作之后，着手中</w:t>
      </w:r>
      <w:r>
        <w:rPr>
          <w:rFonts w:hint="eastAsia"/>
          <w:lang w:eastAsia="zh-CN"/>
        </w:rPr>
        <w:t>国</w:t>
      </w:r>
      <w:r>
        <w:t>共产党藁城大事记第七集的征集编纂工作，争取2022年底前完成初稿。</w:t>
      </w:r>
    </w:p>
    <w:p>
      <w:pPr>
        <w:pStyle w:val="24"/>
      </w:pPr>
      <w:r>
        <w:t>二是努力开展好党史“五进”活动(党史进教村、进课堂、进影视作品、进网终、进基层)。采取多种形式向广大党员群众普及党的历史知识和基本经验。</w:t>
      </w:r>
    </w:p>
    <w:p>
      <w:pPr>
        <w:pStyle w:val="24"/>
      </w:pPr>
      <w:r>
        <w:t>三是加强党史部门自身建设。加大党史部门自身建设力度，以学习上级党史部门的会议精神和工作指示为主线，全面提高党史工作者的政治和业务素质，切实增强服务县域经济科学发展的能力和水平。</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5"/>
      </w:pPr>
      <w:r>
        <w:t>二、分项绩效目标</w:t>
      </w:r>
    </w:p>
    <w:p>
      <w:pPr>
        <w:pStyle w:val="25"/>
      </w:pPr>
      <w:r>
        <w:t>1、党史研究工作</w:t>
      </w:r>
    </w:p>
    <w:p>
      <w:pPr>
        <w:pStyle w:val="25"/>
      </w:pPr>
      <w:r>
        <w:t>绩效目标：通过开展专题资料、口述资料、照片资料、人物资料等搜集工作，深化党史专题研究和资政课题研究工作，促进编辑专题资料、人物资料和口述资料，党史书稿编纂、印刷出版工作，实现党史以史鉴今、资政育人作用。</w:t>
      </w:r>
    </w:p>
    <w:p>
      <w:pPr>
        <w:pStyle w:val="25"/>
      </w:pPr>
      <w:r>
        <w:t>绩效指标：目前党史二卷的编纂工作基本完成，争取完成《中国共产党藁城历史》（第二卷）初稿修改、送审、出版工作等资料。</w:t>
      </w:r>
    </w:p>
    <w:p>
      <w:pPr>
        <w:pStyle w:val="25"/>
      </w:pPr>
      <w:r>
        <w:t>2、党史宣传工作</w:t>
      </w:r>
    </w:p>
    <w:p>
      <w:pPr>
        <w:pStyle w:val="25"/>
      </w:pPr>
      <w:r>
        <w:t xml:space="preserve">绩效目标：为庆祝中国共产党成立100周年出版书籍《中国共产党藁城历史》（第二卷）、举办党史干部培训等形式，促进党史宣传教育工作，提升全区党史干部能力素质，做好中国特色社会主义时期地方党史资料的征集编纂研究工作，扩大党史宣传效果。 </w:t>
      </w:r>
    </w:p>
    <w:p>
      <w:pPr>
        <w:pStyle w:val="25"/>
      </w:pPr>
      <w:r>
        <w:t xml:space="preserve">绩效指标：1.举办党史干部培训，提升全区党史干部能力素质。2.加强党史宣传教育工作，出版庆祝建党100周年书籍《中国共产党藁城历史》（第二卷），扩大党史宣传效果。3.按照石家庄市委党史研究室的要求以本地区的党史资源为基础在本地进行巡回展览，开展一次藁城党史知识的普及教育。 </w:t>
      </w:r>
    </w:p>
    <w:p>
      <w:pPr>
        <w:pStyle w:val="25"/>
      </w:pPr>
      <w:r>
        <w:t>3、加强队伍建设，提升业务水平。</w:t>
      </w:r>
    </w:p>
    <w:p>
      <w:pPr>
        <w:pStyle w:val="25"/>
      </w:pPr>
      <w:r>
        <w:t>在推进编纂工作开展的同时，2022年我室计划开展一个学习年建设，制定全年业务学习计划，从专业知识、历史知识、写作知识等方面着手，大力开展业务培训，提升党史队伍的专业水平。</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6"/>
      </w:pPr>
      <w:r>
        <w:t>三、工作保障措施</w:t>
      </w:r>
    </w:p>
    <w:p>
      <w:pPr>
        <w:pStyle w:val="26"/>
      </w:pPr>
      <w:r>
        <w:rPr>
          <w:rFonts w:hint="eastAsia"/>
          <w:lang w:eastAsia="zh-CN"/>
        </w:rPr>
        <w:t>（</w:t>
      </w:r>
      <w:r>
        <w:rPr>
          <w:rFonts w:hint="eastAsia"/>
          <w:lang w:val="en-US" w:eastAsia="zh-CN"/>
        </w:rPr>
        <w:t>一</w:t>
      </w:r>
      <w:r>
        <w:rPr>
          <w:rFonts w:hint="eastAsia"/>
          <w:lang w:eastAsia="zh-CN"/>
        </w:rPr>
        <w:t>）</w:t>
      </w:r>
      <w:r>
        <w:t>加强组织领导，强化计划与监督</w:t>
      </w:r>
    </w:p>
    <w:p>
      <w:pPr>
        <w:pStyle w:val="26"/>
      </w:pPr>
      <w:r>
        <w:t>在区委和上级党史研究部门的领导和指导下，全面贯彻执行党的基本路线，全面深入地开展全区党史资料的征集、研究、整理和宣传、教育工作。把党史中重大历史事件、重要会议、重要问题、重要人物写成专题、介绍文章。使党史资料完整、系统。增加史料的使用价值。</w:t>
      </w:r>
    </w:p>
    <w:p>
      <w:pPr>
        <w:pStyle w:val="26"/>
      </w:pPr>
      <w:r>
        <w:t>（二）加强干部队伍建设，不断提高政治业务素质</w:t>
      </w:r>
    </w:p>
    <w:p>
      <w:pPr>
        <w:pStyle w:val="26"/>
      </w:pPr>
      <w:r>
        <w:t>面对当前党史工作的机遇与挑战，面对党中央提出的新任务和新要求，加强党史人才队伍建设迫在眉睫，人才是党史之本，兴史之源，要有效地提高党史工作科学化水平，必须要按照中央提出的“健全机构、稳定队伍、提高素质、充实力量”的要求，切实加强人才队伍建设，培养造就一支政治强、业务精、能力强、作风正、充满活力的高素质的党史干部队伍。</w:t>
      </w:r>
    </w:p>
    <w:p>
      <w:pPr>
        <w:pStyle w:val="26"/>
      </w:pPr>
      <w:r>
        <w:t>（三）加强与上级及其他县区党研究室的沟通</w:t>
      </w:r>
    </w:p>
    <w:p>
      <w:pPr>
        <w:pStyle w:val="26"/>
      </w:pPr>
      <w:r>
        <w:t>充分发挥党史工作对推进党的建设新的伟大工程和中国特色社会主义伟大事业的重要作用，整合红色资源，加大研究力度，多出精品力作，交流党史工作经验,加强党史宣传教育，</w:t>
      </w:r>
      <w:r>
        <w:rPr>
          <w:rFonts w:hint="eastAsia"/>
          <w:lang w:eastAsia="zh-CN"/>
        </w:rPr>
        <w:t>不忘初心、牢记使命</w:t>
      </w:r>
      <w:r>
        <w:t>，为全面建成小康社会做出应有的贡献。</w:t>
      </w:r>
    </w:p>
    <w:p>
      <w:pPr>
        <w:pStyle w:val="26"/>
      </w:pPr>
      <w:r>
        <w:t>（四）建立健全考核奖励制度</w:t>
      </w:r>
    </w:p>
    <w:p>
      <w:pPr>
        <w:pStyle w:val="26"/>
      </w:pPr>
      <w:r>
        <w:t>严格工作纪律和考勤管理；促进个人全面进步，适应史志工作需求，组织集中学习。机关全体工作人员必须牢记党史工作十六字精神，共塑党史研究室团结、勤奋、务实、高效的机关形象。全体机关工作人员要牢固树立整体意识，团结协作，自觉配合，遇事不推诿，不敷衍，注重提高工作效率。</w:t>
      </w:r>
    </w:p>
    <w:p>
      <w:pPr>
        <w:pStyle w:val="26"/>
      </w:pPr>
    </w:p>
    <w:p>
      <w:pPr>
        <w:pStyle w:val="27"/>
        <w:spacing w:before="0" w:after="0" w:line="240" w:lineRule="auto"/>
        <w:ind w:firstLine="640"/>
        <w:jc w:val="left"/>
        <w:outlineLvl w:val="9"/>
        <w:rPr>
          <w:rFonts w:ascii="方正楷体_GBK" w:hAnsi="方正楷体_GBK" w:eastAsia="方正楷体_GBK" w:cs="方正楷体_GBK"/>
          <w:b w:val="0"/>
          <w:bCs/>
          <w:color w:val="000000"/>
          <w:sz w:val="32"/>
        </w:rPr>
      </w:pPr>
    </w:p>
    <w:p>
      <w:pPr>
        <w:pStyle w:val="27"/>
        <w:spacing w:before="0" w:after="0" w:line="240" w:lineRule="auto"/>
        <w:ind w:firstLine="640"/>
        <w:jc w:val="left"/>
        <w:outlineLvl w:val="9"/>
        <w:rPr>
          <w:rFonts w:ascii="方正楷体_GBK" w:hAnsi="方正楷体_GBK" w:eastAsia="方正楷体_GBK" w:cs="方正楷体_GBK"/>
          <w:b w:val="0"/>
          <w:bCs/>
          <w:color w:val="000000"/>
          <w:sz w:val="32"/>
        </w:rPr>
      </w:pPr>
    </w:p>
    <w:p>
      <w:pPr>
        <w:pStyle w:val="27"/>
        <w:spacing w:before="0" w:after="0" w:line="240" w:lineRule="auto"/>
        <w:ind w:firstLine="640"/>
        <w:jc w:val="left"/>
        <w:outlineLvl w:val="9"/>
        <w:rPr>
          <w:rFonts w:ascii="方正楷体_GBK" w:hAnsi="方正楷体_GBK" w:eastAsia="方正楷体_GBK" w:cs="方正楷体_GBK"/>
          <w:b w:val="0"/>
          <w:bCs/>
          <w:color w:val="000000"/>
          <w:sz w:val="32"/>
        </w:rPr>
      </w:pPr>
    </w:p>
    <w:p>
      <w:pPr>
        <w:pStyle w:val="27"/>
        <w:spacing w:before="0" w:after="0" w:line="240" w:lineRule="auto"/>
        <w:ind w:firstLine="640"/>
        <w:jc w:val="left"/>
        <w:outlineLvl w:val="9"/>
        <w:rPr>
          <w:rFonts w:ascii="方正楷体_GBK" w:hAnsi="方正楷体_GBK" w:eastAsia="方正楷体_GBK" w:cs="方正楷体_GBK"/>
          <w:b w:val="0"/>
          <w:bCs/>
          <w:color w:val="000000"/>
          <w:sz w:val="32"/>
        </w:rPr>
      </w:pPr>
    </w:p>
    <w:p>
      <w:pPr>
        <w:pStyle w:val="27"/>
        <w:spacing w:before="0" w:after="0" w:line="240" w:lineRule="auto"/>
        <w:ind w:firstLine="640"/>
        <w:jc w:val="left"/>
        <w:outlineLvl w:val="9"/>
        <w:rPr>
          <w:rFonts w:ascii="方正楷体_GBK" w:hAnsi="方正楷体_GBK" w:eastAsia="方正楷体_GBK" w:cs="方正楷体_GBK"/>
          <w:b w:val="0"/>
          <w:bCs/>
          <w:color w:val="000000"/>
          <w:sz w:val="32"/>
        </w:rPr>
      </w:pPr>
    </w:p>
    <w:p>
      <w:pPr>
        <w:pStyle w:val="27"/>
        <w:spacing w:before="0" w:after="0" w:line="240" w:lineRule="auto"/>
        <w:ind w:firstLine="640"/>
        <w:jc w:val="left"/>
        <w:outlineLvl w:val="9"/>
        <w:rPr>
          <w:rFonts w:ascii="方正楷体_GBK" w:hAnsi="方正楷体_GBK" w:eastAsia="方正楷体_GBK" w:cs="方正楷体_GBK"/>
          <w:b w:val="0"/>
          <w:bCs/>
          <w:color w:val="000000"/>
          <w:sz w:val="32"/>
        </w:rPr>
      </w:pPr>
    </w:p>
    <w:p>
      <w:pPr>
        <w:pStyle w:val="27"/>
        <w:spacing w:before="0" w:after="0" w:line="240" w:lineRule="auto"/>
        <w:ind w:firstLine="640"/>
        <w:jc w:val="left"/>
        <w:outlineLvl w:val="9"/>
        <w:rPr>
          <w:b w:val="0"/>
          <w:bCs/>
        </w:rPr>
      </w:pPr>
      <w:r>
        <w:rPr>
          <w:rFonts w:ascii="方正楷体_GBK" w:hAnsi="方正楷体_GBK" w:eastAsia="方正楷体_GBK" w:cs="方正楷体_GBK"/>
          <w:b w:val="0"/>
          <w:bCs/>
          <w:color w:val="000000"/>
          <w:sz w:val="32"/>
        </w:rPr>
        <w:t>第</w:t>
      </w:r>
      <w:r>
        <w:rPr>
          <w:rFonts w:hint="eastAsia" w:ascii="方正楷体_GBK" w:hAnsi="方正楷体_GBK" w:eastAsia="方正楷体_GBK" w:cs="方正楷体_GBK"/>
          <w:b w:val="0"/>
          <w:bCs/>
          <w:color w:val="000000"/>
          <w:sz w:val="32"/>
          <w:lang w:val="en-US" w:eastAsia="zh-CN"/>
        </w:rPr>
        <w:t>二</w:t>
      </w:r>
      <w:r>
        <w:rPr>
          <w:rFonts w:ascii="方正楷体_GBK" w:hAnsi="方正楷体_GBK" w:eastAsia="方正楷体_GBK" w:cs="方正楷体_GBK"/>
          <w:b w:val="0"/>
          <w:bCs/>
          <w:color w:val="000000"/>
          <w:sz w:val="32"/>
        </w:rPr>
        <w:t>部分  预算项目绩效目标</w:t>
      </w:r>
    </w:p>
    <w:p>
      <w:pPr>
        <w:pStyle w:val="27"/>
        <w:spacing w:before="0" w:after="0"/>
        <w:ind w:firstLine="560"/>
        <w:jc w:val="left"/>
        <w:outlineLvl w:val="9"/>
      </w:pPr>
      <w:r>
        <w:rPr>
          <w:rFonts w:ascii="方正仿宋_GBK" w:hAnsi="方正仿宋_GBK" w:eastAsia="方正仿宋_GBK" w:cs="方正仿宋_GBK"/>
          <w:b w:val="0"/>
          <w:bCs/>
          <w:color w:val="000000"/>
          <w:sz w:val="28"/>
        </w:rPr>
        <w:t>1、出版《中国共产党藁城历史》（第二卷）绩效目标表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8"/>
            </w:pPr>
            <w:r>
              <w:t>绩效目标</w:t>
            </w:r>
          </w:p>
        </w:tc>
        <w:tc>
          <w:tcPr>
            <w:tcW w:w="7399" w:type="dxa"/>
            <w:tcBorders>
              <w:bottom w:val="single" w:color="FFFFFF" w:sz="6" w:space="0"/>
            </w:tcBorders>
            <w:vAlign w:val="center"/>
          </w:tcPr>
          <w:p>
            <w:pPr>
              <w:pStyle w:val="29"/>
            </w:pPr>
            <w:r>
              <w:t>1.目标内容1</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8"/>
            </w:pPr>
            <w:r>
              <w:t>一级指标</w:t>
            </w:r>
          </w:p>
        </w:tc>
        <w:tc>
          <w:tcPr>
            <w:tcW w:w="2466" w:type="dxa"/>
            <w:vAlign w:val="center"/>
          </w:tcPr>
          <w:p>
            <w:pPr>
              <w:pStyle w:val="28"/>
            </w:pPr>
            <w:r>
              <w:t>二级指标</w:t>
            </w:r>
          </w:p>
        </w:tc>
        <w:tc>
          <w:tcPr>
            <w:tcW w:w="2466" w:type="dxa"/>
            <w:vAlign w:val="center"/>
          </w:tcPr>
          <w:p>
            <w:pPr>
              <w:pStyle w:val="28"/>
            </w:pPr>
            <w:r>
              <w:t>三级指标</w:t>
            </w:r>
          </w:p>
        </w:tc>
        <w:tc>
          <w:tcPr>
            <w:tcW w:w="2466" w:type="dxa"/>
            <w:vAlign w:val="center"/>
          </w:tcPr>
          <w:p>
            <w:pPr>
              <w:pStyle w:val="28"/>
            </w:pPr>
            <w:r>
              <w:t>绩效指标描述</w:t>
            </w:r>
          </w:p>
        </w:tc>
        <w:tc>
          <w:tcPr>
            <w:tcW w:w="2466" w:type="dxa"/>
            <w:vAlign w:val="center"/>
          </w:tcPr>
          <w:p>
            <w:pPr>
              <w:pStyle w:val="28"/>
            </w:pPr>
            <w:r>
              <w:t>指标值</w:t>
            </w:r>
          </w:p>
        </w:tc>
        <w:tc>
          <w:tcPr>
            <w:tcW w:w="2466"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30"/>
            </w:pPr>
            <w:r>
              <w:t>产出指标</w:t>
            </w:r>
          </w:p>
        </w:tc>
        <w:tc>
          <w:tcPr>
            <w:tcW w:w="2466" w:type="dxa"/>
            <w:vAlign w:val="center"/>
          </w:tcPr>
          <w:p>
            <w:pPr>
              <w:pStyle w:val="29"/>
            </w:pPr>
            <w:r>
              <w:t>数量指标</w:t>
            </w:r>
          </w:p>
        </w:tc>
        <w:tc>
          <w:tcPr>
            <w:tcW w:w="2466" w:type="dxa"/>
            <w:vAlign w:val="center"/>
          </w:tcPr>
          <w:p>
            <w:pPr>
              <w:pStyle w:val="29"/>
            </w:pPr>
            <w:r>
              <w:t>书籍份数</w:t>
            </w:r>
          </w:p>
        </w:tc>
        <w:tc>
          <w:tcPr>
            <w:tcW w:w="2466" w:type="dxa"/>
            <w:vAlign w:val="center"/>
          </w:tcPr>
          <w:p>
            <w:pPr>
              <w:pStyle w:val="29"/>
            </w:pPr>
            <w:r>
              <w:t>印制《中国共产党藁城历史》（第二卷）份数</w:t>
            </w:r>
          </w:p>
        </w:tc>
        <w:tc>
          <w:tcPr>
            <w:tcW w:w="2466" w:type="dxa"/>
            <w:vAlign w:val="center"/>
          </w:tcPr>
          <w:p>
            <w:pPr>
              <w:pStyle w:val="29"/>
            </w:pPr>
            <w:r>
              <w:t>≥2000份</w:t>
            </w:r>
          </w:p>
        </w:tc>
        <w:tc>
          <w:tcPr>
            <w:tcW w:w="2466" w:type="dxa"/>
            <w:vAlign w:val="center"/>
          </w:tcPr>
          <w:p>
            <w:pPr>
              <w:pStyle w:val="29"/>
            </w:pPr>
            <w: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质量指标</w:t>
            </w:r>
          </w:p>
        </w:tc>
        <w:tc>
          <w:tcPr>
            <w:tcW w:w="2466" w:type="dxa"/>
            <w:vAlign w:val="center"/>
          </w:tcPr>
          <w:p>
            <w:pPr>
              <w:pStyle w:val="29"/>
            </w:pPr>
            <w:r>
              <w:t>书籍质量</w:t>
            </w:r>
          </w:p>
        </w:tc>
        <w:tc>
          <w:tcPr>
            <w:tcW w:w="2466" w:type="dxa"/>
            <w:vAlign w:val="center"/>
          </w:tcPr>
          <w:p>
            <w:pPr>
              <w:pStyle w:val="29"/>
            </w:pPr>
            <w:r>
              <w:t>内容准确率</w:t>
            </w:r>
          </w:p>
        </w:tc>
        <w:tc>
          <w:tcPr>
            <w:tcW w:w="2466" w:type="dxa"/>
            <w:vAlign w:val="center"/>
          </w:tcPr>
          <w:p>
            <w:pPr>
              <w:pStyle w:val="29"/>
            </w:pPr>
            <w:r>
              <w:t>≥100%</w:t>
            </w:r>
          </w:p>
        </w:tc>
        <w:tc>
          <w:tcPr>
            <w:tcW w:w="2466" w:type="dxa"/>
            <w:vAlign w:val="center"/>
          </w:tcPr>
          <w:p>
            <w:pPr>
              <w:pStyle w:val="29"/>
            </w:pPr>
            <w:r>
              <w:t>上级要求，书籍内容准确无误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时效指标</w:t>
            </w:r>
          </w:p>
        </w:tc>
        <w:tc>
          <w:tcPr>
            <w:tcW w:w="2466" w:type="dxa"/>
            <w:vAlign w:val="center"/>
          </w:tcPr>
          <w:p>
            <w:pPr>
              <w:pStyle w:val="29"/>
            </w:pPr>
            <w:r>
              <w:t>出版时间</w:t>
            </w:r>
          </w:p>
        </w:tc>
        <w:tc>
          <w:tcPr>
            <w:tcW w:w="2466" w:type="dxa"/>
            <w:vAlign w:val="center"/>
          </w:tcPr>
          <w:p>
            <w:pPr>
              <w:pStyle w:val="29"/>
            </w:pPr>
            <w:r>
              <w:t>2022年6月底完成书籍出版</w:t>
            </w:r>
          </w:p>
        </w:tc>
        <w:tc>
          <w:tcPr>
            <w:tcW w:w="2466" w:type="dxa"/>
            <w:vAlign w:val="center"/>
          </w:tcPr>
          <w:p>
            <w:pPr>
              <w:pStyle w:val="29"/>
            </w:pPr>
            <w:r>
              <w:t>≤12月</w:t>
            </w:r>
          </w:p>
        </w:tc>
        <w:tc>
          <w:tcPr>
            <w:tcW w:w="2466" w:type="dxa"/>
            <w:vAlign w:val="center"/>
          </w:tcPr>
          <w:p>
            <w:pPr>
              <w:pStyle w:val="29"/>
            </w:pPr>
            <w:r>
              <w:t>上级要求，书籍2022年底前完成出版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7"/>
            </w:pPr>
          </w:p>
        </w:tc>
        <w:tc>
          <w:tcPr>
            <w:tcW w:w="2466" w:type="dxa"/>
            <w:vAlign w:val="center"/>
          </w:tcPr>
          <w:p>
            <w:pPr>
              <w:pStyle w:val="29"/>
            </w:pPr>
            <w:r>
              <w:t>成本指标</w:t>
            </w:r>
          </w:p>
        </w:tc>
        <w:tc>
          <w:tcPr>
            <w:tcW w:w="2466" w:type="dxa"/>
            <w:vAlign w:val="center"/>
          </w:tcPr>
          <w:p>
            <w:pPr>
              <w:pStyle w:val="29"/>
            </w:pPr>
            <w:r>
              <w:t>出版成本控制</w:t>
            </w:r>
          </w:p>
        </w:tc>
        <w:tc>
          <w:tcPr>
            <w:tcW w:w="2466" w:type="dxa"/>
            <w:vAlign w:val="center"/>
          </w:tcPr>
          <w:p>
            <w:pPr>
              <w:pStyle w:val="29"/>
            </w:pPr>
            <w:r>
              <w:t>出版控制在预算成本内</w:t>
            </w:r>
          </w:p>
        </w:tc>
        <w:tc>
          <w:tcPr>
            <w:tcW w:w="2466" w:type="dxa"/>
            <w:vAlign w:val="center"/>
          </w:tcPr>
          <w:p>
            <w:pPr>
              <w:pStyle w:val="29"/>
            </w:pPr>
            <w:r>
              <w:t>出版控制在预算成本内</w:t>
            </w:r>
          </w:p>
        </w:tc>
        <w:tc>
          <w:tcPr>
            <w:tcW w:w="2466" w:type="dxa"/>
            <w:vAlign w:val="center"/>
          </w:tcPr>
          <w:p>
            <w:pPr>
              <w:pStyle w:val="29"/>
            </w:pPr>
            <w:r>
              <w:t>各环节按上级要求进行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0"/>
            </w:pPr>
            <w:r>
              <w:t>效益指标</w:t>
            </w:r>
          </w:p>
        </w:tc>
        <w:tc>
          <w:tcPr>
            <w:tcW w:w="2466" w:type="dxa"/>
            <w:vAlign w:val="center"/>
          </w:tcPr>
          <w:p>
            <w:pPr>
              <w:pStyle w:val="29"/>
            </w:pPr>
            <w:r>
              <w:t>可持续影响指标</w:t>
            </w:r>
          </w:p>
        </w:tc>
        <w:tc>
          <w:tcPr>
            <w:tcW w:w="2466" w:type="dxa"/>
            <w:vAlign w:val="center"/>
          </w:tcPr>
          <w:p>
            <w:pPr>
              <w:pStyle w:val="29"/>
            </w:pPr>
            <w:r>
              <w:t>留存史料，资政参考</w:t>
            </w:r>
          </w:p>
        </w:tc>
        <w:tc>
          <w:tcPr>
            <w:tcW w:w="2466" w:type="dxa"/>
            <w:vAlign w:val="center"/>
          </w:tcPr>
          <w:p>
            <w:pPr>
              <w:pStyle w:val="29"/>
            </w:pPr>
            <w:r>
              <w:t>对藁城党史研究提供重要参考，持续发挥作用</w:t>
            </w:r>
          </w:p>
        </w:tc>
        <w:tc>
          <w:tcPr>
            <w:tcW w:w="2466" w:type="dxa"/>
            <w:vAlign w:val="center"/>
          </w:tcPr>
          <w:p>
            <w:pPr>
              <w:pStyle w:val="29"/>
            </w:pPr>
            <w:r>
              <w:t>≥20年</w:t>
            </w:r>
          </w:p>
        </w:tc>
        <w:tc>
          <w:tcPr>
            <w:tcW w:w="2466" w:type="dxa"/>
            <w:vAlign w:val="center"/>
          </w:tcPr>
          <w:p>
            <w:pPr>
              <w:pStyle w:val="29"/>
            </w:pPr>
            <w: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30"/>
            </w:pPr>
            <w:r>
              <w:t>满意度指标</w:t>
            </w:r>
          </w:p>
        </w:tc>
        <w:tc>
          <w:tcPr>
            <w:tcW w:w="2466" w:type="dxa"/>
            <w:vAlign w:val="center"/>
          </w:tcPr>
          <w:p>
            <w:pPr>
              <w:pStyle w:val="29"/>
            </w:pPr>
            <w:r>
              <w:t>服务对象满意度指标</w:t>
            </w:r>
          </w:p>
        </w:tc>
        <w:tc>
          <w:tcPr>
            <w:tcW w:w="2466" w:type="dxa"/>
            <w:vAlign w:val="center"/>
          </w:tcPr>
          <w:p>
            <w:pPr>
              <w:pStyle w:val="29"/>
            </w:pPr>
            <w:r>
              <w:t>满意度率</w:t>
            </w:r>
          </w:p>
        </w:tc>
        <w:tc>
          <w:tcPr>
            <w:tcW w:w="2466" w:type="dxa"/>
            <w:vAlign w:val="center"/>
          </w:tcPr>
          <w:p>
            <w:pPr>
              <w:pStyle w:val="29"/>
            </w:pPr>
            <w:r>
              <w:t>对重大党史问题进行研究和总结，汲取经验教训，进行党内教育，指导我们党的革命、建设、改革事业不断发展。</w:t>
            </w:r>
          </w:p>
        </w:tc>
        <w:tc>
          <w:tcPr>
            <w:tcW w:w="2466" w:type="dxa"/>
            <w:vAlign w:val="center"/>
          </w:tcPr>
          <w:p>
            <w:pPr>
              <w:pStyle w:val="29"/>
            </w:pPr>
            <w:r>
              <w:t>≥100%</w:t>
            </w:r>
          </w:p>
        </w:tc>
        <w:tc>
          <w:tcPr>
            <w:tcW w:w="2466" w:type="dxa"/>
            <w:vAlign w:val="center"/>
          </w:tcPr>
          <w:p>
            <w:pPr>
              <w:pStyle w:val="29"/>
            </w:pPr>
            <w:r>
              <w:t>文件</w:t>
            </w:r>
          </w:p>
        </w:tc>
      </w:tr>
    </w:tbl>
    <w:p>
      <w:pPr>
        <w:pStyle w:val="27"/>
        <w:sectPr>
          <w:pgSz w:w="16840" w:h="11900" w:orient="landscape"/>
          <w:pgMar w:top="1361" w:right="1020" w:bottom="1361" w:left="1020" w:header="720" w:footer="720" w:gutter="0"/>
          <w:pgNumType w:fmt="decimal"/>
          <w:cols w:space="720" w:num="1"/>
        </w:sectPr>
      </w:pPr>
    </w:p>
    <w:p>
      <w:pPr>
        <w:spacing w:before="10" w:after="10" w:line="240" w:lineRule="auto"/>
        <w:ind w:firstLine="640"/>
        <w:jc w:val="left"/>
        <w:outlineLvl w:val="2"/>
      </w:pPr>
      <w:bookmarkStart w:id="44" w:name="_Toc13175"/>
      <w:bookmarkStart w:id="45" w:name="_Toc24491"/>
      <w:bookmarkStart w:id="46" w:name="_Toc1929"/>
      <w:r>
        <w:rPr>
          <w:rFonts w:ascii="黑体" w:hAnsi="黑体" w:eastAsia="黑体" w:cs="黑体"/>
          <w:color w:val="000000"/>
          <w:sz w:val="32"/>
        </w:rPr>
        <w:t>六、政府采购预算情况</w:t>
      </w:r>
      <w:bookmarkEnd w:id="44"/>
      <w:bookmarkEnd w:id="45"/>
      <w:bookmarkEnd w:id="46"/>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2022年，中共石家庄市藁城区委党史研究室安排政府采购预算0.00万元。具体内容见下表。</w:t>
      </w: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2"/>
            </w:pPr>
            <w:r>
              <w:t>283中共石家庄市藁城区委党史研究室</w:t>
            </w:r>
          </w:p>
        </w:tc>
        <w:tc>
          <w:tcPr>
            <w:tcW w:w="8316" w:type="dxa"/>
            <w:gridSpan w:val="9"/>
            <w:tcBorders>
              <w:top w:val="single" w:color="FFFFFF" w:sz="6" w:space="0"/>
              <w:left w:val="single" w:color="FFFFFF" w:sz="6" w:space="0"/>
              <w:right w:val="single" w:color="FFFFFF" w:sz="6" w:space="0"/>
            </w:tcBorders>
            <w:vAlign w:val="center"/>
          </w:tcPr>
          <w:p>
            <w:pPr>
              <w:pStyle w:val="3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3"/>
            </w:pPr>
            <w:r>
              <w:t>政府采购项目来源</w:t>
            </w:r>
          </w:p>
        </w:tc>
        <w:tc>
          <w:tcPr>
            <w:tcW w:w="924" w:type="dxa"/>
            <w:vMerge w:val="restart"/>
            <w:vAlign w:val="center"/>
          </w:tcPr>
          <w:p>
            <w:pPr>
              <w:pStyle w:val="13"/>
            </w:pPr>
            <w:r>
              <w:t>采购物品名称</w:t>
            </w:r>
          </w:p>
        </w:tc>
        <w:tc>
          <w:tcPr>
            <w:tcW w:w="924" w:type="dxa"/>
            <w:vMerge w:val="restart"/>
            <w:vAlign w:val="center"/>
          </w:tcPr>
          <w:p>
            <w:pPr>
              <w:pStyle w:val="13"/>
            </w:pPr>
            <w:r>
              <w:t>政府采购目录序号</w:t>
            </w:r>
          </w:p>
        </w:tc>
        <w:tc>
          <w:tcPr>
            <w:tcW w:w="924" w:type="dxa"/>
            <w:vMerge w:val="restart"/>
            <w:vAlign w:val="center"/>
          </w:tcPr>
          <w:p>
            <w:pPr>
              <w:pStyle w:val="13"/>
            </w:pPr>
            <w:r>
              <w:t>计量  单位</w:t>
            </w:r>
          </w:p>
        </w:tc>
        <w:tc>
          <w:tcPr>
            <w:tcW w:w="924" w:type="dxa"/>
            <w:vMerge w:val="restart"/>
            <w:vAlign w:val="center"/>
          </w:tcPr>
          <w:p>
            <w:pPr>
              <w:pStyle w:val="13"/>
            </w:pPr>
            <w:r>
              <w:t>数量</w:t>
            </w:r>
          </w:p>
        </w:tc>
        <w:tc>
          <w:tcPr>
            <w:tcW w:w="924" w:type="dxa"/>
            <w:vMerge w:val="restart"/>
            <w:vAlign w:val="center"/>
          </w:tcPr>
          <w:p>
            <w:pPr>
              <w:pStyle w:val="13"/>
            </w:pPr>
            <w:r>
              <w:t>单价</w:t>
            </w:r>
          </w:p>
        </w:tc>
        <w:tc>
          <w:tcPr>
            <w:tcW w:w="7392" w:type="dxa"/>
            <w:gridSpan w:val="8"/>
            <w:vAlign w:val="center"/>
          </w:tcPr>
          <w:p>
            <w:pPr>
              <w:pStyle w:val="13"/>
            </w:pPr>
            <w:r>
              <w:t>政府采购金额（当年部门预算安排资金）</w:t>
            </w:r>
          </w:p>
        </w:tc>
        <w:tc>
          <w:tcPr>
            <w:tcW w:w="924" w:type="dxa"/>
            <w:vMerge w:val="restart"/>
            <w:vAlign w:val="center"/>
          </w:tcPr>
          <w:p>
            <w:pPr>
              <w:pStyle w:val="13"/>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3"/>
            </w:pPr>
            <w:r>
              <w:t>项目名称</w:t>
            </w:r>
          </w:p>
        </w:tc>
        <w:tc>
          <w:tcPr>
            <w:tcW w:w="924" w:type="dxa"/>
            <w:vAlign w:val="center"/>
          </w:tcPr>
          <w:p>
            <w:pPr>
              <w:pStyle w:val="13"/>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3"/>
            </w:pPr>
            <w:r>
              <w:t>合计</w:t>
            </w:r>
          </w:p>
        </w:tc>
        <w:tc>
          <w:tcPr>
            <w:tcW w:w="924" w:type="dxa"/>
            <w:vAlign w:val="center"/>
          </w:tcPr>
          <w:p>
            <w:pPr>
              <w:pStyle w:val="13"/>
            </w:pPr>
            <w:r>
              <w:t>一般公共预算拨款</w:t>
            </w:r>
          </w:p>
        </w:tc>
        <w:tc>
          <w:tcPr>
            <w:tcW w:w="924" w:type="dxa"/>
            <w:vAlign w:val="center"/>
          </w:tcPr>
          <w:p>
            <w:pPr>
              <w:pStyle w:val="13"/>
            </w:pPr>
            <w:r>
              <w:t>基金预算拨款</w:t>
            </w:r>
          </w:p>
        </w:tc>
        <w:tc>
          <w:tcPr>
            <w:tcW w:w="924" w:type="dxa"/>
            <w:vAlign w:val="center"/>
          </w:tcPr>
          <w:p>
            <w:pPr>
              <w:pStyle w:val="13"/>
            </w:pPr>
            <w:r>
              <w:t>国有资本经营预算拨款</w:t>
            </w:r>
          </w:p>
        </w:tc>
        <w:tc>
          <w:tcPr>
            <w:tcW w:w="924" w:type="dxa"/>
            <w:vAlign w:val="center"/>
          </w:tcPr>
          <w:p>
            <w:pPr>
              <w:pStyle w:val="13"/>
            </w:pPr>
            <w:r>
              <w:t>财政专户核拨</w:t>
            </w:r>
          </w:p>
        </w:tc>
        <w:tc>
          <w:tcPr>
            <w:tcW w:w="924" w:type="dxa"/>
            <w:vAlign w:val="center"/>
          </w:tcPr>
          <w:p>
            <w:pPr>
              <w:pStyle w:val="13"/>
            </w:pPr>
            <w:r>
              <w:t>单位    资金</w:t>
            </w:r>
          </w:p>
        </w:tc>
        <w:tc>
          <w:tcPr>
            <w:tcW w:w="924" w:type="dxa"/>
            <w:vAlign w:val="center"/>
          </w:tcPr>
          <w:p>
            <w:pPr>
              <w:pStyle w:val="13"/>
            </w:pPr>
            <w:r>
              <w:t>财政拨    款结转</w:t>
            </w:r>
          </w:p>
        </w:tc>
        <w:tc>
          <w:tcPr>
            <w:tcW w:w="924" w:type="dxa"/>
            <w:vAlign w:val="center"/>
          </w:tcPr>
          <w:p>
            <w:pPr>
              <w:pStyle w:val="13"/>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5"/>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6"/>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rPr>
          <w:rFonts w:ascii="Times New Roman" w:hAnsi="Times New Roman" w:eastAsia="方正仿宋_GBK" w:cs="Times New Roman"/>
          <w:color w:val="000000"/>
          <w:sz w:val="32"/>
        </w:rPr>
      </w:pPr>
      <w:r>
        <w:rPr>
          <w:rFonts w:ascii="Times New Roman" w:hAnsi="Times New Roman" w:eastAsia="方正仿宋_GBK" w:cs="Times New Roman"/>
          <w:color w:val="000000"/>
          <w:sz w:val="32"/>
        </w:rPr>
        <w:t xml:space="preserve"> </w:t>
      </w:r>
    </w:p>
    <w:p>
      <w:pPr>
        <w:spacing w:before="0" w:after="0"/>
        <w:ind w:firstLine="640"/>
        <w:jc w:val="left"/>
        <w:outlineLvl w:val="9"/>
        <w:rPr>
          <w:rFonts w:ascii="Times New Roman" w:hAnsi="Times New Roman" w:eastAsia="方正仿宋_GBK" w:cs="Times New Roman"/>
          <w:color w:val="000000"/>
          <w:sz w:val="32"/>
        </w:rPr>
      </w:pPr>
    </w:p>
    <w:p>
      <w:pPr>
        <w:spacing w:before="0" w:after="0"/>
        <w:ind w:firstLine="640"/>
        <w:jc w:val="left"/>
        <w:outlineLvl w:val="9"/>
        <w:rPr>
          <w:rFonts w:ascii="Times New Roman" w:hAnsi="Times New Roman" w:eastAsia="方正仿宋_GBK" w:cs="Times New Roman"/>
          <w:color w:val="000000"/>
          <w:sz w:val="32"/>
        </w:rPr>
      </w:pPr>
    </w:p>
    <w:p>
      <w:pPr>
        <w:spacing w:before="0" w:after="0"/>
        <w:ind w:firstLine="640"/>
        <w:jc w:val="left"/>
        <w:outlineLvl w:val="9"/>
        <w:rPr>
          <w:rFonts w:ascii="Times New Roman" w:hAnsi="Times New Roman" w:eastAsia="方正仿宋_GBK" w:cs="Times New Roman"/>
          <w:color w:val="000000"/>
          <w:sz w:val="32"/>
        </w:rPr>
      </w:pPr>
    </w:p>
    <w:p>
      <w:pPr>
        <w:spacing w:before="0" w:after="0"/>
        <w:ind w:firstLine="640"/>
        <w:jc w:val="left"/>
        <w:outlineLvl w:val="9"/>
        <w:rPr>
          <w:rFonts w:ascii="Times New Roman" w:hAnsi="Times New Roman" w:eastAsia="方正仿宋_GBK" w:cs="Times New Roman"/>
          <w:color w:val="000000"/>
          <w:sz w:val="32"/>
        </w:rPr>
      </w:pPr>
    </w:p>
    <w:p>
      <w:pPr>
        <w:spacing w:before="0" w:after="0"/>
        <w:ind w:firstLine="640"/>
        <w:jc w:val="left"/>
        <w:outlineLvl w:val="9"/>
        <w:rPr>
          <w:rFonts w:ascii="Times New Roman" w:hAnsi="Times New Roman" w:eastAsia="方正仿宋_GBK" w:cs="Times New Roman"/>
          <w:color w:val="000000"/>
          <w:sz w:val="32"/>
        </w:rPr>
      </w:pPr>
    </w:p>
    <w:p>
      <w:pPr>
        <w:spacing w:before="0" w:after="0"/>
        <w:ind w:firstLine="640"/>
        <w:jc w:val="left"/>
        <w:outlineLvl w:val="9"/>
        <w:rPr>
          <w:rFonts w:ascii="Times New Roman" w:hAnsi="Times New Roman" w:eastAsia="方正仿宋_GBK" w:cs="Times New Roman"/>
          <w:color w:val="000000"/>
          <w:sz w:val="32"/>
        </w:rPr>
      </w:pPr>
    </w:p>
    <w:p>
      <w:pPr>
        <w:spacing w:before="0" w:after="0"/>
        <w:ind w:firstLine="640"/>
        <w:jc w:val="left"/>
        <w:outlineLvl w:val="9"/>
        <w:rPr>
          <w:rFonts w:ascii="Times New Roman" w:hAnsi="Times New Roman" w:eastAsia="方正仿宋_GBK" w:cs="Times New Roman"/>
          <w:color w:val="000000"/>
          <w:sz w:val="32"/>
        </w:rPr>
      </w:pPr>
    </w:p>
    <w:p>
      <w:pPr>
        <w:spacing w:before="0" w:after="0"/>
        <w:ind w:firstLine="640"/>
        <w:jc w:val="left"/>
        <w:outlineLvl w:val="9"/>
        <w:rPr>
          <w:rFonts w:ascii="Times New Roman" w:hAnsi="Times New Roman" w:eastAsia="方正仿宋_GBK" w:cs="Times New Roman"/>
          <w:color w:val="000000"/>
          <w:sz w:val="32"/>
        </w:rPr>
      </w:pPr>
    </w:p>
    <w:p>
      <w:pPr>
        <w:spacing w:before="10" w:after="10" w:line="240" w:lineRule="auto"/>
        <w:ind w:firstLine="640"/>
        <w:jc w:val="left"/>
        <w:outlineLvl w:val="2"/>
      </w:pPr>
      <w:bookmarkStart w:id="47" w:name="_Toc7373"/>
      <w:bookmarkStart w:id="48" w:name="_Toc17448"/>
      <w:bookmarkStart w:id="49" w:name="_Toc13966"/>
      <w:r>
        <w:rPr>
          <w:rFonts w:ascii="黑体" w:hAnsi="黑体" w:eastAsia="黑体" w:cs="黑体"/>
          <w:color w:val="000000"/>
          <w:sz w:val="32"/>
        </w:rPr>
        <w:t>七、国有资产信息</w:t>
      </w:r>
      <w:bookmarkEnd w:id="47"/>
      <w:bookmarkEnd w:id="48"/>
      <w:bookmarkEnd w:id="49"/>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中共石家庄市藁城区委党史研究室（含所属单位）上年末固定资产金额为0.00万元（详见下表）。本年度拟购置固定资产总额为0.00万元，已按要求列入政府采购预算，详见政府采购预算表。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pPr>
            <w:r>
              <w:t>283中共石家庄市藁城区委党史研究室</w:t>
            </w:r>
          </w:p>
        </w:tc>
        <w:tc>
          <w:tcPr>
            <w:tcW w:w="9866"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3"/>
            </w:pPr>
            <w:r>
              <w:t>项   目</w:t>
            </w:r>
          </w:p>
        </w:tc>
        <w:tc>
          <w:tcPr>
            <w:tcW w:w="4933" w:type="dxa"/>
            <w:vAlign w:val="center"/>
          </w:tcPr>
          <w:p>
            <w:pPr>
              <w:pStyle w:val="13"/>
            </w:pPr>
            <w:r>
              <w:t>数量</w:t>
            </w:r>
          </w:p>
        </w:tc>
        <w:tc>
          <w:tcPr>
            <w:tcW w:w="4933"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p>
        </w:tc>
        <w:tc>
          <w:tcPr>
            <w:tcW w:w="4933" w:type="dxa"/>
            <w:vAlign w:val="center"/>
          </w:tcPr>
          <w:p>
            <w:pPr>
              <w:pStyle w:val="16"/>
            </w:pPr>
          </w:p>
        </w:tc>
        <w:tc>
          <w:tcPr>
            <w:tcW w:w="4933" w:type="dxa"/>
            <w:vAlign w:val="center"/>
          </w:tcPr>
          <w:p>
            <w:pPr>
              <w:pStyle w:val="14"/>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10" w:after="10" w:line="240" w:lineRule="auto"/>
        <w:ind w:firstLine="640"/>
        <w:jc w:val="left"/>
        <w:outlineLvl w:val="2"/>
      </w:pPr>
      <w:bookmarkStart w:id="50" w:name="_Toc27650"/>
      <w:bookmarkStart w:id="51" w:name="_Toc21670"/>
      <w:bookmarkStart w:id="52" w:name="_Toc12529"/>
      <w:r>
        <w:rPr>
          <w:rFonts w:ascii="黑体" w:hAnsi="黑体" w:eastAsia="黑体" w:cs="黑体"/>
          <w:color w:val="000000"/>
          <w:sz w:val="32"/>
        </w:rPr>
        <w:t>八、名词解释</w:t>
      </w:r>
      <w:bookmarkEnd w:id="50"/>
      <w:bookmarkEnd w:id="51"/>
      <w:bookmarkEnd w:id="52"/>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53" w:name="_Toc16193"/>
      <w:bookmarkStart w:id="54" w:name="_Toc7807"/>
      <w:bookmarkStart w:id="55" w:name="_Toc3020"/>
      <w:r>
        <w:rPr>
          <w:rFonts w:ascii="黑体" w:hAnsi="黑体" w:eastAsia="黑体" w:cs="黑体"/>
          <w:color w:val="000000"/>
          <w:sz w:val="32"/>
        </w:rPr>
        <w:t>九、其他需要说明的事项</w:t>
      </w:r>
      <w:bookmarkEnd w:id="53"/>
      <w:bookmarkEnd w:id="54"/>
      <w:bookmarkEnd w:id="55"/>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我部门无其他需要说明事项。</w:t>
      </w: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both"/>
        <w:outlineLvl w:val="9"/>
      </w:pP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panose1 w:val="03000502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w:pict>
        <v:shape id="_x0000_s4097" o:spid="_x0000_s4097"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jc w:val="right"/>
                </w:pPr>
                <w:r>
                  <w:fldChar w:fldCharType="begin"/>
                </w:r>
                <w:r>
                  <w:instrText xml:space="preserve">PAGE "page number"</w:instrText>
                </w:r>
                <w:r>
                  <w:fldChar w:fldCharType="separate"/>
                </w:r>
                <w:r>
                  <w:t>page number</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w:pict>
        <v:shape id="_x0000_s4098" o:spid="_x0000_s4098" o:spt="202" type="#_x0000_t202" style="position:absolute;left:0pt;margin-top:0pt;height:144pt;width:144pt;mso-position-horizontal:right;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jc w:val="left"/>
                </w:pPr>
                <w:r>
                  <w:fldChar w:fldCharType="begin"/>
                </w:r>
                <w:r>
                  <w:instrText xml:space="preserve">PAGE "page number"</w:instrText>
                </w:r>
                <w:r>
                  <w:fldChar w:fldCharType="separate"/>
                </w:r>
                <w:r>
                  <w:t>page number</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B571F86"/>
    <w:multiLevelType w:val="singleLevel"/>
    <w:tmpl w:val="AB571F86"/>
    <w:lvl w:ilvl="0" w:tentative="0">
      <w:start w:val="3"/>
      <w:numFmt w:val="decimal"/>
      <w:suff w:val="nothing"/>
      <w:lvlText w:val="%1、"/>
      <w:lvlJc w:val="left"/>
    </w:lvl>
  </w:abstractNum>
  <w:abstractNum w:abstractNumId="1">
    <w:nsid w:val="DB5F13B8"/>
    <w:multiLevelType w:val="singleLevel"/>
    <w:tmpl w:val="DB5F13B8"/>
    <w:lvl w:ilvl="0" w:tentative="0">
      <w:start w:val="3"/>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docVars>
    <w:docVar w:name="commondata" w:val="eyJoZGlkIjoiMzBmZDE1N2ViNzc2NWFkMzM2NDRiMmFkOWYyN2ZiNzAifQ=="/>
  </w:docVars>
  <w:rsids>
    <w:rsidRoot w:val="00000000"/>
    <w:rsid w:val="00960E63"/>
    <w:rsid w:val="011136CA"/>
    <w:rsid w:val="020F19F8"/>
    <w:rsid w:val="02893161"/>
    <w:rsid w:val="02C0289A"/>
    <w:rsid w:val="033E7049"/>
    <w:rsid w:val="0674120A"/>
    <w:rsid w:val="06A9605C"/>
    <w:rsid w:val="086C0ABA"/>
    <w:rsid w:val="0A6368E2"/>
    <w:rsid w:val="0AF50D40"/>
    <w:rsid w:val="0B0B11BF"/>
    <w:rsid w:val="0E19065A"/>
    <w:rsid w:val="0E334732"/>
    <w:rsid w:val="103F0BFF"/>
    <w:rsid w:val="10B0636C"/>
    <w:rsid w:val="15DF1D91"/>
    <w:rsid w:val="19CC38D3"/>
    <w:rsid w:val="1A081AD9"/>
    <w:rsid w:val="1A8B3DCF"/>
    <w:rsid w:val="1CC61A56"/>
    <w:rsid w:val="2134202E"/>
    <w:rsid w:val="21A82BBE"/>
    <w:rsid w:val="21CF527D"/>
    <w:rsid w:val="22AD1941"/>
    <w:rsid w:val="239375D2"/>
    <w:rsid w:val="248A774E"/>
    <w:rsid w:val="261B35FD"/>
    <w:rsid w:val="272B49D4"/>
    <w:rsid w:val="28AC0793"/>
    <w:rsid w:val="2F6C2963"/>
    <w:rsid w:val="32313940"/>
    <w:rsid w:val="33A361F5"/>
    <w:rsid w:val="35F007A9"/>
    <w:rsid w:val="363D1CA7"/>
    <w:rsid w:val="37223CEA"/>
    <w:rsid w:val="374A5122"/>
    <w:rsid w:val="3AF960D4"/>
    <w:rsid w:val="3B2B7DCD"/>
    <w:rsid w:val="3B733B55"/>
    <w:rsid w:val="3C2B1347"/>
    <w:rsid w:val="3E8534B4"/>
    <w:rsid w:val="3EDC63C1"/>
    <w:rsid w:val="3FAC6431"/>
    <w:rsid w:val="4107088B"/>
    <w:rsid w:val="426E3AEE"/>
    <w:rsid w:val="429477A0"/>
    <w:rsid w:val="43376A8B"/>
    <w:rsid w:val="43BC5C09"/>
    <w:rsid w:val="43C223C8"/>
    <w:rsid w:val="45B336CF"/>
    <w:rsid w:val="45EB5B0B"/>
    <w:rsid w:val="47EA59D9"/>
    <w:rsid w:val="4925365D"/>
    <w:rsid w:val="49C76436"/>
    <w:rsid w:val="4A7E30A4"/>
    <w:rsid w:val="4AF13892"/>
    <w:rsid w:val="4B4372D2"/>
    <w:rsid w:val="4E4C1056"/>
    <w:rsid w:val="4F09783D"/>
    <w:rsid w:val="4F735176"/>
    <w:rsid w:val="51E51FF7"/>
    <w:rsid w:val="56D92A8B"/>
    <w:rsid w:val="57252D4E"/>
    <w:rsid w:val="5AAD2CAE"/>
    <w:rsid w:val="5B852DB4"/>
    <w:rsid w:val="5E6207C0"/>
    <w:rsid w:val="5E781EA8"/>
    <w:rsid w:val="607D1936"/>
    <w:rsid w:val="629455DD"/>
    <w:rsid w:val="62AF3583"/>
    <w:rsid w:val="638D4724"/>
    <w:rsid w:val="67483D3F"/>
    <w:rsid w:val="675A1111"/>
    <w:rsid w:val="68D56682"/>
    <w:rsid w:val="69F77A41"/>
    <w:rsid w:val="6AB44BAE"/>
    <w:rsid w:val="6C2643AA"/>
    <w:rsid w:val="6E111556"/>
    <w:rsid w:val="6E8B4CF2"/>
    <w:rsid w:val="6ECA0105"/>
    <w:rsid w:val="6F020848"/>
    <w:rsid w:val="7192418D"/>
    <w:rsid w:val="73653F5F"/>
    <w:rsid w:val="73713C93"/>
    <w:rsid w:val="75147FF4"/>
    <w:rsid w:val="759F704B"/>
    <w:rsid w:val="78536337"/>
    <w:rsid w:val="7A515E24"/>
    <w:rsid w:val="7BB60CA9"/>
    <w:rsid w:val="7CCB29A5"/>
    <w:rsid w:val="7CE53D0F"/>
    <w:rsid w:val="7F405C7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header"/>
    <w:basedOn w:val="1"/>
    <w:autoRedefine/>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autoRedefine/>
    <w:qFormat/>
    <w:uiPriority w:val="0"/>
    <w:pPr>
      <w:ind w:left="720"/>
    </w:pPr>
  </w:style>
  <w:style w:type="paragraph" w:styleId="6">
    <w:name w:val="toc 2"/>
    <w:basedOn w:val="1"/>
    <w:next w:val="1"/>
    <w:autoRedefine/>
    <w:qFormat/>
    <w:uiPriority w:val="0"/>
    <w:pPr>
      <w:ind w:left="240"/>
    </w:pPr>
  </w:style>
  <w:style w:type="table" w:styleId="8">
    <w:name w:val="Table Grid"/>
    <w:basedOn w:val="7"/>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Normal_499737ba-ccd6-42bb-808e-e084232014f9"/>
    <w:autoRedefine/>
    <w:qFormat/>
    <w:uiPriority w:val="0"/>
    <w:rPr>
      <w:rFonts w:ascii="Times New Roman" w:hAnsi="Times New Roman" w:eastAsia="Times New Roman" w:cs="Times New Roman"/>
      <w:sz w:val="24"/>
      <w:szCs w:val="24"/>
      <w:lang w:val="en-US" w:eastAsia="uk-UA" w:bidi="ar-SA"/>
    </w:rPr>
  </w:style>
  <w:style w:type="paragraph" w:customStyle="1" w:styleId="28">
    <w:name w:val="单元格样式1_7d7d49c0-7315-48d0-a666-7671da6af4a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9">
    <w:name w:val="单元格样式2_02501efb-c994-49ad-8d29-396136184bcf"/>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30">
    <w:name w:val="单元格样式3_819d0e01-caf0-472a-8365-66a066b4f2fc"/>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2">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5">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4097" textRotate="1"/>
    <customShpInfo spid="_x0000_s4098" textRotate="1"/>
  </customShpExts>
</s:customData>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2022-02-14T17:25:46Z</dcterms:created>
  <dcterms:modified xsi:type="dcterms:W3CDTF">2022-02-14T09:25:46Z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2022-02-14T17:25:39Z</dcterms:created>
  <dcterms:modified xsi:type="dcterms:W3CDTF">2022-02-14T09:25:38Z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2022-02-14T17:25:40Z</dcterms:created>
  <dcterms:modified xsi:type="dcterms:W3CDTF">2022-02-14T09:25:40Z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2022-02-14T17:25:45Z</dcterms:created>
  <dcterms:modified xsi:type="dcterms:W3CDTF">2022-02-14T09:25:44Z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bae3722-984b-4f59-ad92-2e86eac15fcd}">
  <ds:schemaRefs/>
</ds:datastoreItem>
</file>

<file path=customXml/itemProps3.xml><?xml version="1.0" encoding="utf-8"?>
<ds:datastoreItem xmlns:ds="http://schemas.openxmlformats.org/officeDocument/2006/customXml" ds:itemID="{626e4ae0-cd86-4afb-86cd-72e85413e2e9}">
  <ds:schemaRefs/>
</ds:datastoreItem>
</file>

<file path=customXml/itemProps4.xml><?xml version="1.0" encoding="utf-8"?>
<ds:datastoreItem xmlns:ds="http://schemas.openxmlformats.org/officeDocument/2006/customXml" ds:itemID="{f1f804c0-6143-4802-ad5e-e59238a77562}">
  <ds:schemaRefs/>
</ds:datastoreItem>
</file>

<file path=customXml/itemProps5.xml><?xml version="1.0" encoding="utf-8"?>
<ds:datastoreItem xmlns:ds="http://schemas.openxmlformats.org/officeDocument/2006/customXml" ds:itemID="{fedfeb63-0da2-4fd0-9ee6-19906e0296be}">
  <ds:schemaRefs/>
</ds:datastoreItem>
</file>

<file path=customXml/itemProps6.xml><?xml version="1.0" encoding="utf-8"?>
<ds:datastoreItem xmlns:ds="http://schemas.openxmlformats.org/officeDocument/2006/customXml" ds:itemID="{f5d939a2-2946-4abe-8217-14e3d0d89fbf}">
  <ds:schemaRefs/>
</ds:datastoreItem>
</file>

<file path=customXml/itemProps7.xml><?xml version="1.0" encoding="utf-8"?>
<ds:datastoreItem xmlns:ds="http://schemas.openxmlformats.org/officeDocument/2006/customXml" ds:itemID="{49fa48a7-5293-42cb-8fed-bd5a9a58fdb4}">
  <ds:schemaRefs/>
</ds:datastoreItem>
</file>

<file path=customXml/itemProps8.xml><?xml version="1.0" encoding="utf-8"?>
<ds:datastoreItem xmlns:ds="http://schemas.openxmlformats.org/officeDocument/2006/customXml" ds:itemID="{b62e304b-2865-427c-b512-202c7d362657}">
  <ds:schemaRefs/>
</ds:datastoreItem>
</file>

<file path=customXml/itemProps9.xml><?xml version="1.0" encoding="utf-8"?>
<ds:datastoreItem xmlns:ds="http://schemas.openxmlformats.org/officeDocument/2006/customXml" ds:itemID="{de75e63f-a6bd-4fe7-936e-ea025752fe54}">
  <ds:schemaRefs/>
</ds:datastoreItem>
</file>

<file path=docProps/app.xml><?xml version="1.0" encoding="utf-8"?>
<Properties xmlns="http://schemas.openxmlformats.org/officeDocument/2006/extended-properties" xmlns:vt="http://schemas.openxmlformats.org/officeDocument/2006/docPropsVTypes">
  <Pages>59</Pages>
  <Words>11473</Words>
  <Characters>12910</Characters>
  <TotalTime>4</TotalTime>
  <ScaleCrop>false</ScaleCrop>
  <LinksUpToDate>false</LinksUpToDate>
  <CharactersWithSpaces>13179</CharactersWithSpaces>
  <Application>WPS Office_12.1.0.16250_F1E327BC-269C-435d-A152-05C5408002CA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2022-02-14T17:25:00Z</dcterms:created>
  <dc:creator>222</dc:creator>
  <cp:lastModifiedBy>薛定谔的猫</cp:lastModifiedBy>
  <dcterms:modified xsi:type="dcterms:W3CDTF">2024-02-23T01:13:44Z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0DBC3E7C43E54E30B5C0851DCC2397C3</vt:lpwstr>
  </property>
</Properties>
</file>