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bookmarkStart w:id="17" w:name="_GoBack"/>
      <w:bookmarkEnd w:id="17"/>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1205.22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1733.59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1205.22</w:t>
            </w:r>
          </w:p>
        </w:tc>
        <w:tc>
          <w:tcPr>
            <w:tcW w:w="4535" w:type="dxa"/>
            <w:vAlign w:val="center"/>
          </w:tcPr>
          <w:p>
            <w:pPr>
              <w:pStyle w:val="16"/>
            </w:pPr>
            <w:r>
              <w:t>本年支出合计</w:t>
            </w:r>
          </w:p>
        </w:tc>
        <w:tc>
          <w:tcPr>
            <w:tcW w:w="2126" w:type="dxa"/>
            <w:vAlign w:val="center"/>
          </w:tcPr>
          <w:p>
            <w:pPr>
              <w:pStyle w:val="17"/>
            </w:pPr>
            <w:r>
              <w:t>1733.59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528.37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1733.59</w:t>
            </w:r>
          </w:p>
        </w:tc>
        <w:tc>
          <w:tcPr>
            <w:tcW w:w="4535" w:type="dxa"/>
            <w:vAlign w:val="center"/>
          </w:tcPr>
          <w:p>
            <w:pPr>
              <w:pStyle w:val="16"/>
            </w:pPr>
            <w:r>
              <w:t>支出总计</w:t>
            </w:r>
          </w:p>
        </w:tc>
        <w:tc>
          <w:tcPr>
            <w:tcW w:w="2126" w:type="dxa"/>
            <w:vAlign w:val="center"/>
          </w:tcPr>
          <w:p>
            <w:pPr>
              <w:pStyle w:val="17"/>
            </w:pPr>
            <w:r>
              <w:t>1733.59</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1733.59</w:t>
            </w:r>
          </w:p>
        </w:tc>
        <w:tc>
          <w:tcPr>
            <w:tcW w:w="1134" w:type="dxa"/>
            <w:vAlign w:val="center"/>
          </w:tcPr>
          <w:p>
            <w:pPr>
              <w:pStyle w:val="17"/>
            </w:pPr>
            <w:r>
              <w:t>1205.22</w:t>
            </w:r>
          </w:p>
        </w:tc>
        <w:tc>
          <w:tcPr>
            <w:tcW w:w="1134" w:type="dxa"/>
            <w:vAlign w:val="center"/>
          </w:tcPr>
          <w:p>
            <w:pPr>
              <w:pStyle w:val="17"/>
            </w:pPr>
            <w:r>
              <w:t>1205.22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1733.59</w:t>
            </w:r>
          </w:p>
        </w:tc>
        <w:tc>
          <w:tcPr>
            <w:tcW w:w="1134" w:type="dxa"/>
            <w:vAlign w:val="center"/>
          </w:tcPr>
          <w:p>
            <w:pPr>
              <w:pStyle w:val="13"/>
            </w:pPr>
            <w:r>
              <w:t>1205.22</w:t>
            </w:r>
          </w:p>
        </w:tc>
        <w:tc>
          <w:tcPr>
            <w:tcW w:w="1134" w:type="dxa"/>
            <w:vAlign w:val="center"/>
          </w:tcPr>
          <w:p>
            <w:pPr>
              <w:pStyle w:val="13"/>
            </w:pPr>
            <w:r>
              <w:t>1205.22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214.40</w:t>
            </w:r>
          </w:p>
        </w:tc>
        <w:tc>
          <w:tcPr>
            <w:tcW w:w="1134" w:type="dxa"/>
            <w:vAlign w:val="center"/>
          </w:tcPr>
          <w:p>
            <w:pPr>
              <w:pStyle w:val="13"/>
            </w:pPr>
            <w:r>
              <w:t>214.40</w:t>
            </w:r>
          </w:p>
        </w:tc>
        <w:tc>
          <w:tcPr>
            <w:tcW w:w="1134" w:type="dxa"/>
            <w:vAlign w:val="center"/>
          </w:tcPr>
          <w:p>
            <w:pPr>
              <w:pStyle w:val="13"/>
            </w:pPr>
            <w:r>
              <w:t>214.40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182.00</w:t>
            </w:r>
          </w:p>
        </w:tc>
        <w:tc>
          <w:tcPr>
            <w:tcW w:w="1134" w:type="dxa"/>
            <w:vAlign w:val="center"/>
          </w:tcPr>
          <w:p>
            <w:pPr>
              <w:pStyle w:val="13"/>
            </w:pPr>
            <w:r>
              <w:t>182.00</w:t>
            </w:r>
          </w:p>
        </w:tc>
        <w:tc>
          <w:tcPr>
            <w:tcW w:w="1134" w:type="dxa"/>
            <w:vAlign w:val="center"/>
          </w:tcPr>
          <w:p>
            <w:pPr>
              <w:pStyle w:val="13"/>
            </w:pPr>
            <w:r>
              <w:t>182.00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2110103</w:t>
            </w:r>
          </w:p>
        </w:tc>
        <w:tc>
          <w:tcPr>
            <w:tcW w:w="1559" w:type="dxa"/>
            <w:vAlign w:val="center"/>
          </w:tcPr>
          <w:p>
            <w:pPr>
              <w:pStyle w:val="14"/>
            </w:pPr>
            <w:r>
              <w:t>机关服务</w:t>
            </w:r>
          </w:p>
        </w:tc>
        <w:tc>
          <w:tcPr>
            <w:tcW w:w="1134" w:type="dxa"/>
            <w:vAlign w:val="center"/>
          </w:tcPr>
          <w:p>
            <w:pPr>
              <w:pStyle w:val="13"/>
            </w:pPr>
            <w:r>
              <w:t>32.40</w:t>
            </w:r>
          </w:p>
        </w:tc>
        <w:tc>
          <w:tcPr>
            <w:tcW w:w="1134" w:type="dxa"/>
            <w:vAlign w:val="center"/>
          </w:tcPr>
          <w:p>
            <w:pPr>
              <w:pStyle w:val="13"/>
            </w:pPr>
            <w:r>
              <w:t>32.40</w:t>
            </w:r>
          </w:p>
        </w:tc>
        <w:tc>
          <w:tcPr>
            <w:tcW w:w="1134" w:type="dxa"/>
            <w:vAlign w:val="center"/>
          </w:tcPr>
          <w:p>
            <w:pPr>
              <w:pStyle w:val="13"/>
            </w:pPr>
            <w:r>
              <w:t>32.40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r>
              <w:t>556.00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963.19</w:t>
            </w:r>
          </w:p>
        </w:tc>
        <w:tc>
          <w:tcPr>
            <w:tcW w:w="1134" w:type="dxa"/>
            <w:vAlign w:val="center"/>
          </w:tcPr>
          <w:p>
            <w:pPr>
              <w:pStyle w:val="13"/>
            </w:pPr>
            <w:r>
              <w:t>434.82</w:t>
            </w:r>
          </w:p>
        </w:tc>
        <w:tc>
          <w:tcPr>
            <w:tcW w:w="1134" w:type="dxa"/>
            <w:vAlign w:val="center"/>
          </w:tcPr>
          <w:p>
            <w:pPr>
              <w:pStyle w:val="13"/>
            </w:pPr>
            <w:r>
              <w:t>434.82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770.19</w:t>
            </w:r>
          </w:p>
        </w:tc>
        <w:tc>
          <w:tcPr>
            <w:tcW w:w="1134" w:type="dxa"/>
            <w:vAlign w:val="center"/>
          </w:tcPr>
          <w:p>
            <w:pPr>
              <w:pStyle w:val="13"/>
            </w:pPr>
            <w:r>
              <w:t>434.82</w:t>
            </w:r>
          </w:p>
        </w:tc>
        <w:tc>
          <w:tcPr>
            <w:tcW w:w="1134" w:type="dxa"/>
            <w:vAlign w:val="center"/>
          </w:tcPr>
          <w:p>
            <w:pPr>
              <w:pStyle w:val="13"/>
            </w:pPr>
            <w:r>
              <w:t>434.82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335.37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193.00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1733.59</w:t>
            </w:r>
          </w:p>
        </w:tc>
        <w:tc>
          <w:tcPr>
            <w:tcW w:w="1361" w:type="dxa"/>
            <w:vAlign w:val="center"/>
          </w:tcPr>
          <w:p>
            <w:pPr>
              <w:pStyle w:val="17"/>
            </w:pPr>
            <w:r>
              <w:t>182.00</w:t>
            </w:r>
          </w:p>
        </w:tc>
        <w:tc>
          <w:tcPr>
            <w:tcW w:w="1361" w:type="dxa"/>
            <w:vAlign w:val="center"/>
          </w:tcPr>
          <w:p>
            <w:pPr>
              <w:pStyle w:val="17"/>
            </w:pPr>
            <w:r>
              <w:t>1551.59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1733.59</w:t>
            </w:r>
          </w:p>
        </w:tc>
        <w:tc>
          <w:tcPr>
            <w:tcW w:w="1361" w:type="dxa"/>
            <w:vAlign w:val="center"/>
          </w:tcPr>
          <w:p>
            <w:pPr>
              <w:pStyle w:val="13"/>
            </w:pPr>
            <w:r>
              <w:t>182.00</w:t>
            </w:r>
          </w:p>
        </w:tc>
        <w:tc>
          <w:tcPr>
            <w:tcW w:w="1361" w:type="dxa"/>
            <w:vAlign w:val="center"/>
          </w:tcPr>
          <w:p>
            <w:pPr>
              <w:pStyle w:val="13"/>
            </w:pPr>
            <w:r>
              <w:t>1551.59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214.40</w:t>
            </w:r>
          </w:p>
        </w:tc>
        <w:tc>
          <w:tcPr>
            <w:tcW w:w="1361" w:type="dxa"/>
            <w:vAlign w:val="center"/>
          </w:tcPr>
          <w:p>
            <w:pPr>
              <w:pStyle w:val="13"/>
            </w:pPr>
            <w:r>
              <w:t>182.00</w:t>
            </w: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182.00</w:t>
            </w:r>
          </w:p>
        </w:tc>
        <w:tc>
          <w:tcPr>
            <w:tcW w:w="1361" w:type="dxa"/>
            <w:vAlign w:val="center"/>
          </w:tcPr>
          <w:p>
            <w:pPr>
              <w:pStyle w:val="13"/>
            </w:pPr>
            <w:r>
              <w:t>182.00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2110103</w:t>
            </w:r>
          </w:p>
        </w:tc>
        <w:tc>
          <w:tcPr>
            <w:tcW w:w="4535" w:type="dxa"/>
            <w:vAlign w:val="center"/>
          </w:tcPr>
          <w:p>
            <w:pPr>
              <w:pStyle w:val="14"/>
            </w:pPr>
            <w:r>
              <w:t>机关服务</w:t>
            </w: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r>
              <w:t>32.40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r>
              <w:t>556.00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963.19</w:t>
            </w:r>
          </w:p>
        </w:tc>
        <w:tc>
          <w:tcPr>
            <w:tcW w:w="1361" w:type="dxa"/>
            <w:vAlign w:val="center"/>
          </w:tcPr>
          <w:p>
            <w:pPr>
              <w:pStyle w:val="13"/>
            </w:pPr>
          </w:p>
        </w:tc>
        <w:tc>
          <w:tcPr>
            <w:tcW w:w="1361" w:type="dxa"/>
            <w:vAlign w:val="center"/>
          </w:tcPr>
          <w:p>
            <w:pPr>
              <w:pStyle w:val="13"/>
            </w:pPr>
            <w:r>
              <w:t>963.19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770.19</w:t>
            </w:r>
          </w:p>
        </w:tc>
        <w:tc>
          <w:tcPr>
            <w:tcW w:w="1361" w:type="dxa"/>
            <w:vAlign w:val="center"/>
          </w:tcPr>
          <w:p>
            <w:pPr>
              <w:pStyle w:val="13"/>
            </w:pPr>
          </w:p>
        </w:tc>
        <w:tc>
          <w:tcPr>
            <w:tcW w:w="1361" w:type="dxa"/>
            <w:vAlign w:val="center"/>
          </w:tcPr>
          <w:p>
            <w:pPr>
              <w:pStyle w:val="13"/>
            </w:pPr>
            <w:r>
              <w:t>770.19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193.00</w:t>
            </w:r>
          </w:p>
        </w:tc>
        <w:tc>
          <w:tcPr>
            <w:tcW w:w="1361" w:type="dxa"/>
            <w:vAlign w:val="center"/>
          </w:tcPr>
          <w:p>
            <w:pPr>
              <w:pStyle w:val="13"/>
            </w:pPr>
          </w:p>
        </w:tc>
        <w:tc>
          <w:tcPr>
            <w:tcW w:w="1361" w:type="dxa"/>
            <w:vAlign w:val="center"/>
          </w:tcPr>
          <w:p>
            <w:pPr>
              <w:pStyle w:val="13"/>
            </w:pPr>
            <w:r>
              <w:t>193.00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1205.22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1733.59</w:t>
            </w:r>
          </w:p>
        </w:tc>
        <w:tc>
          <w:tcPr>
            <w:tcW w:w="1474" w:type="dxa"/>
            <w:vAlign w:val="center"/>
          </w:tcPr>
          <w:p>
            <w:pPr>
              <w:pStyle w:val="13"/>
            </w:pPr>
            <w:r>
              <w:t>1733.59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1205.22</w:t>
            </w:r>
          </w:p>
        </w:tc>
        <w:tc>
          <w:tcPr>
            <w:tcW w:w="3402" w:type="dxa"/>
            <w:vAlign w:val="center"/>
          </w:tcPr>
          <w:p>
            <w:pPr>
              <w:pStyle w:val="16"/>
            </w:pPr>
            <w:r>
              <w:t>本年支出合计</w:t>
            </w:r>
          </w:p>
        </w:tc>
        <w:tc>
          <w:tcPr>
            <w:tcW w:w="1474" w:type="dxa"/>
            <w:vAlign w:val="center"/>
          </w:tcPr>
          <w:p>
            <w:pPr>
              <w:pStyle w:val="17"/>
            </w:pPr>
            <w:r>
              <w:t>1733.59</w:t>
            </w:r>
          </w:p>
        </w:tc>
        <w:tc>
          <w:tcPr>
            <w:tcW w:w="1474" w:type="dxa"/>
            <w:vAlign w:val="center"/>
          </w:tcPr>
          <w:p>
            <w:pPr>
              <w:pStyle w:val="17"/>
            </w:pPr>
            <w:r>
              <w:t>1733.59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528.37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528.37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1733.59</w:t>
            </w:r>
          </w:p>
        </w:tc>
        <w:tc>
          <w:tcPr>
            <w:tcW w:w="3402" w:type="dxa"/>
            <w:vAlign w:val="center"/>
          </w:tcPr>
          <w:p>
            <w:pPr>
              <w:pStyle w:val="16"/>
            </w:pPr>
            <w:r>
              <w:t>支出总计</w:t>
            </w:r>
          </w:p>
        </w:tc>
        <w:tc>
          <w:tcPr>
            <w:tcW w:w="1474" w:type="dxa"/>
            <w:vAlign w:val="center"/>
          </w:tcPr>
          <w:p>
            <w:pPr>
              <w:pStyle w:val="17"/>
            </w:pPr>
            <w:r>
              <w:t>1733.59</w:t>
            </w:r>
          </w:p>
        </w:tc>
        <w:tc>
          <w:tcPr>
            <w:tcW w:w="1474" w:type="dxa"/>
            <w:vAlign w:val="center"/>
          </w:tcPr>
          <w:p>
            <w:pPr>
              <w:pStyle w:val="17"/>
            </w:pPr>
            <w:r>
              <w:t>1733.59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1733.59</w:t>
            </w:r>
          </w:p>
        </w:tc>
        <w:tc>
          <w:tcPr>
            <w:tcW w:w="2551" w:type="dxa"/>
            <w:vAlign w:val="center"/>
          </w:tcPr>
          <w:p>
            <w:pPr>
              <w:pStyle w:val="17"/>
            </w:pPr>
            <w:r>
              <w:t>182.00</w:t>
            </w:r>
          </w:p>
        </w:tc>
        <w:tc>
          <w:tcPr>
            <w:tcW w:w="2551" w:type="dxa"/>
            <w:vAlign w:val="center"/>
          </w:tcPr>
          <w:p>
            <w:pPr>
              <w:pStyle w:val="17"/>
            </w:pPr>
            <w:r>
              <w:t>1551.59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1733.59</w:t>
            </w:r>
          </w:p>
        </w:tc>
        <w:tc>
          <w:tcPr>
            <w:tcW w:w="2551" w:type="dxa"/>
            <w:vAlign w:val="center"/>
          </w:tcPr>
          <w:p>
            <w:pPr>
              <w:pStyle w:val="13"/>
            </w:pPr>
            <w:r>
              <w:t>182.00</w:t>
            </w:r>
          </w:p>
        </w:tc>
        <w:tc>
          <w:tcPr>
            <w:tcW w:w="2551" w:type="dxa"/>
            <w:vAlign w:val="center"/>
          </w:tcPr>
          <w:p>
            <w:pPr>
              <w:pStyle w:val="13"/>
            </w:pPr>
            <w:r>
              <w:t>1551.59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214.40</w:t>
            </w:r>
          </w:p>
        </w:tc>
        <w:tc>
          <w:tcPr>
            <w:tcW w:w="2551" w:type="dxa"/>
            <w:vAlign w:val="center"/>
          </w:tcPr>
          <w:p>
            <w:pPr>
              <w:pStyle w:val="13"/>
            </w:pPr>
            <w:r>
              <w:t>182.00</w:t>
            </w:r>
          </w:p>
        </w:tc>
        <w:tc>
          <w:tcPr>
            <w:tcW w:w="2551" w:type="dxa"/>
            <w:vAlign w:val="center"/>
          </w:tcPr>
          <w:p>
            <w:pPr>
              <w:pStyle w:val="13"/>
            </w:pPr>
            <w:r>
              <w:t>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2110103</w:t>
            </w:r>
          </w:p>
        </w:tc>
        <w:tc>
          <w:tcPr>
            <w:tcW w:w="4535" w:type="dxa"/>
            <w:vAlign w:val="center"/>
          </w:tcPr>
          <w:p>
            <w:pPr>
              <w:pStyle w:val="14"/>
            </w:pPr>
            <w:r>
              <w:t>机关服务</w:t>
            </w:r>
          </w:p>
        </w:tc>
        <w:tc>
          <w:tcPr>
            <w:tcW w:w="2551" w:type="dxa"/>
            <w:vAlign w:val="center"/>
          </w:tcPr>
          <w:p>
            <w:pPr>
              <w:pStyle w:val="13"/>
            </w:pPr>
            <w:r>
              <w:t>32.40</w:t>
            </w:r>
          </w:p>
        </w:tc>
        <w:tc>
          <w:tcPr>
            <w:tcW w:w="2551" w:type="dxa"/>
            <w:vAlign w:val="center"/>
          </w:tcPr>
          <w:p>
            <w:pPr>
              <w:pStyle w:val="13"/>
            </w:pPr>
          </w:p>
        </w:tc>
        <w:tc>
          <w:tcPr>
            <w:tcW w:w="2551" w:type="dxa"/>
            <w:vAlign w:val="center"/>
          </w:tcPr>
          <w:p>
            <w:pPr>
              <w:pStyle w:val="13"/>
            </w:pPr>
            <w:r>
              <w:t>32.40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556.00</w:t>
            </w:r>
          </w:p>
        </w:tc>
        <w:tc>
          <w:tcPr>
            <w:tcW w:w="2551" w:type="dxa"/>
            <w:vAlign w:val="center"/>
          </w:tcPr>
          <w:p>
            <w:pPr>
              <w:pStyle w:val="13"/>
            </w:pPr>
          </w:p>
        </w:tc>
        <w:tc>
          <w:tcPr>
            <w:tcW w:w="2551" w:type="dxa"/>
            <w:vAlign w:val="center"/>
          </w:tcPr>
          <w:p>
            <w:pPr>
              <w:pStyle w:val="13"/>
            </w:pPr>
            <w:r>
              <w:t>556.00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556.00</w:t>
            </w:r>
          </w:p>
        </w:tc>
        <w:tc>
          <w:tcPr>
            <w:tcW w:w="2551" w:type="dxa"/>
            <w:vAlign w:val="center"/>
          </w:tcPr>
          <w:p>
            <w:pPr>
              <w:pStyle w:val="13"/>
            </w:pPr>
          </w:p>
        </w:tc>
        <w:tc>
          <w:tcPr>
            <w:tcW w:w="2551" w:type="dxa"/>
            <w:vAlign w:val="center"/>
          </w:tcPr>
          <w:p>
            <w:pPr>
              <w:pStyle w:val="13"/>
            </w:pPr>
            <w:r>
              <w:t>556.00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963.19</w:t>
            </w:r>
          </w:p>
        </w:tc>
        <w:tc>
          <w:tcPr>
            <w:tcW w:w="2551" w:type="dxa"/>
            <w:vAlign w:val="center"/>
          </w:tcPr>
          <w:p>
            <w:pPr>
              <w:pStyle w:val="13"/>
            </w:pPr>
          </w:p>
        </w:tc>
        <w:tc>
          <w:tcPr>
            <w:tcW w:w="2551" w:type="dxa"/>
            <w:vAlign w:val="center"/>
          </w:tcPr>
          <w:p>
            <w:pPr>
              <w:pStyle w:val="13"/>
            </w:pPr>
            <w:r>
              <w:t>963.19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770.19</w:t>
            </w:r>
          </w:p>
        </w:tc>
        <w:tc>
          <w:tcPr>
            <w:tcW w:w="2551" w:type="dxa"/>
            <w:vAlign w:val="center"/>
          </w:tcPr>
          <w:p>
            <w:pPr>
              <w:pStyle w:val="13"/>
            </w:pPr>
          </w:p>
        </w:tc>
        <w:tc>
          <w:tcPr>
            <w:tcW w:w="2551" w:type="dxa"/>
            <w:vAlign w:val="center"/>
          </w:tcPr>
          <w:p>
            <w:pPr>
              <w:pStyle w:val="13"/>
            </w:pPr>
            <w:r>
              <w:t>770.19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193.00</w:t>
            </w:r>
          </w:p>
        </w:tc>
        <w:tc>
          <w:tcPr>
            <w:tcW w:w="2551" w:type="dxa"/>
            <w:vAlign w:val="center"/>
          </w:tcPr>
          <w:p>
            <w:pPr>
              <w:pStyle w:val="13"/>
            </w:pPr>
          </w:p>
        </w:tc>
        <w:tc>
          <w:tcPr>
            <w:tcW w:w="2551" w:type="dxa"/>
            <w:vAlign w:val="center"/>
          </w:tcPr>
          <w:p>
            <w:pPr>
              <w:pStyle w:val="13"/>
            </w:pPr>
            <w:r>
              <w:t>193.00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182.00</w:t>
            </w:r>
          </w:p>
        </w:tc>
        <w:tc>
          <w:tcPr>
            <w:tcW w:w="2551" w:type="dxa"/>
            <w:vAlign w:val="center"/>
          </w:tcPr>
          <w:p>
            <w:pPr>
              <w:pStyle w:val="17"/>
            </w:pPr>
            <w:r>
              <w:t>182.00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182.00</w:t>
            </w:r>
          </w:p>
        </w:tc>
        <w:tc>
          <w:tcPr>
            <w:tcW w:w="2551" w:type="dxa"/>
            <w:vAlign w:val="center"/>
          </w:tcPr>
          <w:p>
            <w:pPr>
              <w:pStyle w:val="13"/>
            </w:pPr>
            <w:r>
              <w:t>182.00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石家庄市生态环境局藁城区分局2022年部门预算信息公开情况说明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石家庄市生态环境局藁城区分局2022年部门预算信息公开情况说明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按照《预算法》、《地方预决算公开操作规程》和《关于进一步推进预算公开工作的实施意见》规定，现将石家庄市生态环境局藁城区分局2022年部门预算公开如下：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审核各县（市、区）城镇总体规划中环境保护内容；监督管理大气、水体、土壤、固体废物、有毒化学品、噪声、振动、辐射放射以及机动车等的污染防治工作；对伴有放射性矿产资源开发利用中的污染防治工作实行统一监督管理；依法对辖区内排污者执行环境保护法律、法规情况进行现场监督、监察，对违法案件进行查处、依法给予行政处罚；调查处理环境信访案件，负责后督查工作；负责12369环保热线电话运行，负责企业在线监测设备的运行监督管理；负责排放口规范化整治工作。组织开展环境安全检查和应急能力建设，制定应急预案并指导、组织、协调应急相关工作；负责重污染天气预警工作；承担法律、法规、规章和规范性文件规定的其他职责，以及上级环保部门、本局委托和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石家庄市生态环境局藁城区分局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按照预算管理有关规定，目前我省部门预算的编制实行综合预算管理，即全部收入和支出都反映在预算中。石家庄市生态环境局藁城区分局机关及所属事业单位的收支包含在预算中。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当年全部收入。2022年预算收入</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预算中支出预算的总体情况。2022年</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支出预算为</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182</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182</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1551.59</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val="en-US" w:eastAsia="zh-CN"/>
        </w:rPr>
        <w:t>环境保护管理事务32.4万元，环境监测与监察556万元，污染防治支出963.19万元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w:t>
      </w:r>
      <w:r>
        <w:rPr>
          <w:rFonts w:ascii="Times New Roman" w:hAnsi="Times New Roman" w:eastAsia="方正仿宋_GBK" w:cs="Times New Roman"/>
          <w:b w:val="0"/>
          <w:color w:val="000000"/>
          <w:sz w:val="28"/>
        </w:rPr>
        <w:t>比上年增减情况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预算收支安排</w:t>
      </w:r>
      <w:r>
        <w:rPr>
          <w:rFonts w:hint="eastAsia" w:eastAsia="方正仿宋_GBK" w:cs="Times New Roman"/>
          <w:b w:val="0"/>
          <w:color w:val="000000"/>
          <w:sz w:val="28"/>
          <w:lang w:val="en-US" w:eastAsia="zh-CN"/>
        </w:rPr>
        <w:t>1733.59</w:t>
      </w:r>
      <w:r>
        <w:rPr>
          <w:rFonts w:hint="eastAsia" w:ascii="Times New Roman" w:hAnsi="Times New Roman" w:eastAsia="方正仿宋_GBK" w:cs="Times New Roman"/>
          <w:b w:val="0"/>
          <w:color w:val="000000"/>
          <w:sz w:val="28"/>
        </w:rPr>
        <w:t>万元，较2021年增加</w:t>
      </w:r>
      <w:r>
        <w:rPr>
          <w:rFonts w:hint="eastAsia" w:eastAsia="方正仿宋_GBK" w:cs="Times New Roman"/>
          <w:b w:val="0"/>
          <w:color w:val="000000"/>
          <w:sz w:val="28"/>
          <w:lang w:val="en-US" w:eastAsia="zh-CN"/>
        </w:rPr>
        <w:t>636.92</w:t>
      </w:r>
      <w:r>
        <w:rPr>
          <w:rFonts w:hint="eastAsia" w:ascii="Times New Roman" w:hAnsi="Times New Roman" w:eastAsia="方正仿宋_GBK" w:cs="Times New Roman"/>
          <w:b w:val="0"/>
          <w:color w:val="000000"/>
          <w:sz w:val="28"/>
        </w:rPr>
        <w:t>万元，其中：基本支出减少</w:t>
      </w:r>
      <w:r>
        <w:rPr>
          <w:rFonts w:hint="eastAsia" w:eastAsia="方正仿宋_GBK" w:cs="Times New Roman"/>
          <w:b w:val="0"/>
          <w:color w:val="000000"/>
          <w:sz w:val="28"/>
          <w:lang w:val="en-US" w:eastAsia="zh-CN"/>
        </w:rPr>
        <w:t>14</w:t>
      </w:r>
      <w:r>
        <w:rPr>
          <w:rFonts w:hint="eastAsia" w:ascii="Times New Roman" w:hAnsi="Times New Roman" w:eastAsia="方正仿宋_GBK" w:cs="Times New Roman"/>
          <w:b w:val="0"/>
          <w:color w:val="000000"/>
          <w:sz w:val="28"/>
        </w:rPr>
        <w:t>万元，主要是人员减少，相应减少人员经费和日常公用经费；项目支出增加</w:t>
      </w:r>
      <w:r>
        <w:rPr>
          <w:rFonts w:hint="eastAsia" w:eastAsia="方正仿宋_GBK" w:cs="Times New Roman"/>
          <w:b w:val="0"/>
          <w:color w:val="000000"/>
          <w:sz w:val="28"/>
          <w:lang w:val="en-US" w:eastAsia="zh-CN"/>
        </w:rPr>
        <w:t>650.92</w:t>
      </w:r>
      <w:r>
        <w:rPr>
          <w:rFonts w:hint="eastAsia" w:ascii="Times New Roman" w:hAnsi="Times New Roman" w:eastAsia="方正仿宋_GBK" w:cs="Times New Roman"/>
          <w:b w:val="0"/>
          <w:color w:val="000000"/>
          <w:sz w:val="28"/>
        </w:rPr>
        <w:t>万元，主要是增加</w:t>
      </w:r>
      <w:r>
        <w:rPr>
          <w:rFonts w:hint="eastAsia" w:eastAsia="方正仿宋_GBK" w:cs="Times New Roman"/>
          <w:b w:val="0"/>
          <w:color w:val="000000"/>
          <w:sz w:val="28"/>
          <w:lang w:eastAsia="zh-CN"/>
        </w:rPr>
        <w:t>环境监测与监察、污染防治支出</w:t>
      </w:r>
      <w:r>
        <w:rPr>
          <w:rFonts w:hint="eastAsia" w:ascii="Times New Roman" w:hAnsi="Times New Roman" w:eastAsia="方正仿宋_GBK" w:cs="Times New Roman"/>
          <w:b w:val="0"/>
          <w:color w:val="000000"/>
          <w:sz w:val="28"/>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机关运行经费共计安排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rPr>
          <w:rFonts w:ascii="黑体" w:hAnsi="黑体" w:eastAsia="黑体" w:cs="黑体"/>
          <w:color w:val="000000"/>
          <w:sz w:val="32"/>
        </w:rPr>
      </w:pPr>
      <w:bookmarkStart w:id="11"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1"/>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eastAsia="方正仿宋_GBK" w:cs="Times New Roman"/>
          <w:b w:val="0"/>
          <w:color w:val="000000"/>
          <w:sz w:val="28"/>
          <w:lang w:eastAsia="zh-CN"/>
        </w:rPr>
        <w:t>部门</w:t>
      </w:r>
      <w:r>
        <w:rPr>
          <w:rFonts w:hint="eastAsia" w:ascii="Times New Roman" w:hAnsi="Times New Roman" w:eastAsia="方正仿宋_GBK" w:cs="Times New Roman"/>
          <w:b w:val="0"/>
          <w:color w:val="000000"/>
          <w:sz w:val="28"/>
        </w:rPr>
        <w:t>财政拨款“三公”经费预算安排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spacing w:before="10" w:after="10" w:line="360" w:lineRule="auto"/>
        <w:ind w:firstLine="640"/>
        <w:jc w:val="left"/>
        <w:outlineLvl w:val="2"/>
      </w:pPr>
      <w:bookmarkStart w:id="12" w:name="_Toc_3_3_0000000014"/>
      <w:r>
        <w:rPr>
          <w:rFonts w:ascii="黑体" w:hAnsi="黑体" w:eastAsia="黑体" w:cs="黑体"/>
          <w:color w:val="000000"/>
          <w:sz w:val="32"/>
        </w:rPr>
        <w:t>五、预算绩效信息</w:t>
      </w:r>
      <w:bookmarkEnd w:id="12"/>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审核各县（市、区）城镇总体规划中环境保护内容；监督管理大气、水体、土壤、固体废物、有毒化学品、噪声、振动、辐射放射以及机动车等的污染防治工作；对伴有放射性矿产资源开发利用中的污染防治工作实行统一监督管理；依法对辖区内排污者执行环境保护法律、法规情况进行现场监督、监察，对违法案件进行查处、依法给予行政处罚；调查处理环境信访案件，负责后督查工作；负责12369环保热线电话运行，负责企业在线监测设备的运行监督管理；负责排放口规范化整治工作。组织开展环境安全检查和应急能力建设，制定应急预案并指导、组织、协调应急相关工作；负责重污染天气预警工作；承担法律、法规、规章和规范性文件规定的其他职责，以及上级环保部门、本局委托和交办的其他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（一）依法加大环境执法监察与监测力度</w:t>
      </w:r>
    </w:p>
    <w:p>
      <w:pPr>
        <w:pStyle w:val="24"/>
      </w:pPr>
      <w:r>
        <w:t>绩效目标：近年来环保形势严峻，为充实我局执法辅助力量，按照区领导指示精神，我单位陆续增加劳务派遣人员辅助执法。贯彻执行环保法律、法规、标准、技术规范和管理制度；按国家环境监测技术规范开展环境监测。</w:t>
      </w:r>
    </w:p>
    <w:p>
      <w:pPr>
        <w:pStyle w:val="24"/>
      </w:pPr>
      <w:r>
        <w:t>绩效指标:</w:t>
      </w:r>
    </w:p>
    <w:p>
      <w:pPr>
        <w:pStyle w:val="24"/>
      </w:pPr>
      <w:r>
        <w:t>我区经济总量大、企业数量多，随着环保工作压力的不断加大，我分局陆续增加劳务派遣人员，每月按时发放临时工工资及社保。随着劳务派遣人员增加，我局办公费用、宣传费用、差旅费及其他相关费用也随之增加，按照相关法律条文及制度完成日常监测辅助执法。</w:t>
      </w:r>
    </w:p>
    <w:p>
      <w:pPr>
        <w:pStyle w:val="24"/>
      </w:pPr>
      <w:r>
        <w:t>（二）加强大气污染防治，推动城市环境空气质量改善</w:t>
      </w:r>
    </w:p>
    <w:p>
      <w:pPr>
        <w:pStyle w:val="24"/>
      </w:pPr>
      <w:r>
        <w:t>绩效目标：贯彻落实全市2021年空气质量改善目“退后十”百日攻坚行动誓师动员会议精神，有效提升我区空气质量。</w:t>
      </w:r>
    </w:p>
    <w:p>
      <w:pPr>
        <w:pStyle w:val="24"/>
      </w:pPr>
      <w:r>
        <w:t>为精准管控大气质量，计划对东侧小区全体居民油烟进行集中收集后通过高效静音油烟净化设备，最大程度的降低污染物排放对国控点位产生的负面影响。</w:t>
      </w:r>
    </w:p>
    <w:p>
      <w:pPr>
        <w:pStyle w:val="24"/>
      </w:pPr>
      <w:r>
        <w:t>实时掌握区域内环境污染分布状况及空气质量变化趋势，对我区的空气质量进行精准管控。</w:t>
      </w:r>
    </w:p>
    <w:p>
      <w:pPr>
        <w:pStyle w:val="24"/>
      </w:pPr>
      <w:r>
        <w:t>绩效指标:根据区域污染特点，对“藁城八中”省控点中心半径500米内为核心区域，以半径1000米为重点区域，采用科学技术手段对该区域空气中的颗粒物、NO、O3进行专项治理。</w:t>
      </w:r>
    </w:p>
    <w:p>
      <w:pPr>
        <w:pStyle w:val="24"/>
      </w:pPr>
      <w:r>
        <w:t>根据其他地市国控点采取运维商负责投资建设、运维，政府购买年服务的模式和经验，对我区国控点东侧紧邻10栋老旧居民楼的油烟进行治理。</w:t>
      </w:r>
    </w:p>
    <w:p>
      <w:pPr>
        <w:pStyle w:val="24"/>
      </w:pPr>
      <w:r>
        <w:t>我区形成覆盖整个区域及穿城主干道的实时监测网络，为保障设备正常运行，充分发挥网格化监测的精准管控作用，对微型空气质量传感网络监测仪、视频监控和黑烟车抓拍系统进行运维。</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增强发展意识。全局上下把思想统一到中央、省、市工作决策部署上来，统一到完成全年目标任务上来，牢牢扭住发展这个第一要务，聚焦重点工作任务，上下一条心、拧成一股绳、形成一盘棋，确保圆满完成年度工作目标。</w:t>
      </w:r>
    </w:p>
    <w:p>
      <w:pPr>
        <w:pStyle w:val="25"/>
      </w:pPr>
      <w:r>
        <w:t>2、完成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3、优化支出管理。按照“谁花钱、谁负责、谁举证”的原则，明确各单位（处室）预算绩效管理职责。实现花钱必问效，确保财务与业务工作紧密衔接。各单位（处室）按要求积极开展预算绩效评价，根据评价结果进行整改，确保绩效目标顺利实现。</w:t>
      </w:r>
    </w:p>
    <w:p>
      <w:pPr>
        <w:pStyle w:val="25"/>
      </w:pPr>
      <w:r>
        <w:t>4、加强绩效监控。按财政要求开展绩效运行监控，全程跟踪预算执行进度，对执行过程中发现的问题及时反馈，制定切实可行举措，保障绩效目标按期高质量完成。</w:t>
      </w:r>
    </w:p>
    <w:p>
      <w:pPr>
        <w:pStyle w:val="25"/>
      </w:pPr>
      <w:r>
        <w:t>5、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pPr>
        <w:pStyle w:val="25"/>
      </w:pPr>
      <w:r>
        <w:t>6、做好宣传联动。加强单位内部处室间的协调联动，加大关于预算绩效工作宣传力度，提高对预算绩效管理的重视程度，增强绩效管理意识，促进预算绩效管理水平进一步提升。</w:t>
      </w:r>
    </w:p>
    <w:p>
      <w:pPr>
        <w:pStyle w:val="25"/>
      </w:pPr>
      <w:r>
        <w:t>7、加强宣传培训。组织指导开展环境保护宣传教育工作；协同有关部门开展生态环境法制教育，推动公众和非政府组织参与环境保护工作；协助县（区）组织部门管理环境保护行政主管部门领导干部；抓好环保系统在职人员的岗位培训和继续教育。</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1、辅勤人员体检费绩效目标表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1.辅勤人员体检费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辅勤人员数量</w:t>
            </w:r>
          </w:p>
        </w:tc>
        <w:tc>
          <w:tcPr>
            <w:tcW w:w="2835" w:type="dxa"/>
            <w:vAlign w:val="center"/>
          </w:tcPr>
          <w:p>
            <w:pPr>
              <w:pStyle w:val="28"/>
            </w:pPr>
            <w:r>
              <w:t>辅勤人员数量</w:t>
            </w:r>
          </w:p>
        </w:tc>
        <w:tc>
          <w:tcPr>
            <w:tcW w:w="2551" w:type="dxa"/>
            <w:vAlign w:val="center"/>
          </w:tcPr>
          <w:p>
            <w:pPr>
              <w:pStyle w:val="28"/>
            </w:pPr>
            <w:r>
              <w:t>150人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辅勤人员体检合格率</w:t>
            </w:r>
          </w:p>
        </w:tc>
        <w:tc>
          <w:tcPr>
            <w:tcW w:w="2835" w:type="dxa"/>
            <w:vAlign w:val="center"/>
          </w:tcPr>
          <w:p>
            <w:pPr>
              <w:pStyle w:val="28"/>
            </w:pPr>
            <w:r>
              <w:t>辅勤人员体检合格率</w:t>
            </w:r>
          </w:p>
        </w:tc>
        <w:tc>
          <w:tcPr>
            <w:tcW w:w="2551" w:type="dxa"/>
            <w:vAlign w:val="center"/>
          </w:tcPr>
          <w:p>
            <w:pPr>
              <w:pStyle w:val="28"/>
            </w:pPr>
            <w:r>
              <w:t>≥90%</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体检完成率</w:t>
            </w:r>
          </w:p>
        </w:tc>
        <w:tc>
          <w:tcPr>
            <w:tcW w:w="2835" w:type="dxa"/>
            <w:vAlign w:val="center"/>
          </w:tcPr>
          <w:p>
            <w:pPr>
              <w:pStyle w:val="28"/>
            </w:pPr>
            <w:r>
              <w:t>体检完成率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体检费人均成本</w:t>
            </w:r>
          </w:p>
        </w:tc>
        <w:tc>
          <w:tcPr>
            <w:tcW w:w="2835" w:type="dxa"/>
            <w:vAlign w:val="center"/>
          </w:tcPr>
          <w:p>
            <w:pPr>
              <w:pStyle w:val="28"/>
            </w:pPr>
            <w:r>
              <w:t>体检费人均成本</w:t>
            </w:r>
          </w:p>
        </w:tc>
        <w:tc>
          <w:tcPr>
            <w:tcW w:w="2551" w:type="dxa"/>
            <w:vAlign w:val="center"/>
          </w:tcPr>
          <w:p>
            <w:pPr>
              <w:pStyle w:val="28"/>
            </w:pPr>
            <w:r>
              <w:t>660元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辅勤人员满意度</w:t>
            </w:r>
          </w:p>
        </w:tc>
        <w:tc>
          <w:tcPr>
            <w:tcW w:w="2835" w:type="dxa"/>
            <w:vAlign w:val="center"/>
          </w:tcPr>
          <w:p>
            <w:pPr>
              <w:pStyle w:val="28"/>
            </w:pPr>
            <w:r>
              <w:t>辅勤人员满意度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2、辅勤人员制服绩效目标表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1.辅勤人员制服费用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辅勤人员数量</w:t>
            </w:r>
          </w:p>
        </w:tc>
        <w:tc>
          <w:tcPr>
            <w:tcW w:w="2835" w:type="dxa"/>
            <w:vAlign w:val="center"/>
          </w:tcPr>
          <w:p>
            <w:pPr>
              <w:pStyle w:val="28"/>
            </w:pPr>
            <w:r>
              <w:t>辅勤人员数量</w:t>
            </w:r>
          </w:p>
        </w:tc>
        <w:tc>
          <w:tcPr>
            <w:tcW w:w="2551" w:type="dxa"/>
            <w:vAlign w:val="center"/>
          </w:tcPr>
          <w:p>
            <w:pPr>
              <w:pStyle w:val="28"/>
            </w:pPr>
            <w:r>
              <w:t>150人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制服合格率</w:t>
            </w:r>
          </w:p>
        </w:tc>
        <w:tc>
          <w:tcPr>
            <w:tcW w:w="2835" w:type="dxa"/>
            <w:vAlign w:val="center"/>
          </w:tcPr>
          <w:p>
            <w:pPr>
              <w:pStyle w:val="28"/>
            </w:pPr>
            <w:r>
              <w:t>制服合格率</w:t>
            </w:r>
          </w:p>
        </w:tc>
        <w:tc>
          <w:tcPr>
            <w:tcW w:w="2551" w:type="dxa"/>
            <w:vAlign w:val="center"/>
          </w:tcPr>
          <w:p>
            <w:pPr>
              <w:pStyle w:val="28"/>
            </w:pPr>
            <w:r>
              <w:t>100%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工作任务完成及时率</w:t>
            </w:r>
          </w:p>
        </w:tc>
        <w:tc>
          <w:tcPr>
            <w:tcW w:w="2835" w:type="dxa"/>
            <w:vAlign w:val="center"/>
          </w:tcPr>
          <w:p>
            <w:pPr>
              <w:pStyle w:val="28"/>
            </w:pPr>
            <w:r>
              <w:t>工作任务完成及时率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辅勤人员对制服的满意度</w:t>
            </w:r>
          </w:p>
        </w:tc>
        <w:tc>
          <w:tcPr>
            <w:tcW w:w="2835" w:type="dxa"/>
            <w:vAlign w:val="center"/>
          </w:tcPr>
          <w:p>
            <w:pPr>
              <w:pStyle w:val="28"/>
            </w:pPr>
            <w:r>
              <w:t>辅勤人员对制服的满意度</w:t>
            </w:r>
          </w:p>
        </w:tc>
        <w:tc>
          <w:tcPr>
            <w:tcW w:w="2551" w:type="dxa"/>
            <w:vAlign w:val="center"/>
          </w:tcPr>
          <w:p>
            <w:pPr>
              <w:pStyle w:val="28"/>
            </w:pPr>
            <w:r>
              <w:t>≥98%</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3、关于在国控点实验学校东侧居民小区安装油烟集中收集治理设施所需资金的申请绩效目标表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1.完成对油烟集中收集治理设施的安装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安装治理设施居民楼数量</w:t>
            </w:r>
          </w:p>
        </w:tc>
        <w:tc>
          <w:tcPr>
            <w:tcW w:w="2835" w:type="dxa"/>
            <w:vAlign w:val="center"/>
          </w:tcPr>
          <w:p>
            <w:pPr>
              <w:pStyle w:val="28"/>
            </w:pPr>
            <w:r>
              <w:t>安装治理设施居民楼数量</w:t>
            </w:r>
          </w:p>
        </w:tc>
        <w:tc>
          <w:tcPr>
            <w:tcW w:w="2551" w:type="dxa"/>
            <w:vAlign w:val="center"/>
          </w:tcPr>
          <w:p>
            <w:pPr>
              <w:pStyle w:val="28"/>
            </w:pPr>
            <w:r>
              <w:t>10栋</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油烟治理设施合格率</w:t>
            </w:r>
          </w:p>
        </w:tc>
        <w:tc>
          <w:tcPr>
            <w:tcW w:w="2835" w:type="dxa"/>
            <w:vAlign w:val="center"/>
          </w:tcPr>
          <w:p>
            <w:pPr>
              <w:pStyle w:val="28"/>
            </w:pPr>
            <w:r>
              <w:t>油烟治理设施合格率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安装油烟治理设施及时率</w:t>
            </w:r>
          </w:p>
        </w:tc>
        <w:tc>
          <w:tcPr>
            <w:tcW w:w="2835" w:type="dxa"/>
            <w:vAlign w:val="center"/>
          </w:tcPr>
          <w:p>
            <w:pPr>
              <w:pStyle w:val="28"/>
            </w:pPr>
            <w:r>
              <w:t>安装油烟治理设施及时率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4、环境执法经费绩效目标表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1.对国省控空气质量自动监测点位、污染源自动监控平台和空气网格化的电力供应及三个点位的维护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维护点位数量</w:t>
            </w:r>
          </w:p>
        </w:tc>
        <w:tc>
          <w:tcPr>
            <w:tcW w:w="2835" w:type="dxa"/>
            <w:vAlign w:val="center"/>
          </w:tcPr>
          <w:p>
            <w:pPr>
              <w:pStyle w:val="28"/>
            </w:pPr>
            <w:r>
              <w:t>维护点位数量</w:t>
            </w:r>
          </w:p>
        </w:tc>
        <w:tc>
          <w:tcPr>
            <w:tcW w:w="2551" w:type="dxa"/>
            <w:vAlign w:val="center"/>
          </w:tcPr>
          <w:p>
            <w:pPr>
              <w:pStyle w:val="28"/>
            </w:pPr>
            <w:r>
              <w:t>3个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资金到位率</w:t>
            </w:r>
          </w:p>
          <w:p>
            <w:pPr>
              <w:pStyle w:val="28"/>
            </w:pPr>
          </w:p>
          <w:p>
            <w:pPr>
              <w:pStyle w:val="28"/>
            </w:pPr>
          </w:p>
        </w:tc>
        <w:tc>
          <w:tcPr>
            <w:tcW w:w="2835" w:type="dxa"/>
            <w:vAlign w:val="center"/>
          </w:tcPr>
          <w:p>
            <w:pPr>
              <w:pStyle w:val="28"/>
            </w:pPr>
            <w:r>
              <w:t>资金到位率</w:t>
            </w:r>
          </w:p>
          <w:p>
            <w:pPr>
              <w:pStyle w:val="28"/>
            </w:pPr>
          </w:p>
          <w:p>
            <w:pPr>
              <w:pStyle w:val="28"/>
            </w:pPr>
          </w:p>
        </w:tc>
        <w:tc>
          <w:tcPr>
            <w:tcW w:w="2551" w:type="dxa"/>
            <w:vAlign w:val="center"/>
          </w:tcPr>
          <w:p>
            <w:pPr>
              <w:pStyle w:val="28"/>
            </w:pPr>
            <w:r>
              <w:t>100%</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资金发放准时率</w:t>
            </w:r>
          </w:p>
        </w:tc>
        <w:tc>
          <w:tcPr>
            <w:tcW w:w="2835" w:type="dxa"/>
            <w:vAlign w:val="center"/>
          </w:tcPr>
          <w:p>
            <w:pPr>
              <w:pStyle w:val="28"/>
            </w:pPr>
            <w:r>
              <w:t>资金发放准时率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1.发放劳务派遣人员工资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劳务派遣人员数量</w:t>
            </w:r>
          </w:p>
        </w:tc>
        <w:tc>
          <w:tcPr>
            <w:tcW w:w="2835" w:type="dxa"/>
            <w:vAlign w:val="center"/>
          </w:tcPr>
          <w:p>
            <w:pPr>
              <w:pStyle w:val="28"/>
            </w:pPr>
            <w:r>
              <w:t>劳务派遣人员数量</w:t>
            </w:r>
          </w:p>
        </w:tc>
        <w:tc>
          <w:tcPr>
            <w:tcW w:w="2551" w:type="dxa"/>
            <w:vAlign w:val="center"/>
          </w:tcPr>
          <w:p>
            <w:pPr>
              <w:pStyle w:val="28"/>
            </w:pPr>
            <w:r>
              <w:t>112人</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缴纳社保合格率</w:t>
            </w:r>
          </w:p>
        </w:tc>
        <w:tc>
          <w:tcPr>
            <w:tcW w:w="2835" w:type="dxa"/>
            <w:vAlign w:val="center"/>
          </w:tcPr>
          <w:p>
            <w:pPr>
              <w:pStyle w:val="28"/>
            </w:pPr>
            <w:r>
              <w:t>缴纳社保合格率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拨付工资及时率</w:t>
            </w:r>
          </w:p>
        </w:tc>
        <w:tc>
          <w:tcPr>
            <w:tcW w:w="2835" w:type="dxa"/>
            <w:vAlign w:val="center"/>
          </w:tcPr>
          <w:p>
            <w:pPr>
              <w:pStyle w:val="28"/>
            </w:pPr>
            <w:r>
              <w:t>拨付工资及时率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劳务派遣人员人均工资成本</w:t>
            </w:r>
          </w:p>
        </w:tc>
        <w:tc>
          <w:tcPr>
            <w:tcW w:w="2835" w:type="dxa"/>
            <w:vAlign w:val="center"/>
          </w:tcPr>
          <w:p>
            <w:pPr>
              <w:pStyle w:val="28"/>
            </w:pPr>
            <w:r>
              <w:t>劳务派遣人员人均工资成本</w:t>
            </w:r>
          </w:p>
        </w:tc>
        <w:tc>
          <w:tcPr>
            <w:tcW w:w="2551" w:type="dxa"/>
            <w:vAlign w:val="center"/>
          </w:tcPr>
          <w:p>
            <w:pPr>
              <w:pStyle w:val="28"/>
            </w:pPr>
            <w:r>
              <w:t>3523.1元/月</w:t>
            </w:r>
          </w:p>
        </w:tc>
        <w:tc>
          <w:tcPr>
            <w:tcW w:w="2268" w:type="dxa"/>
            <w:vAlign w:val="center"/>
          </w:tcPr>
          <w:p>
            <w:pPr>
              <w:pStyle w:val="28"/>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劳务派遣人员对工资发放的满意度</w:t>
            </w:r>
          </w:p>
        </w:tc>
        <w:tc>
          <w:tcPr>
            <w:tcW w:w="2835" w:type="dxa"/>
            <w:vAlign w:val="center"/>
          </w:tcPr>
          <w:p>
            <w:pPr>
              <w:pStyle w:val="28"/>
            </w:pPr>
            <w:r>
              <w:t>劳务派遣人员对工资发放的满意度</w:t>
            </w:r>
          </w:p>
        </w:tc>
        <w:tc>
          <w:tcPr>
            <w:tcW w:w="2551" w:type="dxa"/>
            <w:vAlign w:val="center"/>
          </w:tcPr>
          <w:p>
            <w:pPr>
              <w:pStyle w:val="28"/>
            </w:pPr>
            <w:r>
              <w:t>≥98%</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6、石财建[2021]45号石家庄市财政局关于下达市级生态补偿金资金绩效目标表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1.对藁城区“千吨万人”集中式饮用水水源地进行规范化建设，保障“千吨万人”集中式饮用水水源地饮水安全；加强汪洋沟水质管控，保障藁城汪洋沟出境控断面水质达到考核要求。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保障汪洋沟水质</w:t>
            </w:r>
          </w:p>
        </w:tc>
        <w:tc>
          <w:tcPr>
            <w:tcW w:w="2835" w:type="dxa"/>
            <w:vAlign w:val="center"/>
          </w:tcPr>
          <w:p>
            <w:pPr>
              <w:pStyle w:val="28"/>
            </w:pPr>
            <w:r>
              <w:t>规范化建设项目</w:t>
            </w:r>
          </w:p>
        </w:tc>
        <w:tc>
          <w:tcPr>
            <w:tcW w:w="2551" w:type="dxa"/>
            <w:vAlign w:val="center"/>
          </w:tcPr>
          <w:p>
            <w:pPr>
              <w:pStyle w:val="28"/>
            </w:pPr>
            <w:r>
              <w:t>1个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规范化建设质量</w:t>
            </w:r>
          </w:p>
        </w:tc>
        <w:tc>
          <w:tcPr>
            <w:tcW w:w="2835" w:type="dxa"/>
            <w:vAlign w:val="center"/>
          </w:tcPr>
          <w:p>
            <w:pPr>
              <w:pStyle w:val="28"/>
            </w:pPr>
            <w:r>
              <w:t>规范化建设质量</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项目实施期</w:t>
            </w:r>
          </w:p>
        </w:tc>
        <w:tc>
          <w:tcPr>
            <w:tcW w:w="2835" w:type="dxa"/>
            <w:vAlign w:val="center"/>
          </w:tcPr>
          <w:p>
            <w:pPr>
              <w:pStyle w:val="28"/>
            </w:pPr>
            <w:r>
              <w:t>项目实施期</w:t>
            </w:r>
          </w:p>
        </w:tc>
        <w:tc>
          <w:tcPr>
            <w:tcW w:w="2551" w:type="dxa"/>
            <w:vAlign w:val="center"/>
          </w:tcPr>
          <w:p>
            <w:pPr>
              <w:pStyle w:val="28"/>
            </w:pPr>
            <w:r>
              <w:t>3月</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建设费用</w:t>
            </w:r>
          </w:p>
        </w:tc>
        <w:tc>
          <w:tcPr>
            <w:tcW w:w="2835" w:type="dxa"/>
            <w:vAlign w:val="center"/>
          </w:tcPr>
          <w:p>
            <w:pPr>
              <w:pStyle w:val="28"/>
            </w:pPr>
            <w:r>
              <w:t>建设费用</w:t>
            </w:r>
          </w:p>
        </w:tc>
        <w:tc>
          <w:tcPr>
            <w:tcW w:w="2551" w:type="dxa"/>
            <w:vAlign w:val="center"/>
          </w:tcPr>
          <w:p>
            <w:pPr>
              <w:pStyle w:val="28"/>
            </w:pPr>
            <w:r>
              <w:t>70万</w:t>
            </w:r>
          </w:p>
        </w:tc>
        <w:tc>
          <w:tcPr>
            <w:tcW w:w="2268"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保障饮水安全，保障突发水环境应急处置</w:t>
            </w:r>
          </w:p>
        </w:tc>
        <w:tc>
          <w:tcPr>
            <w:tcW w:w="2835" w:type="dxa"/>
            <w:vAlign w:val="center"/>
          </w:tcPr>
          <w:p>
            <w:pPr>
              <w:pStyle w:val="28"/>
            </w:pPr>
            <w:r>
              <w:t>保障饮水安全，保障突发水环境应急处置</w:t>
            </w:r>
          </w:p>
        </w:tc>
        <w:tc>
          <w:tcPr>
            <w:tcW w:w="2551" w:type="dxa"/>
            <w:vAlign w:val="center"/>
          </w:tcPr>
          <w:p>
            <w:pPr>
              <w:pStyle w:val="28"/>
            </w:pPr>
            <w:r>
              <w:t>有效</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改善水质</w:t>
            </w:r>
          </w:p>
        </w:tc>
        <w:tc>
          <w:tcPr>
            <w:tcW w:w="2835" w:type="dxa"/>
            <w:vAlign w:val="center"/>
          </w:tcPr>
          <w:p>
            <w:pPr>
              <w:pStyle w:val="28"/>
            </w:pPr>
            <w:r>
              <w:t>改善水质</w:t>
            </w:r>
          </w:p>
        </w:tc>
        <w:tc>
          <w:tcPr>
            <w:tcW w:w="2551" w:type="dxa"/>
            <w:vAlign w:val="center"/>
          </w:tcPr>
          <w:p>
            <w:pPr>
              <w:pStyle w:val="28"/>
            </w:pPr>
            <w:r>
              <w:t>有利</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7、石财建【2021】12号关于下达市级生态补偿金资金预算的通知绩效目标表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1.用于购买汪洋沟监控，改善水质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购买监控设备数量</w:t>
            </w:r>
          </w:p>
        </w:tc>
        <w:tc>
          <w:tcPr>
            <w:tcW w:w="2835" w:type="dxa"/>
            <w:vAlign w:val="center"/>
          </w:tcPr>
          <w:p>
            <w:pPr>
              <w:pStyle w:val="28"/>
            </w:pPr>
            <w:r>
              <w:t>购买监控设备数量</w:t>
            </w:r>
          </w:p>
        </w:tc>
        <w:tc>
          <w:tcPr>
            <w:tcW w:w="2551" w:type="dxa"/>
            <w:vAlign w:val="center"/>
          </w:tcPr>
          <w:p>
            <w:pPr>
              <w:pStyle w:val="28"/>
            </w:pPr>
            <w:r>
              <w:t>12套</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质量合格率</w:t>
            </w:r>
          </w:p>
        </w:tc>
        <w:tc>
          <w:tcPr>
            <w:tcW w:w="2835" w:type="dxa"/>
            <w:vAlign w:val="center"/>
          </w:tcPr>
          <w:p>
            <w:pPr>
              <w:pStyle w:val="28"/>
            </w:pPr>
            <w:r>
              <w:t>质量合格率</w:t>
            </w:r>
          </w:p>
        </w:tc>
        <w:tc>
          <w:tcPr>
            <w:tcW w:w="2551" w:type="dxa"/>
            <w:vAlign w:val="center"/>
          </w:tcPr>
          <w:p>
            <w:pPr>
              <w:pStyle w:val="28"/>
            </w:pPr>
            <w:r>
              <w:t>100%</w:t>
            </w:r>
          </w:p>
        </w:tc>
        <w:tc>
          <w:tcPr>
            <w:tcW w:w="2268" w:type="dxa"/>
            <w:vAlign w:val="center"/>
          </w:tcPr>
          <w:p>
            <w:pPr>
              <w:pStyle w:val="28"/>
            </w:pPr>
            <w: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任务完成及时率</w:t>
            </w:r>
          </w:p>
        </w:tc>
        <w:tc>
          <w:tcPr>
            <w:tcW w:w="2835" w:type="dxa"/>
            <w:vAlign w:val="center"/>
          </w:tcPr>
          <w:p>
            <w:pPr>
              <w:pStyle w:val="28"/>
            </w:pPr>
            <w:r>
              <w:t>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控制在预算资金内</w:t>
            </w:r>
          </w:p>
        </w:tc>
        <w:tc>
          <w:tcPr>
            <w:tcW w:w="2835" w:type="dxa"/>
            <w:vAlign w:val="center"/>
          </w:tcPr>
          <w:p>
            <w:pPr>
              <w:pStyle w:val="28"/>
            </w:pPr>
            <w:r>
              <w:t>控制在预算资金内</w:t>
            </w:r>
          </w:p>
        </w:tc>
        <w:tc>
          <w:tcPr>
            <w:tcW w:w="2551" w:type="dxa"/>
            <w:vAlign w:val="center"/>
          </w:tcPr>
          <w:p>
            <w:pPr>
              <w:pStyle w:val="28"/>
            </w:pPr>
            <w:r>
              <w:t>控制在预算资金内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8、石财建【2021】30号下达2021年中央大气污染防治资金（第二批）重点行业挥发性有机物治理和配套监控设备绩效目标表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1.完成对5家企业的补助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补助企业数量</w:t>
            </w:r>
          </w:p>
        </w:tc>
        <w:tc>
          <w:tcPr>
            <w:tcW w:w="2835" w:type="dxa"/>
            <w:vAlign w:val="center"/>
          </w:tcPr>
          <w:p>
            <w:pPr>
              <w:pStyle w:val="28"/>
            </w:pPr>
            <w:r>
              <w:t>补助企业数量</w:t>
            </w:r>
          </w:p>
        </w:tc>
        <w:tc>
          <w:tcPr>
            <w:tcW w:w="2551" w:type="dxa"/>
            <w:vAlign w:val="center"/>
          </w:tcPr>
          <w:p>
            <w:pPr>
              <w:pStyle w:val="28"/>
            </w:pPr>
            <w:r>
              <w:t>5家</w:t>
            </w:r>
          </w:p>
        </w:tc>
        <w:tc>
          <w:tcPr>
            <w:tcW w:w="2268"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对企业补助完成率</w:t>
            </w:r>
          </w:p>
        </w:tc>
        <w:tc>
          <w:tcPr>
            <w:tcW w:w="2835" w:type="dxa"/>
            <w:vAlign w:val="center"/>
          </w:tcPr>
          <w:p>
            <w:pPr>
              <w:pStyle w:val="28"/>
            </w:pPr>
            <w:r>
              <w:t>对企业补助完成率</w:t>
            </w:r>
          </w:p>
        </w:tc>
        <w:tc>
          <w:tcPr>
            <w:tcW w:w="2551" w:type="dxa"/>
            <w:vAlign w:val="center"/>
          </w:tcPr>
          <w:p>
            <w:pPr>
              <w:pStyle w:val="28"/>
            </w:pPr>
            <w:r>
              <w:t>≥80%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工作任务完成及时率</w:t>
            </w:r>
          </w:p>
        </w:tc>
        <w:tc>
          <w:tcPr>
            <w:tcW w:w="2835" w:type="dxa"/>
            <w:vAlign w:val="center"/>
          </w:tcPr>
          <w:p>
            <w:pPr>
              <w:pStyle w:val="28"/>
            </w:pPr>
            <w:r>
              <w:t>工作任务完成及时率</w:t>
            </w:r>
          </w:p>
        </w:tc>
        <w:tc>
          <w:tcPr>
            <w:tcW w:w="2551" w:type="dxa"/>
            <w:vAlign w:val="center"/>
          </w:tcPr>
          <w:p>
            <w:pPr>
              <w:pStyle w:val="28"/>
            </w:pPr>
            <w:r>
              <w:t>100%</w:t>
            </w:r>
          </w:p>
        </w:tc>
        <w:tc>
          <w:tcPr>
            <w:tcW w:w="2268"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控制在预算成本内</w:t>
            </w:r>
          </w:p>
        </w:tc>
        <w:tc>
          <w:tcPr>
            <w:tcW w:w="2835" w:type="dxa"/>
            <w:vAlign w:val="center"/>
          </w:tcPr>
          <w:p>
            <w:pPr>
              <w:pStyle w:val="28"/>
            </w:pPr>
            <w:r>
              <w:t>控制在预算成本内</w:t>
            </w:r>
          </w:p>
        </w:tc>
        <w:tc>
          <w:tcPr>
            <w:tcW w:w="2551" w:type="dxa"/>
            <w:vAlign w:val="center"/>
          </w:tcPr>
          <w:p>
            <w:pPr>
              <w:pStyle w:val="28"/>
            </w:pPr>
            <w:r>
              <w:t>控制在预算成本内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企业对工作的满意度</w:t>
            </w:r>
          </w:p>
        </w:tc>
        <w:tc>
          <w:tcPr>
            <w:tcW w:w="2835" w:type="dxa"/>
            <w:vAlign w:val="center"/>
          </w:tcPr>
          <w:p>
            <w:pPr>
              <w:pStyle w:val="28"/>
            </w:pPr>
            <w:r>
              <w:t>企业对工作的满意度</w:t>
            </w:r>
          </w:p>
        </w:tc>
        <w:tc>
          <w:tcPr>
            <w:tcW w:w="2551" w:type="dxa"/>
            <w:vAlign w:val="center"/>
          </w:tcPr>
          <w:p>
            <w:pPr>
              <w:pStyle w:val="28"/>
            </w:pPr>
            <w:r>
              <w:t>≥95%</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9、石财建【2021】35号下达市级生态补偿金资金绩效目标表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1.用于采购移动式水质自动监测设备和购买地表水在线设备质控服务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项目个数</w:t>
            </w:r>
          </w:p>
        </w:tc>
        <w:tc>
          <w:tcPr>
            <w:tcW w:w="2835" w:type="dxa"/>
            <w:vAlign w:val="center"/>
          </w:tcPr>
          <w:p>
            <w:pPr>
              <w:pStyle w:val="28"/>
            </w:pPr>
            <w:r>
              <w:t>包含项目个数</w:t>
            </w:r>
          </w:p>
        </w:tc>
        <w:tc>
          <w:tcPr>
            <w:tcW w:w="2551" w:type="dxa"/>
            <w:vAlign w:val="center"/>
          </w:tcPr>
          <w:p>
            <w:pPr>
              <w:pStyle w:val="28"/>
            </w:pPr>
            <w:r>
              <w:t>2个</w:t>
            </w:r>
          </w:p>
        </w:tc>
        <w:tc>
          <w:tcPr>
            <w:tcW w:w="2268"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仪器和服务满足质量要求</w:t>
            </w:r>
          </w:p>
        </w:tc>
        <w:tc>
          <w:tcPr>
            <w:tcW w:w="2835" w:type="dxa"/>
            <w:vAlign w:val="center"/>
          </w:tcPr>
          <w:p>
            <w:pPr>
              <w:pStyle w:val="28"/>
            </w:pPr>
            <w:r>
              <w:t>设备验收合格率</w:t>
            </w:r>
          </w:p>
        </w:tc>
        <w:tc>
          <w:tcPr>
            <w:tcW w:w="2551" w:type="dxa"/>
            <w:vAlign w:val="center"/>
          </w:tcPr>
          <w:p>
            <w:pPr>
              <w:pStyle w:val="28"/>
            </w:pPr>
            <w:r>
              <w:t>100%</w:t>
            </w:r>
          </w:p>
        </w:tc>
        <w:tc>
          <w:tcPr>
            <w:tcW w:w="2268" w:type="dxa"/>
            <w:vAlign w:val="center"/>
          </w:tcPr>
          <w:p>
            <w:pPr>
              <w:pStyle w:val="28"/>
            </w:pPr>
            <w: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设备安装调试时间</w:t>
            </w:r>
          </w:p>
        </w:tc>
        <w:tc>
          <w:tcPr>
            <w:tcW w:w="2835" w:type="dxa"/>
            <w:vAlign w:val="center"/>
          </w:tcPr>
          <w:p>
            <w:pPr>
              <w:pStyle w:val="28"/>
            </w:pPr>
            <w:r>
              <w:t>设备安装调试时间</w:t>
            </w:r>
          </w:p>
        </w:tc>
        <w:tc>
          <w:tcPr>
            <w:tcW w:w="2551" w:type="dxa"/>
            <w:vAlign w:val="center"/>
          </w:tcPr>
          <w:p>
            <w:pPr>
              <w:pStyle w:val="28"/>
            </w:pPr>
            <w:r>
              <w:t>≤15</w:t>
            </w:r>
          </w:p>
        </w:tc>
        <w:tc>
          <w:tcPr>
            <w:tcW w:w="2268" w:type="dxa"/>
            <w:vAlign w:val="center"/>
          </w:tcPr>
          <w:p>
            <w:pPr>
              <w:pStyle w:val="28"/>
            </w:pPr>
            <w:r>
              <w:t>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控制在预算成本内</w:t>
            </w:r>
          </w:p>
        </w:tc>
        <w:tc>
          <w:tcPr>
            <w:tcW w:w="2835" w:type="dxa"/>
            <w:vAlign w:val="center"/>
          </w:tcPr>
          <w:p>
            <w:pPr>
              <w:pStyle w:val="28"/>
            </w:pPr>
            <w:r>
              <w:t>控制在预算成本内</w:t>
            </w:r>
          </w:p>
        </w:tc>
        <w:tc>
          <w:tcPr>
            <w:tcW w:w="2551" w:type="dxa"/>
            <w:vAlign w:val="center"/>
          </w:tcPr>
          <w:p>
            <w:pPr>
              <w:pStyle w:val="28"/>
            </w:pPr>
            <w:r>
              <w:t>控制在预算成本内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水环境质量</w:t>
            </w:r>
          </w:p>
        </w:tc>
        <w:tc>
          <w:tcPr>
            <w:tcW w:w="2835" w:type="dxa"/>
            <w:vAlign w:val="center"/>
          </w:tcPr>
          <w:p>
            <w:pPr>
              <w:pStyle w:val="28"/>
            </w:pPr>
            <w:r>
              <w:t>改善水环境质量</w:t>
            </w:r>
          </w:p>
        </w:tc>
        <w:tc>
          <w:tcPr>
            <w:tcW w:w="2551" w:type="dxa"/>
            <w:vAlign w:val="center"/>
          </w:tcPr>
          <w:p>
            <w:pPr>
              <w:pStyle w:val="28"/>
            </w:pPr>
            <w:r>
              <w:t>有利</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使用单位满意度</w:t>
            </w:r>
          </w:p>
        </w:tc>
        <w:tc>
          <w:tcPr>
            <w:tcW w:w="2835" w:type="dxa"/>
            <w:vAlign w:val="center"/>
          </w:tcPr>
          <w:p>
            <w:pPr>
              <w:pStyle w:val="28"/>
            </w:pPr>
            <w:r>
              <w:t>使用单位满意度</w:t>
            </w:r>
          </w:p>
        </w:tc>
        <w:tc>
          <w:tcPr>
            <w:tcW w:w="2551" w:type="dxa"/>
            <w:vAlign w:val="center"/>
          </w:tcPr>
          <w:p>
            <w:pPr>
              <w:pStyle w:val="28"/>
            </w:pPr>
            <w:r>
              <w:t>≥90%</w:t>
            </w:r>
          </w:p>
        </w:tc>
        <w:tc>
          <w:tcPr>
            <w:tcW w:w="2268" w:type="dxa"/>
            <w:vAlign w:val="center"/>
          </w:tcPr>
          <w:p>
            <w:pPr>
              <w:pStyle w:val="28"/>
            </w:pPr>
            <w:r>
              <w:t>口头问询</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10、微型空气质量传感网络监测仪、视频监控和黑烟车抓拍系统运维资金绩效目标表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1.对微型空气质量传感网络监测仪、视频监控和黑烟车抓拍系统进行运维</w:t>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运维数量</w:t>
            </w:r>
          </w:p>
        </w:tc>
        <w:tc>
          <w:tcPr>
            <w:tcW w:w="2835" w:type="dxa"/>
            <w:vAlign w:val="center"/>
          </w:tcPr>
          <w:p>
            <w:pPr>
              <w:pStyle w:val="28"/>
            </w:pPr>
            <w:r>
              <w:t>运维数量</w:t>
            </w:r>
          </w:p>
        </w:tc>
        <w:tc>
          <w:tcPr>
            <w:tcW w:w="2551" w:type="dxa"/>
            <w:vAlign w:val="center"/>
          </w:tcPr>
          <w:p>
            <w:pPr>
              <w:pStyle w:val="28"/>
            </w:pPr>
            <w:r>
              <w:t>213套</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运维服务合格率</w:t>
            </w:r>
          </w:p>
        </w:tc>
        <w:tc>
          <w:tcPr>
            <w:tcW w:w="2835" w:type="dxa"/>
            <w:vAlign w:val="center"/>
          </w:tcPr>
          <w:p>
            <w:pPr>
              <w:pStyle w:val="28"/>
            </w:pPr>
            <w:r>
              <w:t>运维服务合格率</w:t>
            </w:r>
          </w:p>
        </w:tc>
        <w:tc>
          <w:tcPr>
            <w:tcW w:w="2551" w:type="dxa"/>
            <w:vAlign w:val="center"/>
          </w:tcPr>
          <w:p>
            <w:pPr>
              <w:pStyle w:val="28"/>
            </w:pPr>
            <w:r>
              <w:t>100%</w:t>
            </w:r>
          </w:p>
        </w:tc>
        <w:tc>
          <w:tcPr>
            <w:tcW w:w="2268" w:type="dxa"/>
            <w:vAlign w:val="center"/>
          </w:tcPr>
          <w:p>
            <w:pPr>
              <w:pStyle w:val="28"/>
            </w:pPr>
            <w:r>
              <w:t>运维记录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运维服务完成及时率</w:t>
            </w:r>
          </w:p>
        </w:tc>
        <w:tc>
          <w:tcPr>
            <w:tcW w:w="2835" w:type="dxa"/>
            <w:vAlign w:val="center"/>
          </w:tcPr>
          <w:p>
            <w:pPr>
              <w:pStyle w:val="28"/>
            </w:pPr>
            <w:r>
              <w:t>运维服务完成及时率</w:t>
            </w:r>
          </w:p>
        </w:tc>
        <w:tc>
          <w:tcPr>
            <w:tcW w:w="2551" w:type="dxa"/>
            <w:vAlign w:val="center"/>
          </w:tcPr>
          <w:p>
            <w:pPr>
              <w:pStyle w:val="28"/>
            </w:pPr>
            <w:r>
              <w:t>100%</w:t>
            </w:r>
          </w:p>
        </w:tc>
        <w:tc>
          <w:tcPr>
            <w:tcW w:w="2268" w:type="dxa"/>
            <w:vAlign w:val="center"/>
          </w:tcPr>
          <w:p>
            <w:pPr>
              <w:pStyle w:val="28"/>
            </w:pPr>
            <w:r>
              <w:t>运维记录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对运维服务满意度</w:t>
            </w:r>
          </w:p>
        </w:tc>
        <w:tc>
          <w:tcPr>
            <w:tcW w:w="2835" w:type="dxa"/>
            <w:vAlign w:val="center"/>
          </w:tcPr>
          <w:p>
            <w:pPr>
              <w:pStyle w:val="28"/>
            </w:pPr>
            <w:r>
              <w:t>对运维服务满意度</w:t>
            </w:r>
          </w:p>
        </w:tc>
        <w:tc>
          <w:tcPr>
            <w:tcW w:w="2551" w:type="dxa"/>
            <w:vAlign w:val="center"/>
          </w:tcPr>
          <w:p>
            <w:pPr>
              <w:pStyle w:val="28"/>
            </w:pPr>
            <w:r>
              <w:t>≥95%</w:t>
            </w:r>
          </w:p>
        </w:tc>
        <w:tc>
          <w:tcPr>
            <w:tcW w:w="2268" w:type="dxa"/>
            <w:vAlign w:val="center"/>
          </w:tcPr>
          <w:p>
            <w:pPr>
              <w:pStyle w:val="28"/>
            </w:pPr>
            <w:r>
              <w:t>口头询问</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11、藁城区秋冬PM10、PM2.5专项治理绩效目标表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1.对藁城区秋冬季PM10、PM2.5专项治理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治理点位数量</w:t>
            </w:r>
          </w:p>
        </w:tc>
        <w:tc>
          <w:tcPr>
            <w:tcW w:w="2835" w:type="dxa"/>
            <w:vAlign w:val="center"/>
          </w:tcPr>
          <w:p>
            <w:pPr>
              <w:pStyle w:val="28"/>
            </w:pPr>
            <w:r>
              <w:t>治理点位数量</w:t>
            </w:r>
          </w:p>
        </w:tc>
        <w:tc>
          <w:tcPr>
            <w:tcW w:w="2551" w:type="dxa"/>
            <w:vAlign w:val="center"/>
          </w:tcPr>
          <w:p>
            <w:pPr>
              <w:pStyle w:val="28"/>
            </w:pPr>
            <w:r>
              <w:t>1个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治理工作完成率</w:t>
            </w:r>
          </w:p>
        </w:tc>
        <w:tc>
          <w:tcPr>
            <w:tcW w:w="2835" w:type="dxa"/>
            <w:vAlign w:val="center"/>
          </w:tcPr>
          <w:p>
            <w:pPr>
              <w:pStyle w:val="28"/>
            </w:pPr>
            <w:r>
              <w:t>治理工作完成率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治理任务完成及时率</w:t>
            </w:r>
          </w:p>
        </w:tc>
        <w:tc>
          <w:tcPr>
            <w:tcW w:w="2835" w:type="dxa"/>
            <w:vAlign w:val="center"/>
          </w:tcPr>
          <w:p>
            <w:pPr>
              <w:pStyle w:val="28"/>
            </w:pPr>
            <w:r>
              <w:t>治理任务完成及时率</w:t>
            </w:r>
          </w:p>
        </w:tc>
        <w:tc>
          <w:tcPr>
            <w:tcW w:w="2551" w:type="dxa"/>
            <w:vAlign w:val="center"/>
          </w:tcPr>
          <w:p>
            <w:pPr>
              <w:pStyle w:val="28"/>
            </w:pPr>
            <w:r>
              <w:t>100%</w:t>
            </w:r>
          </w:p>
        </w:tc>
        <w:tc>
          <w:tcPr>
            <w:tcW w:w="2268" w:type="dxa"/>
            <w:vAlign w:val="center"/>
          </w:tcPr>
          <w:p>
            <w:pPr>
              <w:pStyle w:val="28"/>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控制在预算内</w:t>
            </w:r>
          </w:p>
        </w:tc>
        <w:tc>
          <w:tcPr>
            <w:tcW w:w="2835" w:type="dxa"/>
            <w:vAlign w:val="center"/>
          </w:tcPr>
          <w:p>
            <w:pPr>
              <w:pStyle w:val="28"/>
            </w:pPr>
            <w:r>
              <w:t>控制在预算内</w:t>
            </w:r>
          </w:p>
        </w:tc>
        <w:tc>
          <w:tcPr>
            <w:tcW w:w="2551" w:type="dxa"/>
            <w:vAlign w:val="center"/>
          </w:tcPr>
          <w:p>
            <w:pPr>
              <w:pStyle w:val="28"/>
            </w:pPr>
            <w:r>
              <w:t>控制在预算内</w:t>
            </w:r>
          </w:p>
        </w:tc>
        <w:tc>
          <w:tcPr>
            <w:tcW w:w="2268"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项目持续发挥作用期限</w:t>
            </w:r>
          </w:p>
        </w:tc>
        <w:tc>
          <w:tcPr>
            <w:tcW w:w="2835" w:type="dxa"/>
            <w:vAlign w:val="center"/>
          </w:tcPr>
          <w:p>
            <w:pPr>
              <w:pStyle w:val="28"/>
            </w:pPr>
            <w:r>
              <w:t>项目持续发挥作用期限</w:t>
            </w:r>
          </w:p>
        </w:tc>
        <w:tc>
          <w:tcPr>
            <w:tcW w:w="2551" w:type="dxa"/>
            <w:vAlign w:val="center"/>
          </w:tcPr>
          <w:p>
            <w:pPr>
              <w:pStyle w:val="28"/>
            </w:pPr>
            <w:r>
              <w:t>1年</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w:t>
            </w:r>
          </w:p>
        </w:tc>
        <w:tc>
          <w:tcPr>
            <w:tcW w:w="2268" w:type="dxa"/>
            <w:vAlign w:val="center"/>
          </w:tcPr>
          <w:p>
            <w:pPr>
              <w:pStyle w:val="28"/>
            </w:pPr>
            <w:r>
              <w:t>口头询问</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3" w:name="_Toc_3_3_0000000015"/>
      <w:r>
        <w:rPr>
          <w:rFonts w:ascii="黑体" w:hAnsi="黑体" w:eastAsia="黑体" w:cs="黑体"/>
          <w:color w:val="000000"/>
          <w:sz w:val="32"/>
        </w:rPr>
        <w:t>六、政府采购预算情况</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2022年，石家庄市生态环境局藁城区分局安排政府采购预算279.92万元。具体内容见下表。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279.92</w:t>
            </w:r>
          </w:p>
        </w:tc>
        <w:tc>
          <w:tcPr>
            <w:tcW w:w="964" w:type="dxa"/>
            <w:vAlign w:val="center"/>
          </w:tcPr>
          <w:p>
            <w:pPr>
              <w:pStyle w:val="17"/>
            </w:pPr>
            <w:r>
              <w:t>279.92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石家庄市生态环境局藁城区分局本级小计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279.92</w:t>
            </w:r>
          </w:p>
        </w:tc>
        <w:tc>
          <w:tcPr>
            <w:tcW w:w="964" w:type="dxa"/>
            <w:vAlign w:val="center"/>
          </w:tcPr>
          <w:p>
            <w:pPr>
              <w:pStyle w:val="17"/>
            </w:pPr>
            <w:r>
              <w:t>279.92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辅勤人员制服</w:t>
            </w:r>
          </w:p>
        </w:tc>
        <w:tc>
          <w:tcPr>
            <w:tcW w:w="964" w:type="dxa"/>
            <w:vAlign w:val="center"/>
          </w:tcPr>
          <w:p>
            <w:pPr>
              <w:pStyle w:val="13"/>
            </w:pPr>
            <w:r>
              <w:t>22.50</w:t>
            </w:r>
          </w:p>
        </w:tc>
        <w:tc>
          <w:tcPr>
            <w:tcW w:w="1134" w:type="dxa"/>
            <w:vAlign w:val="center"/>
          </w:tcPr>
          <w:p>
            <w:pPr>
              <w:pStyle w:val="14"/>
            </w:pPr>
            <w:r>
              <w:t>制服</w:t>
            </w:r>
          </w:p>
        </w:tc>
        <w:tc>
          <w:tcPr>
            <w:tcW w:w="1134" w:type="dxa"/>
            <w:vAlign w:val="center"/>
          </w:tcPr>
          <w:p>
            <w:pPr>
              <w:pStyle w:val="14"/>
            </w:pPr>
            <w:r>
              <w:t>A07030101</w:t>
            </w:r>
          </w:p>
        </w:tc>
        <w:tc>
          <w:tcPr>
            <w:tcW w:w="709" w:type="dxa"/>
            <w:vAlign w:val="center"/>
          </w:tcPr>
          <w:p>
            <w:pPr>
              <w:pStyle w:val="15"/>
            </w:pPr>
            <w:r>
              <w:t>万元</w:t>
            </w:r>
          </w:p>
        </w:tc>
        <w:tc>
          <w:tcPr>
            <w:tcW w:w="850" w:type="dxa"/>
            <w:vAlign w:val="center"/>
          </w:tcPr>
          <w:p>
            <w:pPr>
              <w:pStyle w:val="13"/>
            </w:pPr>
            <w:r>
              <w:t>150</w:t>
            </w:r>
          </w:p>
        </w:tc>
        <w:tc>
          <w:tcPr>
            <w:tcW w:w="850" w:type="dxa"/>
            <w:vAlign w:val="center"/>
          </w:tcPr>
          <w:p>
            <w:pPr>
              <w:pStyle w:val="13"/>
            </w:pPr>
            <w:r>
              <w:t>0.15</w:t>
            </w:r>
          </w:p>
        </w:tc>
        <w:tc>
          <w:tcPr>
            <w:tcW w:w="964" w:type="dxa"/>
            <w:vAlign w:val="center"/>
          </w:tcPr>
          <w:p>
            <w:pPr>
              <w:pStyle w:val="13"/>
            </w:pPr>
            <w:r>
              <w:t>22.50</w:t>
            </w:r>
          </w:p>
        </w:tc>
        <w:tc>
          <w:tcPr>
            <w:tcW w:w="964" w:type="dxa"/>
            <w:vAlign w:val="center"/>
          </w:tcPr>
          <w:p>
            <w:pPr>
              <w:pStyle w:val="13"/>
            </w:pPr>
            <w:r>
              <w:t>22.50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关于在国控点实验学校东侧居民小区安装油烟集中收集治理设施所需资金的申请</w:t>
            </w:r>
          </w:p>
        </w:tc>
        <w:tc>
          <w:tcPr>
            <w:tcW w:w="964" w:type="dxa"/>
            <w:vAlign w:val="center"/>
          </w:tcPr>
          <w:p>
            <w:pPr>
              <w:pStyle w:val="13"/>
            </w:pPr>
            <w:r>
              <w:t>195.60</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195.60</w:t>
            </w:r>
          </w:p>
        </w:tc>
        <w:tc>
          <w:tcPr>
            <w:tcW w:w="964" w:type="dxa"/>
            <w:vAlign w:val="center"/>
          </w:tcPr>
          <w:p>
            <w:pPr>
              <w:pStyle w:val="13"/>
            </w:pPr>
            <w:r>
              <w:t>195.60</w:t>
            </w:r>
          </w:p>
        </w:tc>
        <w:tc>
          <w:tcPr>
            <w:tcW w:w="964" w:type="dxa"/>
            <w:vAlign w:val="center"/>
          </w:tcPr>
          <w:p>
            <w:pPr>
              <w:pStyle w:val="13"/>
            </w:pPr>
            <w:r>
              <w:t>195.60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藁城区秋冬PM10、PM2.5专项治理</w:t>
            </w:r>
          </w:p>
        </w:tc>
        <w:tc>
          <w:tcPr>
            <w:tcW w:w="964" w:type="dxa"/>
            <w:vAlign w:val="center"/>
          </w:tcPr>
          <w:p>
            <w:pPr>
              <w:pStyle w:val="13"/>
            </w:pPr>
            <w:r>
              <w:t>61.82</w:t>
            </w:r>
          </w:p>
        </w:tc>
        <w:tc>
          <w:tcPr>
            <w:tcW w:w="1134" w:type="dxa"/>
            <w:vAlign w:val="center"/>
          </w:tcPr>
          <w:p>
            <w:pPr>
              <w:pStyle w:val="14"/>
            </w:pPr>
            <w:r>
              <w:t>大气污染治理服务</w:t>
            </w:r>
          </w:p>
        </w:tc>
        <w:tc>
          <w:tcPr>
            <w:tcW w:w="1134" w:type="dxa"/>
            <w:vAlign w:val="center"/>
          </w:tcPr>
          <w:p>
            <w:pPr>
              <w:pStyle w:val="14"/>
            </w:pPr>
            <w:r>
              <w:t>C160301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61.82</w:t>
            </w:r>
          </w:p>
        </w:tc>
        <w:tc>
          <w:tcPr>
            <w:tcW w:w="964" w:type="dxa"/>
            <w:vAlign w:val="center"/>
          </w:tcPr>
          <w:p>
            <w:pPr>
              <w:pStyle w:val="13"/>
            </w:pPr>
            <w:r>
              <w:t>61.82</w:t>
            </w:r>
          </w:p>
        </w:tc>
        <w:tc>
          <w:tcPr>
            <w:tcW w:w="964" w:type="dxa"/>
            <w:vAlign w:val="center"/>
          </w:tcPr>
          <w:p>
            <w:pPr>
              <w:pStyle w:val="13"/>
            </w:pPr>
            <w:r>
              <w:t>61.82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61.82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6"/>
      <w:r>
        <w:rPr>
          <w:rFonts w:ascii="黑体" w:hAnsi="黑体" w:eastAsia="黑体" w:cs="黑体"/>
          <w:color w:val="000000"/>
          <w:sz w:val="32"/>
        </w:rPr>
        <w:t>七、国有资产信息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7"/>
      <w:r>
        <w:rPr>
          <w:rFonts w:ascii="黑体" w:hAnsi="黑体" w:eastAsia="黑体" w:cs="黑体"/>
          <w:color w:val="000000"/>
          <w:sz w:val="32"/>
        </w:rPr>
        <w:t>八、名词解释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6" w:name="_Toc_3_3_0000000018"/>
      <w:r>
        <w:rPr>
          <w:rFonts w:ascii="黑体" w:hAnsi="黑体" w:eastAsia="黑体" w:cs="黑体"/>
          <w:color w:val="000000"/>
          <w:sz w:val="32"/>
        </w:rPr>
        <w:t>九、其他需要说明的事项</w:t>
      </w:r>
      <w:bookmarkEnd w:id="16"/>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2173"/>
        </w:tabs>
        <w:bidi w:val="0"/>
        <w:jc w:val="left"/>
      </w:pPr>
      <w:r>
        <w:rPr>
          <w:rFonts w:hint="eastAsia" w:eastAsia="宋体"/>
          <w:lang w:val="en-US" w:eastAsia="zh-CN"/>
        </w:rPr>
        <w:tab/>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01397F1D"/>
    <w:rsid w:val="01F176F8"/>
    <w:rsid w:val="065564A8"/>
    <w:rsid w:val="0A4F0D5E"/>
    <w:rsid w:val="0B9F01C5"/>
    <w:rsid w:val="13B74E14"/>
    <w:rsid w:val="14923346"/>
    <w:rsid w:val="16FB031D"/>
    <w:rsid w:val="17572C3A"/>
    <w:rsid w:val="182C0602"/>
    <w:rsid w:val="1C56667E"/>
    <w:rsid w:val="1CD20E59"/>
    <w:rsid w:val="1F135C75"/>
    <w:rsid w:val="23BD72B5"/>
    <w:rsid w:val="23E40A13"/>
    <w:rsid w:val="256C3B32"/>
    <w:rsid w:val="264638D2"/>
    <w:rsid w:val="2F4D1B62"/>
    <w:rsid w:val="302E6FA4"/>
    <w:rsid w:val="3308106F"/>
    <w:rsid w:val="351F7AFD"/>
    <w:rsid w:val="39250BE4"/>
    <w:rsid w:val="40491675"/>
    <w:rsid w:val="44ED3784"/>
    <w:rsid w:val="47372A84"/>
    <w:rsid w:val="51182FCD"/>
    <w:rsid w:val="5B61411C"/>
    <w:rsid w:val="5F5425A3"/>
    <w:rsid w:val="60B83D5E"/>
    <w:rsid w:val="60EA6962"/>
    <w:rsid w:val="6B327A3A"/>
    <w:rsid w:val="6CCB7647"/>
    <w:rsid w:val="6F835E70"/>
    <w:rsid w:val="6FF42456"/>
    <w:rsid w:val="6FFB104D"/>
    <w:rsid w:val="727CE58F"/>
    <w:rsid w:val="73824714"/>
    <w:rsid w:val="75EB4894"/>
    <w:rsid w:val="77A80CB1"/>
    <w:rsid w:val="79B7167F"/>
    <w:rsid w:val="7BF73FB5"/>
    <w:rsid w:val="7DBF3EDB"/>
    <w:rsid w:val="7EE10F4C"/>
    <w:rsid w:val="7FBFBA07"/>
    <w:rsid w:val="BBFFA9CC"/>
    <w:rsid w:val="DBBCC976"/>
    <w:rsid w:val="DBEBA82B"/>
    <w:rsid w:val="DDFF8DD7"/>
    <w:rsid w:val="FBEE3E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bb88267-62c0-42de-85a1-eec0f6607b60"/>
    <w:qFormat/>
    <w:uiPriority w:val="0"/>
    <w:rPr>
      <w:rFonts w:ascii="Times New Roman" w:hAnsi="Times New Roman" w:eastAsia="Times New Roman" w:cstheme="minorBidi"/>
      <w:sz w:val="24"/>
      <w:szCs w:val="24"/>
      <w:lang w:val="en-US" w:eastAsia="uk-UA" w:bidi="ar-SA"/>
    </w:rPr>
  </w:style>
  <w:style w:type="paragraph" w:customStyle="1" w:styleId="27">
    <w:name w:val="单元格样式1_4cfe2795-c511-4613-9c5b-c12ec1e674b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9cf3a8f8-ae4f-454e-b109-cc20dad104a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0f7c2230-cfa6-49eb-9fe9-725f39e8156f"/>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2022-02-16T01:43:00Z</dcterms:created>
  <dc:creator>12</dc:creator>
  <cp:lastModifiedBy>uos</cp:lastModifiedBy>
  <dcterms:modified xsi:type="dcterms:W3CDTF">2023-09-15T10:42:10Z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8DC03DE7D3494594B1BEB6B07581CD55</vt:lpwstr>
  </property>
</Properties>
</file>