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bookmarkEnd w:id="0"/>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1" w:name="_Toc_4_4_0000000019"/>
      <w:r>
        <w:rPr>
          <w:rFonts w:ascii="方正小标宋_GBK" w:hAnsi="方正小标宋_GBK" w:eastAsia="方正小标宋_GBK" w:cs="方正小标宋_GBK"/>
          <w:b w:val="0"/>
          <w:color w:val="000000"/>
          <w:sz w:val="44"/>
        </w:rPr>
        <w:t>一、石家庄市生态环境局藁城区分局本级收支预算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1239.54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2069.06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1239.54</w:t>
            </w:r>
          </w:p>
        </w:tc>
        <w:tc>
          <w:tcPr>
            <w:tcW w:w="4535" w:type="dxa"/>
            <w:vAlign w:val="center"/>
          </w:tcPr>
          <w:p>
            <w:pPr>
              <w:pStyle w:val="16"/>
            </w:pPr>
            <w:r>
              <w:t>本年支出合计</w:t>
            </w:r>
          </w:p>
        </w:tc>
        <w:tc>
          <w:tcPr>
            <w:tcW w:w="2126" w:type="dxa"/>
            <w:vAlign w:val="center"/>
          </w:tcPr>
          <w:p>
            <w:pPr>
              <w:pStyle w:val="17"/>
            </w:pPr>
            <w:r>
              <w:t>2069.06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829.52</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2069.06</w:t>
            </w:r>
          </w:p>
        </w:tc>
        <w:tc>
          <w:tcPr>
            <w:tcW w:w="4535" w:type="dxa"/>
            <w:vAlign w:val="center"/>
          </w:tcPr>
          <w:p>
            <w:pPr>
              <w:pStyle w:val="16"/>
            </w:pPr>
            <w:r>
              <w:t>支出总计</w:t>
            </w:r>
          </w:p>
        </w:tc>
        <w:tc>
          <w:tcPr>
            <w:tcW w:w="2126" w:type="dxa"/>
            <w:vAlign w:val="center"/>
          </w:tcPr>
          <w:p>
            <w:pPr>
              <w:pStyle w:val="17"/>
            </w:pPr>
            <w:r>
              <w:t>2069.06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2069.06</w:t>
            </w:r>
          </w:p>
        </w:tc>
        <w:tc>
          <w:tcPr>
            <w:tcW w:w="1134" w:type="dxa"/>
            <w:vAlign w:val="center"/>
          </w:tcPr>
          <w:p>
            <w:pPr>
              <w:pStyle w:val="17"/>
            </w:pPr>
            <w:r>
              <w:t>1239.54</w:t>
            </w:r>
          </w:p>
        </w:tc>
        <w:tc>
          <w:tcPr>
            <w:tcW w:w="1134" w:type="dxa"/>
            <w:vAlign w:val="center"/>
          </w:tcPr>
          <w:p>
            <w:pPr>
              <w:pStyle w:val="17"/>
            </w:pPr>
            <w:r>
              <w:t>1239.54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2069.06</w:t>
            </w:r>
          </w:p>
        </w:tc>
        <w:tc>
          <w:tcPr>
            <w:tcW w:w="1134" w:type="dxa"/>
            <w:vAlign w:val="center"/>
          </w:tcPr>
          <w:p>
            <w:pPr>
              <w:pStyle w:val="13"/>
            </w:pPr>
            <w:r>
              <w:t>1239.54</w:t>
            </w:r>
          </w:p>
        </w:tc>
        <w:tc>
          <w:tcPr>
            <w:tcW w:w="1134" w:type="dxa"/>
            <w:vAlign w:val="center"/>
          </w:tcPr>
          <w:p>
            <w:pPr>
              <w:pStyle w:val="13"/>
            </w:pPr>
            <w:r>
              <w:t>1239.54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21101</w:t>
            </w:r>
          </w:p>
        </w:tc>
        <w:tc>
          <w:tcPr>
            <w:tcW w:w="1559" w:type="dxa"/>
            <w:vAlign w:val="center"/>
          </w:tcPr>
          <w:p>
            <w:pPr>
              <w:pStyle w:val="14"/>
            </w:pPr>
            <w:r>
              <w:t>环境保护管理事务</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2110101</w:t>
            </w:r>
          </w:p>
        </w:tc>
        <w:tc>
          <w:tcPr>
            <w:tcW w:w="1559" w:type="dxa"/>
            <w:vAlign w:val="center"/>
          </w:tcPr>
          <w:p>
            <w:pPr>
              <w:pStyle w:val="14"/>
            </w:pPr>
            <w:r>
              <w:t>行政运行</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21102</w:t>
            </w:r>
          </w:p>
        </w:tc>
        <w:tc>
          <w:tcPr>
            <w:tcW w:w="1559" w:type="dxa"/>
            <w:vAlign w:val="center"/>
          </w:tcPr>
          <w:p>
            <w:pPr>
              <w:pStyle w:val="14"/>
            </w:pPr>
            <w:r>
              <w:t>环境监测与监察</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2110299</w:t>
            </w:r>
          </w:p>
        </w:tc>
        <w:tc>
          <w:tcPr>
            <w:tcW w:w="1559" w:type="dxa"/>
            <w:vAlign w:val="center"/>
          </w:tcPr>
          <w:p>
            <w:pPr>
              <w:pStyle w:val="14"/>
            </w:pPr>
            <w:r>
              <w:t>其他环境监测与监察支出</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1104.92</w:t>
            </w:r>
          </w:p>
        </w:tc>
        <w:tc>
          <w:tcPr>
            <w:tcW w:w="1134" w:type="dxa"/>
            <w:vAlign w:val="center"/>
          </w:tcPr>
          <w:p>
            <w:pPr>
              <w:pStyle w:val="13"/>
            </w:pPr>
            <w:r>
              <w:t>275.40</w:t>
            </w:r>
          </w:p>
        </w:tc>
        <w:tc>
          <w:tcPr>
            <w:tcW w:w="1134" w:type="dxa"/>
            <w:vAlign w:val="center"/>
          </w:tcPr>
          <w:p>
            <w:pPr>
              <w:pStyle w:val="13"/>
            </w:pPr>
            <w:r>
              <w:t>275.40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1104.92</w:t>
            </w:r>
          </w:p>
        </w:tc>
        <w:tc>
          <w:tcPr>
            <w:tcW w:w="1134" w:type="dxa"/>
            <w:vAlign w:val="center"/>
          </w:tcPr>
          <w:p>
            <w:pPr>
              <w:pStyle w:val="13"/>
            </w:pPr>
            <w:r>
              <w:t>275.40</w:t>
            </w:r>
          </w:p>
        </w:tc>
        <w:tc>
          <w:tcPr>
            <w:tcW w:w="1134" w:type="dxa"/>
            <w:vAlign w:val="center"/>
          </w:tcPr>
          <w:p>
            <w:pPr>
              <w:pStyle w:val="13"/>
            </w:pPr>
            <w:r>
              <w:t>275.40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829.52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2069.06</w:t>
            </w:r>
          </w:p>
        </w:tc>
        <w:tc>
          <w:tcPr>
            <w:tcW w:w="1361" w:type="dxa"/>
            <w:vAlign w:val="center"/>
          </w:tcPr>
          <w:p>
            <w:pPr>
              <w:pStyle w:val="17"/>
            </w:pPr>
            <w:r>
              <w:t>394.24</w:t>
            </w:r>
          </w:p>
        </w:tc>
        <w:tc>
          <w:tcPr>
            <w:tcW w:w="1361" w:type="dxa"/>
            <w:vAlign w:val="center"/>
          </w:tcPr>
          <w:p>
            <w:pPr>
              <w:pStyle w:val="17"/>
            </w:pPr>
            <w:r>
              <w:t>1674.82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2069.06</w:t>
            </w:r>
          </w:p>
        </w:tc>
        <w:tc>
          <w:tcPr>
            <w:tcW w:w="1361" w:type="dxa"/>
            <w:vAlign w:val="center"/>
          </w:tcPr>
          <w:p>
            <w:pPr>
              <w:pStyle w:val="13"/>
            </w:pPr>
            <w:r>
              <w:t>394.24</w:t>
            </w:r>
          </w:p>
        </w:tc>
        <w:tc>
          <w:tcPr>
            <w:tcW w:w="1361" w:type="dxa"/>
            <w:vAlign w:val="center"/>
          </w:tcPr>
          <w:p>
            <w:pPr>
              <w:pStyle w:val="13"/>
            </w:pPr>
            <w:r>
              <w:t>1674.82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21101</w:t>
            </w:r>
          </w:p>
        </w:tc>
        <w:tc>
          <w:tcPr>
            <w:tcW w:w="4535" w:type="dxa"/>
            <w:vAlign w:val="center"/>
          </w:tcPr>
          <w:p>
            <w:pPr>
              <w:pStyle w:val="14"/>
            </w:pPr>
            <w:r>
              <w:t>环境保护管理事务</w:t>
            </w:r>
          </w:p>
        </w:tc>
        <w:tc>
          <w:tcPr>
            <w:tcW w:w="1361" w:type="dxa"/>
            <w:vAlign w:val="center"/>
          </w:tcPr>
          <w:p>
            <w:pPr>
              <w:pStyle w:val="13"/>
            </w:pPr>
            <w:r>
              <w:t>394.24</w:t>
            </w:r>
          </w:p>
        </w:tc>
        <w:tc>
          <w:tcPr>
            <w:tcW w:w="1361" w:type="dxa"/>
            <w:vAlign w:val="center"/>
          </w:tcPr>
          <w:p>
            <w:pPr>
              <w:pStyle w:val="13"/>
            </w:pPr>
            <w:r>
              <w:t>394.24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2110101</w:t>
            </w:r>
          </w:p>
        </w:tc>
        <w:tc>
          <w:tcPr>
            <w:tcW w:w="4535" w:type="dxa"/>
            <w:vAlign w:val="center"/>
          </w:tcPr>
          <w:p>
            <w:pPr>
              <w:pStyle w:val="14"/>
            </w:pPr>
            <w:r>
              <w:t>行政运行</w:t>
            </w:r>
          </w:p>
        </w:tc>
        <w:tc>
          <w:tcPr>
            <w:tcW w:w="1361" w:type="dxa"/>
            <w:vAlign w:val="center"/>
          </w:tcPr>
          <w:p>
            <w:pPr>
              <w:pStyle w:val="13"/>
            </w:pPr>
            <w:r>
              <w:t>394.24</w:t>
            </w:r>
          </w:p>
        </w:tc>
        <w:tc>
          <w:tcPr>
            <w:tcW w:w="1361" w:type="dxa"/>
            <w:vAlign w:val="center"/>
          </w:tcPr>
          <w:p>
            <w:pPr>
              <w:pStyle w:val="13"/>
            </w:pPr>
            <w:r>
              <w:t>394.24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21102</w:t>
            </w:r>
          </w:p>
        </w:tc>
        <w:tc>
          <w:tcPr>
            <w:tcW w:w="4535" w:type="dxa"/>
            <w:vAlign w:val="center"/>
          </w:tcPr>
          <w:p>
            <w:pPr>
              <w:pStyle w:val="14"/>
            </w:pPr>
            <w:r>
              <w:t>环境监测与监察</w:t>
            </w: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2110299</w:t>
            </w:r>
          </w:p>
        </w:tc>
        <w:tc>
          <w:tcPr>
            <w:tcW w:w="4535" w:type="dxa"/>
            <w:vAlign w:val="center"/>
          </w:tcPr>
          <w:p>
            <w:pPr>
              <w:pStyle w:val="14"/>
            </w:pPr>
            <w:r>
              <w:t>其他环境监测与监察支出</w:t>
            </w: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1239.54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2069.06</w:t>
            </w:r>
          </w:p>
        </w:tc>
        <w:tc>
          <w:tcPr>
            <w:tcW w:w="1474" w:type="dxa"/>
            <w:vAlign w:val="center"/>
          </w:tcPr>
          <w:p>
            <w:pPr>
              <w:pStyle w:val="13"/>
            </w:pPr>
            <w:r>
              <w:t>2069.06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1239.54</w:t>
            </w:r>
          </w:p>
        </w:tc>
        <w:tc>
          <w:tcPr>
            <w:tcW w:w="3402" w:type="dxa"/>
            <w:vAlign w:val="center"/>
          </w:tcPr>
          <w:p>
            <w:pPr>
              <w:pStyle w:val="16"/>
            </w:pPr>
            <w:r>
              <w:t>本年支出合计</w:t>
            </w:r>
          </w:p>
        </w:tc>
        <w:tc>
          <w:tcPr>
            <w:tcW w:w="1474" w:type="dxa"/>
            <w:vAlign w:val="center"/>
          </w:tcPr>
          <w:p>
            <w:pPr>
              <w:pStyle w:val="17"/>
            </w:pPr>
            <w:r>
              <w:t>2069.06</w:t>
            </w:r>
          </w:p>
        </w:tc>
        <w:tc>
          <w:tcPr>
            <w:tcW w:w="1474" w:type="dxa"/>
            <w:vAlign w:val="center"/>
          </w:tcPr>
          <w:p>
            <w:pPr>
              <w:pStyle w:val="17"/>
            </w:pPr>
            <w:r>
              <w:t>2069.06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829.52</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829.52</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2069.06</w:t>
            </w:r>
          </w:p>
        </w:tc>
        <w:tc>
          <w:tcPr>
            <w:tcW w:w="3402" w:type="dxa"/>
            <w:vAlign w:val="center"/>
          </w:tcPr>
          <w:p>
            <w:pPr>
              <w:pStyle w:val="16"/>
            </w:pPr>
            <w:r>
              <w:t>支出总计</w:t>
            </w:r>
          </w:p>
        </w:tc>
        <w:tc>
          <w:tcPr>
            <w:tcW w:w="1474" w:type="dxa"/>
            <w:vAlign w:val="center"/>
          </w:tcPr>
          <w:p>
            <w:pPr>
              <w:pStyle w:val="17"/>
            </w:pPr>
            <w:r>
              <w:t>2069.06</w:t>
            </w:r>
          </w:p>
        </w:tc>
        <w:tc>
          <w:tcPr>
            <w:tcW w:w="1474" w:type="dxa"/>
            <w:vAlign w:val="center"/>
          </w:tcPr>
          <w:p>
            <w:pPr>
              <w:pStyle w:val="17"/>
            </w:pPr>
            <w:r>
              <w:t>2069.06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2069.06</w:t>
            </w:r>
          </w:p>
        </w:tc>
        <w:tc>
          <w:tcPr>
            <w:tcW w:w="2551" w:type="dxa"/>
            <w:vAlign w:val="center"/>
          </w:tcPr>
          <w:p>
            <w:pPr>
              <w:pStyle w:val="17"/>
            </w:pPr>
            <w:r>
              <w:t>394.24</w:t>
            </w:r>
          </w:p>
        </w:tc>
        <w:tc>
          <w:tcPr>
            <w:tcW w:w="2551" w:type="dxa"/>
            <w:vAlign w:val="center"/>
          </w:tcPr>
          <w:p>
            <w:pPr>
              <w:pStyle w:val="17"/>
            </w:pPr>
            <w:r>
              <w:t>1674.82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2069.06</w:t>
            </w:r>
          </w:p>
        </w:tc>
        <w:tc>
          <w:tcPr>
            <w:tcW w:w="2551" w:type="dxa"/>
            <w:vAlign w:val="center"/>
          </w:tcPr>
          <w:p>
            <w:pPr>
              <w:pStyle w:val="13"/>
            </w:pPr>
            <w:r>
              <w:t>394.24</w:t>
            </w:r>
          </w:p>
        </w:tc>
        <w:tc>
          <w:tcPr>
            <w:tcW w:w="2551" w:type="dxa"/>
            <w:vAlign w:val="center"/>
          </w:tcPr>
          <w:p>
            <w:pPr>
              <w:pStyle w:val="13"/>
            </w:pPr>
            <w:r>
              <w:t>1674.82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21101</w:t>
            </w:r>
          </w:p>
        </w:tc>
        <w:tc>
          <w:tcPr>
            <w:tcW w:w="4535" w:type="dxa"/>
            <w:vAlign w:val="center"/>
          </w:tcPr>
          <w:p>
            <w:pPr>
              <w:pStyle w:val="14"/>
            </w:pPr>
            <w:r>
              <w:t>环境保护管理事务</w:t>
            </w:r>
          </w:p>
        </w:tc>
        <w:tc>
          <w:tcPr>
            <w:tcW w:w="2551" w:type="dxa"/>
            <w:vAlign w:val="center"/>
          </w:tcPr>
          <w:p>
            <w:pPr>
              <w:pStyle w:val="13"/>
            </w:pPr>
            <w:r>
              <w:t>394.24</w:t>
            </w:r>
          </w:p>
        </w:tc>
        <w:tc>
          <w:tcPr>
            <w:tcW w:w="2551" w:type="dxa"/>
            <w:vAlign w:val="center"/>
          </w:tcPr>
          <w:p>
            <w:pPr>
              <w:pStyle w:val="13"/>
            </w:pPr>
            <w:r>
              <w:t>394.24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2110101</w:t>
            </w:r>
          </w:p>
        </w:tc>
        <w:tc>
          <w:tcPr>
            <w:tcW w:w="4535" w:type="dxa"/>
            <w:vAlign w:val="center"/>
          </w:tcPr>
          <w:p>
            <w:pPr>
              <w:pStyle w:val="14"/>
            </w:pPr>
            <w:r>
              <w:t>行政运行</w:t>
            </w:r>
          </w:p>
        </w:tc>
        <w:tc>
          <w:tcPr>
            <w:tcW w:w="2551" w:type="dxa"/>
            <w:vAlign w:val="center"/>
          </w:tcPr>
          <w:p>
            <w:pPr>
              <w:pStyle w:val="13"/>
            </w:pPr>
            <w:r>
              <w:t>394.24</w:t>
            </w:r>
          </w:p>
        </w:tc>
        <w:tc>
          <w:tcPr>
            <w:tcW w:w="2551" w:type="dxa"/>
            <w:vAlign w:val="center"/>
          </w:tcPr>
          <w:p>
            <w:pPr>
              <w:pStyle w:val="13"/>
            </w:pPr>
            <w:r>
              <w:t>394.24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21102</w:t>
            </w:r>
          </w:p>
        </w:tc>
        <w:tc>
          <w:tcPr>
            <w:tcW w:w="4535" w:type="dxa"/>
            <w:vAlign w:val="center"/>
          </w:tcPr>
          <w:p>
            <w:pPr>
              <w:pStyle w:val="14"/>
            </w:pPr>
            <w:r>
              <w:t>环境监测与监察</w:t>
            </w:r>
          </w:p>
        </w:tc>
        <w:tc>
          <w:tcPr>
            <w:tcW w:w="2551" w:type="dxa"/>
            <w:vAlign w:val="center"/>
          </w:tcPr>
          <w:p>
            <w:pPr>
              <w:pStyle w:val="13"/>
            </w:pPr>
            <w:r>
              <w:t>569.90</w:t>
            </w:r>
          </w:p>
        </w:tc>
        <w:tc>
          <w:tcPr>
            <w:tcW w:w="2551" w:type="dxa"/>
            <w:vAlign w:val="center"/>
          </w:tcPr>
          <w:p>
            <w:pPr>
              <w:pStyle w:val="13"/>
            </w:pPr>
          </w:p>
        </w:tc>
        <w:tc>
          <w:tcPr>
            <w:tcW w:w="2551" w:type="dxa"/>
            <w:vAlign w:val="center"/>
          </w:tcPr>
          <w:p>
            <w:pPr>
              <w:pStyle w:val="13"/>
            </w:pPr>
            <w:r>
              <w:t>569.90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2110299</w:t>
            </w:r>
          </w:p>
        </w:tc>
        <w:tc>
          <w:tcPr>
            <w:tcW w:w="4535" w:type="dxa"/>
            <w:vAlign w:val="center"/>
          </w:tcPr>
          <w:p>
            <w:pPr>
              <w:pStyle w:val="14"/>
            </w:pPr>
            <w:r>
              <w:t>其他环境监测与监察支出</w:t>
            </w:r>
          </w:p>
        </w:tc>
        <w:tc>
          <w:tcPr>
            <w:tcW w:w="2551" w:type="dxa"/>
            <w:vAlign w:val="center"/>
          </w:tcPr>
          <w:p>
            <w:pPr>
              <w:pStyle w:val="13"/>
            </w:pPr>
            <w:r>
              <w:t>569.90</w:t>
            </w:r>
          </w:p>
        </w:tc>
        <w:tc>
          <w:tcPr>
            <w:tcW w:w="2551" w:type="dxa"/>
            <w:vAlign w:val="center"/>
          </w:tcPr>
          <w:p>
            <w:pPr>
              <w:pStyle w:val="13"/>
            </w:pPr>
          </w:p>
        </w:tc>
        <w:tc>
          <w:tcPr>
            <w:tcW w:w="2551" w:type="dxa"/>
            <w:vAlign w:val="center"/>
          </w:tcPr>
          <w:p>
            <w:pPr>
              <w:pStyle w:val="13"/>
            </w:pPr>
            <w:r>
              <w:t>569.90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1104.92</w:t>
            </w:r>
          </w:p>
        </w:tc>
        <w:tc>
          <w:tcPr>
            <w:tcW w:w="2551" w:type="dxa"/>
            <w:vAlign w:val="center"/>
          </w:tcPr>
          <w:p>
            <w:pPr>
              <w:pStyle w:val="13"/>
            </w:pPr>
          </w:p>
        </w:tc>
        <w:tc>
          <w:tcPr>
            <w:tcW w:w="2551" w:type="dxa"/>
            <w:vAlign w:val="center"/>
          </w:tcPr>
          <w:p>
            <w:pPr>
              <w:pStyle w:val="13"/>
            </w:pPr>
            <w:r>
              <w:t>1104.92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1104.92</w:t>
            </w:r>
          </w:p>
        </w:tc>
        <w:tc>
          <w:tcPr>
            <w:tcW w:w="2551" w:type="dxa"/>
            <w:vAlign w:val="center"/>
          </w:tcPr>
          <w:p>
            <w:pPr>
              <w:pStyle w:val="13"/>
            </w:pPr>
          </w:p>
        </w:tc>
        <w:tc>
          <w:tcPr>
            <w:tcW w:w="2551" w:type="dxa"/>
            <w:vAlign w:val="center"/>
          </w:tcPr>
          <w:p>
            <w:pPr>
              <w:pStyle w:val="13"/>
            </w:pPr>
            <w:r>
              <w:t>1104.92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394.24</w:t>
            </w:r>
          </w:p>
        </w:tc>
        <w:tc>
          <w:tcPr>
            <w:tcW w:w="2551" w:type="dxa"/>
            <w:vAlign w:val="center"/>
          </w:tcPr>
          <w:p>
            <w:pPr>
              <w:pStyle w:val="17"/>
            </w:pPr>
            <w:r>
              <w:t>394.24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258.15</w:t>
            </w:r>
          </w:p>
        </w:tc>
        <w:tc>
          <w:tcPr>
            <w:tcW w:w="2551" w:type="dxa"/>
            <w:vAlign w:val="center"/>
          </w:tcPr>
          <w:p>
            <w:pPr>
              <w:pStyle w:val="13"/>
            </w:pPr>
            <w:r>
              <w:t>258.15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69.50</w:t>
            </w:r>
          </w:p>
        </w:tc>
        <w:tc>
          <w:tcPr>
            <w:tcW w:w="2551" w:type="dxa"/>
            <w:vAlign w:val="center"/>
          </w:tcPr>
          <w:p>
            <w:pPr>
              <w:pStyle w:val="13"/>
            </w:pPr>
            <w:r>
              <w:t>69.50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127.86</w:t>
            </w:r>
          </w:p>
        </w:tc>
        <w:tc>
          <w:tcPr>
            <w:tcW w:w="2551" w:type="dxa"/>
            <w:vAlign w:val="center"/>
          </w:tcPr>
          <w:p>
            <w:pPr>
              <w:pStyle w:val="13"/>
            </w:pPr>
            <w:r>
              <w:t>127.86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34.74</w:t>
            </w:r>
          </w:p>
        </w:tc>
        <w:tc>
          <w:tcPr>
            <w:tcW w:w="2551" w:type="dxa"/>
            <w:vAlign w:val="center"/>
          </w:tcPr>
          <w:p>
            <w:pPr>
              <w:pStyle w:val="13"/>
            </w:pPr>
            <w:r>
              <w:t>34.74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26.05</w:t>
            </w:r>
          </w:p>
        </w:tc>
        <w:tc>
          <w:tcPr>
            <w:tcW w:w="2551" w:type="dxa"/>
            <w:vAlign w:val="center"/>
          </w:tcPr>
          <w:p>
            <w:pPr>
              <w:pStyle w:val="13"/>
            </w:pPr>
            <w:r>
              <w:t>26.05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136.09</w:t>
            </w:r>
          </w:p>
        </w:tc>
        <w:tc>
          <w:tcPr>
            <w:tcW w:w="2551" w:type="dxa"/>
            <w:vAlign w:val="center"/>
          </w:tcPr>
          <w:p>
            <w:pPr>
              <w:pStyle w:val="13"/>
            </w:pPr>
            <w:r>
              <w:t>136.09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136.09</w:t>
            </w:r>
          </w:p>
        </w:tc>
        <w:tc>
          <w:tcPr>
            <w:tcW w:w="2551" w:type="dxa"/>
            <w:vAlign w:val="center"/>
          </w:tcPr>
          <w:p>
            <w:pPr>
              <w:pStyle w:val="13"/>
            </w:pPr>
            <w:r>
              <w:t>136.09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石家庄市生态环境局藁城区分局本级2023年单位预算信息公开情况说明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按照《预算法》、《地方预决算公开操作规程》和《关于进一步推进预算公开工作的实施意见》规定，现将石家庄市生态环境局藁城区分局本级2023年单位预算公开如下：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认真贯彻执行国家、省环境保护的方针、政策、法律，明确职责分工，提升环保</w:t>
      </w:r>
      <w:r>
        <w:rPr>
          <w:rFonts w:hint="eastAsia"/>
          <w:lang w:eastAsia="zh-CN"/>
        </w:rPr>
        <w:t>单位</w:t>
      </w:r>
      <w:r>
        <w:t>的履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承担法律、法规、规章和规范性文件规定的其他职责，以及上级环保</w:t>
      </w:r>
      <w:r>
        <w:rPr>
          <w:rFonts w:hint="eastAsia"/>
          <w:lang w:eastAsia="zh-CN"/>
        </w:rPr>
        <w:t>单位</w:t>
      </w:r>
      <w:r>
        <w:t>、本局委托和交办的其他工作任务。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石家庄市生态环境局藁城区分局本级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反映本单位当年全部收入。2023年预算收入2069.06万元，其中：一般公共预算收入2069.06万元，基金预算收入0万元，财政专户核拨收入0万元，其他来源收入0万元。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本单位预算中支出预算的总体情况。2023年单位支出预算为2069.06万元，其中基本支出394.24万元，包括人员经费394.24万元和日常公用经费0万元；项目支出1674.82万元，主要为大气污染防治资金支出1104.92万元，环境监测与监察支出569.9万元；其他支出0万元。</w:t>
      </w:r>
    </w:p>
    <w:p>
      <w:pPr>
        <w:pStyle w:val="28"/>
      </w:pPr>
      <w:r>
        <w:t>3、比上年增减情况</w:t>
      </w:r>
    </w:p>
    <w:p>
      <w:pPr>
        <w:pStyle w:val="28"/>
      </w:pPr>
      <w:r>
        <w:t>2023年单位预算收支安排2069.06万元，较2022年增加335.47万元，其中：基本支出增加212.24万元，主要是人员增加，相应增加人员经费；项目支出增加123.23万元，主要是增加大气污染防治资金；其他支出无增减变化。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2023年，我单位机关运行经费共计安排0万元。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ind w:firstLine="562" w:firstLineChars="200"/>
        <w:jc w:val="left"/>
        <w:outlineLvl w:val="5"/>
      </w:pPr>
      <w:r>
        <w:rPr>
          <w:rFonts w:ascii="方正仿宋_GBK" w:hAnsi="方正仿宋_GBK" w:eastAsia="方正仿宋_GBK" w:cs="方正仿宋_GBK"/>
          <w:b/>
          <w:color w:val="000000"/>
          <w:sz w:val="28"/>
        </w:rPr>
        <w:t>1、辅勤人员体检费绩效目标表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1.通过给辅勤人员体检，保障了人员身体健康。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辅勤人员数量</w:t>
            </w:r>
          </w:p>
        </w:tc>
        <w:tc>
          <w:tcPr>
            <w:tcW w:w="2835" w:type="dxa"/>
            <w:vAlign w:val="center"/>
          </w:tcPr>
          <w:p>
            <w:pPr>
              <w:pStyle w:val="14"/>
            </w:pPr>
            <w:r>
              <w:t>辅勤人员数量</w:t>
            </w:r>
          </w:p>
        </w:tc>
        <w:tc>
          <w:tcPr>
            <w:tcW w:w="2551" w:type="dxa"/>
            <w:vAlign w:val="center"/>
          </w:tcPr>
          <w:p>
            <w:pPr>
              <w:pStyle w:val="14"/>
            </w:pPr>
            <w:r>
              <w:t>150人</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辅勤人员体检完成率</w:t>
            </w:r>
          </w:p>
        </w:tc>
        <w:tc>
          <w:tcPr>
            <w:tcW w:w="2835" w:type="dxa"/>
            <w:vAlign w:val="center"/>
          </w:tcPr>
          <w:p>
            <w:pPr>
              <w:pStyle w:val="14"/>
            </w:pPr>
            <w:r>
              <w:t>辅勤人员体检完成率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体检及时率</w:t>
            </w:r>
          </w:p>
        </w:tc>
        <w:tc>
          <w:tcPr>
            <w:tcW w:w="2835" w:type="dxa"/>
            <w:vAlign w:val="center"/>
          </w:tcPr>
          <w:p>
            <w:pPr>
              <w:pStyle w:val="14"/>
            </w:pPr>
            <w:r>
              <w:t>体检及时率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≤9.9万元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加强辅勤人员身体健康意识</w:t>
            </w:r>
          </w:p>
        </w:tc>
        <w:tc>
          <w:tcPr>
            <w:tcW w:w="2835" w:type="dxa"/>
            <w:vAlign w:val="center"/>
          </w:tcPr>
          <w:p>
            <w:pPr>
              <w:pStyle w:val="14"/>
            </w:pPr>
            <w:r>
              <w:t>加强辅勤人员身体健康意识</w:t>
            </w:r>
          </w:p>
        </w:tc>
        <w:tc>
          <w:tcPr>
            <w:tcW w:w="2551" w:type="dxa"/>
            <w:vAlign w:val="center"/>
          </w:tcPr>
          <w:p>
            <w:pPr>
              <w:pStyle w:val="14"/>
            </w:pPr>
            <w:r>
              <w:t>较上年提升</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辅勤人员满意度</w:t>
            </w:r>
          </w:p>
        </w:tc>
        <w:tc>
          <w:tcPr>
            <w:tcW w:w="2835" w:type="dxa"/>
            <w:vAlign w:val="center"/>
          </w:tcPr>
          <w:p>
            <w:pPr>
              <w:pStyle w:val="14"/>
            </w:pPr>
            <w:r>
              <w:t>辅勤人员满意度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2、环境执法经费绩效目标表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1.通过对国省控空气质量自动监测点位、污染源自动监控平台和空气网格化的电力供应及三个点位的维护，保障工作正常进行。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维护点位数量</w:t>
            </w:r>
          </w:p>
        </w:tc>
        <w:tc>
          <w:tcPr>
            <w:tcW w:w="2835" w:type="dxa"/>
            <w:vAlign w:val="center"/>
          </w:tcPr>
          <w:p>
            <w:pPr>
              <w:pStyle w:val="14"/>
            </w:pPr>
            <w:r>
              <w:t>维护点位数量</w:t>
            </w:r>
          </w:p>
        </w:tc>
        <w:tc>
          <w:tcPr>
            <w:tcW w:w="2551" w:type="dxa"/>
            <w:vAlign w:val="center"/>
          </w:tcPr>
          <w:p>
            <w:pPr>
              <w:pStyle w:val="14"/>
            </w:pPr>
            <w:r>
              <w:t>3个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资金发放准确率</w:t>
            </w:r>
          </w:p>
        </w:tc>
        <w:tc>
          <w:tcPr>
            <w:tcW w:w="2835" w:type="dxa"/>
            <w:vAlign w:val="center"/>
          </w:tcPr>
          <w:p>
            <w:pPr>
              <w:pStyle w:val="14"/>
            </w:pPr>
            <w:r>
              <w:t>资金发放准确率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控制预算数</w:t>
            </w:r>
          </w:p>
        </w:tc>
        <w:tc>
          <w:tcPr>
            <w:tcW w:w="2835" w:type="dxa"/>
            <w:vAlign w:val="center"/>
          </w:tcPr>
          <w:p>
            <w:pPr>
              <w:pStyle w:val="14"/>
            </w:pPr>
            <w:r>
              <w:t>不超控制预算数</w:t>
            </w:r>
          </w:p>
        </w:tc>
        <w:tc>
          <w:tcPr>
            <w:tcW w:w="2551" w:type="dxa"/>
            <w:vAlign w:val="center"/>
          </w:tcPr>
          <w:p>
            <w:pPr>
              <w:pStyle w:val="14"/>
            </w:pPr>
            <w:r>
              <w:t>≤65万元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改善环境质量有力支撑</w:t>
            </w:r>
          </w:p>
        </w:tc>
        <w:tc>
          <w:tcPr>
            <w:tcW w:w="2835" w:type="dxa"/>
            <w:vAlign w:val="center"/>
          </w:tcPr>
          <w:p>
            <w:pPr>
              <w:pStyle w:val="14"/>
            </w:pPr>
            <w:r>
              <w:t>改善环境质量有力支撑</w:t>
            </w:r>
          </w:p>
        </w:tc>
        <w:tc>
          <w:tcPr>
            <w:tcW w:w="2551" w:type="dxa"/>
            <w:vAlign w:val="center"/>
          </w:tcPr>
          <w:p>
            <w:pPr>
              <w:pStyle w:val="14"/>
            </w:pPr>
            <w:r>
              <w:t>较上年提升</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服务收益对象满意度</w:t>
            </w:r>
          </w:p>
        </w:tc>
        <w:tc>
          <w:tcPr>
            <w:tcW w:w="2835" w:type="dxa"/>
            <w:vAlign w:val="center"/>
          </w:tcPr>
          <w:p>
            <w:pPr>
              <w:pStyle w:val="14"/>
            </w:pPr>
            <w:r>
              <w:t>服务收益对象满意度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3、劳务派遣人员工资绩效目标表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1.通过发放劳务派遣人员工资保障工作正常，坚守在不同的工作岗位。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劳务派遣人员数量</w:t>
            </w:r>
          </w:p>
        </w:tc>
        <w:tc>
          <w:tcPr>
            <w:tcW w:w="2835" w:type="dxa"/>
            <w:vAlign w:val="center"/>
          </w:tcPr>
          <w:p>
            <w:pPr>
              <w:pStyle w:val="14"/>
            </w:pPr>
            <w:r>
              <w:t>劳务派遣人员数量</w:t>
            </w:r>
          </w:p>
        </w:tc>
        <w:tc>
          <w:tcPr>
            <w:tcW w:w="2551" w:type="dxa"/>
            <w:vAlign w:val="center"/>
          </w:tcPr>
          <w:p>
            <w:pPr>
              <w:pStyle w:val="14"/>
            </w:pPr>
            <w:r>
              <w:t>≤112人</w:t>
            </w:r>
          </w:p>
        </w:tc>
        <w:tc>
          <w:tcPr>
            <w:tcW w:w="2268"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资金落实率</w:t>
            </w:r>
          </w:p>
        </w:tc>
        <w:tc>
          <w:tcPr>
            <w:tcW w:w="2835" w:type="dxa"/>
            <w:vAlign w:val="center"/>
          </w:tcPr>
          <w:p>
            <w:pPr>
              <w:pStyle w:val="14"/>
            </w:pPr>
            <w:r>
              <w:t>资金落实率</w:t>
            </w:r>
          </w:p>
        </w:tc>
        <w:tc>
          <w:tcPr>
            <w:tcW w:w="2551" w:type="dxa"/>
            <w:vAlign w:val="center"/>
          </w:tcPr>
          <w:p>
            <w:pPr>
              <w:pStyle w:val="14"/>
            </w:pPr>
            <w:r>
              <w:t>100%</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拨付工资及时率</w:t>
            </w:r>
          </w:p>
        </w:tc>
        <w:tc>
          <w:tcPr>
            <w:tcW w:w="2835" w:type="dxa"/>
            <w:vAlign w:val="center"/>
          </w:tcPr>
          <w:p>
            <w:pPr>
              <w:pStyle w:val="14"/>
            </w:pPr>
            <w:r>
              <w:t>拨付工资及时率</w:t>
            </w:r>
          </w:p>
        </w:tc>
        <w:tc>
          <w:tcPr>
            <w:tcW w:w="2551" w:type="dxa"/>
            <w:vAlign w:val="center"/>
          </w:tcPr>
          <w:p>
            <w:pPr>
              <w:pStyle w:val="14"/>
            </w:pPr>
            <w:r>
              <w:t>100%</w:t>
            </w:r>
          </w:p>
        </w:tc>
        <w:tc>
          <w:tcPr>
            <w:tcW w:w="2268" w:type="dxa"/>
            <w:vAlign w:val="center"/>
          </w:tcPr>
          <w:p>
            <w:pPr>
              <w:pStyle w:val="14"/>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≤495万元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落实劳务派遣人员工资</w:t>
            </w:r>
          </w:p>
        </w:tc>
        <w:tc>
          <w:tcPr>
            <w:tcW w:w="2835" w:type="dxa"/>
            <w:vAlign w:val="center"/>
          </w:tcPr>
          <w:p>
            <w:pPr>
              <w:pStyle w:val="14"/>
            </w:pPr>
            <w:r>
              <w:t>促进人员工资积极性</w:t>
            </w:r>
          </w:p>
        </w:tc>
        <w:tc>
          <w:tcPr>
            <w:tcW w:w="2551" w:type="dxa"/>
            <w:vAlign w:val="center"/>
          </w:tcPr>
          <w:p>
            <w:pPr>
              <w:pStyle w:val="14"/>
            </w:pPr>
            <w:r>
              <w:t>有效促进</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劳务派遣人员对工资发放的满意度</w:t>
            </w:r>
          </w:p>
        </w:tc>
        <w:tc>
          <w:tcPr>
            <w:tcW w:w="2835" w:type="dxa"/>
            <w:vAlign w:val="center"/>
          </w:tcPr>
          <w:p>
            <w:pPr>
              <w:pStyle w:val="14"/>
            </w:pPr>
            <w:r>
              <w:t>劳务派遣人员对工资发放的满意度</w:t>
            </w:r>
          </w:p>
        </w:tc>
        <w:tc>
          <w:tcPr>
            <w:tcW w:w="2551" w:type="dxa"/>
            <w:vAlign w:val="center"/>
          </w:tcPr>
          <w:p>
            <w:pPr>
              <w:pStyle w:val="14"/>
            </w:pPr>
            <w:r>
              <w:t>≥98%</w:t>
            </w:r>
          </w:p>
        </w:tc>
        <w:tc>
          <w:tcPr>
            <w:tcW w:w="2268" w:type="dxa"/>
            <w:vAlign w:val="center"/>
          </w:tcPr>
          <w:p>
            <w:pPr>
              <w:pStyle w:val="14"/>
            </w:pPr>
            <w:r>
              <w:t>口头询问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4、石财建[2022]23号下达大气污染防治项目资金（道路积尘负荷走航与扬尘管控咨询服务）绩效目标表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1.用于道路积尘走航及扬尘管控咨询服务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走航报告数量</w:t>
            </w:r>
          </w:p>
        </w:tc>
        <w:tc>
          <w:tcPr>
            <w:tcW w:w="2835" w:type="dxa"/>
            <w:vAlign w:val="center"/>
          </w:tcPr>
          <w:p>
            <w:pPr>
              <w:pStyle w:val="14"/>
            </w:pPr>
            <w:r>
              <w:t>走航报告数量</w:t>
            </w:r>
          </w:p>
        </w:tc>
        <w:tc>
          <w:tcPr>
            <w:tcW w:w="2551" w:type="dxa"/>
            <w:vAlign w:val="center"/>
          </w:tcPr>
          <w:p>
            <w:pPr>
              <w:pStyle w:val="14"/>
            </w:pPr>
            <w:r>
              <w:t>36份</w:t>
            </w:r>
          </w:p>
        </w:tc>
        <w:tc>
          <w:tcPr>
            <w:tcW w:w="2268" w:type="dxa"/>
            <w:vAlign w:val="center"/>
          </w:tcPr>
          <w:p>
            <w:pPr>
              <w:pStyle w:val="14"/>
            </w:pPr>
            <w:r>
              <w:t>36次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专家审核通过率</w:t>
            </w:r>
          </w:p>
        </w:tc>
        <w:tc>
          <w:tcPr>
            <w:tcW w:w="2835" w:type="dxa"/>
            <w:vAlign w:val="center"/>
          </w:tcPr>
          <w:p>
            <w:pPr>
              <w:pStyle w:val="14"/>
            </w:pPr>
            <w:r>
              <w:t>专家审核通过率</w:t>
            </w:r>
          </w:p>
        </w:tc>
        <w:tc>
          <w:tcPr>
            <w:tcW w:w="2551" w:type="dxa"/>
            <w:vAlign w:val="center"/>
          </w:tcPr>
          <w:p>
            <w:pPr>
              <w:pStyle w:val="14"/>
            </w:pPr>
            <w:r>
              <w:t>100%</w:t>
            </w:r>
          </w:p>
        </w:tc>
        <w:tc>
          <w:tcPr>
            <w:tcW w:w="2268" w:type="dxa"/>
            <w:vAlign w:val="center"/>
          </w:tcPr>
          <w:p>
            <w:pPr>
              <w:pStyle w:val="14"/>
            </w:pPr>
            <w: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服务的完成率</w:t>
            </w:r>
          </w:p>
        </w:tc>
        <w:tc>
          <w:tcPr>
            <w:tcW w:w="2835" w:type="dxa"/>
            <w:vAlign w:val="center"/>
          </w:tcPr>
          <w:p>
            <w:pPr>
              <w:pStyle w:val="14"/>
            </w:pPr>
            <w:r>
              <w:t>服务的完成率</w:t>
            </w:r>
          </w:p>
        </w:tc>
        <w:tc>
          <w:tcPr>
            <w:tcW w:w="2551" w:type="dxa"/>
            <w:vAlign w:val="center"/>
          </w:tcPr>
          <w:p>
            <w:pPr>
              <w:pStyle w:val="14"/>
            </w:pPr>
            <w:r>
              <w:t>100%</w:t>
            </w:r>
          </w:p>
        </w:tc>
        <w:tc>
          <w:tcPr>
            <w:tcW w:w="2268" w:type="dxa"/>
            <w:vAlign w:val="center"/>
          </w:tcPr>
          <w:p>
            <w:pPr>
              <w:pStyle w:val="14"/>
            </w:pPr>
            <w: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2835" w:type="dxa"/>
            <w:vAlign w:val="center"/>
          </w:tcPr>
          <w:p>
            <w:pPr>
              <w:pStyle w:val="14"/>
            </w:pPr>
            <w:r>
              <w:t>控制在预算成本内</w:t>
            </w:r>
          </w:p>
        </w:tc>
        <w:tc>
          <w:tcPr>
            <w:tcW w:w="2551" w:type="dxa"/>
            <w:vAlign w:val="center"/>
          </w:tcPr>
          <w:p>
            <w:pPr>
              <w:pStyle w:val="14"/>
            </w:pPr>
            <w:r>
              <w:t>控制在预算成本内</w:t>
            </w:r>
          </w:p>
        </w:tc>
        <w:tc>
          <w:tcPr>
            <w:tcW w:w="2268"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美化生活环境</w:t>
            </w:r>
          </w:p>
        </w:tc>
        <w:tc>
          <w:tcPr>
            <w:tcW w:w="2835" w:type="dxa"/>
            <w:vAlign w:val="center"/>
          </w:tcPr>
          <w:p>
            <w:pPr>
              <w:pStyle w:val="14"/>
            </w:pPr>
            <w:r>
              <w:t>美化生活环境</w:t>
            </w:r>
          </w:p>
        </w:tc>
        <w:tc>
          <w:tcPr>
            <w:tcW w:w="2551" w:type="dxa"/>
            <w:vAlign w:val="center"/>
          </w:tcPr>
          <w:p>
            <w:pPr>
              <w:pStyle w:val="14"/>
            </w:pPr>
            <w:r>
              <w:t>美化</w:t>
            </w:r>
          </w:p>
        </w:tc>
        <w:tc>
          <w:tcPr>
            <w:tcW w:w="2268" w:type="dxa"/>
            <w:vAlign w:val="center"/>
          </w:tcPr>
          <w:p>
            <w:pPr>
              <w:pStyle w:val="14"/>
            </w:pPr>
            <w:r>
              <w:t>对人们生活环境改善贡献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提报成果并通过专家验收</w:t>
            </w:r>
          </w:p>
        </w:tc>
        <w:tc>
          <w:tcPr>
            <w:tcW w:w="2835" w:type="dxa"/>
            <w:vAlign w:val="center"/>
          </w:tcPr>
          <w:p>
            <w:pPr>
              <w:pStyle w:val="14"/>
            </w:pPr>
            <w:r>
              <w:t>提报成果并通过专家验收</w:t>
            </w:r>
          </w:p>
        </w:tc>
        <w:tc>
          <w:tcPr>
            <w:tcW w:w="2551" w:type="dxa"/>
            <w:vAlign w:val="center"/>
          </w:tcPr>
          <w:p>
            <w:pPr>
              <w:pStyle w:val="14"/>
            </w:pPr>
            <w:r>
              <w:t>通过</w:t>
            </w:r>
          </w:p>
        </w:tc>
        <w:tc>
          <w:tcPr>
            <w:tcW w:w="2268" w:type="dxa"/>
            <w:vAlign w:val="center"/>
          </w:tcPr>
          <w:p>
            <w:pPr>
              <w:pStyle w:val="14"/>
            </w:pPr>
            <w:r>
              <w:t>通过专家验收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5、石财建[2022]23号下达大气污染防治项目资金（道路扬尘治理）绩效目标表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1."主要用于冬奥会、冬残奥会核心区域道路扬尘治理，减少扬尘污染，持续改善环境空气质量。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核心区域使用次数</w:t>
            </w:r>
          </w:p>
        </w:tc>
        <w:tc>
          <w:tcPr>
            <w:tcW w:w="2835" w:type="dxa"/>
            <w:vAlign w:val="center"/>
          </w:tcPr>
          <w:p>
            <w:pPr>
              <w:pStyle w:val="14"/>
            </w:pPr>
            <w:r>
              <w:t>核心区域使用次数</w:t>
            </w:r>
          </w:p>
        </w:tc>
        <w:tc>
          <w:tcPr>
            <w:tcW w:w="2551" w:type="dxa"/>
            <w:vAlign w:val="center"/>
          </w:tcPr>
          <w:p>
            <w:pPr>
              <w:pStyle w:val="14"/>
            </w:pPr>
            <w:r>
              <w:t>3次</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提供技术支持完成率</w:t>
            </w:r>
          </w:p>
        </w:tc>
        <w:tc>
          <w:tcPr>
            <w:tcW w:w="2835" w:type="dxa"/>
            <w:vAlign w:val="center"/>
          </w:tcPr>
          <w:p>
            <w:pPr>
              <w:pStyle w:val="14"/>
            </w:pPr>
            <w:r>
              <w:t>提供技术支持完成率</w:t>
            </w:r>
          </w:p>
        </w:tc>
        <w:tc>
          <w:tcPr>
            <w:tcW w:w="2551" w:type="dxa"/>
            <w:vAlign w:val="center"/>
          </w:tcPr>
          <w:p>
            <w:pPr>
              <w:pStyle w:val="14"/>
            </w:pPr>
            <w:r>
              <w:t>100%</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接到作业通知后到达作业现场时间</w:t>
            </w:r>
          </w:p>
        </w:tc>
        <w:tc>
          <w:tcPr>
            <w:tcW w:w="2835" w:type="dxa"/>
            <w:vAlign w:val="center"/>
          </w:tcPr>
          <w:p>
            <w:pPr>
              <w:pStyle w:val="14"/>
            </w:pPr>
            <w:r>
              <w:t>接到作业通知后到达作业现场时间</w:t>
            </w:r>
          </w:p>
        </w:tc>
        <w:tc>
          <w:tcPr>
            <w:tcW w:w="2551" w:type="dxa"/>
            <w:vAlign w:val="center"/>
          </w:tcPr>
          <w:p>
            <w:pPr>
              <w:pStyle w:val="14"/>
            </w:pPr>
            <w:r>
              <w:t>1天</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2835" w:type="dxa"/>
            <w:vAlign w:val="center"/>
          </w:tcPr>
          <w:p>
            <w:pPr>
              <w:pStyle w:val="14"/>
            </w:pPr>
            <w:r>
              <w:t>控制在预算成本内</w:t>
            </w:r>
          </w:p>
        </w:tc>
        <w:tc>
          <w:tcPr>
            <w:tcW w:w="2551" w:type="dxa"/>
            <w:vAlign w:val="center"/>
          </w:tcPr>
          <w:p>
            <w:pPr>
              <w:pStyle w:val="14"/>
            </w:pPr>
            <w:r>
              <w:t>≤48万元</w:t>
            </w:r>
          </w:p>
        </w:tc>
        <w:tc>
          <w:tcPr>
            <w:tcW w:w="2268"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改善空气质量</w:t>
            </w:r>
          </w:p>
        </w:tc>
        <w:tc>
          <w:tcPr>
            <w:tcW w:w="2835" w:type="dxa"/>
            <w:vAlign w:val="center"/>
          </w:tcPr>
          <w:p>
            <w:pPr>
              <w:pStyle w:val="14"/>
            </w:pPr>
            <w:r>
              <w:t>空气质量提升</w:t>
            </w:r>
          </w:p>
        </w:tc>
        <w:tc>
          <w:tcPr>
            <w:tcW w:w="2551" w:type="dxa"/>
            <w:vAlign w:val="center"/>
          </w:tcPr>
          <w:p>
            <w:pPr>
              <w:pStyle w:val="14"/>
            </w:pPr>
            <w:r>
              <w:t>提升</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w:t>
            </w:r>
            <w:r>
              <w:rPr>
                <w:rFonts w:hint="eastAsia"/>
                <w:lang w:eastAsia="zh-CN"/>
              </w:rPr>
              <w:t>单位</w:t>
            </w:r>
            <w:r>
              <w:t>满意度</w:t>
            </w:r>
          </w:p>
        </w:tc>
        <w:tc>
          <w:tcPr>
            <w:tcW w:w="2835" w:type="dxa"/>
            <w:vAlign w:val="center"/>
          </w:tcPr>
          <w:p>
            <w:pPr>
              <w:pStyle w:val="14"/>
            </w:pPr>
            <w:r>
              <w:rPr>
                <w:rFonts w:hint="eastAsia"/>
                <w:lang w:eastAsia="zh-CN"/>
              </w:rPr>
              <w:t>单位</w:t>
            </w:r>
            <w:r>
              <w:t>满意度提升</w:t>
            </w:r>
          </w:p>
        </w:tc>
        <w:tc>
          <w:tcPr>
            <w:tcW w:w="2551" w:type="dxa"/>
            <w:vAlign w:val="center"/>
          </w:tcPr>
          <w:p>
            <w:pPr>
              <w:pStyle w:val="14"/>
            </w:pPr>
            <w:r>
              <w:t>满意</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6、石财建[2022]23号下达大气污染防治项目资金（第三方工业管家企业诊断帮扶服务）绩效目标表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1.通过开展企业帮扶服务促使工业企业污染物排放总量较2021年下降20%</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企业绿色诊断份数</w:t>
            </w:r>
          </w:p>
        </w:tc>
        <w:tc>
          <w:tcPr>
            <w:tcW w:w="2835" w:type="dxa"/>
            <w:vAlign w:val="center"/>
          </w:tcPr>
          <w:p>
            <w:pPr>
              <w:pStyle w:val="14"/>
            </w:pPr>
            <w:r>
              <w:t>企业绿色诊断份数</w:t>
            </w:r>
          </w:p>
        </w:tc>
        <w:tc>
          <w:tcPr>
            <w:tcW w:w="2551" w:type="dxa"/>
            <w:vAlign w:val="center"/>
          </w:tcPr>
          <w:p>
            <w:pPr>
              <w:pStyle w:val="14"/>
            </w:pPr>
            <w:r>
              <w:t>17家</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重点企业排放总量日报的准确率</w:t>
            </w:r>
          </w:p>
        </w:tc>
        <w:tc>
          <w:tcPr>
            <w:tcW w:w="2835" w:type="dxa"/>
            <w:vAlign w:val="center"/>
          </w:tcPr>
          <w:p>
            <w:pPr>
              <w:pStyle w:val="14"/>
            </w:pPr>
            <w:r>
              <w:t>重点企业排放总量日报的准确率</w:t>
            </w:r>
          </w:p>
        </w:tc>
        <w:tc>
          <w:tcPr>
            <w:tcW w:w="2551" w:type="dxa"/>
            <w:vAlign w:val="center"/>
          </w:tcPr>
          <w:p>
            <w:pPr>
              <w:pStyle w:val="14"/>
            </w:pPr>
            <w:r>
              <w:t>≥90%</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污染排放异常问题处理及时性</w:t>
            </w:r>
          </w:p>
        </w:tc>
        <w:tc>
          <w:tcPr>
            <w:tcW w:w="2835" w:type="dxa"/>
            <w:vAlign w:val="center"/>
          </w:tcPr>
          <w:p>
            <w:pPr>
              <w:pStyle w:val="14"/>
            </w:pPr>
            <w:r>
              <w:t>污染排放异常问题处理及时性</w:t>
            </w:r>
          </w:p>
        </w:tc>
        <w:tc>
          <w:tcPr>
            <w:tcW w:w="2551" w:type="dxa"/>
            <w:vAlign w:val="center"/>
          </w:tcPr>
          <w:p>
            <w:pPr>
              <w:pStyle w:val="14"/>
            </w:pPr>
            <w:r>
              <w:t>≤2小时</w:t>
            </w:r>
          </w:p>
        </w:tc>
        <w:tc>
          <w:tcPr>
            <w:tcW w:w="2268" w:type="dxa"/>
            <w:vAlign w:val="center"/>
          </w:tcPr>
          <w:p>
            <w:pPr>
              <w:pStyle w:val="14"/>
            </w:pPr>
            <w:r>
              <w:t>石家庄市第三方“工业管家”企业诊断帮扶服务项目方案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2835" w:type="dxa"/>
            <w:vAlign w:val="center"/>
          </w:tcPr>
          <w:p>
            <w:pPr>
              <w:pStyle w:val="14"/>
            </w:pPr>
            <w:r>
              <w:t>控制在预算内</w:t>
            </w:r>
          </w:p>
        </w:tc>
        <w:tc>
          <w:tcPr>
            <w:tcW w:w="2551" w:type="dxa"/>
            <w:vAlign w:val="center"/>
          </w:tcPr>
          <w:p>
            <w:pPr>
              <w:pStyle w:val="14"/>
            </w:pPr>
            <w:r>
              <w:t>≤23万元</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工业企业污染物排放量下降率</w:t>
            </w:r>
          </w:p>
        </w:tc>
        <w:tc>
          <w:tcPr>
            <w:tcW w:w="2835" w:type="dxa"/>
            <w:vAlign w:val="center"/>
          </w:tcPr>
          <w:p>
            <w:pPr>
              <w:pStyle w:val="14"/>
            </w:pPr>
            <w:r>
              <w:t>工业企业污染物排放量下降率</w:t>
            </w:r>
          </w:p>
        </w:tc>
        <w:tc>
          <w:tcPr>
            <w:tcW w:w="2551" w:type="dxa"/>
            <w:vAlign w:val="center"/>
          </w:tcPr>
          <w:p>
            <w:pPr>
              <w:pStyle w:val="14"/>
            </w:pPr>
            <w:r>
              <w:t>≥20%</w:t>
            </w:r>
          </w:p>
        </w:tc>
        <w:tc>
          <w:tcPr>
            <w:tcW w:w="2268" w:type="dxa"/>
            <w:vAlign w:val="center"/>
          </w:tcPr>
          <w:p>
            <w:pPr>
              <w:pStyle w:val="14"/>
            </w:pPr>
            <w:r>
              <w:t>石家庄市第三方“工业管家”企业诊断帮扶服务项目方案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甲方对服务的满意度</w:t>
            </w:r>
          </w:p>
        </w:tc>
        <w:tc>
          <w:tcPr>
            <w:tcW w:w="2835" w:type="dxa"/>
            <w:vAlign w:val="center"/>
          </w:tcPr>
          <w:p>
            <w:pPr>
              <w:pStyle w:val="14"/>
            </w:pPr>
            <w:r>
              <w:t>甲方对服务的满意度</w:t>
            </w:r>
          </w:p>
        </w:tc>
        <w:tc>
          <w:tcPr>
            <w:tcW w:w="2551" w:type="dxa"/>
            <w:vAlign w:val="center"/>
          </w:tcPr>
          <w:p>
            <w:pPr>
              <w:pStyle w:val="14"/>
            </w:pPr>
            <w:r>
              <w:t>≥90%</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7、石财建[2022]23号下达大气污染防治项目资金（涉气重点源企业在线监测数据远程质控仪）绩效目标表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1.通过工业污染排放在线数据监管体系，锁定关键企业，为高绩效改善石家庄市空气质量提供基础支撑，助理石家庄实现“十四五”大气污染防治工作目标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安装烟气在线监测远程质控设备</w:t>
            </w:r>
          </w:p>
        </w:tc>
        <w:tc>
          <w:tcPr>
            <w:tcW w:w="2835" w:type="dxa"/>
            <w:vAlign w:val="center"/>
          </w:tcPr>
          <w:p>
            <w:pPr>
              <w:pStyle w:val="14"/>
            </w:pPr>
            <w:r>
              <w:t>反映安装数量</w:t>
            </w:r>
          </w:p>
        </w:tc>
        <w:tc>
          <w:tcPr>
            <w:tcW w:w="2551" w:type="dxa"/>
            <w:vAlign w:val="center"/>
          </w:tcPr>
          <w:p>
            <w:pPr>
              <w:pStyle w:val="14"/>
            </w:pPr>
            <w:r>
              <w:t>6套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建设站点验收合格率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项目在2022年建设完成率达到</w:t>
            </w:r>
          </w:p>
        </w:tc>
        <w:tc>
          <w:tcPr>
            <w:tcW w:w="2835" w:type="dxa"/>
            <w:vAlign w:val="center"/>
          </w:tcPr>
          <w:p>
            <w:pPr>
              <w:pStyle w:val="14"/>
            </w:pPr>
            <w:r>
              <w:t>项目在2022年建设完成率达到</w:t>
            </w:r>
          </w:p>
        </w:tc>
        <w:tc>
          <w:tcPr>
            <w:tcW w:w="2551" w:type="dxa"/>
            <w:vAlign w:val="center"/>
          </w:tcPr>
          <w:p>
            <w:pPr>
              <w:pStyle w:val="14"/>
            </w:pPr>
            <w:r>
              <w:t>100%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项目建设实际支出成本</w:t>
            </w:r>
          </w:p>
        </w:tc>
        <w:tc>
          <w:tcPr>
            <w:tcW w:w="2835" w:type="dxa"/>
            <w:vAlign w:val="center"/>
          </w:tcPr>
          <w:p>
            <w:pPr>
              <w:pStyle w:val="14"/>
            </w:pPr>
            <w:r>
              <w:t>实际支出成本</w:t>
            </w:r>
          </w:p>
        </w:tc>
        <w:tc>
          <w:tcPr>
            <w:tcW w:w="2551" w:type="dxa"/>
            <w:vAlign w:val="center"/>
          </w:tcPr>
          <w:p>
            <w:pPr>
              <w:pStyle w:val="14"/>
            </w:pPr>
            <w:r>
              <w:t>≤246万元</w:t>
            </w:r>
          </w:p>
        </w:tc>
        <w:tc>
          <w:tcPr>
            <w:tcW w:w="2268" w:type="dxa"/>
            <w:vAlign w:val="center"/>
          </w:tcPr>
          <w:p>
            <w:pPr>
              <w:pStyle w:val="14"/>
            </w:pPr>
            <w:r>
              <w:t>招标价格或合同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规范污染源企业的在线监测系统和治理设施的运行和管理</w:t>
            </w:r>
          </w:p>
        </w:tc>
        <w:tc>
          <w:tcPr>
            <w:tcW w:w="2835" w:type="dxa"/>
            <w:vAlign w:val="center"/>
          </w:tcPr>
          <w:p>
            <w:pPr>
              <w:pStyle w:val="14"/>
            </w:pPr>
            <w:r>
              <w:t>规范污染源企业的在线监测系统和治理设施的运行和管理</w:t>
            </w:r>
          </w:p>
        </w:tc>
        <w:tc>
          <w:tcPr>
            <w:tcW w:w="2551" w:type="dxa"/>
            <w:vAlign w:val="center"/>
          </w:tcPr>
          <w:p>
            <w:pPr>
              <w:pStyle w:val="14"/>
            </w:pPr>
            <w:r>
              <w:t>促进企业绿色发展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经验标准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8、石财建[2022]23号下达大气污染防治项目资金（石家庄市重点污染源精准监控服务）绩效目标表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要用于针对藁城区内交通道路区域和涉及火电、钢铁、石化、化工等行业的重点企业安装智能监管设备，建立重点排放精准网格监控网络。主要包括路边排放监控站、高精度组合站等固定监测设备和大气监测走航服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石家庄市藁城区内安装固定智能监测设备</w:t>
            </w:r>
          </w:p>
        </w:tc>
        <w:tc>
          <w:tcPr>
            <w:tcW w:w="2835" w:type="dxa"/>
            <w:vAlign w:val="center"/>
          </w:tcPr>
          <w:p>
            <w:pPr>
              <w:pStyle w:val="14"/>
            </w:pPr>
            <w:r>
              <w:t>围绕石家庄市藁城区交通道路等区域周边安装固定监测设备数量</w:t>
            </w:r>
          </w:p>
        </w:tc>
        <w:tc>
          <w:tcPr>
            <w:tcW w:w="2551" w:type="dxa"/>
            <w:vAlign w:val="center"/>
          </w:tcPr>
          <w:p>
            <w:pPr>
              <w:pStyle w:val="14"/>
            </w:pPr>
            <w:r>
              <w:t>≥33套</w:t>
            </w:r>
          </w:p>
        </w:tc>
        <w:tc>
          <w:tcPr>
            <w:tcW w:w="2268" w:type="dxa"/>
            <w:vAlign w:val="center"/>
          </w:tcPr>
          <w:p>
            <w:pPr>
              <w:pStyle w:val="14"/>
            </w:pPr>
            <w:r>
              <w:t>完成安装的套数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2835" w:type="dxa"/>
            <w:vAlign w:val="center"/>
          </w:tcPr>
          <w:p>
            <w:pPr>
              <w:pStyle w:val="14"/>
            </w:pPr>
            <w:r>
              <w:t>设备验收合格率</w:t>
            </w:r>
          </w:p>
        </w:tc>
        <w:tc>
          <w:tcPr>
            <w:tcW w:w="2551" w:type="dxa"/>
            <w:vAlign w:val="center"/>
          </w:tcPr>
          <w:p>
            <w:pPr>
              <w:pStyle w:val="14"/>
            </w:pPr>
            <w:r>
              <w:t>100%</w:t>
            </w:r>
          </w:p>
        </w:tc>
        <w:tc>
          <w:tcPr>
            <w:tcW w:w="2268" w:type="dxa"/>
            <w:vAlign w:val="center"/>
          </w:tcPr>
          <w:p>
            <w:pPr>
              <w:pStyle w:val="14"/>
            </w:pPr>
            <w:r>
              <w:t>完成设备正常运行指标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合同签订后，固定监测设备尽快投入运行。</w:t>
            </w:r>
          </w:p>
        </w:tc>
        <w:tc>
          <w:tcPr>
            <w:tcW w:w="2835" w:type="dxa"/>
            <w:vAlign w:val="center"/>
          </w:tcPr>
          <w:p>
            <w:pPr>
              <w:pStyle w:val="14"/>
            </w:pPr>
            <w:r>
              <w:t>按时完成固定监测设备建设并运行</w:t>
            </w:r>
          </w:p>
        </w:tc>
        <w:tc>
          <w:tcPr>
            <w:tcW w:w="2551" w:type="dxa"/>
            <w:vAlign w:val="center"/>
          </w:tcPr>
          <w:p>
            <w:pPr>
              <w:pStyle w:val="14"/>
            </w:pPr>
            <w:r>
              <w:t>2022年11月30日</w:t>
            </w:r>
          </w:p>
        </w:tc>
        <w:tc>
          <w:tcPr>
            <w:tcW w:w="2268" w:type="dxa"/>
            <w:vAlign w:val="center"/>
          </w:tcPr>
          <w:p>
            <w:pPr>
              <w:pStyle w:val="14"/>
            </w:pPr>
            <w:r>
              <w:t>完成固定监测设备建设并运行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实际支出在经费预算内</w:t>
            </w:r>
          </w:p>
        </w:tc>
        <w:tc>
          <w:tcPr>
            <w:tcW w:w="2835" w:type="dxa"/>
            <w:vAlign w:val="center"/>
          </w:tcPr>
          <w:p>
            <w:pPr>
              <w:pStyle w:val="14"/>
            </w:pPr>
            <w:r>
              <w:t>实际支出在经费预算内</w:t>
            </w:r>
          </w:p>
        </w:tc>
        <w:tc>
          <w:tcPr>
            <w:tcW w:w="2551" w:type="dxa"/>
            <w:vAlign w:val="center"/>
          </w:tcPr>
          <w:p>
            <w:pPr>
              <w:pStyle w:val="14"/>
            </w:pPr>
            <w:r>
              <w:t>≤366.3万</w:t>
            </w:r>
          </w:p>
        </w:tc>
        <w:tc>
          <w:tcPr>
            <w:tcW w:w="2268" w:type="dxa"/>
            <w:vAlign w:val="center"/>
          </w:tcPr>
          <w:p>
            <w:pPr>
              <w:pStyle w:val="14"/>
            </w:pPr>
            <w:r>
              <w:t>采购预算执行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提供区域环境空气质量</w:t>
            </w:r>
          </w:p>
        </w:tc>
        <w:tc>
          <w:tcPr>
            <w:tcW w:w="2835" w:type="dxa"/>
            <w:vAlign w:val="center"/>
          </w:tcPr>
          <w:p>
            <w:pPr>
              <w:pStyle w:val="14"/>
            </w:pPr>
            <w:r>
              <w:t>提供区域环境空气质量</w:t>
            </w:r>
          </w:p>
        </w:tc>
        <w:tc>
          <w:tcPr>
            <w:tcW w:w="2551" w:type="dxa"/>
            <w:vAlign w:val="center"/>
          </w:tcPr>
          <w:p>
            <w:pPr>
              <w:pStyle w:val="14"/>
            </w:pPr>
            <w:r>
              <w:t>提升</w:t>
            </w:r>
          </w:p>
        </w:tc>
        <w:tc>
          <w:tcPr>
            <w:tcW w:w="2268" w:type="dxa"/>
            <w:vAlign w:val="center"/>
          </w:tcPr>
          <w:p>
            <w:pPr>
              <w:pStyle w:val="14"/>
            </w:pPr>
            <w:r>
              <w:t>区域大气环境改善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区域市民满意度</w:t>
            </w:r>
          </w:p>
        </w:tc>
        <w:tc>
          <w:tcPr>
            <w:tcW w:w="2835" w:type="dxa"/>
            <w:vAlign w:val="center"/>
          </w:tcPr>
          <w:p>
            <w:pPr>
              <w:pStyle w:val="14"/>
            </w:pPr>
            <w:r>
              <w:t>区域市民满意度</w:t>
            </w:r>
          </w:p>
        </w:tc>
        <w:tc>
          <w:tcPr>
            <w:tcW w:w="2551" w:type="dxa"/>
            <w:vAlign w:val="center"/>
          </w:tcPr>
          <w:p>
            <w:pPr>
              <w:pStyle w:val="14"/>
            </w:pPr>
            <w:r>
              <w:t>≥85%</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9、石财建[2022]23号下达大气污染防治项目资金（重点涉气企业排污智能监管）绩效目标表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1.主要用于提升石家庄市大气环境质量，精细化监管石家庄市各重点排污企业的产、治、排，从而建立全过程式得工业源头减排、控排监管模式。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石家庄重点涉气企业安装企业端智能监管设备</w:t>
            </w:r>
          </w:p>
        </w:tc>
        <w:tc>
          <w:tcPr>
            <w:tcW w:w="2835" w:type="dxa"/>
            <w:vAlign w:val="center"/>
          </w:tcPr>
          <w:p>
            <w:pPr>
              <w:pStyle w:val="14"/>
            </w:pPr>
            <w:r>
              <w:t>石家庄重点涉气企业安装企业端智能监管设备</w:t>
            </w:r>
          </w:p>
        </w:tc>
        <w:tc>
          <w:tcPr>
            <w:tcW w:w="2551" w:type="dxa"/>
            <w:vAlign w:val="center"/>
          </w:tcPr>
          <w:p>
            <w:pPr>
              <w:pStyle w:val="14"/>
            </w:pPr>
            <w:r>
              <w:t>≥3家</w:t>
            </w:r>
          </w:p>
        </w:tc>
        <w:tc>
          <w:tcPr>
            <w:tcW w:w="2268" w:type="dxa"/>
            <w:vAlign w:val="center"/>
          </w:tcPr>
          <w:p>
            <w:pPr>
              <w:pStyle w:val="14"/>
            </w:pPr>
            <w:r>
              <w:t>完成安装的家数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建设质量，按照石家庄市关于大气污染防治指标规划及具体业务举措</w:t>
            </w:r>
          </w:p>
        </w:tc>
        <w:tc>
          <w:tcPr>
            <w:tcW w:w="2835" w:type="dxa"/>
            <w:vAlign w:val="center"/>
          </w:tcPr>
          <w:p>
            <w:pPr>
              <w:pStyle w:val="14"/>
            </w:pPr>
            <w:r>
              <w:t>建设质量，按照石家庄市关于大气污染防治指标规划及具体业务举措</w:t>
            </w:r>
          </w:p>
        </w:tc>
        <w:tc>
          <w:tcPr>
            <w:tcW w:w="2551" w:type="dxa"/>
            <w:vAlign w:val="center"/>
          </w:tcPr>
          <w:p>
            <w:pPr>
              <w:pStyle w:val="14"/>
            </w:pPr>
            <w:r>
              <w:t>1项</w:t>
            </w:r>
          </w:p>
        </w:tc>
        <w:tc>
          <w:tcPr>
            <w:tcW w:w="2268" w:type="dxa"/>
            <w:vAlign w:val="center"/>
          </w:tcPr>
          <w:p>
            <w:pPr>
              <w:pStyle w:val="14"/>
            </w:pPr>
            <w:r>
              <w:t>完成相应数据采集指标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合同签订后，监管设备系统尽快投入运行</w:t>
            </w:r>
          </w:p>
        </w:tc>
        <w:tc>
          <w:tcPr>
            <w:tcW w:w="2835" w:type="dxa"/>
            <w:vAlign w:val="center"/>
          </w:tcPr>
          <w:p>
            <w:pPr>
              <w:pStyle w:val="14"/>
            </w:pPr>
            <w:r>
              <w:t>合同签订后，监管设备系统尽快投入运行</w:t>
            </w:r>
          </w:p>
        </w:tc>
        <w:tc>
          <w:tcPr>
            <w:tcW w:w="2551" w:type="dxa"/>
            <w:vAlign w:val="center"/>
          </w:tcPr>
          <w:p>
            <w:pPr>
              <w:pStyle w:val="14"/>
            </w:pPr>
            <w:r>
              <w:t>≤210天</w:t>
            </w:r>
          </w:p>
        </w:tc>
        <w:tc>
          <w:tcPr>
            <w:tcW w:w="2268" w:type="dxa"/>
            <w:vAlign w:val="center"/>
          </w:tcPr>
          <w:p>
            <w:pPr>
              <w:pStyle w:val="14"/>
            </w:pPr>
            <w:r>
              <w:t>完成相应系统建设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实际支出在经费预算内</w:t>
            </w:r>
          </w:p>
        </w:tc>
        <w:tc>
          <w:tcPr>
            <w:tcW w:w="2835" w:type="dxa"/>
            <w:vAlign w:val="center"/>
          </w:tcPr>
          <w:p>
            <w:pPr>
              <w:pStyle w:val="14"/>
            </w:pPr>
            <w:r>
              <w:t>实际支出在经费预算内</w:t>
            </w:r>
          </w:p>
        </w:tc>
        <w:tc>
          <w:tcPr>
            <w:tcW w:w="2551" w:type="dxa"/>
            <w:vAlign w:val="center"/>
          </w:tcPr>
          <w:p>
            <w:pPr>
              <w:pStyle w:val="14"/>
            </w:pPr>
            <w:r>
              <w:t>≤151万</w:t>
            </w:r>
          </w:p>
        </w:tc>
        <w:tc>
          <w:tcPr>
            <w:tcW w:w="2268" w:type="dxa"/>
            <w:vAlign w:val="center"/>
          </w:tcPr>
          <w:p>
            <w:pPr>
              <w:pStyle w:val="14"/>
            </w:pPr>
            <w:r>
              <w:t>采购预算执行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绿色生态管理的协调性</w:t>
            </w:r>
          </w:p>
        </w:tc>
        <w:tc>
          <w:tcPr>
            <w:tcW w:w="2835" w:type="dxa"/>
            <w:vAlign w:val="center"/>
          </w:tcPr>
          <w:p>
            <w:pPr>
              <w:pStyle w:val="14"/>
            </w:pPr>
            <w:r>
              <w:t>绿色生态管理的协调性</w:t>
            </w:r>
          </w:p>
        </w:tc>
        <w:tc>
          <w:tcPr>
            <w:tcW w:w="2551" w:type="dxa"/>
            <w:vAlign w:val="center"/>
          </w:tcPr>
          <w:p>
            <w:pPr>
              <w:pStyle w:val="14"/>
            </w:pPr>
            <w:r>
              <w:t>提升</w:t>
            </w:r>
          </w:p>
        </w:tc>
        <w:tc>
          <w:tcPr>
            <w:tcW w:w="2268" w:type="dxa"/>
            <w:vAlign w:val="center"/>
          </w:tcPr>
          <w:p>
            <w:pPr>
              <w:pStyle w:val="14"/>
            </w:pPr>
            <w:r>
              <w:t>统计分析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w:t>
            </w:r>
            <w:r>
              <w:rPr>
                <w:rFonts w:hint="eastAsia"/>
                <w:lang w:eastAsia="zh-CN"/>
              </w:rPr>
              <w:t>单位</w:t>
            </w:r>
            <w:r>
              <w:t>满意度</w:t>
            </w:r>
          </w:p>
        </w:tc>
        <w:tc>
          <w:tcPr>
            <w:tcW w:w="2835" w:type="dxa"/>
            <w:vAlign w:val="center"/>
          </w:tcPr>
          <w:p>
            <w:pPr>
              <w:pStyle w:val="14"/>
            </w:pPr>
            <w:r>
              <w:rPr>
                <w:rFonts w:hint="eastAsia"/>
                <w:lang w:eastAsia="zh-CN"/>
              </w:rPr>
              <w:t>单位</w:t>
            </w:r>
            <w:r>
              <w:t>满意度提升</w:t>
            </w:r>
          </w:p>
        </w:tc>
        <w:tc>
          <w:tcPr>
            <w:tcW w:w="2551" w:type="dxa"/>
            <w:vAlign w:val="center"/>
          </w:tcPr>
          <w:p>
            <w:pPr>
              <w:pStyle w:val="14"/>
            </w:pPr>
            <w:r>
              <w:t>满意</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10、藁城区道路积尘走航项目绩效目标表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1.通过藁城区道路积尘走航实现污染管控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走航相关各镇、各村重点区域主干道距离</w:t>
            </w:r>
          </w:p>
        </w:tc>
        <w:tc>
          <w:tcPr>
            <w:tcW w:w="2835" w:type="dxa"/>
            <w:vAlign w:val="center"/>
          </w:tcPr>
          <w:p>
            <w:pPr>
              <w:pStyle w:val="14"/>
            </w:pPr>
            <w:r>
              <w:t>走航相关各镇、各村重点区域主干道距离</w:t>
            </w:r>
          </w:p>
        </w:tc>
        <w:tc>
          <w:tcPr>
            <w:tcW w:w="2551" w:type="dxa"/>
            <w:vAlign w:val="center"/>
          </w:tcPr>
          <w:p>
            <w:pPr>
              <w:pStyle w:val="14"/>
            </w:pPr>
            <w:r>
              <w:t>≥731km</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监测完成率</w:t>
            </w:r>
          </w:p>
        </w:tc>
        <w:tc>
          <w:tcPr>
            <w:tcW w:w="2835" w:type="dxa"/>
            <w:vAlign w:val="center"/>
          </w:tcPr>
          <w:p>
            <w:pPr>
              <w:pStyle w:val="14"/>
            </w:pPr>
            <w:r>
              <w:t>监测完成率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服务的及时率</w:t>
            </w:r>
          </w:p>
        </w:tc>
        <w:tc>
          <w:tcPr>
            <w:tcW w:w="2835" w:type="dxa"/>
            <w:vAlign w:val="center"/>
          </w:tcPr>
          <w:p>
            <w:pPr>
              <w:pStyle w:val="14"/>
            </w:pPr>
            <w:r>
              <w:t>服务的及时率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≤72.45万元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改善区域环境空气质量</w:t>
            </w:r>
          </w:p>
        </w:tc>
        <w:tc>
          <w:tcPr>
            <w:tcW w:w="2835" w:type="dxa"/>
            <w:vAlign w:val="center"/>
          </w:tcPr>
          <w:p>
            <w:pPr>
              <w:pStyle w:val="14"/>
            </w:pPr>
            <w:r>
              <w:t>改善区域环境空气质量</w:t>
            </w:r>
          </w:p>
        </w:tc>
        <w:tc>
          <w:tcPr>
            <w:tcW w:w="2551" w:type="dxa"/>
            <w:vAlign w:val="center"/>
          </w:tcPr>
          <w:p>
            <w:pPr>
              <w:pStyle w:val="14"/>
            </w:pPr>
            <w:r>
              <w:t>有效改善</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服务收益对象满意度</w:t>
            </w:r>
          </w:p>
        </w:tc>
        <w:tc>
          <w:tcPr>
            <w:tcW w:w="2835" w:type="dxa"/>
            <w:vAlign w:val="center"/>
          </w:tcPr>
          <w:p>
            <w:pPr>
              <w:pStyle w:val="14"/>
            </w:pPr>
            <w:r>
              <w:t>服务收益对象满意度</w:t>
            </w:r>
          </w:p>
        </w:tc>
        <w:tc>
          <w:tcPr>
            <w:tcW w:w="2551" w:type="dxa"/>
            <w:vAlign w:val="center"/>
          </w:tcPr>
          <w:p>
            <w:pPr>
              <w:pStyle w:val="14"/>
            </w:pPr>
            <w:r>
              <w:t>≥98%</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11、藁城区工业企业污染源监管服务绩效目标表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1.通过对藁城区工业企业污染源监管服务有效提高大气环境质量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委托服务数量</w:t>
            </w:r>
          </w:p>
        </w:tc>
        <w:tc>
          <w:tcPr>
            <w:tcW w:w="2835" w:type="dxa"/>
            <w:vAlign w:val="center"/>
          </w:tcPr>
          <w:p>
            <w:pPr>
              <w:pStyle w:val="14"/>
            </w:pPr>
            <w:r>
              <w:t>委托服务数量</w:t>
            </w:r>
          </w:p>
        </w:tc>
        <w:tc>
          <w:tcPr>
            <w:tcW w:w="2551" w:type="dxa"/>
            <w:vAlign w:val="center"/>
          </w:tcPr>
          <w:p>
            <w:pPr>
              <w:pStyle w:val="14"/>
            </w:pPr>
            <w:r>
              <w:t>11项</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完成监测指标及服务合格率</w:t>
            </w:r>
          </w:p>
        </w:tc>
        <w:tc>
          <w:tcPr>
            <w:tcW w:w="2835" w:type="dxa"/>
            <w:vAlign w:val="center"/>
          </w:tcPr>
          <w:p>
            <w:pPr>
              <w:pStyle w:val="14"/>
            </w:pPr>
            <w:r>
              <w:t>完成监测指标及服务合格率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监测完成及时率</w:t>
            </w:r>
          </w:p>
        </w:tc>
        <w:tc>
          <w:tcPr>
            <w:tcW w:w="2835" w:type="dxa"/>
            <w:vAlign w:val="center"/>
          </w:tcPr>
          <w:p>
            <w:pPr>
              <w:pStyle w:val="14"/>
            </w:pPr>
            <w:r>
              <w:t>监测完成及时率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≤94.25万元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改善环境质量</w:t>
            </w:r>
          </w:p>
        </w:tc>
        <w:tc>
          <w:tcPr>
            <w:tcW w:w="2835" w:type="dxa"/>
            <w:vAlign w:val="center"/>
          </w:tcPr>
          <w:p>
            <w:pPr>
              <w:pStyle w:val="14"/>
            </w:pPr>
            <w:r>
              <w:t>改善环境质量</w:t>
            </w:r>
          </w:p>
        </w:tc>
        <w:tc>
          <w:tcPr>
            <w:tcW w:w="2551" w:type="dxa"/>
            <w:vAlign w:val="center"/>
          </w:tcPr>
          <w:p>
            <w:pPr>
              <w:pStyle w:val="14"/>
            </w:pPr>
            <w:r>
              <w:t>较上年提升</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12、藁城区国控点实验学校范围内安装油烟自动在线监测设施资金绩效目标表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1.通过油烟集中收集治理设施的安装，有效提高大气环境质量。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安装治理设施居民楼数量</w:t>
            </w:r>
          </w:p>
        </w:tc>
        <w:tc>
          <w:tcPr>
            <w:tcW w:w="2835" w:type="dxa"/>
            <w:vAlign w:val="center"/>
          </w:tcPr>
          <w:p>
            <w:pPr>
              <w:pStyle w:val="14"/>
            </w:pPr>
            <w:r>
              <w:t>安装治理设施居民楼数量</w:t>
            </w:r>
          </w:p>
        </w:tc>
        <w:tc>
          <w:tcPr>
            <w:tcW w:w="2551" w:type="dxa"/>
            <w:vAlign w:val="center"/>
          </w:tcPr>
          <w:p>
            <w:pPr>
              <w:pStyle w:val="14"/>
            </w:pPr>
            <w:r>
              <w:t>10栋</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油烟治理设施合格率</w:t>
            </w:r>
          </w:p>
        </w:tc>
        <w:tc>
          <w:tcPr>
            <w:tcW w:w="2835" w:type="dxa"/>
            <w:vAlign w:val="center"/>
          </w:tcPr>
          <w:p>
            <w:pPr>
              <w:pStyle w:val="14"/>
            </w:pPr>
            <w:r>
              <w:t>油烟治理设施合格率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安装油烟治理设施及时率</w:t>
            </w:r>
          </w:p>
        </w:tc>
        <w:tc>
          <w:tcPr>
            <w:tcW w:w="2835" w:type="dxa"/>
            <w:vAlign w:val="center"/>
          </w:tcPr>
          <w:p>
            <w:pPr>
              <w:pStyle w:val="14"/>
            </w:pPr>
            <w:r>
              <w:t>安装油烟治理设施及时率</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≤108.7万元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提高大气环境质量</w:t>
            </w:r>
          </w:p>
        </w:tc>
        <w:tc>
          <w:tcPr>
            <w:tcW w:w="2835" w:type="dxa"/>
            <w:vAlign w:val="center"/>
          </w:tcPr>
          <w:p>
            <w:pPr>
              <w:pStyle w:val="14"/>
            </w:pPr>
            <w:r>
              <w:t>提高大气环境质量</w:t>
            </w:r>
          </w:p>
        </w:tc>
        <w:tc>
          <w:tcPr>
            <w:tcW w:w="2551" w:type="dxa"/>
            <w:vAlign w:val="center"/>
          </w:tcPr>
          <w:p>
            <w:pPr>
              <w:pStyle w:val="14"/>
            </w:pPr>
            <w:r>
              <w:t>较上年提高</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服务受益对象满意度</w:t>
            </w:r>
          </w:p>
        </w:tc>
        <w:tc>
          <w:tcPr>
            <w:tcW w:w="2835" w:type="dxa"/>
            <w:vAlign w:val="center"/>
          </w:tcPr>
          <w:p>
            <w:pPr>
              <w:pStyle w:val="14"/>
            </w:pPr>
            <w:r>
              <w:t>服务受益对象满意度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2023年，石家庄市生态环境局藁城区分局本级安排政府采购预算0.00万元。具体内容见下表。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石家庄市生态环境局藁城区分局本级上年末固定资产金额为0.00万元（详见下表）。本年度拟购置固定资产总额为0.00万元，已按要求列入政府采购预算，详见政府采购预算表。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bookmarkStart w:id="2" w:name="_GoBack"/>
      <w:bookmarkEnd w:id="2"/>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FFC946"/>
    <w:multiLevelType w:val="singleLevel"/>
    <w:tmpl w:val="EBFFC94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FFCF6F8"/>
    <w:rsid w:val="D2BE0704"/>
    <w:rsid w:val="DFFFAF50"/>
    <w:rsid w:val="EBBFC17C"/>
    <w:rsid w:val="EF530083"/>
    <w:rsid w:val="F7BFDA9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11</TotalTime>
  <ScaleCrop>false</ScaleCrop>
  <LinksUpToDate>false</LinksUpToDate>
  <Application>WPS Office_11.8.2.10195_F1E327BC-269C-435d-A152-05C5408002CA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2023-02-01T03:07:00Z</dcterms:created>
  <dc:creator>uos</dc:creator>
  <cp:lastModifiedBy>uos</cp:lastModifiedBy>
  <dcterms:modified xsi:type="dcterms:W3CDTF">2023-09-15T10:50:24Z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ies>
</file>