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CB1215">
      <w:pPr>
        <w:snapToGrid w:val="0"/>
        <w:spacing w:line="560" w:lineRule="exact"/>
        <w:rPr>
          <w:rFonts w:ascii="仿宋" w:hAnsi="仿宋" w:eastAsia="仿宋" w:cs="仿宋"/>
          <w:kern w:val="0"/>
          <w:sz w:val="32"/>
          <w:szCs w:val="32"/>
        </w:rPr>
      </w:pPr>
    </w:p>
    <w:p w14:paraId="149753B9">
      <w:pPr>
        <w:snapToGrid w:val="0"/>
        <w:spacing w:line="560" w:lineRule="exact"/>
        <w:jc w:val="center"/>
        <w:rPr>
          <w:rFonts w:ascii="宋体" w:hAnsi="宋体" w:cs="宋体"/>
          <w:b/>
          <w:bCs/>
          <w:kern w:val="0"/>
          <w:sz w:val="44"/>
          <w:szCs w:val="44"/>
        </w:rPr>
      </w:pPr>
      <w:r>
        <w:rPr>
          <w:rFonts w:hint="eastAsia" w:ascii="宋体" w:hAnsi="宋体" w:cs="宋体"/>
          <w:b/>
          <w:bCs/>
          <w:kern w:val="0"/>
          <w:sz w:val="44"/>
          <w:szCs w:val="44"/>
        </w:rPr>
        <w:t>石家庄市藁城区统计局</w:t>
      </w:r>
    </w:p>
    <w:p w14:paraId="7F7FC859">
      <w:pPr>
        <w:snapToGrid w:val="0"/>
        <w:spacing w:line="560" w:lineRule="exact"/>
        <w:jc w:val="center"/>
        <w:rPr>
          <w:rFonts w:ascii="宋体" w:hAnsi="宋体" w:cs="宋体"/>
          <w:b/>
          <w:bCs/>
          <w:sz w:val="44"/>
          <w:szCs w:val="44"/>
        </w:rPr>
      </w:pPr>
      <w:r>
        <w:rPr>
          <w:rFonts w:hint="eastAsia" w:ascii="宋体" w:hAnsi="宋体" w:cs="宋体"/>
          <w:b/>
          <w:bCs/>
          <w:kern w:val="0"/>
          <w:sz w:val="44"/>
          <w:szCs w:val="44"/>
        </w:rPr>
        <w:t>2022年度整体支出</w:t>
      </w:r>
      <w:r>
        <w:rPr>
          <w:rFonts w:hint="eastAsia" w:ascii="宋体" w:hAnsi="宋体" w:cs="宋体"/>
          <w:b/>
          <w:bCs/>
          <w:sz w:val="44"/>
          <w:szCs w:val="44"/>
        </w:rPr>
        <w:t>绩效自评工作报告</w:t>
      </w:r>
    </w:p>
    <w:p w14:paraId="0884AB26">
      <w:pPr>
        <w:snapToGrid w:val="0"/>
        <w:spacing w:line="560" w:lineRule="exact"/>
        <w:ind w:firstLine="640" w:firstLineChars="200"/>
        <w:rPr>
          <w:rFonts w:ascii="宋体" w:hAnsi="宋体" w:cs="宋体"/>
          <w:b/>
          <w:bCs/>
          <w:sz w:val="44"/>
          <w:szCs w:val="44"/>
        </w:rPr>
      </w:pPr>
      <w:r>
        <w:rPr>
          <w:rFonts w:hint="eastAsia" w:ascii="仿宋" w:hAnsi="仿宋" w:eastAsia="仿宋" w:cs="宋体"/>
          <w:sz w:val="32"/>
          <w:szCs w:val="32"/>
        </w:rPr>
        <w:t>为</w:t>
      </w:r>
      <w:r>
        <w:rPr>
          <w:rFonts w:hint="eastAsia" w:ascii="仿宋" w:hAnsi="仿宋" w:eastAsia="仿宋" w:cs="仿宋_GB2312"/>
          <w:sz w:val="32"/>
          <w:szCs w:val="32"/>
        </w:rPr>
        <w:t>进一步推进我区绩效预算管理工作，提高财政资金使用效益和财政管理科学化、精细化水平</w:t>
      </w:r>
      <w:r>
        <w:rPr>
          <w:rFonts w:hint="eastAsia" w:ascii="仿宋" w:hAnsi="仿宋" w:eastAsia="仿宋" w:cs="宋体"/>
          <w:sz w:val="32"/>
          <w:szCs w:val="32"/>
        </w:rPr>
        <w:t>，</w:t>
      </w:r>
      <w:r>
        <w:rPr>
          <w:rFonts w:hint="eastAsia" w:ascii="仿宋" w:hAnsi="仿宋" w:eastAsia="仿宋" w:cs="仿宋_GB2312"/>
          <w:sz w:val="32"/>
          <w:szCs w:val="32"/>
        </w:rPr>
        <w:t>根据</w:t>
      </w:r>
      <w:r>
        <w:rPr>
          <w:rFonts w:hint="eastAsia" w:ascii="仿宋" w:hAnsi="仿宋" w:eastAsia="仿宋" w:cs="宋体"/>
          <w:sz w:val="32"/>
          <w:szCs w:val="32"/>
        </w:rPr>
        <w:t>《石家庄市藁城区区级部门预算项目绩效自评管理办法》（藁财字</w:t>
      </w:r>
      <w:r>
        <w:rPr>
          <w:rFonts w:hint="eastAsia" w:ascii="仿宋" w:hAnsi="仿宋" w:eastAsia="仿宋" w:cs="仿宋"/>
          <w:sz w:val="32"/>
          <w:szCs w:val="32"/>
        </w:rPr>
        <w:t>〔2020〕23号</w:t>
      </w:r>
      <w:r>
        <w:rPr>
          <w:rFonts w:hint="eastAsia" w:ascii="仿宋" w:hAnsi="仿宋" w:eastAsia="仿宋" w:cs="宋体"/>
          <w:sz w:val="32"/>
          <w:szCs w:val="32"/>
        </w:rPr>
        <w:t>）要求</w:t>
      </w:r>
      <w:r>
        <w:rPr>
          <w:rFonts w:hint="eastAsia" w:ascii="仿宋" w:hAnsi="仿宋" w:eastAsia="仿宋"/>
          <w:sz w:val="32"/>
          <w:szCs w:val="32"/>
        </w:rPr>
        <w:t>，遵循“科学性、规范性、客观性和公正性”的原则，</w:t>
      </w:r>
      <w:r>
        <w:rPr>
          <w:rFonts w:hint="eastAsia" w:ascii="仿宋" w:hAnsi="仿宋" w:eastAsia="仿宋" w:cs="仿宋"/>
          <w:sz w:val="32"/>
          <w:szCs w:val="32"/>
        </w:rPr>
        <w:t>我部门认真开展了2022年度预算绩效自评工作，形成本评价报告。</w:t>
      </w:r>
    </w:p>
    <w:p w14:paraId="7852B2BB">
      <w:pPr>
        <w:numPr>
          <w:ilvl w:val="0"/>
          <w:numId w:val="1"/>
        </w:num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部门基本情况</w:t>
      </w:r>
    </w:p>
    <w:p w14:paraId="57E51A58">
      <w:pPr>
        <w:pStyle w:val="9"/>
        <w:ind w:firstLine="640"/>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rPr>
        <w:t>、部门概况</w:t>
      </w:r>
    </w:p>
    <w:p w14:paraId="251421A2">
      <w:pPr>
        <w:pStyle w:val="9"/>
        <w:ind w:firstLine="640"/>
        <w:rPr>
          <w:rFonts w:ascii="仿宋" w:hAnsi="仿宋" w:eastAsia="仿宋" w:cs="仿宋"/>
          <w:sz w:val="32"/>
          <w:szCs w:val="32"/>
        </w:rPr>
      </w:pPr>
      <w:r>
        <w:rPr>
          <w:rFonts w:hint="eastAsia" w:ascii="仿宋" w:hAnsi="仿宋" w:eastAsia="仿宋" w:cs="仿宋"/>
          <w:sz w:val="32"/>
          <w:szCs w:val="32"/>
        </w:rPr>
        <w:t>藁城区统计局市藁城区人民政府工作部门，为正科级，承单组织和协调全区统计工作。主要职能是组织实施全区人口、经济、农业等重大区情区力普查，各项抽样调查，对国民经济和社会发展进行统计分析、统计预测和统计监督，承办区委、区政府和是统计局交办的其他任务等。</w:t>
      </w:r>
    </w:p>
    <w:p w14:paraId="71CA896F">
      <w:pPr>
        <w:pStyle w:val="9"/>
        <w:ind w:firstLine="640"/>
        <w:rPr>
          <w:rFonts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、部门基本职责</w:t>
      </w:r>
    </w:p>
    <w:p w14:paraId="0E6605CE">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（1）承担组织领导和协调管理全区统计工作，确保统计数据真实、准确、及时的责任。</w:t>
      </w:r>
    </w:p>
    <w:p w14:paraId="2FEFD464">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（2）拟订统计工作方面的地方性法规、政府规章草案，制定全区统计改革、统计现代化建设规划、统计调查计划和地方统计调查标准、统计调查制度，监督检查统计法律、法规实施情况，指导全区统计工作。</w:t>
      </w:r>
    </w:p>
    <w:p w14:paraId="2E62688A">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（3）组织完成国家、省、市部署的国情国力普查及重要调查任务；研究提出重大区情区力普查和抽样调查计划并组织实施，汇总、整理和提供有关区情区力方面的统计数据。</w:t>
      </w:r>
    </w:p>
    <w:p w14:paraId="459BBF22">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组织实施农林牧渔业、农业产值、农产品产量、农业产业化、工业、能源、社会、人口、工资、科技、消费、城镇劳动力、城镇就业、建筑业、固定资产投资、房地产开发、高新技术产业、省级工业园区主要经济指标、批发和零售业、住宿和餐饮业、运输邮电业、其他服务业、服务业个体户、对外经济和旅游、民营经济、乡村社会经济、资源环境、境外来中国大陆工作专家、服务业财务、农村住户、经济社会重点问题等统计调查，收集、汇总、整理和提供统计数据。</w:t>
      </w:r>
    </w:p>
    <w:p w14:paraId="41B9A348">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（5）组织实施社会发展水平、县域经济发展、节能降耗、城镇化发展、全面小康及农村小康建设进程、资源循环利用、妇女儿童等统计监测，收集、整理和提供统计数据。</w:t>
      </w:r>
    </w:p>
    <w:p w14:paraId="617E9FE5">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（6）组织实施城乡住户一体化、产粮大县（市）和生猪大县（市）等抽样调查工作，收集、整理和提供 统计数据。</w:t>
      </w:r>
    </w:p>
    <w:p w14:paraId="68D60C61">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（7）综合整理和提供财政、金融、个体、私营以及混合经济税收、出口、地质勘察、文化教育、卫生、社会保障、公用事业、房屋、对外贸易、对内经济技术合作及引进内资等基本统计数据。</w:t>
      </w:r>
    </w:p>
    <w:p w14:paraId="66E5B4A3">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（8）统一核实、管理、公布全市性基本统计资料，定期发布全市国民经济和社会发展情况的统计信息，组织建设统计住处共享制度和发布制度。</w:t>
      </w:r>
    </w:p>
    <w:p w14:paraId="0607D589">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（9）对国民经济、社会发展、科技进步等情况进行统计分析、统计预测和统计监督，向区委、区政府及有关部门提供统计信息和咨询建议。</w:t>
      </w:r>
    </w:p>
    <w:p w14:paraId="14F523E2">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ascii="仿宋_GB2312" w:hAnsi="仿宋_GB2312" w:eastAsia="仿宋_GB2312" w:cs="仿宋_GB2312"/>
          <w:sz w:val="32"/>
          <w:szCs w:val="32"/>
        </w:rPr>
        <w:t>0</w:t>
      </w:r>
      <w:r>
        <w:rPr>
          <w:rFonts w:hint="eastAsia" w:ascii="仿宋_GB2312" w:hAnsi="仿宋_GB2312" w:eastAsia="仿宋_GB2312" w:cs="仿宋_GB2312"/>
          <w:sz w:val="32"/>
          <w:szCs w:val="32"/>
        </w:rPr>
        <w:t>）组织管理全市统计登记工作；指导专业统计基础工作、统计基层业务和规范化建设；组织建立统计信息管理制度，建立健全统计数据质量审核、监控和评估制度，开展对重要统计数据的审核、监控和评估；依法监督管理涉外调查活动。</w:t>
      </w:r>
    </w:p>
    <w:p w14:paraId="17EF770B">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ascii="仿宋_GB2312" w:hAnsi="仿宋_GB2312" w:eastAsia="仿宋_GB2312" w:cs="仿宋_GB2312"/>
          <w:sz w:val="32"/>
          <w:szCs w:val="32"/>
        </w:rPr>
        <w:t>1</w:t>
      </w:r>
      <w:r>
        <w:rPr>
          <w:rFonts w:hint="eastAsia" w:ascii="仿宋_GB2312" w:hAnsi="仿宋_GB2312" w:eastAsia="仿宋_GB2312" w:cs="仿宋_GB2312"/>
          <w:sz w:val="32"/>
          <w:szCs w:val="32"/>
        </w:rPr>
        <w:t>）贯彻执行国家、省、市统计信息库和网络的基本标准和运行规则；管理全区统计信息自动化系统和统计数据库体系；管理全区统计数据库网络；指导全区统计信息化系统建设。</w:t>
      </w:r>
    </w:p>
    <w:p w14:paraId="36A4278C">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ascii="仿宋_GB2312" w:hAnsi="仿宋_GB2312" w:eastAsia="仿宋_GB2312" w:cs="仿宋_GB2312"/>
          <w:sz w:val="32"/>
          <w:szCs w:val="32"/>
        </w:rPr>
        <w:t>2</w:t>
      </w:r>
      <w:r>
        <w:rPr>
          <w:rFonts w:hint="eastAsia" w:ascii="仿宋_GB2312" w:hAnsi="仿宋_GB2312" w:eastAsia="仿宋_GB2312" w:cs="仿宋_GB2312"/>
          <w:sz w:val="32"/>
          <w:szCs w:val="32"/>
        </w:rPr>
        <w:t>）指导全市统计专业技术队伍建设，配合省、市统计局组织管理统计从业资格认定和持证上岗工作，协助有关部门组织管理统计专业技术资格考试、职务评聘工作。</w:t>
      </w:r>
    </w:p>
    <w:p w14:paraId="5ADD10B1">
      <w:pPr>
        <w:pStyle w:val="12"/>
        <w:numPr>
          <w:ilvl w:val="0"/>
          <w:numId w:val="2"/>
        </w:numPr>
        <w:ind w:firstLineChars="0"/>
        <w:rPr>
          <w:rFonts w:ascii="仿宋" w:hAnsi="仿宋" w:eastAsia="仿宋"/>
          <w:sz w:val="32"/>
          <w:szCs w:val="32"/>
        </w:rPr>
      </w:pPr>
      <w:r>
        <w:rPr>
          <w:rFonts w:hint="eastAsia" w:ascii="仿宋_GB2312" w:hAnsi="仿宋_GB2312" w:eastAsia="仿宋_GB2312" w:cs="仿宋_GB2312"/>
          <w:sz w:val="32"/>
          <w:szCs w:val="32"/>
        </w:rPr>
        <w:t>承办市政府交办的其他事项。</w:t>
      </w:r>
    </w:p>
    <w:p w14:paraId="53FE3B7C">
      <w:pPr>
        <w:pStyle w:val="9"/>
        <w:ind w:firstLine="640"/>
        <w:rPr>
          <w:rFonts w:ascii="仿宋" w:hAnsi="仿宋" w:eastAsia="仿宋" w:cs="仿宋"/>
          <w:sz w:val="32"/>
          <w:szCs w:val="32"/>
        </w:rPr>
      </w:pPr>
      <w:bookmarkStart w:id="0" w:name="_Hlk133158778"/>
      <w:bookmarkStart w:id="1" w:name="_Hlk133156527"/>
      <w:r>
        <w:rPr>
          <w:rFonts w:ascii="仿宋" w:hAnsi="仿宋" w:eastAsia="仿宋" w:cs="仿宋"/>
          <w:sz w:val="32"/>
          <w:szCs w:val="32"/>
        </w:rPr>
        <w:t>3</w:t>
      </w:r>
      <w:r>
        <w:rPr>
          <w:rFonts w:hint="eastAsia" w:ascii="仿宋" w:hAnsi="仿宋" w:eastAsia="仿宋" w:cs="仿宋"/>
          <w:sz w:val="32"/>
          <w:szCs w:val="32"/>
        </w:rPr>
        <w:t>、部门</w:t>
      </w:r>
      <w:bookmarkEnd w:id="0"/>
      <w:r>
        <w:rPr>
          <w:rFonts w:hint="eastAsia" w:ascii="仿宋" w:hAnsi="仿宋" w:eastAsia="仿宋" w:cs="仿宋"/>
          <w:sz w:val="32"/>
          <w:szCs w:val="32"/>
        </w:rPr>
        <w:t>组织机构情况</w:t>
      </w:r>
    </w:p>
    <w:bookmarkEnd w:id="1"/>
    <w:p w14:paraId="6123E0CC">
      <w:pPr>
        <w:pStyle w:val="12"/>
        <w:adjustRightInd w:val="0"/>
        <w:snapToGrid w:val="0"/>
        <w:spacing w:line="360" w:lineRule="auto"/>
        <w:ind w:firstLine="640"/>
        <w:rPr>
          <w:rFonts w:ascii="仿宋_GB2312" w:hAnsi="宋体" w:eastAsia="仿宋_GB2312" w:cs="宋体"/>
          <w:kern w:val="0"/>
          <w:sz w:val="32"/>
          <w:szCs w:val="32"/>
        </w:rPr>
      </w:pPr>
      <w:r>
        <w:rPr>
          <w:rFonts w:hint="eastAsia" w:ascii="仿宋_GB2312" w:hAnsi="宋体" w:eastAsia="仿宋_GB2312" w:cs="宋体"/>
          <w:kern w:val="0"/>
          <w:sz w:val="32"/>
          <w:szCs w:val="32"/>
        </w:rPr>
        <w:t>石家庄市藁城区统计局为正科级行政单位，</w:t>
      </w:r>
      <w:r>
        <w:rPr>
          <w:rFonts w:hint="eastAsia" w:ascii="仿宋_GB2312" w:hAnsi="仿宋_GB2312" w:eastAsia="仿宋_GB2312" w:cs="仿宋_GB2312"/>
          <w:sz w:val="32"/>
          <w:szCs w:val="32"/>
        </w:rPr>
        <w:t>下设办公室、农村统计科、工业交通统计科、综合科、城市社会经济调查队、农村社会经济调查队6个科室队和一个副科级事业单位藁城区普查中心。</w:t>
      </w:r>
      <w:r>
        <w:rPr>
          <w:rFonts w:hint="eastAsia" w:ascii="仿宋_GB2312" w:hAnsi="宋体" w:eastAsia="仿宋_GB2312" w:cs="宋体"/>
          <w:kern w:val="0"/>
          <w:sz w:val="32"/>
          <w:szCs w:val="32"/>
        </w:rPr>
        <w:t>一级预算单位，无下属单位。核定行政编制</w:t>
      </w:r>
      <w:r>
        <w:rPr>
          <w:rFonts w:ascii="仿宋_GB2312" w:hAnsi="宋体" w:eastAsia="仿宋_GB2312" w:cs="宋体"/>
          <w:kern w:val="0"/>
          <w:sz w:val="32"/>
          <w:szCs w:val="32"/>
        </w:rPr>
        <w:t>12</w:t>
      </w:r>
      <w:r>
        <w:rPr>
          <w:rFonts w:hint="eastAsia" w:ascii="仿宋_GB2312" w:hAnsi="宋体" w:eastAsia="仿宋_GB2312" w:cs="宋体"/>
          <w:kern w:val="0"/>
          <w:sz w:val="32"/>
          <w:szCs w:val="32"/>
        </w:rPr>
        <w:t>名，事业编制2</w:t>
      </w:r>
      <w:r>
        <w:rPr>
          <w:rFonts w:ascii="仿宋_GB2312" w:hAnsi="宋体" w:eastAsia="仿宋_GB2312" w:cs="宋体"/>
          <w:kern w:val="0"/>
          <w:sz w:val="32"/>
          <w:szCs w:val="32"/>
        </w:rPr>
        <w:t>4</w:t>
      </w:r>
      <w:r>
        <w:rPr>
          <w:rFonts w:hint="eastAsia" w:ascii="仿宋_GB2312" w:hAnsi="宋体" w:eastAsia="仿宋_GB2312" w:cs="宋体"/>
          <w:kern w:val="0"/>
          <w:sz w:val="32"/>
          <w:szCs w:val="32"/>
        </w:rPr>
        <w:t>名。领导职数1正</w:t>
      </w:r>
      <w:r>
        <w:rPr>
          <w:rFonts w:ascii="仿宋_GB2312" w:hAnsi="宋体" w:eastAsia="仿宋_GB2312" w:cs="宋体"/>
          <w:kern w:val="0"/>
          <w:sz w:val="32"/>
          <w:szCs w:val="32"/>
        </w:rPr>
        <w:t>3</w:t>
      </w:r>
      <w:r>
        <w:rPr>
          <w:rFonts w:hint="eastAsia" w:ascii="仿宋_GB2312" w:hAnsi="宋体" w:eastAsia="仿宋_GB2312" w:cs="宋体"/>
          <w:kern w:val="0"/>
          <w:sz w:val="32"/>
          <w:szCs w:val="32"/>
        </w:rPr>
        <w:t>副，股级领导职数1</w:t>
      </w:r>
      <w:r>
        <w:rPr>
          <w:rFonts w:ascii="仿宋_GB2312" w:hAnsi="宋体" w:eastAsia="仿宋_GB2312" w:cs="宋体"/>
          <w:kern w:val="0"/>
          <w:sz w:val="32"/>
          <w:szCs w:val="32"/>
        </w:rPr>
        <w:t>1</w:t>
      </w:r>
      <w:r>
        <w:rPr>
          <w:rFonts w:hint="eastAsia" w:ascii="仿宋_GB2312" w:hAnsi="宋体" w:eastAsia="仿宋_GB2312" w:cs="宋体"/>
          <w:kern w:val="0"/>
          <w:sz w:val="32"/>
          <w:szCs w:val="32"/>
        </w:rPr>
        <w:t>名。资金保障形式为财政拨款。年末总人数</w:t>
      </w:r>
      <w:r>
        <w:rPr>
          <w:rFonts w:ascii="仿宋_GB2312" w:hAnsi="宋体" w:eastAsia="仿宋_GB2312" w:cs="宋体"/>
          <w:kern w:val="0"/>
          <w:sz w:val="32"/>
          <w:szCs w:val="32"/>
        </w:rPr>
        <w:t>36</w:t>
      </w:r>
      <w:r>
        <w:rPr>
          <w:rFonts w:hint="eastAsia" w:ascii="仿宋_GB2312" w:hAnsi="宋体" w:eastAsia="仿宋_GB2312" w:cs="宋体"/>
          <w:kern w:val="0"/>
          <w:sz w:val="32"/>
          <w:szCs w:val="32"/>
        </w:rPr>
        <w:t>人。</w:t>
      </w:r>
    </w:p>
    <w:p w14:paraId="533ED5F3">
      <w:pPr>
        <w:pStyle w:val="9"/>
        <w:ind w:firstLine="640"/>
        <w:rPr>
          <w:rFonts w:ascii="仿宋_GB2312" w:hAnsi="宋体" w:eastAsia="仿宋_GB2312" w:cs="宋体"/>
          <w:kern w:val="0"/>
          <w:sz w:val="32"/>
          <w:szCs w:val="32"/>
        </w:rPr>
      </w:pPr>
      <w:r>
        <w:rPr>
          <w:rFonts w:ascii="仿宋_GB2312" w:hAnsi="宋体" w:eastAsia="仿宋_GB2312" w:cs="宋体"/>
          <w:kern w:val="0"/>
          <w:sz w:val="32"/>
          <w:szCs w:val="32"/>
        </w:rPr>
        <w:t>4</w:t>
      </w:r>
      <w:r>
        <w:rPr>
          <w:rFonts w:hint="eastAsia" w:ascii="仿宋_GB2312" w:hAnsi="宋体" w:eastAsia="仿宋_GB2312" w:cs="宋体"/>
          <w:kern w:val="0"/>
          <w:sz w:val="32"/>
          <w:szCs w:val="32"/>
        </w:rPr>
        <w:t>、部门收支预决算情况</w:t>
      </w:r>
    </w:p>
    <w:p w14:paraId="4CBB92FC">
      <w:pPr>
        <w:pStyle w:val="9"/>
        <w:ind w:firstLine="640"/>
        <w:rPr>
          <w:rFonts w:ascii="仿宋_GB2312" w:hAnsi="宋体" w:eastAsia="仿宋_GB2312" w:cs="宋体"/>
          <w:kern w:val="0"/>
          <w:sz w:val="32"/>
          <w:szCs w:val="32"/>
        </w:rPr>
      </w:pPr>
      <w:bookmarkStart w:id="2" w:name="_Hlk133158199"/>
      <w:r>
        <w:rPr>
          <w:rFonts w:hint="eastAsia" w:ascii="仿宋_GB2312" w:hAnsi="宋体" w:eastAsia="仿宋_GB2312" w:cs="宋体"/>
          <w:kern w:val="0"/>
          <w:sz w:val="32"/>
          <w:szCs w:val="32"/>
        </w:rPr>
        <w:t>（1）预算情况</w:t>
      </w:r>
    </w:p>
    <w:bookmarkEnd w:id="2"/>
    <w:p w14:paraId="72B07A8B">
      <w:pPr>
        <w:adjustRightInd w:val="0"/>
        <w:snapToGrid w:val="0"/>
        <w:spacing w:line="360" w:lineRule="auto"/>
        <w:ind w:firstLine="640" w:firstLineChars="200"/>
        <w:rPr>
          <w:rFonts w:ascii="仿宋_GB2312" w:hAnsi="宋体" w:eastAsia="仿宋_GB2312" w:cs="宋体"/>
          <w:kern w:val="0"/>
          <w:sz w:val="32"/>
          <w:szCs w:val="32"/>
        </w:rPr>
      </w:pPr>
      <w:r>
        <w:rPr>
          <w:rFonts w:hint="eastAsia" w:ascii="仿宋_GB2312" w:hAnsi="宋体" w:eastAsia="仿宋_GB2312" w:cs="宋体"/>
          <w:kern w:val="0"/>
          <w:sz w:val="32"/>
          <w:szCs w:val="32"/>
        </w:rPr>
        <w:t>2022年预算收入</w:t>
      </w:r>
      <w:r>
        <w:rPr>
          <w:rFonts w:ascii="仿宋_GB2312" w:hAnsi="宋体" w:eastAsia="仿宋_GB2312" w:cs="宋体"/>
          <w:kern w:val="0"/>
          <w:sz w:val="32"/>
          <w:szCs w:val="32"/>
        </w:rPr>
        <w:t>739.04</w:t>
      </w:r>
      <w:r>
        <w:rPr>
          <w:rFonts w:hint="eastAsia" w:ascii="仿宋_GB2312" w:hAnsi="宋体" w:eastAsia="仿宋_GB2312" w:cs="宋体"/>
          <w:kern w:val="0"/>
          <w:sz w:val="32"/>
          <w:szCs w:val="32"/>
        </w:rPr>
        <w:t>万元，其中：一般公共预算拨款</w:t>
      </w:r>
      <w:r>
        <w:rPr>
          <w:rFonts w:ascii="仿宋_GB2312" w:hAnsi="宋体" w:eastAsia="仿宋_GB2312" w:cs="宋体"/>
          <w:kern w:val="0"/>
          <w:sz w:val="32"/>
          <w:szCs w:val="32"/>
        </w:rPr>
        <w:t>739.04</w:t>
      </w:r>
      <w:r>
        <w:rPr>
          <w:rFonts w:hint="eastAsia" w:ascii="仿宋_GB2312" w:hAnsi="宋体" w:eastAsia="仿宋_GB2312" w:cs="宋体"/>
          <w:kern w:val="0"/>
          <w:sz w:val="32"/>
          <w:szCs w:val="32"/>
        </w:rPr>
        <w:t>万元。2022年预算支出为</w:t>
      </w:r>
      <w:r>
        <w:rPr>
          <w:rFonts w:ascii="仿宋_GB2312" w:hAnsi="宋体" w:eastAsia="仿宋_GB2312" w:cs="宋体"/>
          <w:kern w:val="0"/>
          <w:sz w:val="32"/>
          <w:szCs w:val="32"/>
        </w:rPr>
        <w:t>739.04</w:t>
      </w:r>
      <w:r>
        <w:rPr>
          <w:rFonts w:hint="eastAsia" w:ascii="仿宋_GB2312" w:hAnsi="宋体" w:eastAsia="仿宋_GB2312" w:cs="宋体"/>
          <w:kern w:val="0"/>
          <w:sz w:val="32"/>
          <w:szCs w:val="32"/>
        </w:rPr>
        <w:t>万元，其中基本支出</w:t>
      </w:r>
      <w:r>
        <w:rPr>
          <w:rFonts w:ascii="仿宋_GB2312" w:hAnsi="宋体" w:eastAsia="仿宋_GB2312" w:cs="宋体"/>
          <w:kern w:val="0"/>
          <w:sz w:val="32"/>
          <w:szCs w:val="32"/>
        </w:rPr>
        <w:t>651.62</w:t>
      </w:r>
      <w:r>
        <w:rPr>
          <w:rFonts w:hint="eastAsia" w:ascii="仿宋_GB2312" w:hAnsi="宋体" w:eastAsia="仿宋_GB2312" w:cs="宋体"/>
          <w:kern w:val="0"/>
          <w:sz w:val="32"/>
          <w:szCs w:val="32"/>
        </w:rPr>
        <w:t>万元，包括人员经费</w:t>
      </w:r>
      <w:r>
        <w:rPr>
          <w:rFonts w:ascii="仿宋_GB2312" w:hAnsi="宋体" w:eastAsia="仿宋_GB2312" w:cs="宋体"/>
          <w:kern w:val="0"/>
          <w:sz w:val="32"/>
          <w:szCs w:val="32"/>
        </w:rPr>
        <w:t>593.35</w:t>
      </w:r>
      <w:r>
        <w:rPr>
          <w:rFonts w:hint="eastAsia" w:ascii="仿宋_GB2312" w:hAnsi="宋体" w:eastAsia="仿宋_GB2312" w:cs="宋体"/>
          <w:kern w:val="0"/>
          <w:sz w:val="32"/>
          <w:szCs w:val="32"/>
        </w:rPr>
        <w:t>万元和日常公用经费</w:t>
      </w:r>
      <w:r>
        <w:rPr>
          <w:rFonts w:ascii="仿宋_GB2312" w:hAnsi="宋体" w:eastAsia="仿宋_GB2312" w:cs="宋体"/>
          <w:kern w:val="0"/>
          <w:sz w:val="32"/>
          <w:szCs w:val="32"/>
        </w:rPr>
        <w:t>58.27</w:t>
      </w:r>
      <w:r>
        <w:rPr>
          <w:rFonts w:hint="eastAsia" w:ascii="仿宋_GB2312" w:hAnsi="宋体" w:eastAsia="仿宋_GB2312" w:cs="宋体"/>
          <w:kern w:val="0"/>
          <w:sz w:val="32"/>
          <w:szCs w:val="32"/>
        </w:rPr>
        <w:t>万元；项目支出</w:t>
      </w:r>
      <w:r>
        <w:rPr>
          <w:rFonts w:ascii="仿宋_GB2312" w:hAnsi="宋体" w:eastAsia="仿宋_GB2312" w:cs="宋体"/>
          <w:kern w:val="0"/>
          <w:sz w:val="32"/>
          <w:szCs w:val="32"/>
        </w:rPr>
        <w:t>87.42</w:t>
      </w:r>
      <w:r>
        <w:rPr>
          <w:rFonts w:hint="eastAsia" w:ascii="仿宋_GB2312" w:hAnsi="宋体" w:eastAsia="仿宋_GB2312" w:cs="宋体"/>
          <w:kern w:val="0"/>
          <w:sz w:val="32"/>
          <w:szCs w:val="32"/>
        </w:rPr>
        <w:t>万元。其中</w:t>
      </w:r>
      <w:bookmarkStart w:id="3" w:name="_Hlk133158395"/>
      <w:r>
        <w:rPr>
          <w:rFonts w:hint="eastAsia" w:ascii="仿宋_GB2312" w:hAnsi="宋体" w:eastAsia="仿宋_GB2312" w:cs="宋体"/>
          <w:kern w:val="0"/>
          <w:sz w:val="32"/>
          <w:szCs w:val="32"/>
        </w:rPr>
        <w:t>第七次全国人口普查经费2万元；调查队业务经费1</w:t>
      </w:r>
      <w:r>
        <w:rPr>
          <w:rFonts w:ascii="仿宋_GB2312" w:hAnsi="宋体" w:eastAsia="仿宋_GB2312" w:cs="宋体"/>
          <w:kern w:val="0"/>
          <w:sz w:val="32"/>
          <w:szCs w:val="32"/>
        </w:rPr>
        <w:t>8.5</w:t>
      </w:r>
      <w:r>
        <w:rPr>
          <w:rFonts w:hint="eastAsia" w:ascii="仿宋_GB2312" w:hAnsi="宋体" w:eastAsia="仿宋_GB2312" w:cs="宋体"/>
          <w:kern w:val="0"/>
          <w:sz w:val="32"/>
          <w:szCs w:val="32"/>
        </w:rPr>
        <w:t>万元；劳务派遣人员经费4</w:t>
      </w:r>
      <w:r>
        <w:rPr>
          <w:rFonts w:ascii="仿宋_GB2312" w:hAnsi="宋体" w:eastAsia="仿宋_GB2312" w:cs="宋体"/>
          <w:kern w:val="0"/>
          <w:sz w:val="32"/>
          <w:szCs w:val="32"/>
        </w:rPr>
        <w:t>4.08</w:t>
      </w:r>
      <w:r>
        <w:rPr>
          <w:rFonts w:hint="eastAsia" w:ascii="仿宋_GB2312" w:hAnsi="宋体" w:eastAsia="仿宋_GB2312" w:cs="宋体"/>
          <w:kern w:val="0"/>
          <w:sz w:val="32"/>
          <w:szCs w:val="32"/>
        </w:rPr>
        <w:t>万元；全区三产限上企业统计工作经费3</w:t>
      </w:r>
      <w:r>
        <w:rPr>
          <w:rFonts w:ascii="仿宋_GB2312" w:hAnsi="宋体" w:eastAsia="仿宋_GB2312" w:cs="宋体"/>
          <w:kern w:val="0"/>
          <w:sz w:val="32"/>
          <w:szCs w:val="32"/>
        </w:rPr>
        <w:t>.84</w:t>
      </w:r>
      <w:r>
        <w:rPr>
          <w:rFonts w:hint="eastAsia" w:ascii="仿宋_GB2312" w:hAnsi="宋体" w:eastAsia="仿宋_GB2312" w:cs="宋体"/>
          <w:kern w:val="0"/>
          <w:sz w:val="32"/>
          <w:szCs w:val="32"/>
        </w:rPr>
        <w:t>万元；失业率调查工作经费1</w:t>
      </w:r>
      <w:r>
        <w:rPr>
          <w:rFonts w:ascii="仿宋_GB2312" w:hAnsi="宋体" w:eastAsia="仿宋_GB2312" w:cs="宋体"/>
          <w:kern w:val="0"/>
          <w:sz w:val="32"/>
          <w:szCs w:val="32"/>
        </w:rPr>
        <w:t>0</w:t>
      </w:r>
      <w:r>
        <w:rPr>
          <w:rFonts w:hint="eastAsia" w:ascii="仿宋_GB2312" w:hAnsi="宋体" w:eastAsia="仿宋_GB2312" w:cs="宋体"/>
          <w:kern w:val="0"/>
          <w:sz w:val="32"/>
          <w:szCs w:val="32"/>
        </w:rPr>
        <w:t>万元；统计年鉴印刷费1</w:t>
      </w:r>
      <w:r>
        <w:rPr>
          <w:rFonts w:ascii="仿宋_GB2312" w:hAnsi="宋体" w:eastAsia="仿宋_GB2312" w:cs="宋体"/>
          <w:kern w:val="0"/>
          <w:sz w:val="32"/>
          <w:szCs w:val="32"/>
        </w:rPr>
        <w:t>.5</w:t>
      </w:r>
      <w:r>
        <w:rPr>
          <w:rFonts w:hint="eastAsia" w:ascii="仿宋_GB2312" w:hAnsi="宋体" w:eastAsia="仿宋_GB2312" w:cs="宋体"/>
          <w:kern w:val="0"/>
          <w:sz w:val="32"/>
          <w:szCs w:val="32"/>
        </w:rPr>
        <w:t>万元；统计业务经费4</w:t>
      </w:r>
      <w:r>
        <w:rPr>
          <w:rFonts w:ascii="仿宋_GB2312" w:hAnsi="宋体" w:eastAsia="仿宋_GB2312" w:cs="宋体"/>
          <w:kern w:val="0"/>
          <w:sz w:val="32"/>
          <w:szCs w:val="32"/>
        </w:rPr>
        <w:t>.5</w:t>
      </w:r>
      <w:r>
        <w:rPr>
          <w:rFonts w:hint="eastAsia" w:ascii="仿宋_GB2312" w:hAnsi="宋体" w:eastAsia="仿宋_GB2312" w:cs="宋体"/>
          <w:kern w:val="0"/>
          <w:sz w:val="32"/>
          <w:szCs w:val="32"/>
        </w:rPr>
        <w:t>万元；统计专网网络防火墙设备更新资金3万元。</w:t>
      </w:r>
    </w:p>
    <w:bookmarkEnd w:id="3"/>
    <w:p w14:paraId="7EE624BA">
      <w:pPr>
        <w:pStyle w:val="9"/>
        <w:ind w:firstLine="640"/>
        <w:rPr>
          <w:rFonts w:ascii="仿宋_GB2312" w:hAnsi="宋体" w:eastAsia="仿宋_GB2312" w:cs="宋体"/>
          <w:kern w:val="0"/>
          <w:sz w:val="32"/>
          <w:szCs w:val="32"/>
        </w:rPr>
      </w:pPr>
      <w:r>
        <w:rPr>
          <w:rFonts w:hint="eastAsia" w:ascii="仿宋_GB2312" w:hAnsi="宋体" w:eastAsia="仿宋_GB2312" w:cs="宋体"/>
          <w:kern w:val="0"/>
          <w:sz w:val="32"/>
          <w:szCs w:val="32"/>
        </w:rPr>
        <w:t>（</w:t>
      </w:r>
      <w:r>
        <w:rPr>
          <w:rFonts w:ascii="仿宋_GB2312" w:hAnsi="宋体" w:eastAsia="仿宋_GB2312" w:cs="宋体"/>
          <w:kern w:val="0"/>
          <w:sz w:val="32"/>
          <w:szCs w:val="32"/>
        </w:rPr>
        <w:t>2</w:t>
      </w:r>
      <w:r>
        <w:rPr>
          <w:rFonts w:hint="eastAsia" w:ascii="仿宋_GB2312" w:hAnsi="宋体" w:eastAsia="仿宋_GB2312" w:cs="宋体"/>
          <w:kern w:val="0"/>
          <w:sz w:val="32"/>
          <w:szCs w:val="32"/>
        </w:rPr>
        <w:t>）决算情况</w:t>
      </w:r>
    </w:p>
    <w:p w14:paraId="5F80EC78">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全年收入为</w:t>
      </w:r>
      <w:r>
        <w:rPr>
          <w:rFonts w:ascii="仿宋" w:hAnsi="仿宋" w:eastAsia="仿宋" w:cs="仿宋"/>
          <w:sz w:val="32"/>
          <w:szCs w:val="32"/>
        </w:rPr>
        <w:t>784.71</w:t>
      </w:r>
      <w:r>
        <w:rPr>
          <w:rFonts w:hint="eastAsia" w:ascii="仿宋" w:hAnsi="仿宋" w:eastAsia="仿宋" w:cs="仿宋"/>
          <w:sz w:val="32"/>
          <w:szCs w:val="32"/>
        </w:rPr>
        <w:t>万元，其中：财政拨款收入</w:t>
      </w:r>
      <w:r>
        <w:rPr>
          <w:rFonts w:ascii="仿宋" w:hAnsi="仿宋" w:eastAsia="仿宋" w:cs="仿宋"/>
          <w:sz w:val="32"/>
          <w:szCs w:val="32"/>
        </w:rPr>
        <w:t>784.71</w:t>
      </w:r>
      <w:r>
        <w:rPr>
          <w:rFonts w:hint="eastAsia" w:ascii="仿宋" w:hAnsi="仿宋" w:eastAsia="仿宋" w:cs="仿宋"/>
          <w:sz w:val="32"/>
          <w:szCs w:val="32"/>
        </w:rPr>
        <w:t>万元。</w:t>
      </w:r>
    </w:p>
    <w:p w14:paraId="3812ADA3">
      <w:pPr>
        <w:adjustRightInd w:val="0"/>
        <w:snapToGrid w:val="0"/>
        <w:spacing w:line="360" w:lineRule="auto"/>
        <w:rPr>
          <w:rFonts w:ascii="仿宋_GB2312" w:hAnsi="宋体" w:eastAsia="仿宋_GB2312" w:cs="宋体"/>
          <w:kern w:val="0"/>
          <w:sz w:val="32"/>
          <w:szCs w:val="32"/>
        </w:rPr>
      </w:pPr>
      <w:r>
        <w:rPr>
          <w:rFonts w:hint="eastAsia" w:ascii="仿宋" w:hAnsi="仿宋" w:eastAsia="仿宋" w:cs="仿宋"/>
          <w:sz w:val="32"/>
          <w:szCs w:val="32"/>
        </w:rPr>
        <w:t>全年支出为</w:t>
      </w:r>
      <w:r>
        <w:rPr>
          <w:rFonts w:ascii="仿宋" w:hAnsi="仿宋" w:eastAsia="仿宋" w:cs="仿宋"/>
          <w:sz w:val="32"/>
          <w:szCs w:val="32"/>
        </w:rPr>
        <w:t>784.71</w:t>
      </w:r>
      <w:r>
        <w:rPr>
          <w:rFonts w:hint="eastAsia" w:ascii="仿宋" w:hAnsi="仿宋" w:eastAsia="仿宋" w:cs="仿宋"/>
          <w:sz w:val="32"/>
          <w:szCs w:val="32"/>
        </w:rPr>
        <w:t>万</w:t>
      </w:r>
      <w:r>
        <w:rPr>
          <w:rFonts w:hint="eastAsia" w:ascii="仿宋" w:hAnsi="仿宋" w:eastAsia="仿宋"/>
          <w:sz w:val="32"/>
          <w:szCs w:val="32"/>
        </w:rPr>
        <w:t>元，其中：基本支出</w:t>
      </w:r>
      <w:r>
        <w:rPr>
          <w:rFonts w:ascii="仿宋" w:hAnsi="仿宋" w:eastAsia="仿宋"/>
          <w:sz w:val="32"/>
          <w:szCs w:val="32"/>
        </w:rPr>
        <w:t>666.22</w:t>
      </w:r>
      <w:r>
        <w:rPr>
          <w:rFonts w:hint="eastAsia" w:ascii="仿宋" w:hAnsi="仿宋" w:eastAsia="仿宋"/>
          <w:sz w:val="32"/>
          <w:szCs w:val="32"/>
        </w:rPr>
        <w:t>万元，占总支出的8</w:t>
      </w:r>
      <w:r>
        <w:rPr>
          <w:rFonts w:ascii="仿宋" w:hAnsi="仿宋" w:eastAsia="仿宋"/>
          <w:sz w:val="32"/>
          <w:szCs w:val="32"/>
        </w:rPr>
        <w:t>4.9%</w:t>
      </w:r>
      <w:r>
        <w:rPr>
          <w:rFonts w:hint="eastAsia" w:ascii="仿宋" w:hAnsi="仿宋" w:eastAsia="仿宋"/>
          <w:sz w:val="32"/>
          <w:szCs w:val="32"/>
        </w:rPr>
        <w:t>，包括人员经费6</w:t>
      </w:r>
      <w:r>
        <w:rPr>
          <w:rFonts w:ascii="仿宋" w:hAnsi="仿宋" w:eastAsia="仿宋"/>
          <w:sz w:val="32"/>
          <w:szCs w:val="32"/>
        </w:rPr>
        <w:t>06.56</w:t>
      </w:r>
      <w:r>
        <w:rPr>
          <w:rFonts w:hint="eastAsia" w:ascii="仿宋" w:hAnsi="仿宋" w:eastAsia="仿宋"/>
          <w:sz w:val="32"/>
          <w:szCs w:val="32"/>
        </w:rPr>
        <w:t>万元，占基本支出的9</w:t>
      </w:r>
      <w:r>
        <w:rPr>
          <w:rFonts w:ascii="仿宋" w:hAnsi="仿宋" w:eastAsia="仿宋"/>
          <w:sz w:val="32"/>
          <w:szCs w:val="32"/>
        </w:rPr>
        <w:t>1.05%</w:t>
      </w:r>
      <w:r>
        <w:rPr>
          <w:rFonts w:hint="eastAsia" w:ascii="仿宋" w:hAnsi="仿宋" w:eastAsia="仿宋"/>
          <w:sz w:val="32"/>
          <w:szCs w:val="32"/>
        </w:rPr>
        <w:t>；日常公用经费5</w:t>
      </w:r>
      <w:r>
        <w:rPr>
          <w:rFonts w:ascii="仿宋" w:hAnsi="仿宋" w:eastAsia="仿宋"/>
          <w:sz w:val="32"/>
          <w:szCs w:val="32"/>
        </w:rPr>
        <w:t>9.66</w:t>
      </w:r>
      <w:r>
        <w:rPr>
          <w:rFonts w:hint="eastAsia" w:ascii="仿宋" w:hAnsi="仿宋" w:eastAsia="仿宋"/>
          <w:sz w:val="32"/>
          <w:szCs w:val="32"/>
        </w:rPr>
        <w:t>万元，占基本支出的8</w:t>
      </w:r>
      <w:r>
        <w:rPr>
          <w:rFonts w:ascii="仿宋" w:hAnsi="仿宋" w:eastAsia="仿宋"/>
          <w:sz w:val="32"/>
          <w:szCs w:val="32"/>
        </w:rPr>
        <w:t>.95%</w:t>
      </w:r>
      <w:r>
        <w:rPr>
          <w:rFonts w:hint="eastAsia" w:ascii="仿宋" w:hAnsi="仿宋" w:eastAsia="仿宋"/>
          <w:sz w:val="32"/>
          <w:szCs w:val="32"/>
        </w:rPr>
        <w:t>；项目支出</w:t>
      </w:r>
      <w:r>
        <w:rPr>
          <w:rFonts w:ascii="仿宋" w:hAnsi="仿宋" w:eastAsia="仿宋"/>
          <w:sz w:val="32"/>
          <w:szCs w:val="32"/>
        </w:rPr>
        <w:t>118.49</w:t>
      </w:r>
      <w:r>
        <w:rPr>
          <w:rFonts w:hint="eastAsia" w:ascii="仿宋" w:hAnsi="仿宋" w:eastAsia="仿宋"/>
          <w:sz w:val="32"/>
          <w:szCs w:val="32"/>
        </w:rPr>
        <w:t>万元，占总支出额1</w:t>
      </w:r>
      <w:r>
        <w:rPr>
          <w:rFonts w:ascii="仿宋" w:hAnsi="仿宋" w:eastAsia="仿宋"/>
          <w:sz w:val="32"/>
          <w:szCs w:val="32"/>
        </w:rPr>
        <w:t>5.1%</w:t>
      </w:r>
      <w:r>
        <w:rPr>
          <w:rFonts w:hint="eastAsia" w:ascii="仿宋" w:hAnsi="仿宋" w:eastAsia="仿宋"/>
          <w:sz w:val="32"/>
          <w:szCs w:val="32"/>
        </w:rPr>
        <w:t>。包括</w:t>
      </w:r>
      <w:bookmarkStart w:id="4" w:name="_Hlk133159736"/>
      <w:r>
        <w:rPr>
          <w:rFonts w:hint="eastAsia" w:ascii="仿宋_GB2312" w:hAnsi="宋体" w:eastAsia="仿宋_GB2312" w:cs="宋体"/>
          <w:kern w:val="0"/>
          <w:sz w:val="32"/>
          <w:szCs w:val="32"/>
        </w:rPr>
        <w:t>第七次全国人口普查经费2万元；调查队业务经费1</w:t>
      </w:r>
      <w:r>
        <w:rPr>
          <w:rFonts w:ascii="仿宋_GB2312" w:hAnsi="宋体" w:eastAsia="仿宋_GB2312" w:cs="宋体"/>
          <w:kern w:val="0"/>
          <w:sz w:val="32"/>
          <w:szCs w:val="32"/>
        </w:rPr>
        <w:t>8.5</w:t>
      </w:r>
      <w:r>
        <w:rPr>
          <w:rFonts w:hint="eastAsia" w:ascii="仿宋_GB2312" w:hAnsi="宋体" w:eastAsia="仿宋_GB2312" w:cs="宋体"/>
          <w:kern w:val="0"/>
          <w:sz w:val="32"/>
          <w:szCs w:val="32"/>
        </w:rPr>
        <w:t>万元；劳务派遣人员经费</w:t>
      </w:r>
      <w:r>
        <w:rPr>
          <w:rFonts w:ascii="仿宋_GB2312" w:hAnsi="宋体" w:eastAsia="仿宋_GB2312" w:cs="宋体"/>
          <w:kern w:val="0"/>
          <w:sz w:val="32"/>
          <w:szCs w:val="32"/>
        </w:rPr>
        <w:t>43.26</w:t>
      </w:r>
      <w:r>
        <w:rPr>
          <w:rFonts w:hint="eastAsia" w:ascii="仿宋_GB2312" w:hAnsi="宋体" w:eastAsia="仿宋_GB2312" w:cs="宋体"/>
          <w:kern w:val="0"/>
          <w:sz w:val="32"/>
          <w:szCs w:val="32"/>
        </w:rPr>
        <w:t>万元；全区三产限上企业统计工作经费3</w:t>
      </w:r>
      <w:r>
        <w:rPr>
          <w:rFonts w:ascii="仿宋_GB2312" w:hAnsi="宋体" w:eastAsia="仿宋_GB2312" w:cs="宋体"/>
          <w:kern w:val="0"/>
          <w:sz w:val="32"/>
          <w:szCs w:val="32"/>
        </w:rPr>
        <w:t>.84</w:t>
      </w:r>
      <w:r>
        <w:rPr>
          <w:rFonts w:hint="eastAsia" w:ascii="仿宋_GB2312" w:hAnsi="宋体" w:eastAsia="仿宋_GB2312" w:cs="宋体"/>
          <w:kern w:val="0"/>
          <w:sz w:val="32"/>
          <w:szCs w:val="32"/>
        </w:rPr>
        <w:t>万元；失业率调查工作经费1</w:t>
      </w:r>
      <w:r>
        <w:rPr>
          <w:rFonts w:ascii="仿宋_GB2312" w:hAnsi="宋体" w:eastAsia="仿宋_GB2312" w:cs="宋体"/>
          <w:kern w:val="0"/>
          <w:sz w:val="32"/>
          <w:szCs w:val="32"/>
        </w:rPr>
        <w:t>0</w:t>
      </w:r>
      <w:r>
        <w:rPr>
          <w:rFonts w:hint="eastAsia" w:ascii="仿宋_GB2312" w:hAnsi="宋体" w:eastAsia="仿宋_GB2312" w:cs="宋体"/>
          <w:kern w:val="0"/>
          <w:sz w:val="32"/>
          <w:szCs w:val="32"/>
        </w:rPr>
        <w:t>万元；统计年鉴印刷费1</w:t>
      </w:r>
      <w:r>
        <w:rPr>
          <w:rFonts w:ascii="仿宋_GB2312" w:hAnsi="宋体" w:eastAsia="仿宋_GB2312" w:cs="宋体"/>
          <w:kern w:val="0"/>
          <w:sz w:val="32"/>
          <w:szCs w:val="32"/>
        </w:rPr>
        <w:t>.5</w:t>
      </w:r>
      <w:r>
        <w:rPr>
          <w:rFonts w:hint="eastAsia" w:ascii="仿宋_GB2312" w:hAnsi="宋体" w:eastAsia="仿宋_GB2312" w:cs="宋体"/>
          <w:kern w:val="0"/>
          <w:sz w:val="32"/>
          <w:szCs w:val="32"/>
        </w:rPr>
        <w:t>万元；统计业务经费4</w:t>
      </w:r>
      <w:r>
        <w:rPr>
          <w:rFonts w:ascii="仿宋_GB2312" w:hAnsi="宋体" w:eastAsia="仿宋_GB2312" w:cs="宋体"/>
          <w:kern w:val="0"/>
          <w:sz w:val="32"/>
          <w:szCs w:val="32"/>
        </w:rPr>
        <w:t>.5</w:t>
      </w:r>
      <w:r>
        <w:rPr>
          <w:rFonts w:hint="eastAsia" w:ascii="仿宋_GB2312" w:hAnsi="宋体" w:eastAsia="仿宋_GB2312" w:cs="宋体"/>
          <w:kern w:val="0"/>
          <w:sz w:val="32"/>
          <w:szCs w:val="32"/>
        </w:rPr>
        <w:t>万元；统计专网网络防火墙设备更新资金</w:t>
      </w:r>
      <w:r>
        <w:rPr>
          <w:rFonts w:ascii="仿宋_GB2312" w:hAnsi="宋体" w:eastAsia="仿宋_GB2312" w:cs="宋体"/>
          <w:kern w:val="0"/>
          <w:sz w:val="32"/>
          <w:szCs w:val="32"/>
        </w:rPr>
        <w:t>2.84</w:t>
      </w:r>
      <w:r>
        <w:rPr>
          <w:rFonts w:hint="eastAsia" w:ascii="仿宋_GB2312" w:hAnsi="宋体" w:eastAsia="仿宋_GB2312" w:cs="宋体"/>
          <w:kern w:val="0"/>
          <w:sz w:val="32"/>
          <w:szCs w:val="32"/>
        </w:rPr>
        <w:t>万元；企业电子统计台账试点工作经费7</w:t>
      </w:r>
      <w:r>
        <w:rPr>
          <w:rFonts w:ascii="仿宋_GB2312" w:hAnsi="宋体" w:eastAsia="仿宋_GB2312" w:cs="宋体"/>
          <w:kern w:val="0"/>
          <w:sz w:val="32"/>
          <w:szCs w:val="32"/>
        </w:rPr>
        <w:t>.5</w:t>
      </w:r>
      <w:r>
        <w:rPr>
          <w:rFonts w:hint="eastAsia" w:ascii="仿宋_GB2312" w:hAnsi="宋体" w:eastAsia="仿宋_GB2312" w:cs="宋体"/>
          <w:kern w:val="0"/>
          <w:sz w:val="32"/>
          <w:szCs w:val="32"/>
        </w:rPr>
        <w:t>万元；第五次全国经济普查试点经费1</w:t>
      </w:r>
      <w:r>
        <w:rPr>
          <w:rFonts w:ascii="仿宋_GB2312" w:hAnsi="宋体" w:eastAsia="仿宋_GB2312" w:cs="宋体"/>
          <w:kern w:val="0"/>
          <w:sz w:val="32"/>
          <w:szCs w:val="32"/>
        </w:rPr>
        <w:t>5</w:t>
      </w:r>
      <w:r>
        <w:rPr>
          <w:rFonts w:hint="eastAsia" w:ascii="仿宋_GB2312" w:hAnsi="宋体" w:eastAsia="仿宋_GB2312" w:cs="宋体"/>
          <w:kern w:val="0"/>
          <w:sz w:val="32"/>
          <w:szCs w:val="32"/>
        </w:rPr>
        <w:t>万元；住户调查大样本轮换工作经费9</w:t>
      </w:r>
      <w:r>
        <w:rPr>
          <w:rFonts w:ascii="仿宋_GB2312" w:hAnsi="宋体" w:eastAsia="仿宋_GB2312" w:cs="宋体"/>
          <w:kern w:val="0"/>
          <w:sz w:val="32"/>
          <w:szCs w:val="32"/>
        </w:rPr>
        <w:t>.55</w:t>
      </w:r>
      <w:r>
        <w:rPr>
          <w:rFonts w:hint="eastAsia" w:ascii="仿宋_GB2312" w:hAnsi="宋体" w:eastAsia="仿宋_GB2312" w:cs="宋体"/>
          <w:kern w:val="0"/>
          <w:sz w:val="32"/>
          <w:szCs w:val="32"/>
        </w:rPr>
        <w:t>万元。</w:t>
      </w:r>
    </w:p>
    <w:bookmarkEnd w:id="4"/>
    <w:p w14:paraId="6205CEAD">
      <w:pPr>
        <w:snapToGrid w:val="0"/>
        <w:spacing w:line="560" w:lineRule="exact"/>
        <w:rPr>
          <w:rFonts w:ascii="仿宋" w:hAnsi="仿宋" w:eastAsia="仿宋" w:cs="仿宋"/>
          <w:sz w:val="32"/>
          <w:szCs w:val="32"/>
        </w:rPr>
      </w:pPr>
    </w:p>
    <w:p w14:paraId="1048EF23">
      <w:pPr>
        <w:adjustRightInd w:val="0"/>
        <w:snapToGrid w:val="0"/>
        <w:spacing w:line="360" w:lineRule="auto"/>
        <w:ind w:firstLine="640" w:firstLineChars="200"/>
        <w:rPr>
          <w:rFonts w:ascii="仿宋_GB2312" w:hAnsi="宋体" w:eastAsia="仿宋_GB2312" w:cs="宋体"/>
          <w:kern w:val="0"/>
          <w:sz w:val="32"/>
          <w:szCs w:val="32"/>
        </w:rPr>
      </w:pPr>
      <w:r>
        <w:rPr>
          <w:rFonts w:ascii="仿宋" w:hAnsi="仿宋" w:eastAsia="仿宋" w:cs="仿宋"/>
          <w:sz w:val="32"/>
          <w:szCs w:val="32"/>
        </w:rPr>
        <w:t>5</w:t>
      </w:r>
      <w:r>
        <w:rPr>
          <w:rFonts w:hint="eastAsia" w:ascii="仿宋" w:hAnsi="仿宋" w:eastAsia="仿宋" w:cs="仿宋"/>
          <w:sz w:val="32"/>
          <w:szCs w:val="32"/>
        </w:rPr>
        <w:t>、部门</w:t>
      </w:r>
      <w:r>
        <w:rPr>
          <w:rFonts w:hint="eastAsia" w:ascii="仿宋_GB2312" w:hAnsi="宋体" w:eastAsia="仿宋_GB2312" w:cs="宋体"/>
          <w:kern w:val="0"/>
          <w:sz w:val="32"/>
          <w:szCs w:val="32"/>
        </w:rPr>
        <w:t>整体支出绩效目标指标情况</w:t>
      </w:r>
    </w:p>
    <w:p w14:paraId="5E0B972F">
      <w:pPr>
        <w:pStyle w:val="12"/>
        <w:autoSpaceDE w:val="0"/>
        <w:autoSpaceDN w:val="0"/>
        <w:adjustRightInd w:val="0"/>
        <w:ind w:firstLine="640"/>
        <w:jc w:val="left"/>
        <w:rPr>
          <w:rFonts w:ascii="仿宋_GB2312" w:hAnsi="仿宋_GB2312" w:eastAsia="仿宋_GB2312" w:cs="仿宋_GB2312"/>
          <w:sz w:val="32"/>
          <w:szCs w:val="32"/>
        </w:rPr>
      </w:pPr>
      <w:r>
        <w:rPr>
          <w:rFonts w:hint="eastAsia" w:eastAsia="仿宋"/>
          <w:sz w:val="32"/>
          <w:szCs w:val="32"/>
        </w:rPr>
        <w:t>202</w:t>
      </w:r>
      <w:r>
        <w:rPr>
          <w:rFonts w:eastAsia="仿宋"/>
          <w:sz w:val="32"/>
          <w:szCs w:val="32"/>
        </w:rPr>
        <w:t>2</w:t>
      </w:r>
      <w:r>
        <w:rPr>
          <w:rFonts w:hint="eastAsia" w:eastAsia="仿宋"/>
          <w:sz w:val="32"/>
          <w:szCs w:val="32"/>
        </w:rPr>
        <w:t>年，继续全面贯彻落实区委、区政府决策部署和国家、省、市统计局工作要求，守好为国调查、为民服务的初心，担好实事求是、不出假数的使命，进一步加强和改进统计工作，不断提高统计能力、数据质量和服务水平，为推动创新发展、绿色发展、高质量发展提供优质统计服务，以统计事业改革进步的实际成效，为全区</w:t>
      </w:r>
      <w:r>
        <w:rPr>
          <w:rFonts w:hint="eastAsia" w:ascii="仿宋_GB2312" w:hAnsi="仿宋_GB2312" w:eastAsia="仿宋_GB2312" w:cs="仿宋_GB2312"/>
          <w:sz w:val="32"/>
          <w:szCs w:val="32"/>
        </w:rPr>
        <w:t>高质量发展贡献统计智慧和力量。一是完成全区年度、季度数据及各乡镇年度数据的测算审核认定工作，统计信息上报量不少于8篇；二是完成第七次全国人口普查资料开发等工作；三是组织开展农业统计与产业化、企业创新、服务业统计、工业统计、能源统计、投资统计、城乡住户一体化、产粮大县等专项统计调查工作。</w:t>
      </w:r>
    </w:p>
    <w:p w14:paraId="1B9D3127">
      <w:pPr>
        <w:numPr>
          <w:ilvl w:val="0"/>
          <w:numId w:val="1"/>
        </w:numPr>
        <w:snapToGrid w:val="0"/>
        <w:spacing w:line="560" w:lineRule="exact"/>
        <w:ind w:firstLine="640" w:firstLineChars="200"/>
        <w:jc w:val="left"/>
        <w:rPr>
          <w:rFonts w:ascii="黑体" w:hAnsi="黑体" w:eastAsia="黑体" w:cs="黑体"/>
          <w:sz w:val="32"/>
          <w:szCs w:val="32"/>
        </w:rPr>
      </w:pPr>
      <w:r>
        <w:rPr>
          <w:rFonts w:hint="eastAsia" w:ascii="黑体" w:hAnsi="黑体" w:eastAsia="黑体" w:cs="黑体"/>
          <w:sz w:val="32"/>
          <w:szCs w:val="32"/>
        </w:rPr>
        <w:t>绩效自评工作开展情况</w:t>
      </w:r>
    </w:p>
    <w:p w14:paraId="179A1368">
      <w:pPr>
        <w:pStyle w:val="9"/>
        <w:tabs>
          <w:tab w:val="left" w:pos="1357"/>
        </w:tabs>
        <w:ind w:firstLine="640"/>
        <w:jc w:val="left"/>
        <w:rPr>
          <w:rFonts w:ascii="仿宋" w:hAnsi="仿宋" w:eastAsia="仿宋" w:cs="仿宋"/>
          <w:sz w:val="32"/>
          <w:szCs w:val="32"/>
        </w:rPr>
      </w:pPr>
      <w:r>
        <w:rPr>
          <w:rFonts w:hint="eastAsia" w:ascii="仿宋" w:hAnsi="仿宋" w:eastAsia="仿宋" w:cs="仿宋"/>
          <w:sz w:val="32"/>
          <w:szCs w:val="32"/>
        </w:rPr>
        <w:t>（一）自评的组织工作</w:t>
      </w:r>
    </w:p>
    <w:p w14:paraId="1F9787F5">
      <w:pPr>
        <w:ind w:firstLine="640" w:firstLineChars="200"/>
        <w:jc w:val="left"/>
        <w:rPr>
          <w:rFonts w:ascii="仿宋" w:hAnsi="仿宋" w:eastAsia="仿宋" w:cs="仿宋"/>
          <w:sz w:val="32"/>
          <w:szCs w:val="32"/>
        </w:rPr>
      </w:pPr>
      <w:r>
        <w:rPr>
          <w:rFonts w:hint="eastAsia" w:ascii="仿宋" w:hAnsi="仿宋" w:eastAsia="仿宋" w:cs="仿宋"/>
          <w:sz w:val="32"/>
          <w:szCs w:val="32"/>
        </w:rPr>
        <w:t>为深入贯彻落实中共中央、国务院《关于全面实施预算绩效管理的意见》文件精神,根据石家庄市财政局《石家庄市市级部门预算绩效管理工作考核办法（试行）》的通知精神，强化预算支出责任，提高财政资金支出绩效，我部门严格对照预算文本中制定的部门整体绩效目标，提早部署、分解任务、压实责任、严肃考评。按照《藁城区财政局关于开展2023年专项项目绩效自评工作的通知》要求，我部门高度重视绩效自评工作，成立了绩效评估工作小组，由区统计局局长边利伟同志任组长，区统计局副局长郭立军、普查中心主任蒲永坡，四级调研员崔荣华担任副组长，办公室主任郝华君、项目涉及科室股长和财务人员李秀华为小组成员，对2022年我部门的1</w:t>
      </w:r>
      <w:r>
        <w:rPr>
          <w:rFonts w:ascii="仿宋" w:hAnsi="仿宋" w:eastAsia="仿宋" w:cs="仿宋"/>
          <w:sz w:val="32"/>
          <w:szCs w:val="32"/>
        </w:rPr>
        <w:t>1</w:t>
      </w:r>
      <w:r>
        <w:rPr>
          <w:rFonts w:hint="eastAsia" w:ascii="仿宋" w:hAnsi="仿宋" w:eastAsia="仿宋" w:cs="仿宋"/>
          <w:sz w:val="32"/>
          <w:szCs w:val="32"/>
        </w:rPr>
        <w:t>个项目进行绩效自评。</w:t>
      </w:r>
    </w:p>
    <w:p w14:paraId="69CEDAA4">
      <w:pPr>
        <w:pStyle w:val="9"/>
        <w:numPr>
          <w:ilvl w:val="0"/>
          <w:numId w:val="3"/>
        </w:numPr>
        <w:ind w:firstLineChars="0"/>
        <w:rPr>
          <w:rFonts w:ascii="宋体" w:hAnsi="宋体"/>
          <w:sz w:val="24"/>
        </w:rPr>
      </w:pPr>
      <w:r>
        <w:rPr>
          <w:rFonts w:hint="eastAsia" w:ascii="仿宋" w:hAnsi="仿宋" w:eastAsia="仿宋" w:cs="仿宋"/>
          <w:sz w:val="32"/>
          <w:szCs w:val="32"/>
        </w:rPr>
        <w:t>自评的方法和过程</w:t>
      </w:r>
    </w:p>
    <w:p w14:paraId="6FF9A60B">
      <w:pPr>
        <w:ind w:firstLine="640" w:firstLineChars="200"/>
        <w:jc w:val="left"/>
        <w:rPr>
          <w:rFonts w:ascii="仿宋" w:hAnsi="仿宋" w:eastAsia="仿宋" w:cs="仿宋"/>
          <w:sz w:val="32"/>
          <w:szCs w:val="32"/>
        </w:rPr>
      </w:pPr>
      <w:r>
        <w:rPr>
          <w:rFonts w:hint="eastAsia" w:ascii="仿宋" w:hAnsi="仿宋" w:eastAsia="仿宋" w:cs="仿宋"/>
          <w:sz w:val="32"/>
          <w:szCs w:val="32"/>
        </w:rPr>
        <w:t>我部门自评小组在自评工作开展过程中多次召开专题会议，认真学习，掌握评价内容及方法，对照各实施项目的内容逐条逐项自评，将年度绩效指标分解到具体完成的工作中进行评价。通过对收集、整理项目实施材料，财务提交的真实、准确的各种报表，由项目负责人介绍项目预期绩效目标及具体实施取得的实际效果，评价小组成员集中实地检查、核实佐证材料进行评价，绩效自评覆盖率达到了100% 。在评价过程中科学制定指标体系，绩效指标权重按照各个评价对象的实际情况确定，总分设定为100分。原则上一级指标权重统一设置为:产出指标40分（包含数量、质量、时效、成本)、预算执行率指标10分、效益指标40分（包含经济效益、社会效益、生态效益、可持续影响)、满意度指标10 分，若被评价项目不涉及服务对象满意度内容或因服务对象满意度获取难度较大、成本较高而未能获取，则服务对象满意度的10分调入绩效考核事项。二、三级指标所占权重应当根据指标重要程度、项目实施阶段等因素综合确定，准确反映预算项目的产出和效果。同类评价对象的指标权重设置应当基本一致，便于评价结果相互比较。通过部门项目绩效自评小组集中评审，我部门开展的项目评价等级均达到优。</w:t>
      </w:r>
    </w:p>
    <w:p w14:paraId="7C960335">
      <w:pPr>
        <w:numPr>
          <w:ilvl w:val="0"/>
          <w:numId w:val="4"/>
        </w:numPr>
        <w:snapToGrid w:val="0"/>
        <w:spacing w:line="560" w:lineRule="exact"/>
        <w:ind w:firstLine="640"/>
        <w:jc w:val="left"/>
        <w:rPr>
          <w:rFonts w:ascii="黑体" w:hAnsi="黑体" w:eastAsia="黑体" w:cs="黑体"/>
          <w:sz w:val="32"/>
          <w:szCs w:val="32"/>
        </w:rPr>
      </w:pPr>
      <w:r>
        <w:rPr>
          <w:rFonts w:hint="eastAsia" w:ascii="黑体" w:hAnsi="黑体" w:eastAsia="黑体" w:cs="黑体"/>
          <w:sz w:val="32"/>
          <w:szCs w:val="32"/>
        </w:rPr>
        <w:t>部门整体支出绩效目标实现情况及指标分析</w:t>
      </w:r>
    </w:p>
    <w:p w14:paraId="6A2AEAE4">
      <w:pPr>
        <w:pStyle w:val="9"/>
        <w:numPr>
          <w:ilvl w:val="0"/>
          <w:numId w:val="5"/>
        </w:numPr>
        <w:ind w:firstLine="640"/>
        <w:rPr>
          <w:rFonts w:ascii="仿宋" w:hAnsi="仿宋" w:eastAsia="仿宋" w:cs="仿宋"/>
          <w:sz w:val="32"/>
          <w:szCs w:val="32"/>
        </w:rPr>
      </w:pPr>
      <w:r>
        <w:rPr>
          <w:rFonts w:hint="eastAsia" w:ascii="仿宋" w:hAnsi="仿宋" w:eastAsia="仿宋" w:cs="仿宋"/>
          <w:sz w:val="32"/>
          <w:szCs w:val="32"/>
        </w:rPr>
        <w:t>总体绩效目标实现情况</w:t>
      </w:r>
    </w:p>
    <w:p w14:paraId="1CD30835">
      <w:pPr>
        <w:adjustRightInd w:val="0"/>
        <w:snapToGrid w:val="0"/>
        <w:spacing w:line="360" w:lineRule="auto"/>
        <w:ind w:firstLine="640" w:firstLineChars="200"/>
        <w:rPr>
          <w:rFonts w:ascii="仿宋_GB2312" w:hAnsi="宋体" w:eastAsia="仿宋_GB2312" w:cs="宋体"/>
          <w:kern w:val="0"/>
          <w:sz w:val="32"/>
          <w:szCs w:val="32"/>
        </w:rPr>
      </w:pPr>
      <w:r>
        <w:rPr>
          <w:rFonts w:hint="eastAsia" w:ascii="仿宋_GB2312" w:hAnsi="仿宋_GB2312" w:eastAsia="仿宋_GB2312" w:cs="宋体"/>
          <w:sz w:val="32"/>
          <w:szCs w:val="32"/>
        </w:rPr>
        <w:t>202</w:t>
      </w:r>
      <w:r>
        <w:rPr>
          <w:rFonts w:ascii="仿宋_GB2312" w:hAnsi="仿宋_GB2312" w:eastAsia="仿宋_GB2312" w:cs="宋体"/>
          <w:sz w:val="32"/>
          <w:szCs w:val="32"/>
        </w:rPr>
        <w:t>2</w:t>
      </w:r>
      <w:r>
        <w:rPr>
          <w:rFonts w:hint="eastAsia" w:ascii="仿宋_GB2312" w:hAnsi="仿宋_GB2312" w:eastAsia="仿宋_GB2312" w:cs="宋体"/>
          <w:sz w:val="32"/>
          <w:szCs w:val="32"/>
        </w:rPr>
        <w:t>年度我部门共有1</w:t>
      </w:r>
      <w:r>
        <w:rPr>
          <w:rFonts w:ascii="仿宋_GB2312" w:hAnsi="仿宋_GB2312" w:eastAsia="仿宋_GB2312" w:cs="宋体"/>
          <w:sz w:val="32"/>
          <w:szCs w:val="32"/>
        </w:rPr>
        <w:t>1</w:t>
      </w:r>
      <w:r>
        <w:rPr>
          <w:rFonts w:hint="eastAsia" w:ascii="仿宋_GB2312" w:hAnsi="仿宋_GB2312" w:eastAsia="仿宋_GB2312" w:cs="宋体"/>
          <w:sz w:val="32"/>
          <w:szCs w:val="32"/>
        </w:rPr>
        <w:t>个项目</w:t>
      </w:r>
      <w:r>
        <w:rPr>
          <w:rFonts w:ascii="仿宋_GB2312" w:hAnsi="仿宋_GB2312" w:eastAsia="仿宋_GB2312" w:cs="宋体"/>
          <w:sz w:val="32"/>
          <w:szCs w:val="32"/>
        </w:rPr>
        <w:t>，具体为：</w:t>
      </w:r>
      <w:r>
        <w:rPr>
          <w:rFonts w:hint="eastAsia" w:ascii="仿宋_GB2312" w:hAnsi="宋体" w:eastAsia="仿宋_GB2312" w:cs="宋体"/>
          <w:kern w:val="0"/>
          <w:sz w:val="32"/>
          <w:szCs w:val="32"/>
        </w:rPr>
        <w:t>第七次全国人口普查经费2万元；调查队业务经费1</w:t>
      </w:r>
      <w:r>
        <w:rPr>
          <w:rFonts w:ascii="仿宋_GB2312" w:hAnsi="宋体" w:eastAsia="仿宋_GB2312" w:cs="宋体"/>
          <w:kern w:val="0"/>
          <w:sz w:val="32"/>
          <w:szCs w:val="32"/>
        </w:rPr>
        <w:t>8.5</w:t>
      </w:r>
      <w:r>
        <w:rPr>
          <w:rFonts w:hint="eastAsia" w:ascii="仿宋_GB2312" w:hAnsi="宋体" w:eastAsia="仿宋_GB2312" w:cs="宋体"/>
          <w:kern w:val="0"/>
          <w:sz w:val="32"/>
          <w:szCs w:val="32"/>
        </w:rPr>
        <w:t>万元；劳务派遣人员经费</w:t>
      </w:r>
      <w:r>
        <w:rPr>
          <w:rFonts w:ascii="仿宋_GB2312" w:hAnsi="宋体" w:eastAsia="仿宋_GB2312" w:cs="宋体"/>
          <w:kern w:val="0"/>
          <w:sz w:val="32"/>
          <w:szCs w:val="32"/>
        </w:rPr>
        <w:t>43.26</w:t>
      </w:r>
      <w:r>
        <w:rPr>
          <w:rFonts w:hint="eastAsia" w:ascii="仿宋_GB2312" w:hAnsi="宋体" w:eastAsia="仿宋_GB2312" w:cs="宋体"/>
          <w:kern w:val="0"/>
          <w:sz w:val="32"/>
          <w:szCs w:val="32"/>
        </w:rPr>
        <w:t>万元；全区三产限上企业统计工作经费3</w:t>
      </w:r>
      <w:r>
        <w:rPr>
          <w:rFonts w:ascii="仿宋_GB2312" w:hAnsi="宋体" w:eastAsia="仿宋_GB2312" w:cs="宋体"/>
          <w:kern w:val="0"/>
          <w:sz w:val="32"/>
          <w:szCs w:val="32"/>
        </w:rPr>
        <w:t>.84</w:t>
      </w:r>
      <w:r>
        <w:rPr>
          <w:rFonts w:hint="eastAsia" w:ascii="仿宋_GB2312" w:hAnsi="宋体" w:eastAsia="仿宋_GB2312" w:cs="宋体"/>
          <w:kern w:val="0"/>
          <w:sz w:val="32"/>
          <w:szCs w:val="32"/>
        </w:rPr>
        <w:t>万元；失业率调查工作经费1</w:t>
      </w:r>
      <w:r>
        <w:rPr>
          <w:rFonts w:ascii="仿宋_GB2312" w:hAnsi="宋体" w:eastAsia="仿宋_GB2312" w:cs="宋体"/>
          <w:kern w:val="0"/>
          <w:sz w:val="32"/>
          <w:szCs w:val="32"/>
        </w:rPr>
        <w:t>0</w:t>
      </w:r>
      <w:r>
        <w:rPr>
          <w:rFonts w:hint="eastAsia" w:ascii="仿宋_GB2312" w:hAnsi="宋体" w:eastAsia="仿宋_GB2312" w:cs="宋体"/>
          <w:kern w:val="0"/>
          <w:sz w:val="32"/>
          <w:szCs w:val="32"/>
        </w:rPr>
        <w:t>万元；统计年鉴印刷费1</w:t>
      </w:r>
      <w:r>
        <w:rPr>
          <w:rFonts w:ascii="仿宋_GB2312" w:hAnsi="宋体" w:eastAsia="仿宋_GB2312" w:cs="宋体"/>
          <w:kern w:val="0"/>
          <w:sz w:val="32"/>
          <w:szCs w:val="32"/>
        </w:rPr>
        <w:t>.5</w:t>
      </w:r>
      <w:r>
        <w:rPr>
          <w:rFonts w:hint="eastAsia" w:ascii="仿宋_GB2312" w:hAnsi="宋体" w:eastAsia="仿宋_GB2312" w:cs="宋体"/>
          <w:kern w:val="0"/>
          <w:sz w:val="32"/>
          <w:szCs w:val="32"/>
        </w:rPr>
        <w:t>万元；统计业务经费4</w:t>
      </w:r>
      <w:r>
        <w:rPr>
          <w:rFonts w:ascii="仿宋_GB2312" w:hAnsi="宋体" w:eastAsia="仿宋_GB2312" w:cs="宋体"/>
          <w:kern w:val="0"/>
          <w:sz w:val="32"/>
          <w:szCs w:val="32"/>
        </w:rPr>
        <w:t>.5</w:t>
      </w:r>
      <w:r>
        <w:rPr>
          <w:rFonts w:hint="eastAsia" w:ascii="仿宋_GB2312" w:hAnsi="宋体" w:eastAsia="仿宋_GB2312" w:cs="宋体"/>
          <w:kern w:val="0"/>
          <w:sz w:val="32"/>
          <w:szCs w:val="32"/>
        </w:rPr>
        <w:t>万元；统计专网网络防火墙设备更新资金</w:t>
      </w:r>
      <w:r>
        <w:rPr>
          <w:rFonts w:ascii="仿宋_GB2312" w:hAnsi="宋体" w:eastAsia="仿宋_GB2312" w:cs="宋体"/>
          <w:kern w:val="0"/>
          <w:sz w:val="32"/>
          <w:szCs w:val="32"/>
        </w:rPr>
        <w:t>2.84</w:t>
      </w:r>
      <w:r>
        <w:rPr>
          <w:rFonts w:hint="eastAsia" w:ascii="仿宋_GB2312" w:hAnsi="宋体" w:eastAsia="仿宋_GB2312" w:cs="宋体"/>
          <w:kern w:val="0"/>
          <w:sz w:val="32"/>
          <w:szCs w:val="32"/>
        </w:rPr>
        <w:t>万元；企业电子统计台账试点工作经费7</w:t>
      </w:r>
      <w:r>
        <w:rPr>
          <w:rFonts w:ascii="仿宋_GB2312" w:hAnsi="宋体" w:eastAsia="仿宋_GB2312" w:cs="宋体"/>
          <w:kern w:val="0"/>
          <w:sz w:val="32"/>
          <w:szCs w:val="32"/>
        </w:rPr>
        <w:t>.5</w:t>
      </w:r>
      <w:r>
        <w:rPr>
          <w:rFonts w:hint="eastAsia" w:ascii="仿宋_GB2312" w:hAnsi="宋体" w:eastAsia="仿宋_GB2312" w:cs="宋体"/>
          <w:kern w:val="0"/>
          <w:sz w:val="32"/>
          <w:szCs w:val="32"/>
        </w:rPr>
        <w:t>万元；第五次全国经济普查试点经费1</w:t>
      </w:r>
      <w:r>
        <w:rPr>
          <w:rFonts w:ascii="仿宋_GB2312" w:hAnsi="宋体" w:eastAsia="仿宋_GB2312" w:cs="宋体"/>
          <w:kern w:val="0"/>
          <w:sz w:val="32"/>
          <w:szCs w:val="32"/>
        </w:rPr>
        <w:t>5</w:t>
      </w:r>
      <w:r>
        <w:rPr>
          <w:rFonts w:hint="eastAsia" w:ascii="仿宋_GB2312" w:hAnsi="宋体" w:eastAsia="仿宋_GB2312" w:cs="宋体"/>
          <w:kern w:val="0"/>
          <w:sz w:val="32"/>
          <w:szCs w:val="32"/>
        </w:rPr>
        <w:t>万元；住户调查大样本轮换工作经费9</w:t>
      </w:r>
      <w:r>
        <w:rPr>
          <w:rFonts w:ascii="仿宋_GB2312" w:hAnsi="宋体" w:eastAsia="仿宋_GB2312" w:cs="宋体"/>
          <w:kern w:val="0"/>
          <w:sz w:val="32"/>
          <w:szCs w:val="32"/>
        </w:rPr>
        <w:t>.55</w:t>
      </w:r>
      <w:r>
        <w:rPr>
          <w:rFonts w:hint="eastAsia" w:ascii="仿宋_GB2312" w:hAnsi="宋体" w:eastAsia="仿宋_GB2312" w:cs="宋体"/>
          <w:kern w:val="0"/>
          <w:sz w:val="32"/>
          <w:szCs w:val="32"/>
        </w:rPr>
        <w:t>万元。</w:t>
      </w:r>
      <w:r>
        <w:rPr>
          <w:rFonts w:ascii="仿宋_GB2312" w:hAnsi="仿宋_GB2312" w:eastAsia="仿宋_GB2312" w:cs="宋体"/>
          <w:sz w:val="32"/>
          <w:szCs w:val="32"/>
        </w:rPr>
        <w:t>每个项目目标完成情况的总体完成率均为</w:t>
      </w:r>
      <w:r>
        <w:rPr>
          <w:rFonts w:hint="eastAsia" w:ascii="仿宋_GB2312" w:hAnsi="仿宋_GB2312" w:eastAsia="仿宋_GB2312" w:cs="宋体"/>
          <w:sz w:val="32"/>
          <w:szCs w:val="32"/>
        </w:rPr>
        <w:t>100%；根据项目产出指标、效益指标、满意度指标的平分结果，评价等级均为优。</w:t>
      </w:r>
    </w:p>
    <w:p w14:paraId="75ED0D32">
      <w:pPr>
        <w:pStyle w:val="9"/>
        <w:numPr>
          <w:ilvl w:val="0"/>
          <w:numId w:val="5"/>
        </w:num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分项绩效目标实现情况</w:t>
      </w:r>
    </w:p>
    <w:p w14:paraId="07828666">
      <w:pPr>
        <w:spacing w:line="560" w:lineRule="exact"/>
        <w:ind w:firstLine="960" w:firstLineChars="300"/>
        <w:rPr>
          <w:rFonts w:ascii="仿宋" w:hAnsi="仿宋" w:eastAsia="仿宋" w:cs="楷体"/>
          <w:bCs/>
          <w:sz w:val="32"/>
          <w:szCs w:val="32"/>
        </w:rPr>
      </w:pPr>
      <w:bookmarkStart w:id="5" w:name="_Hlk133161154"/>
      <w:r>
        <w:rPr>
          <w:rFonts w:hint="eastAsia" w:ascii="仿宋" w:hAnsi="仿宋" w:eastAsia="仿宋" w:cs="楷体"/>
          <w:bCs/>
          <w:sz w:val="32"/>
          <w:szCs w:val="32"/>
        </w:rPr>
        <w:t>1、主要经济指标完成情况</w:t>
      </w:r>
    </w:p>
    <w:p w14:paraId="781E5472">
      <w:pPr>
        <w:pStyle w:val="12"/>
        <w:spacing w:line="560" w:lineRule="exact"/>
        <w:ind w:left="420" w:firstLine="640"/>
        <w:rPr>
          <w:rFonts w:ascii="仿宋" w:hAnsi="仿宋" w:eastAsia="仿宋" w:cs="仿宋"/>
          <w:sz w:val="32"/>
          <w:szCs w:val="32"/>
        </w:rPr>
      </w:pPr>
      <w:r>
        <w:rPr>
          <w:rFonts w:ascii="仿宋" w:hAnsi="仿宋" w:eastAsia="仿宋" w:cs="仿宋"/>
          <w:sz w:val="32"/>
          <w:szCs w:val="32"/>
        </w:rPr>
        <w:t>2022</w:t>
      </w:r>
      <w:r>
        <w:rPr>
          <w:rFonts w:hint="eastAsia" w:ascii="仿宋" w:hAnsi="仿宋" w:eastAsia="仿宋" w:cs="仿宋"/>
          <w:sz w:val="32"/>
          <w:szCs w:val="32"/>
        </w:rPr>
        <w:t>年全区地区生产总值</w:t>
      </w:r>
      <w:r>
        <w:rPr>
          <w:rFonts w:ascii="仿宋" w:hAnsi="仿宋" w:eastAsia="仿宋" w:cs="仿宋"/>
          <w:sz w:val="32"/>
          <w:szCs w:val="32"/>
        </w:rPr>
        <w:t>574.16</w:t>
      </w:r>
      <w:r>
        <w:rPr>
          <w:rFonts w:hint="eastAsia" w:ascii="仿宋" w:hAnsi="仿宋" w:eastAsia="仿宋" w:cs="仿宋"/>
          <w:sz w:val="32"/>
          <w:szCs w:val="32"/>
        </w:rPr>
        <w:t>亿元，增速为</w:t>
      </w:r>
      <w:r>
        <w:rPr>
          <w:rFonts w:ascii="仿宋" w:hAnsi="仿宋" w:eastAsia="仿宋" w:cs="仿宋"/>
          <w:sz w:val="32"/>
          <w:szCs w:val="32"/>
        </w:rPr>
        <w:t>7.8</w:t>
      </w:r>
      <w:r>
        <w:rPr>
          <w:rFonts w:hint="eastAsia" w:ascii="仿宋" w:hAnsi="仿宋" w:eastAsia="仿宋" w:cs="仿宋"/>
          <w:sz w:val="32"/>
          <w:szCs w:val="32"/>
        </w:rPr>
        <w:t>%；规模以上工业增加值完成</w:t>
      </w:r>
      <w:r>
        <w:rPr>
          <w:rFonts w:ascii="仿宋" w:hAnsi="仿宋" w:eastAsia="仿宋" w:cs="仿宋"/>
          <w:sz w:val="32"/>
          <w:szCs w:val="32"/>
        </w:rPr>
        <w:t>277.85</w:t>
      </w:r>
      <w:r>
        <w:rPr>
          <w:rFonts w:hint="eastAsia" w:ascii="仿宋" w:hAnsi="仿宋" w:eastAsia="仿宋" w:cs="仿宋"/>
          <w:sz w:val="32"/>
          <w:szCs w:val="32"/>
        </w:rPr>
        <w:t>亿元，同比增长</w:t>
      </w:r>
      <w:r>
        <w:rPr>
          <w:rFonts w:ascii="仿宋" w:hAnsi="仿宋" w:eastAsia="仿宋" w:cs="仿宋"/>
          <w:sz w:val="32"/>
          <w:szCs w:val="32"/>
        </w:rPr>
        <w:t>10.7</w:t>
      </w:r>
      <w:r>
        <w:rPr>
          <w:rFonts w:hint="eastAsia" w:ascii="仿宋" w:hAnsi="仿宋" w:eastAsia="仿宋" w:cs="仿宋"/>
          <w:sz w:val="32"/>
          <w:szCs w:val="32"/>
        </w:rPr>
        <w:t>％；规模以上高新技术增加值完成</w:t>
      </w:r>
      <w:r>
        <w:rPr>
          <w:rFonts w:ascii="仿宋" w:hAnsi="仿宋" w:eastAsia="仿宋" w:cs="仿宋"/>
          <w:sz w:val="32"/>
          <w:szCs w:val="32"/>
        </w:rPr>
        <w:t>127.54</w:t>
      </w:r>
      <w:r>
        <w:rPr>
          <w:rFonts w:hint="eastAsia" w:ascii="仿宋" w:hAnsi="仿宋" w:eastAsia="仿宋" w:cs="仿宋"/>
          <w:sz w:val="32"/>
          <w:szCs w:val="32"/>
        </w:rPr>
        <w:t>亿元，同比增长</w:t>
      </w:r>
      <w:r>
        <w:rPr>
          <w:rFonts w:ascii="仿宋" w:hAnsi="仿宋" w:eastAsia="仿宋" w:cs="仿宋"/>
          <w:sz w:val="32"/>
          <w:szCs w:val="32"/>
        </w:rPr>
        <w:t>10.7</w:t>
      </w:r>
      <w:r>
        <w:rPr>
          <w:rFonts w:hint="eastAsia" w:ascii="仿宋" w:hAnsi="仿宋" w:eastAsia="仿宋" w:cs="仿宋"/>
          <w:sz w:val="32"/>
          <w:szCs w:val="32"/>
        </w:rPr>
        <w:t>%；固定资产投资完成</w:t>
      </w:r>
      <w:r>
        <w:rPr>
          <w:rFonts w:ascii="仿宋" w:hAnsi="仿宋" w:eastAsia="仿宋" w:cs="仿宋"/>
          <w:sz w:val="32"/>
          <w:szCs w:val="32"/>
        </w:rPr>
        <w:t>189.25</w:t>
      </w:r>
      <w:r>
        <w:rPr>
          <w:rFonts w:hint="eastAsia" w:ascii="仿宋" w:hAnsi="仿宋" w:eastAsia="仿宋" w:cs="仿宋"/>
          <w:sz w:val="32"/>
          <w:szCs w:val="32"/>
        </w:rPr>
        <w:t>亿元，同比增长</w:t>
      </w:r>
      <w:r>
        <w:rPr>
          <w:rFonts w:ascii="仿宋" w:hAnsi="仿宋" w:eastAsia="仿宋" w:cs="仿宋"/>
          <w:sz w:val="32"/>
          <w:szCs w:val="32"/>
        </w:rPr>
        <w:t>10.6</w:t>
      </w:r>
      <w:r>
        <w:rPr>
          <w:rFonts w:hint="eastAsia" w:ascii="仿宋" w:hAnsi="仿宋" w:eastAsia="仿宋" w:cs="仿宋"/>
          <w:sz w:val="32"/>
          <w:szCs w:val="32"/>
        </w:rPr>
        <w:t>%；限上企业零售额完成</w:t>
      </w:r>
      <w:r>
        <w:rPr>
          <w:rFonts w:ascii="仿宋" w:hAnsi="仿宋" w:eastAsia="仿宋" w:cs="仿宋"/>
          <w:sz w:val="32"/>
          <w:szCs w:val="32"/>
        </w:rPr>
        <w:t>17.13</w:t>
      </w:r>
      <w:r>
        <w:rPr>
          <w:rFonts w:hint="eastAsia" w:ascii="仿宋" w:hAnsi="仿宋" w:eastAsia="仿宋" w:cs="仿宋"/>
          <w:sz w:val="32"/>
          <w:szCs w:val="32"/>
        </w:rPr>
        <w:t>亿元，同比增长</w:t>
      </w:r>
      <w:r>
        <w:rPr>
          <w:rFonts w:ascii="仿宋" w:hAnsi="仿宋" w:eastAsia="仿宋" w:cs="仿宋"/>
          <w:sz w:val="32"/>
          <w:szCs w:val="32"/>
        </w:rPr>
        <w:t>23</w:t>
      </w:r>
      <w:r>
        <w:rPr>
          <w:rFonts w:hint="eastAsia" w:ascii="仿宋" w:hAnsi="仿宋" w:eastAsia="仿宋" w:cs="仿宋"/>
          <w:sz w:val="32"/>
          <w:szCs w:val="32"/>
        </w:rPr>
        <w:t>%；城镇居民人均可支配收入</w:t>
      </w:r>
      <w:r>
        <w:rPr>
          <w:rFonts w:ascii="仿宋" w:hAnsi="仿宋" w:eastAsia="仿宋" w:cs="仿宋"/>
          <w:sz w:val="32"/>
          <w:szCs w:val="32"/>
        </w:rPr>
        <w:t>44574</w:t>
      </w:r>
      <w:r>
        <w:rPr>
          <w:rFonts w:hint="eastAsia" w:ascii="仿宋" w:hAnsi="仿宋" w:eastAsia="仿宋" w:cs="仿宋"/>
          <w:sz w:val="32"/>
          <w:szCs w:val="32"/>
        </w:rPr>
        <w:t>元。增速为</w:t>
      </w:r>
      <w:r>
        <w:rPr>
          <w:rFonts w:ascii="仿宋" w:hAnsi="仿宋" w:eastAsia="仿宋" w:cs="仿宋"/>
          <w:sz w:val="32"/>
          <w:szCs w:val="32"/>
        </w:rPr>
        <w:t>4.5</w:t>
      </w:r>
      <w:r>
        <w:rPr>
          <w:rFonts w:hint="eastAsia" w:ascii="仿宋" w:hAnsi="仿宋" w:eastAsia="仿宋" w:cs="仿宋"/>
          <w:sz w:val="32"/>
          <w:szCs w:val="32"/>
        </w:rPr>
        <w:t>%；农村居民人均可支配收入</w:t>
      </w:r>
      <w:r>
        <w:rPr>
          <w:rFonts w:ascii="仿宋" w:hAnsi="仿宋" w:eastAsia="仿宋" w:cs="仿宋"/>
          <w:sz w:val="32"/>
          <w:szCs w:val="32"/>
        </w:rPr>
        <w:t>26032</w:t>
      </w:r>
      <w:r>
        <w:rPr>
          <w:rFonts w:hint="eastAsia" w:ascii="仿宋" w:hAnsi="仿宋" w:eastAsia="仿宋" w:cs="仿宋"/>
          <w:sz w:val="32"/>
          <w:szCs w:val="32"/>
        </w:rPr>
        <w:t>元，增速为</w:t>
      </w:r>
      <w:r>
        <w:rPr>
          <w:rFonts w:ascii="仿宋" w:hAnsi="仿宋" w:eastAsia="仿宋" w:cs="仿宋"/>
          <w:sz w:val="32"/>
          <w:szCs w:val="32"/>
        </w:rPr>
        <w:t>6.6</w:t>
      </w:r>
      <w:r>
        <w:rPr>
          <w:rFonts w:hint="eastAsia" w:ascii="仿宋" w:hAnsi="仿宋" w:eastAsia="仿宋" w:cs="仿宋"/>
          <w:sz w:val="32"/>
          <w:szCs w:val="32"/>
        </w:rPr>
        <w:t>%。</w:t>
      </w:r>
    </w:p>
    <w:p w14:paraId="3CA7E7E0">
      <w:pPr>
        <w:autoSpaceDE w:val="0"/>
        <w:spacing w:line="560" w:lineRule="exact"/>
        <w:ind w:firstLine="640" w:firstLineChars="200"/>
        <w:jc w:val="left"/>
        <w:rPr>
          <w:rFonts w:ascii="仿宋" w:hAnsi="仿宋" w:eastAsia="仿宋" w:cs="仿宋"/>
          <w:sz w:val="32"/>
          <w:szCs w:val="32"/>
          <w:shd w:val="clear" w:color="auto" w:fill="FFFFFF"/>
        </w:rPr>
      </w:pPr>
      <w:r>
        <w:rPr>
          <w:rFonts w:ascii="仿宋" w:hAnsi="仿宋" w:eastAsia="仿宋" w:cs="黑体"/>
          <w:sz w:val="32"/>
          <w:szCs w:val="32"/>
        </w:rPr>
        <w:t>2</w:t>
      </w:r>
      <w:r>
        <w:rPr>
          <w:rFonts w:hint="eastAsia" w:ascii="仿宋" w:hAnsi="仿宋" w:eastAsia="仿宋" w:cs="黑体"/>
          <w:sz w:val="32"/>
          <w:szCs w:val="32"/>
        </w:rPr>
        <w:t>、</w:t>
      </w:r>
      <w:r>
        <w:rPr>
          <w:rFonts w:hint="eastAsia" w:ascii="仿宋" w:hAnsi="仿宋" w:eastAsia="仿宋" w:cs="仿宋"/>
          <w:sz w:val="32"/>
          <w:szCs w:val="32"/>
        </w:rPr>
        <w:t>强</w:t>
      </w:r>
      <w:bookmarkEnd w:id="5"/>
      <w:r>
        <w:rPr>
          <w:rFonts w:hint="eastAsia" w:ascii="仿宋" w:hAnsi="仿宋" w:eastAsia="仿宋" w:cs="仿宋"/>
          <w:sz w:val="32"/>
          <w:szCs w:val="32"/>
        </w:rPr>
        <w:t>化理论学习，切实提高政治站位</w:t>
      </w:r>
    </w:p>
    <w:p w14:paraId="0CE2A41C">
      <w:pPr>
        <w:spacing w:line="560" w:lineRule="exact"/>
        <w:ind w:firstLine="640" w:firstLineChars="200"/>
        <w:rPr>
          <w:rFonts w:ascii="仿宋" w:hAnsi="仿宋" w:eastAsia="仿宋" w:cs="仿宋"/>
          <w:bCs/>
          <w:sz w:val="32"/>
          <w:szCs w:val="32"/>
        </w:rPr>
      </w:pPr>
      <w:r>
        <w:rPr>
          <w:rFonts w:hint="eastAsia" w:ascii="仿宋" w:hAnsi="仿宋" w:eastAsia="仿宋" w:cs="仿宋"/>
          <w:kern w:val="0"/>
          <w:sz w:val="32"/>
          <w:szCs w:val="32"/>
          <w:shd w:val="clear" w:color="auto" w:fill="FFFFFF"/>
          <w:lang w:bidi="ar"/>
        </w:rPr>
        <w:t>加强理论学习。把习近平新时代中国特色社会主义思想、</w:t>
      </w:r>
      <w:r>
        <w:rPr>
          <w:rFonts w:hint="eastAsia" w:ascii="仿宋" w:hAnsi="仿宋" w:eastAsia="仿宋" w:cs="仿宋"/>
          <w:kern w:val="0"/>
          <w:sz w:val="32"/>
          <w:szCs w:val="32"/>
          <w:shd w:val="clear" w:color="auto" w:fill="FFFFFF"/>
          <w:lang w:eastAsia="zh-CN" w:bidi="ar"/>
        </w:rPr>
        <w:t>党的</w:t>
      </w:r>
      <w:r>
        <w:rPr>
          <w:rFonts w:hint="eastAsia" w:ascii="仿宋" w:hAnsi="仿宋" w:eastAsia="仿宋" w:cs="仿宋"/>
          <w:kern w:val="0"/>
          <w:sz w:val="32"/>
          <w:szCs w:val="32"/>
          <w:shd w:val="clear" w:color="auto" w:fill="FFFFFF"/>
          <w:lang w:bidi="ar"/>
        </w:rPr>
        <w:t>二十大精神学习教育常态化、制度化，坚持每周四学习制度，我局共开展12次集中学习，8次自学研读，大家学有所感，学有力行，深入开展“我为群众办实事”活动。</w:t>
      </w:r>
      <w:r>
        <w:rPr>
          <w:rFonts w:hint="eastAsia" w:ascii="仿宋" w:hAnsi="仿宋" w:eastAsia="仿宋" w:cs="仿宋"/>
          <w:sz w:val="32"/>
          <w:szCs w:val="32"/>
        </w:rPr>
        <w:t>认真</w:t>
      </w:r>
      <w:r>
        <w:rPr>
          <w:rFonts w:hint="eastAsia" w:ascii="仿宋" w:hAnsi="仿宋" w:eastAsia="仿宋" w:cs="仿宋"/>
          <w:bCs/>
          <w:sz w:val="32"/>
          <w:szCs w:val="32"/>
        </w:rPr>
        <w:t>学习《中国共产党纪律处分条例》，把党风廉政建设列入我局日常工作的重要议题</w:t>
      </w:r>
      <w:r>
        <w:rPr>
          <w:rFonts w:hint="eastAsia" w:ascii="仿宋" w:hAnsi="仿宋" w:eastAsia="仿宋" w:cs="仿宋"/>
          <w:sz w:val="32"/>
          <w:szCs w:val="32"/>
        </w:rPr>
        <w:t>，局党组</w:t>
      </w:r>
      <w:r>
        <w:rPr>
          <w:rFonts w:hint="eastAsia" w:ascii="仿宋" w:hAnsi="仿宋" w:eastAsia="仿宋" w:cs="仿宋"/>
          <w:sz w:val="32"/>
          <w:szCs w:val="32"/>
          <w:shd w:val="clear" w:color="auto" w:fill="FFFFFF"/>
        </w:rPr>
        <w:t>切实履行主体责任，落实“一岗双责”责任清单。</w:t>
      </w:r>
      <w:r>
        <w:rPr>
          <w:rFonts w:hint="eastAsia" w:ascii="仿宋" w:hAnsi="仿宋" w:eastAsia="仿宋" w:cs="仿宋"/>
          <w:bCs/>
          <w:sz w:val="32"/>
          <w:szCs w:val="32"/>
        </w:rPr>
        <w:t>抓制度完善，严格落实</w:t>
      </w:r>
      <w:r>
        <w:rPr>
          <w:rFonts w:hint="eastAsia" w:ascii="仿宋" w:hAnsi="仿宋" w:eastAsia="仿宋" w:cs="仿宋"/>
          <w:bCs/>
          <w:sz w:val="32"/>
          <w:szCs w:val="32"/>
          <w:lang w:eastAsia="zh-CN"/>
        </w:rPr>
        <w:t>中央</w:t>
      </w:r>
      <w:r>
        <w:rPr>
          <w:rFonts w:hint="eastAsia" w:ascii="仿宋" w:hAnsi="仿宋" w:eastAsia="仿宋" w:cs="仿宋"/>
          <w:bCs/>
          <w:sz w:val="32"/>
          <w:szCs w:val="32"/>
        </w:rPr>
        <w:t>八项规定，在纪律作风要有全面提高，保证全局在2022年不发生重大违规违纪行为。</w:t>
      </w:r>
    </w:p>
    <w:p w14:paraId="7AAB968C">
      <w:pPr>
        <w:spacing w:line="560" w:lineRule="exact"/>
        <w:ind w:firstLine="640" w:firstLineChars="200"/>
        <w:jc w:val="left"/>
        <w:rPr>
          <w:rFonts w:ascii="仿宋" w:hAnsi="仿宋" w:eastAsia="仿宋" w:cs="黑体"/>
          <w:sz w:val="32"/>
          <w:szCs w:val="32"/>
        </w:rPr>
      </w:pPr>
      <w:r>
        <w:rPr>
          <w:rFonts w:ascii="仿宋" w:hAnsi="仿宋" w:eastAsia="仿宋" w:cs="黑体"/>
          <w:sz w:val="32"/>
          <w:szCs w:val="32"/>
        </w:rPr>
        <w:t>3</w:t>
      </w:r>
      <w:r>
        <w:rPr>
          <w:rFonts w:hint="eastAsia" w:ascii="仿宋" w:hAnsi="仿宋" w:eastAsia="仿宋" w:cs="黑体"/>
          <w:sz w:val="32"/>
          <w:szCs w:val="32"/>
        </w:rPr>
        <w:t>、提升统计水平，服务经济社会发展</w:t>
      </w:r>
    </w:p>
    <w:p w14:paraId="1098E7A5">
      <w:pPr>
        <w:widowControl/>
        <w:spacing w:line="560" w:lineRule="exact"/>
        <w:ind w:firstLine="643" w:firstLineChars="200"/>
        <w:jc w:val="left"/>
        <w:rPr>
          <w:rFonts w:ascii="仿宋" w:hAnsi="仿宋" w:eastAsia="仿宋" w:cs="仿宋"/>
          <w:sz w:val="32"/>
          <w:szCs w:val="32"/>
        </w:rPr>
      </w:pPr>
      <w:r>
        <w:rPr>
          <w:rFonts w:hint="eastAsia" w:ascii="仿宋" w:hAnsi="仿宋" w:eastAsia="仿宋" w:cs="仿宋"/>
          <w:b/>
          <w:bCs/>
          <w:sz w:val="32"/>
          <w:szCs w:val="32"/>
        </w:rPr>
        <w:t>一是</w:t>
      </w:r>
      <w:r>
        <w:rPr>
          <w:rFonts w:hint="eastAsia" w:ascii="仿宋" w:hAnsi="仿宋" w:eastAsia="仿宋" w:cs="仿宋"/>
          <w:sz w:val="32"/>
          <w:szCs w:val="32"/>
        </w:rPr>
        <w:t>加强经济运行监测预警。围绕工业、投资、农业、贸易等各专业，加强运行监测，积极开展调研，及时联系相关部门分析研究，为确保全区经济高质量发展贡献统计力量，撰写分析预警文章10篇，其中</w:t>
      </w:r>
      <w:bookmarkStart w:id="6" w:name="_GoBack"/>
      <w:bookmarkEnd w:id="6"/>
      <w:r>
        <w:rPr>
          <w:rFonts w:hint="eastAsia" w:ascii="仿宋" w:hAnsi="仿宋" w:eastAsia="仿宋" w:cs="仿宋"/>
          <w:sz w:val="32"/>
          <w:szCs w:val="32"/>
        </w:rPr>
        <w:t>《2021年全区地区生产总值增长浅析及2022年工作建议》《2021年全区规上工业运行综述》两篇得到区委、区政府主要领导的充分肯定，1篇调研报告、15条信息动态在石家庄市统计局网站刊登。</w:t>
      </w:r>
      <w:r>
        <w:rPr>
          <w:rFonts w:hint="eastAsia" w:ascii="仿宋" w:hAnsi="仿宋" w:eastAsia="仿宋" w:cs="仿宋"/>
          <w:b/>
          <w:bCs/>
          <w:sz w:val="32"/>
          <w:szCs w:val="32"/>
        </w:rPr>
        <w:t>二是</w:t>
      </w:r>
      <w:r>
        <w:rPr>
          <w:rFonts w:hint="eastAsia" w:ascii="仿宋" w:hAnsi="仿宋" w:eastAsia="仿宋" w:cs="仿宋"/>
          <w:sz w:val="32"/>
          <w:szCs w:val="32"/>
        </w:rPr>
        <w:t>完善会商机制。我局与发改局、科工局、农业农村局、人社局等经济指标承担部门主动对接，定期、不定期会商研判指标运行趋势，深入开展调研，及时发现数据质量问题，共召开研判6次。</w:t>
      </w:r>
      <w:r>
        <w:rPr>
          <w:rFonts w:hint="eastAsia" w:ascii="仿宋" w:hAnsi="仿宋" w:eastAsia="仿宋" w:cs="仿宋"/>
          <w:b/>
          <w:bCs/>
          <w:sz w:val="32"/>
          <w:szCs w:val="32"/>
        </w:rPr>
        <w:t>三</w:t>
      </w:r>
      <w:r>
        <w:rPr>
          <w:rFonts w:hint="eastAsia" w:ascii="仿宋" w:hAnsi="仿宋" w:eastAsia="仿宋" w:cs="仿宋"/>
          <w:b/>
          <w:bCs/>
          <w:kern w:val="0"/>
          <w:sz w:val="32"/>
          <w:szCs w:val="32"/>
          <w:shd w:val="clear" w:color="auto" w:fill="FFFFFF"/>
          <w:lang w:bidi="ar"/>
        </w:rPr>
        <w:t>是</w:t>
      </w:r>
      <w:r>
        <w:rPr>
          <w:rFonts w:hint="eastAsia" w:ascii="仿宋" w:hAnsi="仿宋" w:eastAsia="仿宋" w:cs="仿宋"/>
          <w:kern w:val="0"/>
          <w:sz w:val="32"/>
          <w:szCs w:val="32"/>
          <w:shd w:val="clear" w:color="auto" w:fill="FFFFFF"/>
          <w:lang w:bidi="ar"/>
        </w:rPr>
        <w:t>深入企业调研，解决项目投资，工业运行中的梗阻，为全区发展助力。</w:t>
      </w:r>
      <w:r>
        <w:rPr>
          <w:rFonts w:hint="eastAsia" w:ascii="仿宋" w:hAnsi="仿宋" w:eastAsia="仿宋" w:cs="仿宋"/>
          <w:bCs/>
          <w:sz w:val="32"/>
          <w:szCs w:val="32"/>
        </w:rPr>
        <w:t>各股室积极开展调研，及时联系相关企业分析研究，</w:t>
      </w:r>
      <w:r>
        <w:rPr>
          <w:rFonts w:hint="eastAsia" w:ascii="仿宋" w:hAnsi="仿宋" w:eastAsia="仿宋" w:cs="仿宋"/>
          <w:kern w:val="0"/>
          <w:sz w:val="32"/>
          <w:szCs w:val="32"/>
          <w:shd w:val="clear" w:color="auto" w:fill="FFFFFF"/>
          <w:lang w:bidi="ar"/>
        </w:rPr>
        <w:t>每月下基层10天以上，共走访200多家企业。今年，全市综合绩效考核中，我区一季度、二季度排位第一，三季度排位第二，贡献统计力量。</w:t>
      </w:r>
    </w:p>
    <w:p w14:paraId="34C10AE3">
      <w:pPr>
        <w:spacing w:line="560" w:lineRule="exact"/>
        <w:ind w:firstLine="640" w:firstLineChars="200"/>
        <w:jc w:val="left"/>
        <w:rPr>
          <w:rFonts w:ascii="仿宋" w:hAnsi="仿宋" w:eastAsia="仿宋" w:cs="黑体"/>
          <w:sz w:val="32"/>
          <w:szCs w:val="32"/>
        </w:rPr>
      </w:pPr>
      <w:r>
        <w:rPr>
          <w:rFonts w:ascii="仿宋" w:hAnsi="仿宋" w:eastAsia="仿宋" w:cs="黑体"/>
          <w:sz w:val="32"/>
          <w:szCs w:val="32"/>
        </w:rPr>
        <w:t>4</w:t>
      </w:r>
      <w:r>
        <w:rPr>
          <w:rFonts w:hint="eastAsia" w:ascii="仿宋" w:hAnsi="仿宋" w:eastAsia="仿宋" w:cs="黑体"/>
          <w:sz w:val="32"/>
          <w:szCs w:val="32"/>
        </w:rPr>
        <w:t>、精心组织开展五经普专项试点，得到上级表扬</w:t>
      </w:r>
    </w:p>
    <w:p w14:paraId="05FD11E4">
      <w:pPr>
        <w:spacing w:line="560" w:lineRule="exact"/>
        <w:jc w:val="left"/>
        <w:rPr>
          <w:rFonts w:ascii="仿宋" w:hAnsi="仿宋" w:eastAsia="仿宋" w:cs="仿宋"/>
          <w:sz w:val="32"/>
          <w:szCs w:val="32"/>
          <w:shd w:val="clear" w:color="auto" w:fill="FFFFFF"/>
        </w:rPr>
      </w:pPr>
      <w:r>
        <w:rPr>
          <w:rFonts w:hint="eastAsia" w:ascii="仿宋" w:hAnsi="仿宋" w:eastAsia="仿宋" w:cs="仿宋"/>
          <w:sz w:val="32"/>
          <w:szCs w:val="32"/>
          <w:shd w:val="clear" w:color="auto" w:fill="FFFFFF"/>
        </w:rPr>
        <w:t>根据国家统计局第五次全国经济普查（下面简称“五经普”）专项试点工作安排，我区被选定为五经普专项试点，我局高度重视，成立领导小组，精心选定试点乡镇、广泛宣传动员、认真组织“两员”招聘培训等基础工作，统筹谋划、有序推进，</w:t>
      </w:r>
      <w:r>
        <w:rPr>
          <w:rFonts w:hint="eastAsia" w:ascii="仿宋" w:hAnsi="仿宋" w:eastAsia="仿宋" w:cs="仿宋"/>
          <w:sz w:val="32"/>
          <w:szCs w:val="32"/>
        </w:rPr>
        <w:t>为探索、发现问题积累原始数据，打牢扎实基础，</w:t>
      </w:r>
      <w:r>
        <w:rPr>
          <w:rFonts w:hint="eastAsia" w:ascii="仿宋" w:hAnsi="仿宋" w:eastAsia="仿宋" w:cs="仿宋"/>
          <w:sz w:val="32"/>
          <w:szCs w:val="32"/>
          <w:shd w:val="clear" w:color="auto" w:fill="FFFFFF"/>
        </w:rPr>
        <w:t>圆满完成了专项试点工作。8</w:t>
      </w:r>
      <w:r>
        <w:rPr>
          <w:rFonts w:hint="eastAsia" w:ascii="仿宋" w:hAnsi="仿宋" w:eastAsia="仿宋" w:cs="仿宋"/>
          <w:sz w:val="32"/>
          <w:szCs w:val="32"/>
        </w:rPr>
        <w:t>月中旬，河北省统计局局长杨景祥、国家统计局能源司司长胡汉舟先后莅临调研五经普专项试点工作开展情况，我区代表省市做典型发言，得到上级充分肯定。11月3日，国家统计局普查中心组织召开</w:t>
      </w:r>
      <w:r>
        <w:rPr>
          <w:rFonts w:hint="eastAsia" w:ascii="仿宋" w:hAnsi="仿宋" w:eastAsia="仿宋" w:cs="仿宋"/>
          <w:sz w:val="32"/>
          <w:szCs w:val="32"/>
          <w:shd w:val="clear" w:color="auto" w:fill="FFFFFF"/>
        </w:rPr>
        <w:t>五经普专项试点经验交流会，我区九门乡做典型发言。</w:t>
      </w:r>
    </w:p>
    <w:p w14:paraId="174CE4E1">
      <w:pPr>
        <w:spacing w:line="560" w:lineRule="exact"/>
        <w:ind w:firstLine="640" w:firstLineChars="200"/>
        <w:jc w:val="left"/>
        <w:rPr>
          <w:rFonts w:ascii="仿宋" w:hAnsi="仿宋" w:eastAsia="仿宋" w:cs="黑体"/>
          <w:sz w:val="32"/>
          <w:szCs w:val="32"/>
        </w:rPr>
      </w:pPr>
      <w:r>
        <w:rPr>
          <w:rFonts w:ascii="仿宋" w:hAnsi="仿宋" w:eastAsia="仿宋" w:cs="黑体"/>
          <w:sz w:val="32"/>
          <w:szCs w:val="32"/>
        </w:rPr>
        <w:t>5</w:t>
      </w:r>
      <w:r>
        <w:rPr>
          <w:rFonts w:hint="eastAsia" w:ascii="仿宋" w:hAnsi="仿宋" w:eastAsia="仿宋" w:cs="黑体"/>
          <w:sz w:val="32"/>
          <w:szCs w:val="32"/>
        </w:rPr>
        <w:t>、强化统计基层建设，持续增强统计工作能力</w:t>
      </w:r>
    </w:p>
    <w:p w14:paraId="3E5D8BB9">
      <w:pPr>
        <w:widowControl/>
        <w:spacing w:line="560" w:lineRule="exact"/>
        <w:ind w:firstLine="643" w:firstLineChars="200"/>
        <w:jc w:val="left"/>
        <w:rPr>
          <w:rFonts w:ascii="仿宋" w:hAnsi="仿宋" w:eastAsia="仿宋" w:cs="仿宋"/>
          <w:sz w:val="32"/>
          <w:szCs w:val="32"/>
        </w:rPr>
      </w:pPr>
      <w:r>
        <w:rPr>
          <w:rFonts w:hint="eastAsia" w:ascii="仿宋" w:hAnsi="仿宋" w:eastAsia="仿宋" w:cs="仿宋"/>
          <w:b/>
          <w:bCs/>
          <w:sz w:val="32"/>
          <w:szCs w:val="32"/>
        </w:rPr>
        <w:t>一是</w:t>
      </w:r>
      <w:r>
        <w:rPr>
          <w:rFonts w:hint="eastAsia" w:ascii="仿宋" w:hAnsi="仿宋" w:eastAsia="仿宋" w:cs="仿宋"/>
          <w:sz w:val="32"/>
          <w:szCs w:val="32"/>
        </w:rPr>
        <w:t>组织开展常态化业务培训。采取线上线下相结合的方式，针对地区生产总值、固定资产投资、社会消费品零售总额培训完成三轮，分7批次召开，共覆盖261家企业。</w:t>
      </w:r>
      <w:r>
        <w:rPr>
          <w:rFonts w:hint="eastAsia" w:ascii="仿宋" w:hAnsi="仿宋" w:eastAsia="仿宋" w:cs="仿宋"/>
          <w:b/>
          <w:bCs/>
          <w:sz w:val="32"/>
          <w:szCs w:val="32"/>
        </w:rPr>
        <w:t>二是</w:t>
      </w:r>
      <w:r>
        <w:rPr>
          <w:rFonts w:hint="eastAsia" w:ascii="仿宋" w:hAnsi="仿宋" w:eastAsia="仿宋" w:cs="仿宋"/>
          <w:sz w:val="32"/>
          <w:szCs w:val="32"/>
        </w:rPr>
        <w:t>组织各专业精干力量，开展基层统计工作培训19场次，认真讲解指标构成、数据来源、上报时间、注意事项等等，做到不虚不瞒、不漏不迟。</w:t>
      </w:r>
      <w:r>
        <w:rPr>
          <w:rFonts w:hint="eastAsia" w:ascii="仿宋" w:hAnsi="仿宋" w:eastAsia="仿宋" w:cs="仿宋"/>
          <w:b/>
          <w:bCs/>
          <w:sz w:val="32"/>
          <w:szCs w:val="32"/>
        </w:rPr>
        <w:t>三是</w:t>
      </w:r>
      <w:r>
        <w:rPr>
          <w:rFonts w:hint="eastAsia" w:ascii="仿宋" w:hAnsi="仿宋" w:eastAsia="仿宋" w:cs="仿宋"/>
          <w:kern w:val="0"/>
          <w:sz w:val="32"/>
          <w:szCs w:val="32"/>
          <w:shd w:val="clear" w:color="auto" w:fill="FFFFFF"/>
          <w:lang w:bidi="ar"/>
        </w:rPr>
        <w:t>通过</w:t>
      </w:r>
      <w:r>
        <w:rPr>
          <w:rFonts w:hint="eastAsia" w:ascii="仿宋" w:hAnsi="仿宋" w:eastAsia="仿宋" w:cs="仿宋"/>
          <w:sz w:val="32"/>
          <w:szCs w:val="32"/>
        </w:rPr>
        <w:t>诚信统计金牌企业评选，选树了10家“四上”企业。</w:t>
      </w:r>
    </w:p>
    <w:p w14:paraId="03557E49">
      <w:pPr>
        <w:spacing w:line="560" w:lineRule="exact"/>
        <w:ind w:firstLine="640" w:firstLineChars="200"/>
        <w:jc w:val="left"/>
        <w:rPr>
          <w:rFonts w:ascii="仿宋" w:hAnsi="仿宋" w:eastAsia="仿宋" w:cs="黑体"/>
          <w:sz w:val="32"/>
          <w:szCs w:val="32"/>
        </w:rPr>
      </w:pPr>
      <w:r>
        <w:rPr>
          <w:rFonts w:ascii="仿宋" w:hAnsi="仿宋" w:eastAsia="仿宋" w:cs="黑体"/>
          <w:sz w:val="32"/>
          <w:szCs w:val="32"/>
        </w:rPr>
        <w:t>6</w:t>
      </w:r>
      <w:r>
        <w:rPr>
          <w:rFonts w:hint="eastAsia" w:ascii="仿宋" w:hAnsi="仿宋" w:eastAsia="仿宋" w:cs="黑体"/>
          <w:sz w:val="32"/>
          <w:szCs w:val="32"/>
        </w:rPr>
        <w:t>、强化数据质量管控，有效发挥统计监督职能</w:t>
      </w:r>
    </w:p>
    <w:p w14:paraId="2F7E71F9">
      <w:pPr>
        <w:spacing w:line="560" w:lineRule="exact"/>
        <w:jc w:val="left"/>
        <w:rPr>
          <w:rFonts w:ascii="仿宋" w:hAnsi="仿宋" w:eastAsia="仿宋" w:cs="仿宋"/>
          <w:sz w:val="32"/>
          <w:szCs w:val="32"/>
        </w:rPr>
      </w:pPr>
      <w:r>
        <w:rPr>
          <w:rFonts w:hint="eastAsia" w:ascii="仿宋" w:hAnsi="仿宋" w:eastAsia="仿宋" w:cs="仿宋"/>
          <w:b/>
          <w:bCs/>
          <w:sz w:val="32"/>
          <w:szCs w:val="32"/>
        </w:rPr>
        <w:t>一是</w:t>
      </w:r>
      <w:r>
        <w:rPr>
          <w:rFonts w:hint="eastAsia" w:ascii="仿宋" w:hAnsi="仿宋" w:eastAsia="仿宋" w:cs="仿宋"/>
          <w:sz w:val="32"/>
          <w:szCs w:val="32"/>
        </w:rPr>
        <w:t>深入学习贯彻统计法律法规，坚持做到依法统计。区政府常务会、区委常委会、区委理论学习中心组学习《</w:t>
      </w:r>
      <w:r>
        <w:rPr>
          <w:rFonts w:hint="eastAsia" w:ascii="仿宋" w:hAnsi="仿宋" w:eastAsia="仿宋" w:cs="仿宋"/>
          <w:bCs/>
          <w:sz w:val="32"/>
          <w:szCs w:val="32"/>
        </w:rPr>
        <w:t>防范和惩治统计造假、弄虚作假重要文件汇编</w:t>
      </w:r>
      <w:r>
        <w:rPr>
          <w:rFonts w:hint="eastAsia" w:ascii="仿宋" w:hAnsi="仿宋" w:eastAsia="仿宋" w:cs="仿宋"/>
          <w:sz w:val="32"/>
          <w:szCs w:val="32"/>
        </w:rPr>
        <w:t>》</w:t>
      </w:r>
      <w:r>
        <w:rPr>
          <w:rFonts w:hint="eastAsia" w:ascii="仿宋" w:hAnsi="仿宋" w:eastAsia="仿宋" w:cs="仿宋"/>
          <w:bCs/>
          <w:sz w:val="32"/>
          <w:szCs w:val="32"/>
        </w:rPr>
        <w:t>《</w:t>
      </w:r>
      <w:r>
        <w:rPr>
          <w:rFonts w:hint="eastAsia" w:ascii="仿宋" w:hAnsi="仿宋" w:eastAsia="仿宋" w:cs="仿宋"/>
          <w:sz w:val="32"/>
          <w:szCs w:val="32"/>
        </w:rPr>
        <w:t>监督意见</w:t>
      </w:r>
      <w:r>
        <w:rPr>
          <w:rFonts w:hint="eastAsia" w:ascii="仿宋" w:hAnsi="仿宋" w:eastAsia="仿宋" w:cs="仿宋"/>
          <w:bCs/>
          <w:sz w:val="32"/>
          <w:szCs w:val="32"/>
        </w:rPr>
        <w:t>》，认真抓好</w:t>
      </w:r>
      <w:r>
        <w:rPr>
          <w:rFonts w:hint="eastAsia" w:ascii="仿宋" w:hAnsi="仿宋" w:eastAsia="仿宋"/>
          <w:sz w:val="32"/>
          <w:szCs w:val="32"/>
        </w:rPr>
        <w:t>国家统计督察反馈意见整改</w:t>
      </w:r>
      <w:r>
        <w:rPr>
          <w:rFonts w:hint="eastAsia" w:ascii="仿宋" w:hAnsi="仿宋" w:eastAsia="仿宋" w:cs="仿宋"/>
          <w:sz w:val="32"/>
          <w:szCs w:val="32"/>
        </w:rPr>
        <w:t>，确保统计数据质量。二</w:t>
      </w:r>
      <w:r>
        <w:rPr>
          <w:rFonts w:hint="eastAsia" w:ascii="仿宋" w:hAnsi="仿宋" w:eastAsia="仿宋" w:cs="仿宋"/>
          <w:b/>
          <w:bCs/>
          <w:sz w:val="32"/>
          <w:szCs w:val="32"/>
        </w:rPr>
        <w:t>是</w:t>
      </w:r>
      <w:r>
        <w:rPr>
          <w:rFonts w:hint="eastAsia" w:ascii="仿宋" w:hAnsi="仿宋" w:eastAsia="仿宋" w:cs="仿宋"/>
          <w:sz w:val="32"/>
          <w:szCs w:val="32"/>
        </w:rPr>
        <w:t>持续开展统计执法监督检查。随机抽选了共30家“四上”企业（项目），已全部按要求完成执法检查，通过此次执法检查，提高了企业对依法统计的认识，规范了企业统计基础工作，为进一步提高统计数据质量奠定了良好基础。</w:t>
      </w:r>
    </w:p>
    <w:p w14:paraId="7BDAE659">
      <w:pPr>
        <w:pStyle w:val="2"/>
        <w:rPr>
          <w:lang w:val="en-US"/>
        </w:rPr>
      </w:pPr>
    </w:p>
    <w:p w14:paraId="6D2262F4">
      <w:pPr>
        <w:numPr>
          <w:ilvl w:val="0"/>
          <w:numId w:val="4"/>
        </w:numPr>
        <w:snapToGrid w:val="0"/>
        <w:spacing w:line="560" w:lineRule="exact"/>
        <w:ind w:firstLine="640"/>
        <w:jc w:val="left"/>
        <w:rPr>
          <w:rFonts w:ascii="黑体" w:hAnsi="黑体" w:eastAsia="黑体" w:cs="黑体"/>
          <w:sz w:val="32"/>
          <w:szCs w:val="32"/>
        </w:rPr>
      </w:pPr>
      <w:r>
        <w:rPr>
          <w:rFonts w:hint="eastAsia" w:ascii="黑体" w:hAnsi="黑体" w:eastAsia="黑体" w:cs="黑体"/>
          <w:sz w:val="32"/>
          <w:szCs w:val="32"/>
        </w:rPr>
        <w:t>评价结论和评价等级</w:t>
      </w:r>
    </w:p>
    <w:tbl>
      <w:tblPr>
        <w:tblStyle w:val="6"/>
        <w:tblpPr w:leftFromText="180" w:rightFromText="180" w:vertAnchor="text" w:horzAnchor="page" w:tblpX="1408" w:tblpY="584"/>
        <w:tblOverlap w:val="never"/>
        <w:tblW w:w="934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077"/>
        <w:gridCol w:w="993"/>
        <w:gridCol w:w="992"/>
        <w:gridCol w:w="992"/>
        <w:gridCol w:w="992"/>
        <w:gridCol w:w="1294"/>
      </w:tblGrid>
      <w:tr w14:paraId="3D66C5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077" w:type="dxa"/>
          </w:tcPr>
          <w:p w14:paraId="5C71F4A0">
            <w:pPr>
              <w:snapToGrid w:val="0"/>
              <w:spacing w:line="360" w:lineRule="auto"/>
              <w:ind w:firstLine="720" w:firstLineChars="300"/>
              <w:jc w:val="center"/>
              <w:rPr>
                <w:rFonts w:ascii="仿宋" w:hAnsi="仿宋" w:eastAsia="仿宋" w:cs="黑体"/>
                <w:sz w:val="24"/>
              </w:rPr>
            </w:pPr>
            <w:r>
              <w:rPr>
                <w:rFonts w:hint="eastAsia" w:ascii="仿宋" w:hAnsi="仿宋" w:eastAsia="仿宋" w:cs="黑体"/>
                <w:sz w:val="24"/>
              </w:rPr>
              <w:t>项目名称</w:t>
            </w:r>
          </w:p>
        </w:tc>
        <w:tc>
          <w:tcPr>
            <w:tcW w:w="993" w:type="dxa"/>
          </w:tcPr>
          <w:p w14:paraId="6AC661E0">
            <w:pPr>
              <w:snapToGrid w:val="0"/>
              <w:spacing w:line="360" w:lineRule="auto"/>
              <w:jc w:val="center"/>
              <w:rPr>
                <w:rFonts w:ascii="仿宋" w:hAnsi="仿宋" w:eastAsia="仿宋" w:cs="黑体"/>
                <w:sz w:val="24"/>
              </w:rPr>
            </w:pPr>
            <w:r>
              <w:rPr>
                <w:rFonts w:hint="eastAsia" w:ascii="仿宋" w:hAnsi="仿宋" w:eastAsia="仿宋" w:cs="黑体"/>
                <w:sz w:val="24"/>
              </w:rPr>
              <w:t>产出指标完成得分情况</w:t>
            </w:r>
          </w:p>
        </w:tc>
        <w:tc>
          <w:tcPr>
            <w:tcW w:w="992" w:type="dxa"/>
          </w:tcPr>
          <w:p w14:paraId="5EA79129">
            <w:pPr>
              <w:snapToGrid w:val="0"/>
              <w:spacing w:line="360" w:lineRule="auto"/>
              <w:jc w:val="center"/>
              <w:rPr>
                <w:rFonts w:ascii="仿宋" w:hAnsi="仿宋" w:eastAsia="仿宋" w:cs="黑体"/>
                <w:sz w:val="24"/>
              </w:rPr>
            </w:pPr>
            <w:r>
              <w:rPr>
                <w:rFonts w:hint="eastAsia" w:ascii="仿宋" w:hAnsi="仿宋" w:eastAsia="仿宋" w:cs="黑体"/>
                <w:sz w:val="24"/>
              </w:rPr>
              <w:t>预算执行率指标完成得分情况</w:t>
            </w:r>
          </w:p>
        </w:tc>
        <w:tc>
          <w:tcPr>
            <w:tcW w:w="992" w:type="dxa"/>
          </w:tcPr>
          <w:p w14:paraId="4D409AE4">
            <w:pPr>
              <w:snapToGrid w:val="0"/>
              <w:spacing w:line="360" w:lineRule="auto"/>
              <w:jc w:val="center"/>
              <w:rPr>
                <w:rFonts w:ascii="仿宋" w:hAnsi="仿宋" w:eastAsia="仿宋" w:cs="黑体"/>
                <w:sz w:val="24"/>
              </w:rPr>
            </w:pPr>
            <w:r>
              <w:rPr>
                <w:rFonts w:hint="eastAsia" w:ascii="仿宋" w:hAnsi="仿宋" w:eastAsia="仿宋" w:cs="黑体"/>
                <w:sz w:val="24"/>
              </w:rPr>
              <w:t>效益指标完成得分情况</w:t>
            </w:r>
          </w:p>
        </w:tc>
        <w:tc>
          <w:tcPr>
            <w:tcW w:w="992" w:type="dxa"/>
          </w:tcPr>
          <w:p w14:paraId="48DE87F1">
            <w:pPr>
              <w:snapToGrid w:val="0"/>
              <w:spacing w:line="360" w:lineRule="auto"/>
              <w:jc w:val="center"/>
              <w:rPr>
                <w:rFonts w:ascii="仿宋" w:hAnsi="仿宋" w:eastAsia="仿宋" w:cs="黑体"/>
                <w:sz w:val="24"/>
              </w:rPr>
            </w:pPr>
            <w:r>
              <w:rPr>
                <w:rFonts w:hint="eastAsia" w:ascii="仿宋" w:hAnsi="仿宋" w:eastAsia="仿宋" w:cs="黑体"/>
                <w:sz w:val="24"/>
              </w:rPr>
              <w:t>满意度指标完成得分情况</w:t>
            </w:r>
          </w:p>
        </w:tc>
        <w:tc>
          <w:tcPr>
            <w:tcW w:w="1294" w:type="dxa"/>
          </w:tcPr>
          <w:p w14:paraId="1145F32D">
            <w:pPr>
              <w:snapToGrid w:val="0"/>
              <w:spacing w:line="360" w:lineRule="auto"/>
              <w:jc w:val="center"/>
              <w:rPr>
                <w:rFonts w:ascii="仿宋" w:hAnsi="仿宋" w:eastAsia="仿宋" w:cs="黑体"/>
                <w:sz w:val="24"/>
              </w:rPr>
            </w:pPr>
            <w:r>
              <w:rPr>
                <w:rFonts w:hint="eastAsia" w:ascii="仿宋" w:hAnsi="仿宋" w:eastAsia="仿宋" w:cs="黑体"/>
                <w:sz w:val="24"/>
              </w:rPr>
              <w:t>自评得分</w:t>
            </w:r>
          </w:p>
        </w:tc>
      </w:tr>
      <w:tr w14:paraId="641FB5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077" w:type="dxa"/>
            <w:vAlign w:val="center"/>
          </w:tcPr>
          <w:p w14:paraId="07BBF3A8">
            <w:pPr>
              <w:snapToGrid w:val="0"/>
              <w:spacing w:line="360" w:lineRule="auto"/>
              <w:rPr>
                <w:rFonts w:ascii="仿宋" w:hAnsi="仿宋" w:eastAsia="仿宋" w:cs="黑体"/>
                <w:sz w:val="24"/>
              </w:rPr>
            </w:pPr>
            <w:r>
              <w:rPr>
                <w:rFonts w:hint="eastAsia" w:ascii="仿宋" w:hAnsi="仿宋" w:eastAsia="仿宋" w:cs="黑体"/>
                <w:sz w:val="24"/>
              </w:rPr>
              <w:t>1、第七次全国人口普查经费</w:t>
            </w:r>
          </w:p>
        </w:tc>
        <w:tc>
          <w:tcPr>
            <w:tcW w:w="993" w:type="dxa"/>
            <w:vAlign w:val="center"/>
          </w:tcPr>
          <w:p w14:paraId="59013EFD">
            <w:pPr>
              <w:snapToGrid w:val="0"/>
              <w:spacing w:line="360" w:lineRule="auto"/>
              <w:jc w:val="center"/>
              <w:rPr>
                <w:rFonts w:ascii="仿宋" w:hAnsi="仿宋" w:eastAsia="仿宋" w:cs="黑体"/>
                <w:sz w:val="24"/>
              </w:rPr>
            </w:pPr>
            <w:r>
              <w:rPr>
                <w:rFonts w:hint="eastAsia" w:ascii="仿宋" w:hAnsi="仿宋" w:eastAsia="仿宋" w:cs="黑体"/>
                <w:sz w:val="24"/>
              </w:rPr>
              <w:t>40</w:t>
            </w:r>
          </w:p>
        </w:tc>
        <w:tc>
          <w:tcPr>
            <w:tcW w:w="992" w:type="dxa"/>
            <w:vAlign w:val="center"/>
          </w:tcPr>
          <w:p w14:paraId="6982A016">
            <w:pPr>
              <w:snapToGrid w:val="0"/>
              <w:spacing w:line="360" w:lineRule="auto"/>
              <w:jc w:val="center"/>
              <w:rPr>
                <w:rFonts w:ascii="仿宋" w:hAnsi="仿宋" w:eastAsia="仿宋" w:cs="黑体"/>
                <w:sz w:val="24"/>
              </w:rPr>
            </w:pPr>
            <w:r>
              <w:rPr>
                <w:rFonts w:hint="eastAsia" w:ascii="仿宋" w:hAnsi="仿宋" w:eastAsia="仿宋" w:cs="黑体"/>
                <w:sz w:val="24"/>
              </w:rPr>
              <w:t>10</w:t>
            </w:r>
          </w:p>
        </w:tc>
        <w:tc>
          <w:tcPr>
            <w:tcW w:w="992" w:type="dxa"/>
            <w:vAlign w:val="center"/>
          </w:tcPr>
          <w:p w14:paraId="5B11A0E9">
            <w:pPr>
              <w:snapToGrid w:val="0"/>
              <w:spacing w:line="360" w:lineRule="auto"/>
              <w:jc w:val="center"/>
              <w:rPr>
                <w:rFonts w:ascii="仿宋" w:hAnsi="仿宋" w:eastAsia="仿宋" w:cs="黑体"/>
                <w:sz w:val="24"/>
              </w:rPr>
            </w:pPr>
            <w:r>
              <w:rPr>
                <w:rFonts w:ascii="仿宋" w:hAnsi="仿宋" w:eastAsia="仿宋" w:cs="黑体"/>
                <w:sz w:val="24"/>
              </w:rPr>
              <w:t>40</w:t>
            </w:r>
          </w:p>
        </w:tc>
        <w:tc>
          <w:tcPr>
            <w:tcW w:w="992" w:type="dxa"/>
            <w:vAlign w:val="center"/>
          </w:tcPr>
          <w:p w14:paraId="6B67CB11">
            <w:pPr>
              <w:snapToGrid w:val="0"/>
              <w:spacing w:line="360" w:lineRule="auto"/>
              <w:jc w:val="center"/>
              <w:rPr>
                <w:rFonts w:ascii="仿宋" w:hAnsi="仿宋" w:eastAsia="仿宋" w:cs="黑体"/>
                <w:sz w:val="24"/>
              </w:rPr>
            </w:pPr>
            <w:r>
              <w:rPr>
                <w:rFonts w:ascii="仿宋" w:hAnsi="仿宋" w:eastAsia="仿宋" w:cs="黑体"/>
                <w:sz w:val="24"/>
              </w:rPr>
              <w:t>10</w:t>
            </w:r>
          </w:p>
        </w:tc>
        <w:tc>
          <w:tcPr>
            <w:tcW w:w="1294" w:type="dxa"/>
            <w:vAlign w:val="center"/>
          </w:tcPr>
          <w:p w14:paraId="2EAAABCF">
            <w:pPr>
              <w:snapToGrid w:val="0"/>
              <w:spacing w:line="360" w:lineRule="auto"/>
              <w:jc w:val="center"/>
              <w:rPr>
                <w:rFonts w:ascii="仿宋" w:hAnsi="仿宋" w:eastAsia="仿宋" w:cs="黑体"/>
                <w:sz w:val="24"/>
              </w:rPr>
            </w:pPr>
            <w:r>
              <w:rPr>
                <w:rFonts w:ascii="仿宋" w:hAnsi="仿宋" w:eastAsia="仿宋" w:cs="黑体"/>
                <w:sz w:val="24"/>
              </w:rPr>
              <w:t>100</w:t>
            </w:r>
          </w:p>
        </w:tc>
      </w:tr>
      <w:tr w14:paraId="56BDAF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077" w:type="dxa"/>
            <w:vAlign w:val="center"/>
          </w:tcPr>
          <w:p w14:paraId="3E81F313">
            <w:pPr>
              <w:snapToGrid w:val="0"/>
              <w:spacing w:line="360" w:lineRule="auto"/>
              <w:rPr>
                <w:rFonts w:ascii="仿宋" w:hAnsi="仿宋" w:eastAsia="仿宋" w:cs="黑体"/>
                <w:sz w:val="24"/>
              </w:rPr>
            </w:pPr>
            <w:r>
              <w:rPr>
                <w:rFonts w:ascii="仿宋" w:hAnsi="仿宋" w:eastAsia="仿宋" w:cs="黑体"/>
                <w:sz w:val="24"/>
              </w:rPr>
              <w:t>2</w:t>
            </w:r>
            <w:r>
              <w:rPr>
                <w:rFonts w:hint="eastAsia" w:ascii="仿宋" w:hAnsi="仿宋" w:eastAsia="仿宋" w:cs="黑体"/>
                <w:sz w:val="24"/>
              </w:rPr>
              <w:t>、劳务派遣人员经费</w:t>
            </w:r>
          </w:p>
        </w:tc>
        <w:tc>
          <w:tcPr>
            <w:tcW w:w="993" w:type="dxa"/>
          </w:tcPr>
          <w:p w14:paraId="49506A87">
            <w:pPr>
              <w:snapToGrid w:val="0"/>
              <w:spacing w:line="360" w:lineRule="auto"/>
              <w:jc w:val="center"/>
              <w:rPr>
                <w:rFonts w:ascii="仿宋" w:hAnsi="仿宋" w:eastAsia="仿宋" w:cs="黑体"/>
                <w:sz w:val="24"/>
              </w:rPr>
            </w:pPr>
            <w:r>
              <w:rPr>
                <w:rFonts w:hint="eastAsia" w:ascii="仿宋" w:hAnsi="仿宋" w:eastAsia="仿宋" w:cs="黑体"/>
                <w:sz w:val="24"/>
              </w:rPr>
              <w:t>40</w:t>
            </w:r>
          </w:p>
        </w:tc>
        <w:tc>
          <w:tcPr>
            <w:tcW w:w="992" w:type="dxa"/>
          </w:tcPr>
          <w:p w14:paraId="58ADAD19">
            <w:pPr>
              <w:snapToGrid w:val="0"/>
              <w:spacing w:line="360" w:lineRule="auto"/>
              <w:jc w:val="center"/>
              <w:rPr>
                <w:rFonts w:ascii="仿宋" w:hAnsi="仿宋" w:eastAsia="仿宋" w:cs="黑体"/>
                <w:sz w:val="24"/>
              </w:rPr>
            </w:pPr>
            <w:r>
              <w:rPr>
                <w:rFonts w:hint="eastAsia" w:ascii="仿宋" w:hAnsi="仿宋" w:eastAsia="仿宋" w:cs="黑体"/>
                <w:sz w:val="24"/>
              </w:rPr>
              <w:t>10</w:t>
            </w:r>
          </w:p>
        </w:tc>
        <w:tc>
          <w:tcPr>
            <w:tcW w:w="992" w:type="dxa"/>
          </w:tcPr>
          <w:p w14:paraId="4D358E06">
            <w:pPr>
              <w:snapToGrid w:val="0"/>
              <w:spacing w:line="360" w:lineRule="auto"/>
              <w:jc w:val="center"/>
              <w:rPr>
                <w:rFonts w:ascii="仿宋" w:hAnsi="仿宋" w:eastAsia="仿宋" w:cs="黑体"/>
                <w:sz w:val="24"/>
              </w:rPr>
            </w:pPr>
            <w:r>
              <w:rPr>
                <w:rFonts w:ascii="仿宋" w:hAnsi="仿宋" w:eastAsia="仿宋" w:cs="黑体"/>
                <w:sz w:val="24"/>
              </w:rPr>
              <w:t>40</w:t>
            </w:r>
          </w:p>
        </w:tc>
        <w:tc>
          <w:tcPr>
            <w:tcW w:w="992" w:type="dxa"/>
          </w:tcPr>
          <w:p w14:paraId="3380FCD6">
            <w:pPr>
              <w:snapToGrid w:val="0"/>
              <w:spacing w:line="360" w:lineRule="auto"/>
              <w:jc w:val="center"/>
              <w:rPr>
                <w:rFonts w:ascii="仿宋" w:hAnsi="仿宋" w:eastAsia="仿宋" w:cs="黑体"/>
                <w:sz w:val="24"/>
              </w:rPr>
            </w:pPr>
            <w:r>
              <w:rPr>
                <w:rFonts w:ascii="仿宋" w:hAnsi="仿宋" w:eastAsia="仿宋" w:cs="黑体"/>
                <w:sz w:val="24"/>
              </w:rPr>
              <w:t>10</w:t>
            </w:r>
          </w:p>
        </w:tc>
        <w:tc>
          <w:tcPr>
            <w:tcW w:w="1294" w:type="dxa"/>
          </w:tcPr>
          <w:p w14:paraId="550A085E">
            <w:pPr>
              <w:snapToGrid w:val="0"/>
              <w:spacing w:line="360" w:lineRule="auto"/>
              <w:jc w:val="center"/>
              <w:rPr>
                <w:rFonts w:ascii="仿宋" w:hAnsi="仿宋" w:eastAsia="仿宋" w:cs="黑体"/>
                <w:sz w:val="24"/>
              </w:rPr>
            </w:pPr>
            <w:r>
              <w:rPr>
                <w:rFonts w:ascii="仿宋" w:hAnsi="仿宋" w:eastAsia="仿宋" w:cs="黑体"/>
                <w:sz w:val="24"/>
              </w:rPr>
              <w:t>100</w:t>
            </w:r>
          </w:p>
        </w:tc>
      </w:tr>
      <w:tr w14:paraId="6F7C4A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077" w:type="dxa"/>
            <w:vAlign w:val="center"/>
          </w:tcPr>
          <w:p w14:paraId="3AC97C81">
            <w:pPr>
              <w:snapToGrid w:val="0"/>
              <w:spacing w:line="360" w:lineRule="auto"/>
              <w:rPr>
                <w:rFonts w:ascii="仿宋" w:hAnsi="仿宋" w:eastAsia="仿宋" w:cs="黑体"/>
                <w:sz w:val="24"/>
              </w:rPr>
            </w:pPr>
            <w:r>
              <w:rPr>
                <w:rFonts w:hint="eastAsia" w:ascii="仿宋" w:hAnsi="仿宋" w:eastAsia="仿宋" w:cs="黑体"/>
                <w:sz w:val="24"/>
              </w:rPr>
              <w:t>3、全区三产限上企业统计工作经费</w:t>
            </w:r>
          </w:p>
        </w:tc>
        <w:tc>
          <w:tcPr>
            <w:tcW w:w="993" w:type="dxa"/>
          </w:tcPr>
          <w:p w14:paraId="030F414F">
            <w:pPr>
              <w:snapToGrid w:val="0"/>
              <w:spacing w:line="360" w:lineRule="auto"/>
              <w:jc w:val="center"/>
              <w:rPr>
                <w:rFonts w:ascii="仿宋" w:hAnsi="仿宋" w:eastAsia="仿宋" w:cs="黑体"/>
                <w:sz w:val="24"/>
              </w:rPr>
            </w:pPr>
            <w:r>
              <w:rPr>
                <w:rFonts w:ascii="仿宋" w:hAnsi="仿宋" w:eastAsia="仿宋" w:cs="黑体"/>
                <w:sz w:val="24"/>
              </w:rPr>
              <w:t>39</w:t>
            </w:r>
          </w:p>
        </w:tc>
        <w:tc>
          <w:tcPr>
            <w:tcW w:w="992" w:type="dxa"/>
          </w:tcPr>
          <w:p w14:paraId="4C422B60">
            <w:pPr>
              <w:snapToGrid w:val="0"/>
              <w:spacing w:line="360" w:lineRule="auto"/>
              <w:jc w:val="center"/>
              <w:rPr>
                <w:rFonts w:ascii="仿宋" w:hAnsi="仿宋" w:eastAsia="仿宋" w:cs="黑体"/>
                <w:sz w:val="24"/>
              </w:rPr>
            </w:pPr>
            <w:r>
              <w:rPr>
                <w:rFonts w:hint="eastAsia" w:ascii="仿宋" w:hAnsi="仿宋" w:eastAsia="仿宋" w:cs="黑体"/>
                <w:sz w:val="24"/>
              </w:rPr>
              <w:t>10</w:t>
            </w:r>
          </w:p>
        </w:tc>
        <w:tc>
          <w:tcPr>
            <w:tcW w:w="992" w:type="dxa"/>
          </w:tcPr>
          <w:p w14:paraId="7E98D3E4">
            <w:pPr>
              <w:snapToGrid w:val="0"/>
              <w:spacing w:line="360" w:lineRule="auto"/>
              <w:jc w:val="center"/>
              <w:rPr>
                <w:rFonts w:ascii="仿宋" w:hAnsi="仿宋" w:eastAsia="仿宋" w:cs="黑体"/>
                <w:sz w:val="24"/>
              </w:rPr>
            </w:pPr>
            <w:r>
              <w:rPr>
                <w:rFonts w:ascii="仿宋" w:hAnsi="仿宋" w:eastAsia="仿宋" w:cs="黑体"/>
                <w:sz w:val="24"/>
              </w:rPr>
              <w:t>40</w:t>
            </w:r>
          </w:p>
        </w:tc>
        <w:tc>
          <w:tcPr>
            <w:tcW w:w="992" w:type="dxa"/>
          </w:tcPr>
          <w:p w14:paraId="27FA851B">
            <w:pPr>
              <w:snapToGrid w:val="0"/>
              <w:spacing w:line="360" w:lineRule="auto"/>
              <w:jc w:val="center"/>
              <w:rPr>
                <w:rFonts w:ascii="仿宋" w:hAnsi="仿宋" w:eastAsia="仿宋" w:cs="黑体"/>
                <w:sz w:val="24"/>
              </w:rPr>
            </w:pPr>
            <w:r>
              <w:rPr>
                <w:rFonts w:ascii="仿宋" w:hAnsi="仿宋" w:eastAsia="仿宋" w:cs="黑体"/>
                <w:sz w:val="24"/>
              </w:rPr>
              <w:t>10</w:t>
            </w:r>
          </w:p>
        </w:tc>
        <w:tc>
          <w:tcPr>
            <w:tcW w:w="1294" w:type="dxa"/>
          </w:tcPr>
          <w:p w14:paraId="77642ECC">
            <w:pPr>
              <w:snapToGrid w:val="0"/>
              <w:spacing w:line="360" w:lineRule="auto"/>
              <w:jc w:val="center"/>
              <w:rPr>
                <w:rFonts w:ascii="仿宋" w:hAnsi="仿宋" w:eastAsia="仿宋" w:cs="黑体"/>
                <w:sz w:val="24"/>
              </w:rPr>
            </w:pPr>
            <w:r>
              <w:rPr>
                <w:rFonts w:ascii="仿宋" w:hAnsi="仿宋" w:eastAsia="仿宋" w:cs="黑体"/>
                <w:sz w:val="24"/>
              </w:rPr>
              <w:t>99</w:t>
            </w:r>
          </w:p>
        </w:tc>
      </w:tr>
      <w:tr w14:paraId="528CB5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077" w:type="dxa"/>
            <w:vAlign w:val="center"/>
          </w:tcPr>
          <w:p w14:paraId="444D4284">
            <w:pPr>
              <w:snapToGrid w:val="0"/>
              <w:spacing w:line="360" w:lineRule="auto"/>
              <w:rPr>
                <w:rFonts w:ascii="仿宋" w:hAnsi="仿宋" w:eastAsia="仿宋" w:cs="黑体"/>
                <w:sz w:val="24"/>
              </w:rPr>
            </w:pPr>
            <w:r>
              <w:rPr>
                <w:rFonts w:hint="eastAsia" w:ascii="仿宋" w:hAnsi="仿宋" w:eastAsia="仿宋" w:cs="黑体"/>
                <w:sz w:val="24"/>
              </w:rPr>
              <w:t>4、失业率调查统计工作经费</w:t>
            </w:r>
          </w:p>
        </w:tc>
        <w:tc>
          <w:tcPr>
            <w:tcW w:w="993" w:type="dxa"/>
          </w:tcPr>
          <w:p w14:paraId="10DAC0BA">
            <w:pPr>
              <w:snapToGrid w:val="0"/>
              <w:spacing w:line="360" w:lineRule="auto"/>
              <w:jc w:val="center"/>
              <w:rPr>
                <w:rFonts w:ascii="仿宋" w:hAnsi="仿宋" w:eastAsia="仿宋" w:cs="黑体"/>
                <w:sz w:val="24"/>
              </w:rPr>
            </w:pPr>
            <w:r>
              <w:rPr>
                <w:rFonts w:ascii="仿宋" w:hAnsi="仿宋" w:eastAsia="仿宋" w:cs="黑体"/>
                <w:sz w:val="24"/>
              </w:rPr>
              <w:t>39</w:t>
            </w:r>
          </w:p>
        </w:tc>
        <w:tc>
          <w:tcPr>
            <w:tcW w:w="992" w:type="dxa"/>
          </w:tcPr>
          <w:p w14:paraId="1FFD0A56">
            <w:pPr>
              <w:snapToGrid w:val="0"/>
              <w:spacing w:line="360" w:lineRule="auto"/>
              <w:jc w:val="center"/>
              <w:rPr>
                <w:rFonts w:ascii="仿宋" w:hAnsi="仿宋" w:eastAsia="仿宋" w:cs="黑体"/>
                <w:sz w:val="24"/>
              </w:rPr>
            </w:pPr>
            <w:r>
              <w:rPr>
                <w:rFonts w:hint="eastAsia" w:ascii="仿宋" w:hAnsi="仿宋" w:eastAsia="仿宋" w:cs="黑体"/>
                <w:sz w:val="24"/>
              </w:rPr>
              <w:t>10</w:t>
            </w:r>
          </w:p>
        </w:tc>
        <w:tc>
          <w:tcPr>
            <w:tcW w:w="992" w:type="dxa"/>
          </w:tcPr>
          <w:p w14:paraId="584EA052">
            <w:pPr>
              <w:snapToGrid w:val="0"/>
              <w:spacing w:line="360" w:lineRule="auto"/>
              <w:jc w:val="center"/>
              <w:rPr>
                <w:rFonts w:ascii="仿宋" w:hAnsi="仿宋" w:eastAsia="仿宋" w:cs="黑体"/>
                <w:sz w:val="24"/>
              </w:rPr>
            </w:pPr>
            <w:r>
              <w:rPr>
                <w:rFonts w:ascii="仿宋" w:hAnsi="仿宋" w:eastAsia="仿宋" w:cs="黑体"/>
                <w:sz w:val="24"/>
              </w:rPr>
              <w:t>40</w:t>
            </w:r>
          </w:p>
        </w:tc>
        <w:tc>
          <w:tcPr>
            <w:tcW w:w="992" w:type="dxa"/>
          </w:tcPr>
          <w:p w14:paraId="4B3C164F">
            <w:pPr>
              <w:snapToGrid w:val="0"/>
              <w:spacing w:line="360" w:lineRule="auto"/>
              <w:jc w:val="center"/>
              <w:rPr>
                <w:rFonts w:ascii="仿宋" w:hAnsi="仿宋" w:eastAsia="仿宋" w:cs="黑体"/>
                <w:sz w:val="24"/>
              </w:rPr>
            </w:pPr>
            <w:r>
              <w:rPr>
                <w:rFonts w:ascii="仿宋" w:hAnsi="仿宋" w:eastAsia="仿宋" w:cs="黑体"/>
                <w:sz w:val="24"/>
              </w:rPr>
              <w:t>10</w:t>
            </w:r>
          </w:p>
        </w:tc>
        <w:tc>
          <w:tcPr>
            <w:tcW w:w="1294" w:type="dxa"/>
          </w:tcPr>
          <w:p w14:paraId="4A83D186">
            <w:pPr>
              <w:snapToGrid w:val="0"/>
              <w:spacing w:line="360" w:lineRule="auto"/>
              <w:jc w:val="center"/>
              <w:rPr>
                <w:rFonts w:ascii="仿宋" w:hAnsi="仿宋" w:eastAsia="仿宋" w:cs="黑体"/>
                <w:sz w:val="24"/>
              </w:rPr>
            </w:pPr>
            <w:r>
              <w:rPr>
                <w:rFonts w:ascii="仿宋" w:hAnsi="仿宋" w:eastAsia="仿宋" w:cs="黑体"/>
                <w:sz w:val="24"/>
              </w:rPr>
              <w:t>99</w:t>
            </w:r>
          </w:p>
        </w:tc>
      </w:tr>
      <w:tr w14:paraId="5A5C10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077" w:type="dxa"/>
            <w:vAlign w:val="center"/>
          </w:tcPr>
          <w:p w14:paraId="0A68E65F">
            <w:pPr>
              <w:snapToGrid w:val="0"/>
              <w:spacing w:line="360" w:lineRule="auto"/>
              <w:rPr>
                <w:rFonts w:ascii="仿宋" w:hAnsi="仿宋" w:eastAsia="仿宋" w:cs="黑体"/>
                <w:sz w:val="24"/>
              </w:rPr>
            </w:pPr>
            <w:r>
              <w:rPr>
                <w:rFonts w:hint="eastAsia" w:ascii="仿宋" w:hAnsi="仿宋" w:eastAsia="仿宋" w:cs="黑体"/>
                <w:sz w:val="24"/>
              </w:rPr>
              <w:t>5、调查队业务经费</w:t>
            </w:r>
          </w:p>
        </w:tc>
        <w:tc>
          <w:tcPr>
            <w:tcW w:w="993" w:type="dxa"/>
          </w:tcPr>
          <w:p w14:paraId="54200202">
            <w:pPr>
              <w:snapToGrid w:val="0"/>
              <w:spacing w:line="360" w:lineRule="auto"/>
              <w:jc w:val="center"/>
              <w:rPr>
                <w:rFonts w:ascii="仿宋" w:hAnsi="仿宋" w:eastAsia="仿宋" w:cs="黑体"/>
                <w:sz w:val="24"/>
              </w:rPr>
            </w:pPr>
            <w:r>
              <w:rPr>
                <w:rFonts w:ascii="仿宋" w:hAnsi="仿宋" w:eastAsia="仿宋" w:cs="黑体"/>
                <w:sz w:val="24"/>
              </w:rPr>
              <w:t>39</w:t>
            </w:r>
          </w:p>
        </w:tc>
        <w:tc>
          <w:tcPr>
            <w:tcW w:w="992" w:type="dxa"/>
          </w:tcPr>
          <w:p w14:paraId="644310C6">
            <w:pPr>
              <w:snapToGrid w:val="0"/>
              <w:spacing w:line="360" w:lineRule="auto"/>
              <w:jc w:val="center"/>
              <w:rPr>
                <w:rFonts w:ascii="仿宋" w:hAnsi="仿宋" w:eastAsia="仿宋" w:cs="黑体"/>
                <w:sz w:val="24"/>
              </w:rPr>
            </w:pPr>
            <w:r>
              <w:rPr>
                <w:rFonts w:hint="eastAsia" w:ascii="仿宋" w:hAnsi="仿宋" w:eastAsia="仿宋" w:cs="黑体"/>
                <w:sz w:val="24"/>
              </w:rPr>
              <w:t>10</w:t>
            </w:r>
          </w:p>
        </w:tc>
        <w:tc>
          <w:tcPr>
            <w:tcW w:w="992" w:type="dxa"/>
          </w:tcPr>
          <w:p w14:paraId="748EE14D">
            <w:pPr>
              <w:snapToGrid w:val="0"/>
              <w:spacing w:line="360" w:lineRule="auto"/>
              <w:jc w:val="center"/>
              <w:rPr>
                <w:rFonts w:ascii="仿宋" w:hAnsi="仿宋" w:eastAsia="仿宋" w:cs="黑体"/>
                <w:sz w:val="24"/>
              </w:rPr>
            </w:pPr>
            <w:r>
              <w:rPr>
                <w:rFonts w:ascii="仿宋" w:hAnsi="仿宋" w:eastAsia="仿宋" w:cs="黑体"/>
                <w:sz w:val="24"/>
              </w:rPr>
              <w:t>40</w:t>
            </w:r>
          </w:p>
        </w:tc>
        <w:tc>
          <w:tcPr>
            <w:tcW w:w="992" w:type="dxa"/>
          </w:tcPr>
          <w:p w14:paraId="3E5ABB22">
            <w:pPr>
              <w:snapToGrid w:val="0"/>
              <w:spacing w:line="360" w:lineRule="auto"/>
              <w:jc w:val="center"/>
              <w:rPr>
                <w:rFonts w:ascii="仿宋" w:hAnsi="仿宋" w:eastAsia="仿宋" w:cs="黑体"/>
                <w:sz w:val="24"/>
              </w:rPr>
            </w:pPr>
            <w:r>
              <w:rPr>
                <w:rFonts w:ascii="仿宋" w:hAnsi="仿宋" w:eastAsia="仿宋" w:cs="黑体"/>
                <w:sz w:val="24"/>
              </w:rPr>
              <w:t>10</w:t>
            </w:r>
          </w:p>
        </w:tc>
        <w:tc>
          <w:tcPr>
            <w:tcW w:w="1294" w:type="dxa"/>
          </w:tcPr>
          <w:p w14:paraId="03240E33">
            <w:pPr>
              <w:snapToGrid w:val="0"/>
              <w:spacing w:line="360" w:lineRule="auto"/>
              <w:jc w:val="center"/>
              <w:rPr>
                <w:rFonts w:ascii="仿宋" w:hAnsi="仿宋" w:eastAsia="仿宋" w:cs="黑体"/>
                <w:sz w:val="24"/>
              </w:rPr>
            </w:pPr>
            <w:r>
              <w:rPr>
                <w:rFonts w:ascii="仿宋" w:hAnsi="仿宋" w:eastAsia="仿宋" w:cs="黑体"/>
                <w:sz w:val="24"/>
              </w:rPr>
              <w:t>99</w:t>
            </w:r>
          </w:p>
        </w:tc>
      </w:tr>
      <w:tr w14:paraId="506064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077" w:type="dxa"/>
            <w:vAlign w:val="center"/>
          </w:tcPr>
          <w:p w14:paraId="2C985EC5">
            <w:pPr>
              <w:snapToGrid w:val="0"/>
              <w:spacing w:line="360" w:lineRule="auto"/>
              <w:rPr>
                <w:rFonts w:ascii="仿宋" w:hAnsi="仿宋" w:eastAsia="仿宋" w:cs="黑体"/>
                <w:sz w:val="24"/>
              </w:rPr>
            </w:pPr>
            <w:r>
              <w:rPr>
                <w:rFonts w:hint="eastAsia" w:ascii="仿宋" w:hAnsi="仿宋" w:eastAsia="仿宋" w:cs="黑体"/>
                <w:sz w:val="24"/>
              </w:rPr>
              <w:t>6、统计年鉴印刷费</w:t>
            </w:r>
          </w:p>
        </w:tc>
        <w:tc>
          <w:tcPr>
            <w:tcW w:w="993" w:type="dxa"/>
          </w:tcPr>
          <w:p w14:paraId="0BAC3849">
            <w:pPr>
              <w:snapToGrid w:val="0"/>
              <w:spacing w:line="360" w:lineRule="auto"/>
              <w:jc w:val="center"/>
              <w:rPr>
                <w:rFonts w:ascii="仿宋" w:hAnsi="仿宋" w:eastAsia="仿宋" w:cs="黑体"/>
                <w:sz w:val="24"/>
              </w:rPr>
            </w:pPr>
            <w:r>
              <w:rPr>
                <w:rFonts w:hint="eastAsia" w:ascii="仿宋" w:hAnsi="仿宋" w:eastAsia="仿宋" w:cs="黑体"/>
                <w:sz w:val="24"/>
              </w:rPr>
              <w:t>40</w:t>
            </w:r>
          </w:p>
        </w:tc>
        <w:tc>
          <w:tcPr>
            <w:tcW w:w="992" w:type="dxa"/>
          </w:tcPr>
          <w:p w14:paraId="34A96CA8">
            <w:pPr>
              <w:snapToGrid w:val="0"/>
              <w:spacing w:line="360" w:lineRule="auto"/>
              <w:jc w:val="center"/>
              <w:rPr>
                <w:rFonts w:ascii="仿宋" w:hAnsi="仿宋" w:eastAsia="仿宋" w:cs="黑体"/>
                <w:sz w:val="24"/>
              </w:rPr>
            </w:pPr>
            <w:r>
              <w:rPr>
                <w:rFonts w:hint="eastAsia" w:ascii="仿宋" w:hAnsi="仿宋" w:eastAsia="仿宋" w:cs="黑体"/>
                <w:sz w:val="24"/>
              </w:rPr>
              <w:t>10</w:t>
            </w:r>
          </w:p>
        </w:tc>
        <w:tc>
          <w:tcPr>
            <w:tcW w:w="992" w:type="dxa"/>
          </w:tcPr>
          <w:p w14:paraId="7E32910B">
            <w:pPr>
              <w:snapToGrid w:val="0"/>
              <w:spacing w:line="360" w:lineRule="auto"/>
              <w:jc w:val="center"/>
              <w:rPr>
                <w:rFonts w:ascii="仿宋" w:hAnsi="仿宋" w:eastAsia="仿宋" w:cs="黑体"/>
                <w:sz w:val="24"/>
              </w:rPr>
            </w:pPr>
            <w:r>
              <w:rPr>
                <w:rFonts w:ascii="仿宋" w:hAnsi="仿宋" w:eastAsia="仿宋" w:cs="黑体"/>
                <w:sz w:val="24"/>
              </w:rPr>
              <w:t>40</w:t>
            </w:r>
          </w:p>
        </w:tc>
        <w:tc>
          <w:tcPr>
            <w:tcW w:w="992" w:type="dxa"/>
          </w:tcPr>
          <w:p w14:paraId="1EB91D22">
            <w:pPr>
              <w:snapToGrid w:val="0"/>
              <w:spacing w:line="360" w:lineRule="auto"/>
              <w:jc w:val="center"/>
              <w:rPr>
                <w:rFonts w:ascii="仿宋" w:hAnsi="仿宋" w:eastAsia="仿宋" w:cs="黑体"/>
                <w:sz w:val="24"/>
              </w:rPr>
            </w:pPr>
            <w:r>
              <w:rPr>
                <w:rFonts w:ascii="仿宋" w:hAnsi="仿宋" w:eastAsia="仿宋" w:cs="黑体"/>
                <w:sz w:val="24"/>
              </w:rPr>
              <w:t>10</w:t>
            </w:r>
          </w:p>
        </w:tc>
        <w:tc>
          <w:tcPr>
            <w:tcW w:w="1294" w:type="dxa"/>
          </w:tcPr>
          <w:p w14:paraId="441F49E5">
            <w:pPr>
              <w:snapToGrid w:val="0"/>
              <w:spacing w:line="360" w:lineRule="auto"/>
              <w:jc w:val="center"/>
              <w:rPr>
                <w:rFonts w:ascii="仿宋" w:hAnsi="仿宋" w:eastAsia="仿宋" w:cs="黑体"/>
                <w:sz w:val="24"/>
              </w:rPr>
            </w:pPr>
            <w:r>
              <w:rPr>
                <w:rFonts w:ascii="仿宋" w:hAnsi="仿宋" w:eastAsia="仿宋" w:cs="黑体"/>
                <w:sz w:val="24"/>
              </w:rPr>
              <w:t>100</w:t>
            </w:r>
          </w:p>
        </w:tc>
      </w:tr>
      <w:tr w14:paraId="7F30FB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077" w:type="dxa"/>
            <w:vAlign w:val="center"/>
          </w:tcPr>
          <w:p w14:paraId="1F42514D">
            <w:pPr>
              <w:snapToGrid w:val="0"/>
              <w:spacing w:line="360" w:lineRule="auto"/>
              <w:rPr>
                <w:rFonts w:ascii="仿宋" w:hAnsi="仿宋" w:eastAsia="仿宋" w:cs="黑体"/>
                <w:sz w:val="24"/>
              </w:rPr>
            </w:pPr>
            <w:r>
              <w:rPr>
                <w:rFonts w:hint="eastAsia" w:ascii="仿宋" w:hAnsi="仿宋" w:eastAsia="仿宋" w:cs="黑体"/>
                <w:sz w:val="24"/>
              </w:rPr>
              <w:t>7、统计业务经费</w:t>
            </w:r>
          </w:p>
        </w:tc>
        <w:tc>
          <w:tcPr>
            <w:tcW w:w="993" w:type="dxa"/>
          </w:tcPr>
          <w:p w14:paraId="4FA51FB9">
            <w:pPr>
              <w:snapToGrid w:val="0"/>
              <w:spacing w:line="360" w:lineRule="auto"/>
              <w:jc w:val="center"/>
              <w:rPr>
                <w:rFonts w:ascii="仿宋" w:hAnsi="仿宋" w:eastAsia="仿宋" w:cs="黑体"/>
                <w:sz w:val="24"/>
              </w:rPr>
            </w:pPr>
            <w:r>
              <w:rPr>
                <w:rFonts w:hint="eastAsia" w:ascii="仿宋" w:hAnsi="仿宋" w:eastAsia="仿宋" w:cs="黑体"/>
                <w:sz w:val="24"/>
              </w:rPr>
              <w:t>40</w:t>
            </w:r>
          </w:p>
        </w:tc>
        <w:tc>
          <w:tcPr>
            <w:tcW w:w="992" w:type="dxa"/>
          </w:tcPr>
          <w:p w14:paraId="43CFDD7D">
            <w:pPr>
              <w:snapToGrid w:val="0"/>
              <w:spacing w:line="360" w:lineRule="auto"/>
              <w:jc w:val="center"/>
              <w:rPr>
                <w:rFonts w:ascii="仿宋" w:hAnsi="仿宋" w:eastAsia="仿宋" w:cs="黑体"/>
                <w:sz w:val="24"/>
              </w:rPr>
            </w:pPr>
            <w:r>
              <w:rPr>
                <w:rFonts w:hint="eastAsia" w:ascii="仿宋" w:hAnsi="仿宋" w:eastAsia="仿宋" w:cs="黑体"/>
                <w:sz w:val="24"/>
              </w:rPr>
              <w:t>10</w:t>
            </w:r>
          </w:p>
        </w:tc>
        <w:tc>
          <w:tcPr>
            <w:tcW w:w="992" w:type="dxa"/>
          </w:tcPr>
          <w:p w14:paraId="0FA93467">
            <w:pPr>
              <w:snapToGrid w:val="0"/>
              <w:spacing w:line="360" w:lineRule="auto"/>
              <w:jc w:val="center"/>
              <w:rPr>
                <w:rFonts w:ascii="仿宋" w:hAnsi="仿宋" w:eastAsia="仿宋" w:cs="黑体"/>
                <w:sz w:val="24"/>
              </w:rPr>
            </w:pPr>
            <w:r>
              <w:rPr>
                <w:rFonts w:ascii="仿宋" w:hAnsi="仿宋" w:eastAsia="仿宋" w:cs="黑体"/>
                <w:sz w:val="24"/>
              </w:rPr>
              <w:t>39</w:t>
            </w:r>
          </w:p>
        </w:tc>
        <w:tc>
          <w:tcPr>
            <w:tcW w:w="992" w:type="dxa"/>
          </w:tcPr>
          <w:p w14:paraId="75E982BF">
            <w:pPr>
              <w:snapToGrid w:val="0"/>
              <w:spacing w:line="360" w:lineRule="auto"/>
              <w:jc w:val="center"/>
              <w:rPr>
                <w:rFonts w:ascii="仿宋" w:hAnsi="仿宋" w:eastAsia="仿宋" w:cs="黑体"/>
                <w:sz w:val="24"/>
              </w:rPr>
            </w:pPr>
            <w:r>
              <w:rPr>
                <w:rFonts w:ascii="仿宋" w:hAnsi="仿宋" w:eastAsia="仿宋" w:cs="黑体"/>
                <w:sz w:val="24"/>
              </w:rPr>
              <w:t>10</w:t>
            </w:r>
          </w:p>
        </w:tc>
        <w:tc>
          <w:tcPr>
            <w:tcW w:w="1294" w:type="dxa"/>
          </w:tcPr>
          <w:p w14:paraId="134FDBDF">
            <w:pPr>
              <w:snapToGrid w:val="0"/>
              <w:spacing w:line="360" w:lineRule="auto"/>
              <w:jc w:val="center"/>
              <w:rPr>
                <w:rFonts w:ascii="仿宋" w:hAnsi="仿宋" w:eastAsia="仿宋" w:cs="黑体"/>
                <w:sz w:val="24"/>
              </w:rPr>
            </w:pPr>
            <w:r>
              <w:rPr>
                <w:rFonts w:ascii="仿宋" w:hAnsi="仿宋" w:eastAsia="仿宋" w:cs="黑体"/>
                <w:sz w:val="24"/>
              </w:rPr>
              <w:t>99</w:t>
            </w:r>
          </w:p>
        </w:tc>
      </w:tr>
      <w:tr w14:paraId="385481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077" w:type="dxa"/>
            <w:vAlign w:val="center"/>
          </w:tcPr>
          <w:p w14:paraId="483A489A">
            <w:pPr>
              <w:snapToGrid w:val="0"/>
              <w:spacing w:line="360" w:lineRule="auto"/>
              <w:rPr>
                <w:rFonts w:ascii="仿宋" w:hAnsi="仿宋" w:eastAsia="仿宋" w:cs="黑体"/>
                <w:sz w:val="24"/>
              </w:rPr>
            </w:pPr>
            <w:r>
              <w:rPr>
                <w:rFonts w:hint="eastAsia" w:ascii="仿宋" w:hAnsi="仿宋" w:eastAsia="仿宋" w:cs="黑体"/>
                <w:sz w:val="24"/>
              </w:rPr>
              <w:t>8、统计专网网络防火墙设备更新资金</w:t>
            </w:r>
          </w:p>
        </w:tc>
        <w:tc>
          <w:tcPr>
            <w:tcW w:w="993" w:type="dxa"/>
          </w:tcPr>
          <w:p w14:paraId="4CB1D046">
            <w:pPr>
              <w:snapToGrid w:val="0"/>
              <w:spacing w:line="360" w:lineRule="auto"/>
              <w:jc w:val="center"/>
              <w:rPr>
                <w:rFonts w:ascii="仿宋" w:hAnsi="仿宋" w:eastAsia="仿宋" w:cs="黑体"/>
                <w:sz w:val="24"/>
              </w:rPr>
            </w:pPr>
            <w:r>
              <w:rPr>
                <w:rFonts w:hint="eastAsia" w:ascii="仿宋" w:hAnsi="仿宋" w:eastAsia="仿宋" w:cs="黑体"/>
                <w:sz w:val="24"/>
              </w:rPr>
              <w:t>40</w:t>
            </w:r>
          </w:p>
        </w:tc>
        <w:tc>
          <w:tcPr>
            <w:tcW w:w="992" w:type="dxa"/>
          </w:tcPr>
          <w:p w14:paraId="32108ED8">
            <w:pPr>
              <w:snapToGrid w:val="0"/>
              <w:spacing w:line="360" w:lineRule="auto"/>
              <w:jc w:val="center"/>
              <w:rPr>
                <w:rFonts w:ascii="仿宋" w:hAnsi="仿宋" w:eastAsia="仿宋" w:cs="黑体"/>
                <w:sz w:val="24"/>
              </w:rPr>
            </w:pPr>
            <w:r>
              <w:rPr>
                <w:rFonts w:hint="eastAsia" w:ascii="仿宋" w:hAnsi="仿宋" w:eastAsia="仿宋" w:cs="黑体"/>
                <w:sz w:val="24"/>
              </w:rPr>
              <w:t>10</w:t>
            </w:r>
          </w:p>
        </w:tc>
        <w:tc>
          <w:tcPr>
            <w:tcW w:w="992" w:type="dxa"/>
          </w:tcPr>
          <w:p w14:paraId="294A1BE0">
            <w:pPr>
              <w:snapToGrid w:val="0"/>
              <w:spacing w:line="360" w:lineRule="auto"/>
              <w:jc w:val="center"/>
              <w:rPr>
                <w:rFonts w:ascii="仿宋" w:hAnsi="仿宋" w:eastAsia="仿宋" w:cs="黑体"/>
                <w:sz w:val="24"/>
              </w:rPr>
            </w:pPr>
            <w:r>
              <w:rPr>
                <w:rFonts w:ascii="仿宋" w:hAnsi="仿宋" w:eastAsia="仿宋" w:cs="黑体"/>
                <w:sz w:val="24"/>
              </w:rPr>
              <w:t>40</w:t>
            </w:r>
          </w:p>
        </w:tc>
        <w:tc>
          <w:tcPr>
            <w:tcW w:w="992" w:type="dxa"/>
          </w:tcPr>
          <w:p w14:paraId="16CC314C">
            <w:pPr>
              <w:snapToGrid w:val="0"/>
              <w:spacing w:line="360" w:lineRule="auto"/>
              <w:jc w:val="center"/>
              <w:rPr>
                <w:rFonts w:ascii="仿宋" w:hAnsi="仿宋" w:eastAsia="仿宋" w:cs="黑体"/>
                <w:sz w:val="24"/>
              </w:rPr>
            </w:pPr>
            <w:r>
              <w:rPr>
                <w:rFonts w:ascii="仿宋" w:hAnsi="仿宋" w:eastAsia="仿宋" w:cs="黑体"/>
                <w:sz w:val="24"/>
              </w:rPr>
              <w:t>10</w:t>
            </w:r>
          </w:p>
        </w:tc>
        <w:tc>
          <w:tcPr>
            <w:tcW w:w="1294" w:type="dxa"/>
          </w:tcPr>
          <w:p w14:paraId="51D5E31C">
            <w:pPr>
              <w:snapToGrid w:val="0"/>
              <w:spacing w:line="360" w:lineRule="auto"/>
              <w:jc w:val="center"/>
              <w:rPr>
                <w:rFonts w:ascii="仿宋" w:hAnsi="仿宋" w:eastAsia="仿宋" w:cs="黑体"/>
                <w:sz w:val="24"/>
              </w:rPr>
            </w:pPr>
            <w:r>
              <w:rPr>
                <w:rFonts w:ascii="仿宋" w:hAnsi="仿宋" w:eastAsia="仿宋" w:cs="黑体"/>
                <w:sz w:val="24"/>
              </w:rPr>
              <w:t>100</w:t>
            </w:r>
          </w:p>
        </w:tc>
      </w:tr>
      <w:tr w14:paraId="52ECB9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077" w:type="dxa"/>
            <w:vAlign w:val="center"/>
          </w:tcPr>
          <w:p w14:paraId="5E980923">
            <w:pPr>
              <w:snapToGrid w:val="0"/>
              <w:spacing w:line="360" w:lineRule="auto"/>
              <w:rPr>
                <w:rFonts w:ascii="仿宋" w:hAnsi="仿宋" w:eastAsia="仿宋" w:cs="黑体"/>
                <w:sz w:val="24"/>
              </w:rPr>
            </w:pPr>
            <w:r>
              <w:rPr>
                <w:rFonts w:hint="eastAsia" w:ascii="仿宋" w:hAnsi="仿宋" w:eastAsia="仿宋" w:cs="黑体"/>
                <w:sz w:val="24"/>
              </w:rPr>
              <w:t>9、第五次全国经济普查试点经费</w:t>
            </w:r>
          </w:p>
        </w:tc>
        <w:tc>
          <w:tcPr>
            <w:tcW w:w="993" w:type="dxa"/>
          </w:tcPr>
          <w:p w14:paraId="0BE789DB">
            <w:pPr>
              <w:snapToGrid w:val="0"/>
              <w:spacing w:line="360" w:lineRule="auto"/>
              <w:jc w:val="center"/>
              <w:rPr>
                <w:rFonts w:ascii="仿宋" w:hAnsi="仿宋" w:eastAsia="仿宋" w:cs="黑体"/>
                <w:sz w:val="24"/>
              </w:rPr>
            </w:pPr>
            <w:r>
              <w:rPr>
                <w:rFonts w:hint="eastAsia" w:ascii="仿宋" w:hAnsi="仿宋" w:eastAsia="仿宋" w:cs="黑体"/>
                <w:sz w:val="24"/>
              </w:rPr>
              <w:t>40</w:t>
            </w:r>
          </w:p>
        </w:tc>
        <w:tc>
          <w:tcPr>
            <w:tcW w:w="992" w:type="dxa"/>
          </w:tcPr>
          <w:p w14:paraId="486FB149">
            <w:pPr>
              <w:snapToGrid w:val="0"/>
              <w:spacing w:line="360" w:lineRule="auto"/>
              <w:jc w:val="center"/>
              <w:rPr>
                <w:rFonts w:ascii="仿宋" w:hAnsi="仿宋" w:eastAsia="仿宋" w:cs="黑体"/>
                <w:sz w:val="24"/>
              </w:rPr>
            </w:pPr>
            <w:r>
              <w:rPr>
                <w:rFonts w:hint="eastAsia" w:ascii="仿宋" w:hAnsi="仿宋" w:eastAsia="仿宋" w:cs="黑体"/>
                <w:sz w:val="24"/>
              </w:rPr>
              <w:t>10</w:t>
            </w:r>
          </w:p>
        </w:tc>
        <w:tc>
          <w:tcPr>
            <w:tcW w:w="992" w:type="dxa"/>
          </w:tcPr>
          <w:p w14:paraId="3626F357">
            <w:pPr>
              <w:snapToGrid w:val="0"/>
              <w:spacing w:line="360" w:lineRule="auto"/>
              <w:jc w:val="center"/>
              <w:rPr>
                <w:rFonts w:ascii="仿宋" w:hAnsi="仿宋" w:eastAsia="仿宋" w:cs="黑体"/>
                <w:sz w:val="24"/>
              </w:rPr>
            </w:pPr>
            <w:r>
              <w:rPr>
                <w:rFonts w:ascii="仿宋" w:hAnsi="仿宋" w:eastAsia="仿宋" w:cs="黑体"/>
                <w:sz w:val="24"/>
              </w:rPr>
              <w:t>40</w:t>
            </w:r>
          </w:p>
        </w:tc>
        <w:tc>
          <w:tcPr>
            <w:tcW w:w="992" w:type="dxa"/>
          </w:tcPr>
          <w:p w14:paraId="0020BB52">
            <w:pPr>
              <w:snapToGrid w:val="0"/>
              <w:spacing w:line="360" w:lineRule="auto"/>
              <w:jc w:val="center"/>
              <w:rPr>
                <w:rFonts w:ascii="仿宋" w:hAnsi="仿宋" w:eastAsia="仿宋" w:cs="黑体"/>
                <w:sz w:val="24"/>
              </w:rPr>
            </w:pPr>
            <w:r>
              <w:rPr>
                <w:rFonts w:ascii="仿宋" w:hAnsi="仿宋" w:eastAsia="仿宋" w:cs="黑体"/>
                <w:sz w:val="24"/>
              </w:rPr>
              <w:t>10</w:t>
            </w:r>
          </w:p>
        </w:tc>
        <w:tc>
          <w:tcPr>
            <w:tcW w:w="1294" w:type="dxa"/>
          </w:tcPr>
          <w:p w14:paraId="42AB37D0">
            <w:pPr>
              <w:snapToGrid w:val="0"/>
              <w:spacing w:line="360" w:lineRule="auto"/>
              <w:jc w:val="center"/>
              <w:rPr>
                <w:rFonts w:ascii="仿宋" w:hAnsi="仿宋" w:eastAsia="仿宋" w:cs="黑体"/>
                <w:sz w:val="24"/>
              </w:rPr>
            </w:pPr>
            <w:r>
              <w:rPr>
                <w:rFonts w:ascii="仿宋" w:hAnsi="仿宋" w:eastAsia="仿宋" w:cs="黑体"/>
                <w:sz w:val="24"/>
              </w:rPr>
              <w:t>100</w:t>
            </w:r>
          </w:p>
        </w:tc>
      </w:tr>
      <w:tr w14:paraId="0EB9AA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077" w:type="dxa"/>
            <w:vAlign w:val="center"/>
          </w:tcPr>
          <w:p w14:paraId="60D88D63">
            <w:pPr>
              <w:snapToGrid w:val="0"/>
              <w:spacing w:line="360" w:lineRule="auto"/>
              <w:rPr>
                <w:rFonts w:ascii="仿宋" w:hAnsi="仿宋" w:eastAsia="仿宋" w:cs="黑体"/>
                <w:sz w:val="24"/>
              </w:rPr>
            </w:pPr>
            <w:r>
              <w:rPr>
                <w:rFonts w:hint="eastAsia" w:ascii="仿宋" w:hAnsi="仿宋" w:eastAsia="仿宋" w:cs="黑体"/>
                <w:sz w:val="24"/>
              </w:rPr>
              <w:t>1</w:t>
            </w:r>
            <w:r>
              <w:rPr>
                <w:rFonts w:ascii="仿宋" w:hAnsi="仿宋" w:eastAsia="仿宋" w:cs="黑体"/>
                <w:sz w:val="24"/>
              </w:rPr>
              <w:t>0</w:t>
            </w:r>
            <w:r>
              <w:rPr>
                <w:rFonts w:hint="eastAsia" w:ascii="仿宋" w:hAnsi="仿宋" w:eastAsia="仿宋" w:cs="黑体"/>
                <w:sz w:val="24"/>
              </w:rPr>
              <w:t>、企业电子统计台账试点工作经费</w:t>
            </w:r>
          </w:p>
        </w:tc>
        <w:tc>
          <w:tcPr>
            <w:tcW w:w="993" w:type="dxa"/>
          </w:tcPr>
          <w:p w14:paraId="4B05FF20">
            <w:pPr>
              <w:snapToGrid w:val="0"/>
              <w:spacing w:line="360" w:lineRule="auto"/>
              <w:jc w:val="center"/>
              <w:rPr>
                <w:rFonts w:ascii="仿宋" w:hAnsi="仿宋" w:eastAsia="仿宋" w:cs="黑体"/>
                <w:sz w:val="24"/>
              </w:rPr>
            </w:pPr>
            <w:r>
              <w:rPr>
                <w:rFonts w:hint="eastAsia" w:ascii="仿宋" w:hAnsi="仿宋" w:eastAsia="仿宋" w:cs="黑体"/>
                <w:sz w:val="24"/>
              </w:rPr>
              <w:t>40</w:t>
            </w:r>
          </w:p>
        </w:tc>
        <w:tc>
          <w:tcPr>
            <w:tcW w:w="992" w:type="dxa"/>
          </w:tcPr>
          <w:p w14:paraId="2C476A00">
            <w:pPr>
              <w:snapToGrid w:val="0"/>
              <w:spacing w:line="360" w:lineRule="auto"/>
              <w:jc w:val="center"/>
              <w:rPr>
                <w:rFonts w:ascii="仿宋" w:hAnsi="仿宋" w:eastAsia="仿宋" w:cs="黑体"/>
                <w:sz w:val="24"/>
              </w:rPr>
            </w:pPr>
            <w:r>
              <w:rPr>
                <w:rFonts w:hint="eastAsia" w:ascii="仿宋" w:hAnsi="仿宋" w:eastAsia="仿宋" w:cs="黑体"/>
                <w:sz w:val="24"/>
              </w:rPr>
              <w:t>10</w:t>
            </w:r>
          </w:p>
        </w:tc>
        <w:tc>
          <w:tcPr>
            <w:tcW w:w="992" w:type="dxa"/>
          </w:tcPr>
          <w:p w14:paraId="7A19E476">
            <w:pPr>
              <w:snapToGrid w:val="0"/>
              <w:spacing w:line="360" w:lineRule="auto"/>
              <w:jc w:val="center"/>
              <w:rPr>
                <w:rFonts w:ascii="仿宋" w:hAnsi="仿宋" w:eastAsia="仿宋" w:cs="黑体"/>
                <w:sz w:val="24"/>
              </w:rPr>
            </w:pPr>
            <w:r>
              <w:rPr>
                <w:rFonts w:ascii="仿宋" w:hAnsi="仿宋" w:eastAsia="仿宋" w:cs="黑体"/>
                <w:sz w:val="24"/>
              </w:rPr>
              <w:t>37</w:t>
            </w:r>
          </w:p>
        </w:tc>
        <w:tc>
          <w:tcPr>
            <w:tcW w:w="992" w:type="dxa"/>
          </w:tcPr>
          <w:p w14:paraId="228E6604">
            <w:pPr>
              <w:snapToGrid w:val="0"/>
              <w:spacing w:line="360" w:lineRule="auto"/>
              <w:jc w:val="center"/>
              <w:rPr>
                <w:rFonts w:ascii="仿宋" w:hAnsi="仿宋" w:eastAsia="仿宋" w:cs="黑体"/>
                <w:sz w:val="24"/>
              </w:rPr>
            </w:pPr>
            <w:r>
              <w:rPr>
                <w:rFonts w:ascii="仿宋" w:hAnsi="仿宋" w:eastAsia="仿宋" w:cs="黑体"/>
                <w:sz w:val="24"/>
              </w:rPr>
              <w:t>10</w:t>
            </w:r>
          </w:p>
        </w:tc>
        <w:tc>
          <w:tcPr>
            <w:tcW w:w="1294" w:type="dxa"/>
          </w:tcPr>
          <w:p w14:paraId="3AA0DDB1">
            <w:pPr>
              <w:snapToGrid w:val="0"/>
              <w:spacing w:line="360" w:lineRule="auto"/>
              <w:jc w:val="center"/>
              <w:rPr>
                <w:rFonts w:ascii="仿宋" w:hAnsi="仿宋" w:eastAsia="仿宋" w:cs="黑体"/>
                <w:sz w:val="24"/>
              </w:rPr>
            </w:pPr>
            <w:r>
              <w:rPr>
                <w:rFonts w:ascii="仿宋" w:hAnsi="仿宋" w:eastAsia="仿宋" w:cs="黑体"/>
                <w:sz w:val="24"/>
              </w:rPr>
              <w:t>97</w:t>
            </w:r>
          </w:p>
        </w:tc>
      </w:tr>
      <w:tr w14:paraId="77DABE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077" w:type="dxa"/>
            <w:vAlign w:val="center"/>
          </w:tcPr>
          <w:p w14:paraId="2BAEFF76">
            <w:pPr>
              <w:snapToGrid w:val="0"/>
              <w:spacing w:line="360" w:lineRule="auto"/>
              <w:rPr>
                <w:rFonts w:ascii="仿宋" w:hAnsi="仿宋" w:eastAsia="仿宋" w:cs="黑体"/>
                <w:sz w:val="24"/>
              </w:rPr>
            </w:pPr>
            <w:r>
              <w:rPr>
                <w:rFonts w:ascii="仿宋" w:hAnsi="仿宋" w:eastAsia="仿宋" w:cs="黑体"/>
                <w:sz w:val="24"/>
              </w:rPr>
              <w:t>11</w:t>
            </w:r>
            <w:r>
              <w:rPr>
                <w:rFonts w:hint="eastAsia" w:ascii="仿宋" w:hAnsi="仿宋" w:eastAsia="仿宋" w:cs="黑体"/>
                <w:sz w:val="24"/>
              </w:rPr>
              <w:t>、住户调查大样本轮换工作经费</w:t>
            </w:r>
          </w:p>
        </w:tc>
        <w:tc>
          <w:tcPr>
            <w:tcW w:w="993" w:type="dxa"/>
          </w:tcPr>
          <w:p w14:paraId="6428B25E">
            <w:pPr>
              <w:snapToGrid w:val="0"/>
              <w:spacing w:line="360" w:lineRule="auto"/>
              <w:jc w:val="center"/>
              <w:rPr>
                <w:rFonts w:ascii="仿宋" w:hAnsi="仿宋" w:eastAsia="仿宋" w:cs="黑体"/>
                <w:sz w:val="24"/>
              </w:rPr>
            </w:pPr>
            <w:r>
              <w:rPr>
                <w:rFonts w:ascii="仿宋" w:hAnsi="仿宋" w:eastAsia="仿宋" w:cs="黑体"/>
                <w:sz w:val="24"/>
              </w:rPr>
              <w:t>39</w:t>
            </w:r>
          </w:p>
        </w:tc>
        <w:tc>
          <w:tcPr>
            <w:tcW w:w="992" w:type="dxa"/>
          </w:tcPr>
          <w:p w14:paraId="7CB7E0C5">
            <w:pPr>
              <w:snapToGrid w:val="0"/>
              <w:spacing w:line="360" w:lineRule="auto"/>
              <w:jc w:val="center"/>
              <w:rPr>
                <w:rFonts w:ascii="仿宋" w:hAnsi="仿宋" w:eastAsia="仿宋" w:cs="黑体"/>
                <w:sz w:val="24"/>
              </w:rPr>
            </w:pPr>
            <w:r>
              <w:rPr>
                <w:rFonts w:hint="eastAsia" w:ascii="仿宋" w:hAnsi="仿宋" w:eastAsia="仿宋" w:cs="黑体"/>
                <w:sz w:val="24"/>
              </w:rPr>
              <w:t>10</w:t>
            </w:r>
          </w:p>
        </w:tc>
        <w:tc>
          <w:tcPr>
            <w:tcW w:w="992" w:type="dxa"/>
          </w:tcPr>
          <w:p w14:paraId="2A456C82">
            <w:pPr>
              <w:snapToGrid w:val="0"/>
              <w:spacing w:line="360" w:lineRule="auto"/>
              <w:jc w:val="center"/>
              <w:rPr>
                <w:rFonts w:ascii="仿宋" w:hAnsi="仿宋" w:eastAsia="仿宋" w:cs="黑体"/>
                <w:sz w:val="24"/>
              </w:rPr>
            </w:pPr>
            <w:r>
              <w:rPr>
                <w:rFonts w:ascii="仿宋" w:hAnsi="仿宋" w:eastAsia="仿宋" w:cs="黑体"/>
                <w:sz w:val="24"/>
              </w:rPr>
              <w:t>39</w:t>
            </w:r>
          </w:p>
        </w:tc>
        <w:tc>
          <w:tcPr>
            <w:tcW w:w="992" w:type="dxa"/>
          </w:tcPr>
          <w:p w14:paraId="7BADBF11">
            <w:pPr>
              <w:snapToGrid w:val="0"/>
              <w:spacing w:line="360" w:lineRule="auto"/>
              <w:jc w:val="center"/>
              <w:rPr>
                <w:rFonts w:ascii="仿宋" w:hAnsi="仿宋" w:eastAsia="仿宋" w:cs="黑体"/>
                <w:sz w:val="24"/>
              </w:rPr>
            </w:pPr>
            <w:r>
              <w:rPr>
                <w:rFonts w:ascii="仿宋" w:hAnsi="仿宋" w:eastAsia="仿宋" w:cs="黑体"/>
                <w:sz w:val="24"/>
              </w:rPr>
              <w:t>10</w:t>
            </w:r>
          </w:p>
        </w:tc>
        <w:tc>
          <w:tcPr>
            <w:tcW w:w="1294" w:type="dxa"/>
          </w:tcPr>
          <w:p w14:paraId="1F890544">
            <w:pPr>
              <w:snapToGrid w:val="0"/>
              <w:spacing w:line="360" w:lineRule="auto"/>
              <w:jc w:val="center"/>
              <w:rPr>
                <w:rFonts w:ascii="仿宋" w:hAnsi="仿宋" w:eastAsia="仿宋" w:cs="黑体"/>
                <w:sz w:val="24"/>
              </w:rPr>
            </w:pPr>
            <w:r>
              <w:rPr>
                <w:rFonts w:ascii="仿宋" w:hAnsi="仿宋" w:eastAsia="仿宋" w:cs="黑体"/>
                <w:sz w:val="24"/>
              </w:rPr>
              <w:t>98</w:t>
            </w:r>
          </w:p>
        </w:tc>
      </w:tr>
      <w:tr w14:paraId="044BBD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077" w:type="dxa"/>
          </w:tcPr>
          <w:p w14:paraId="7D9457D7">
            <w:pPr>
              <w:snapToGrid w:val="0"/>
              <w:spacing w:line="360" w:lineRule="auto"/>
              <w:rPr>
                <w:rFonts w:ascii="仿宋" w:hAnsi="仿宋" w:eastAsia="仿宋" w:cs="黑体"/>
                <w:sz w:val="24"/>
              </w:rPr>
            </w:pPr>
            <w:r>
              <w:rPr>
                <w:rFonts w:hint="eastAsia" w:ascii="仿宋" w:hAnsi="仿宋" w:eastAsia="仿宋" w:cs="黑体"/>
                <w:sz w:val="24"/>
              </w:rPr>
              <w:t>平均得分</w:t>
            </w:r>
          </w:p>
        </w:tc>
        <w:tc>
          <w:tcPr>
            <w:tcW w:w="993" w:type="dxa"/>
          </w:tcPr>
          <w:p w14:paraId="4FE380A5">
            <w:pPr>
              <w:snapToGrid w:val="0"/>
              <w:spacing w:line="360" w:lineRule="auto"/>
              <w:ind w:firstLine="240" w:firstLineChars="100"/>
              <w:rPr>
                <w:rFonts w:ascii="仿宋" w:hAnsi="仿宋" w:eastAsia="仿宋" w:cs="黑体"/>
                <w:sz w:val="24"/>
              </w:rPr>
            </w:pPr>
          </w:p>
        </w:tc>
        <w:tc>
          <w:tcPr>
            <w:tcW w:w="992" w:type="dxa"/>
          </w:tcPr>
          <w:p w14:paraId="2461260F">
            <w:pPr>
              <w:snapToGrid w:val="0"/>
              <w:spacing w:line="360" w:lineRule="auto"/>
              <w:rPr>
                <w:rFonts w:ascii="仿宋" w:hAnsi="仿宋" w:eastAsia="仿宋" w:cs="黑体"/>
                <w:sz w:val="24"/>
              </w:rPr>
            </w:pPr>
          </w:p>
        </w:tc>
        <w:tc>
          <w:tcPr>
            <w:tcW w:w="992" w:type="dxa"/>
          </w:tcPr>
          <w:p w14:paraId="41EB4250">
            <w:pPr>
              <w:snapToGrid w:val="0"/>
              <w:spacing w:line="360" w:lineRule="auto"/>
              <w:rPr>
                <w:rFonts w:ascii="仿宋" w:hAnsi="仿宋" w:eastAsia="仿宋" w:cs="黑体"/>
                <w:sz w:val="24"/>
              </w:rPr>
            </w:pPr>
          </w:p>
        </w:tc>
        <w:tc>
          <w:tcPr>
            <w:tcW w:w="992" w:type="dxa"/>
          </w:tcPr>
          <w:p w14:paraId="23833D90">
            <w:pPr>
              <w:snapToGrid w:val="0"/>
              <w:spacing w:line="360" w:lineRule="auto"/>
              <w:rPr>
                <w:rFonts w:ascii="仿宋" w:hAnsi="仿宋" w:eastAsia="仿宋" w:cs="黑体"/>
                <w:sz w:val="24"/>
              </w:rPr>
            </w:pPr>
          </w:p>
        </w:tc>
        <w:tc>
          <w:tcPr>
            <w:tcW w:w="1294" w:type="dxa"/>
          </w:tcPr>
          <w:p w14:paraId="225DA9BE">
            <w:pPr>
              <w:snapToGrid w:val="0"/>
              <w:spacing w:line="360" w:lineRule="auto"/>
              <w:rPr>
                <w:rFonts w:ascii="仿宋" w:hAnsi="仿宋" w:eastAsia="仿宋" w:cs="黑体"/>
                <w:sz w:val="24"/>
              </w:rPr>
            </w:pPr>
            <w:r>
              <w:rPr>
                <w:rFonts w:ascii="仿宋" w:hAnsi="仿宋" w:eastAsia="仿宋" w:cs="黑体"/>
                <w:sz w:val="24"/>
              </w:rPr>
              <w:t>99.18</w:t>
            </w:r>
          </w:p>
        </w:tc>
      </w:tr>
    </w:tbl>
    <w:p w14:paraId="3B907646">
      <w:pPr>
        <w:adjustRightInd w:val="0"/>
        <w:snapToGrid w:val="0"/>
        <w:spacing w:line="560" w:lineRule="exact"/>
        <w:rPr>
          <w:rFonts w:ascii="仿宋" w:hAnsi="仿宋" w:eastAsia="仿宋"/>
          <w:sz w:val="32"/>
          <w:szCs w:val="32"/>
        </w:rPr>
      </w:pPr>
    </w:p>
    <w:p w14:paraId="4CC3D208">
      <w:pPr>
        <w:adjustRightInd w:val="0"/>
        <w:snapToGrid w:val="0"/>
        <w:spacing w:line="560" w:lineRule="exact"/>
        <w:ind w:firstLine="320" w:firstLineChars="100"/>
        <w:rPr>
          <w:rFonts w:ascii="仿宋" w:hAnsi="仿宋" w:eastAsia="仿宋"/>
          <w:sz w:val="32"/>
          <w:szCs w:val="32"/>
        </w:rPr>
      </w:pPr>
      <w:r>
        <w:rPr>
          <w:rFonts w:hint="eastAsia" w:ascii="仿宋" w:hAnsi="仿宋" w:eastAsia="仿宋"/>
          <w:sz w:val="32"/>
          <w:szCs w:val="32"/>
        </w:rPr>
        <w:t>根据部门职责定位和各项工作履职情况进行综合评价，给出总得分，并得出综合绩效评价等级。我部门整体支出综合绩效评价平均得分95.75分，绩效评价等级为优秀。</w:t>
      </w:r>
    </w:p>
    <w:p w14:paraId="416D9B93">
      <w:pPr>
        <w:numPr>
          <w:ilvl w:val="0"/>
          <w:numId w:val="4"/>
        </w:numPr>
        <w:snapToGrid w:val="0"/>
        <w:spacing w:line="560" w:lineRule="exact"/>
        <w:ind w:firstLine="640"/>
        <w:rPr>
          <w:rFonts w:ascii="黑体" w:hAnsi="黑体" w:eastAsia="黑体" w:cs="黑体"/>
          <w:sz w:val="32"/>
          <w:szCs w:val="32"/>
        </w:rPr>
      </w:pPr>
      <w:r>
        <w:rPr>
          <w:rFonts w:hint="eastAsia" w:ascii="黑体" w:hAnsi="黑体" w:eastAsia="黑体" w:cs="黑体"/>
          <w:sz w:val="32"/>
          <w:szCs w:val="32"/>
        </w:rPr>
        <w:t>整改措施及结果应用</w:t>
      </w:r>
    </w:p>
    <w:p w14:paraId="70AA3960">
      <w:pPr>
        <w:pStyle w:val="2"/>
        <w:ind w:firstLine="640" w:firstLineChars="200"/>
        <w:rPr>
          <w:lang w:val="en-US"/>
        </w:rPr>
      </w:pPr>
      <w:r>
        <w:rPr>
          <w:rFonts w:hint="eastAsia"/>
          <w:lang w:val="en-US"/>
        </w:rPr>
        <w:t>（一）存在主要问题</w:t>
      </w:r>
    </w:p>
    <w:p w14:paraId="7C70DC38">
      <w:pPr>
        <w:adjustRightInd w:val="0"/>
        <w:snapToGrid w:val="0"/>
        <w:spacing w:line="560" w:lineRule="exact"/>
        <w:ind w:firstLine="640" w:firstLineChars="200"/>
        <w:rPr>
          <w:rFonts w:ascii="仿宋" w:hAnsi="仿宋" w:eastAsia="仿宋"/>
          <w:sz w:val="32"/>
          <w:szCs w:val="32"/>
        </w:rPr>
      </w:pPr>
      <w:r>
        <w:rPr>
          <w:rFonts w:ascii="仿宋" w:hAnsi="仿宋" w:eastAsia="仿宋"/>
          <w:sz w:val="32"/>
          <w:szCs w:val="32"/>
        </w:rPr>
        <w:t>1.绩效目标设定工作有待提升。因事前绩效评估不足，项目数据库数据不够全面，完整，导致部分项目绩效目标设置不够简明 扼要，清晰直观，不便于理解和衡量。部分项目预算数量关键点不突出，数量不够精准。</w:t>
      </w:r>
    </w:p>
    <w:p w14:paraId="2A77637B">
      <w:pPr>
        <w:adjustRightInd w:val="0"/>
        <w:snapToGrid w:val="0"/>
        <w:spacing w:line="560" w:lineRule="exact"/>
        <w:ind w:firstLine="640" w:firstLineChars="200"/>
        <w:rPr>
          <w:rFonts w:ascii="仿宋" w:hAnsi="仿宋" w:eastAsia="仿宋"/>
          <w:sz w:val="32"/>
          <w:szCs w:val="32"/>
        </w:rPr>
      </w:pPr>
      <w:r>
        <w:rPr>
          <w:rFonts w:ascii="仿宋" w:hAnsi="仿宋" w:eastAsia="仿宋"/>
          <w:sz w:val="32"/>
          <w:szCs w:val="32"/>
        </w:rPr>
        <w:t xml:space="preserve"> 2.绩效工作管理有待加强。绩效工作管理还存在一定的薄弱环节，绩效管理相关制度不健全，个别科室绩效理念尚未全面树立、绩效管理职责不明确，绩效指标激励约束作用不强，存在重投入轻管理、重支出轻绩效的问题，绩效工作管理的广度和深度不足。 </w:t>
      </w:r>
    </w:p>
    <w:p w14:paraId="7B84DCCD">
      <w:pPr>
        <w:adjustRightInd w:val="0"/>
        <w:snapToGrid w:val="0"/>
        <w:spacing w:line="560" w:lineRule="exact"/>
        <w:ind w:firstLine="640" w:firstLineChars="200"/>
        <w:rPr>
          <w:rFonts w:ascii="仿宋" w:hAnsi="仿宋" w:eastAsia="仿宋"/>
          <w:sz w:val="32"/>
          <w:szCs w:val="32"/>
        </w:rPr>
      </w:pPr>
      <w:r>
        <w:rPr>
          <w:rFonts w:ascii="仿宋" w:hAnsi="仿宋" w:eastAsia="仿宋"/>
          <w:sz w:val="32"/>
          <w:szCs w:val="32"/>
        </w:rPr>
        <w:t>3.部分科室未能有效协同推进实施绩效管理，未做好预算项目 的梳理和总结工作，不能全面掌握绩效目标、指标的实际完成情况以及预算资金执行情况。部分较复杂的综合性预算项目，所设 指标涉及多个科室，部分科室之间未能协同推进实施绩效管理， 不能综合地反映预算项目的产出和效果。</w:t>
      </w:r>
    </w:p>
    <w:p w14:paraId="4BEC6916">
      <w:pPr>
        <w:pStyle w:val="2"/>
        <w:ind w:left="420" w:leftChars="200"/>
        <w:rPr>
          <w:lang w:val="en-US"/>
        </w:rPr>
      </w:pPr>
      <w:r>
        <w:rPr>
          <w:rFonts w:hint="eastAsia"/>
          <w:lang w:val="en-US"/>
        </w:rPr>
        <w:t>（</w:t>
      </w:r>
      <w:r>
        <w:rPr>
          <w:rFonts w:hint="eastAsia"/>
        </w:rPr>
        <w:t>二</w:t>
      </w:r>
      <w:r>
        <w:rPr>
          <w:rFonts w:hint="eastAsia"/>
          <w:lang w:val="en-US"/>
        </w:rPr>
        <w:t>）</w:t>
      </w:r>
      <w:r>
        <w:rPr>
          <w:rFonts w:hint="eastAsia"/>
        </w:rPr>
        <w:t>整改思路及工作措施</w:t>
      </w:r>
    </w:p>
    <w:p w14:paraId="13E8F6D7">
      <w:pPr>
        <w:adjustRightInd w:val="0"/>
        <w:snapToGrid w:val="0"/>
        <w:spacing w:line="560" w:lineRule="exact"/>
        <w:ind w:firstLine="640" w:firstLineChars="200"/>
        <w:rPr>
          <w:rFonts w:ascii="仿宋" w:hAnsi="仿宋" w:eastAsia="仿宋"/>
          <w:sz w:val="32"/>
          <w:szCs w:val="32"/>
        </w:rPr>
      </w:pPr>
      <w:r>
        <w:rPr>
          <w:rFonts w:ascii="仿宋" w:hAnsi="仿宋" w:eastAsia="仿宋"/>
          <w:sz w:val="32"/>
          <w:szCs w:val="32"/>
        </w:rPr>
        <w:t xml:space="preserve">1.科学规范的设定绩效目标，提升绩效目标的质量。使绩效目 标清晰的反映预算资金的预期产出和效果，并以精准的指向性绩效指标予以细化。能量化的绩效指标尽可能的量化，既要符合统计工作的特点和实际情况，又要实事求是，客观公正。 </w:t>
      </w:r>
    </w:p>
    <w:p w14:paraId="2023522B">
      <w:pPr>
        <w:adjustRightInd w:val="0"/>
        <w:snapToGrid w:val="0"/>
        <w:spacing w:line="560" w:lineRule="exact"/>
        <w:ind w:firstLine="640" w:firstLineChars="200"/>
        <w:rPr>
          <w:rFonts w:ascii="仿宋" w:hAnsi="仿宋" w:eastAsia="仿宋"/>
          <w:sz w:val="32"/>
          <w:szCs w:val="32"/>
        </w:rPr>
      </w:pPr>
      <w:r>
        <w:rPr>
          <w:rFonts w:ascii="仿宋" w:hAnsi="仿宋" w:eastAsia="仿宋"/>
          <w:sz w:val="32"/>
          <w:szCs w:val="32"/>
        </w:rPr>
        <w:t>2.建立健全相关绩效管理制度，强化预算绩效约束。 坚持权责对等、约束有力，明确各责任科室的预算绩效申报 和管理责任，做到“谁支出，谁自评”“花钱必问效，无效必问责”。建立健全激励约束机制，实现绩效评价结果与预算安排相 挂钩。增强预算统筹能力，优化预算管理流程，调动各科室的积极性、主动性。</w:t>
      </w:r>
    </w:p>
    <w:p w14:paraId="370CA96C">
      <w:pPr>
        <w:adjustRightInd w:val="0"/>
        <w:snapToGrid w:val="0"/>
        <w:spacing w:line="560" w:lineRule="exact"/>
        <w:ind w:firstLine="640" w:firstLineChars="200"/>
        <w:rPr>
          <w:rFonts w:ascii="仿宋" w:hAnsi="仿宋" w:eastAsia="仿宋"/>
          <w:sz w:val="32"/>
          <w:szCs w:val="32"/>
        </w:rPr>
      </w:pPr>
      <w:r>
        <w:rPr>
          <w:rFonts w:ascii="仿宋" w:hAnsi="仿宋" w:eastAsia="仿宋"/>
          <w:sz w:val="32"/>
          <w:szCs w:val="32"/>
        </w:rPr>
        <w:t xml:space="preserve"> 3.及时梳理和总结，协同推进实施绩效管理。 各科室要做好项目的梳理和总结工作，掌握项目预算资金的 执行情况以及绩效目标、指标的完成情况。针对多部门共同实施 的较复杂的综合性项目，由项目责任科室牵头，各部门积极参与 配合，完成预算项目的综合评价工作，保证准确地、全面地反映 和评价预算项目的产出和效果，实现预算项目的价值与意义。</w:t>
      </w:r>
    </w:p>
    <w:p w14:paraId="3DF13131">
      <w:pPr>
        <w:adjustRightInd w:val="0"/>
        <w:snapToGrid w:val="0"/>
        <w:spacing w:line="560" w:lineRule="exact"/>
        <w:ind w:firstLine="640" w:firstLineChars="200"/>
        <w:rPr>
          <w:rFonts w:ascii="仿宋" w:hAnsi="仿宋" w:eastAsia="仿宋" w:cs="黑体"/>
          <w:sz w:val="32"/>
          <w:szCs w:val="32"/>
        </w:rPr>
      </w:pPr>
      <w:r>
        <w:rPr>
          <w:rFonts w:ascii="仿宋" w:hAnsi="仿宋" w:eastAsia="仿宋"/>
          <w:sz w:val="32"/>
          <w:szCs w:val="32"/>
        </w:rPr>
        <w:t xml:space="preserve"> 4.建立健全业务制度。 结合此次总结出来的问题，对相关制度进行进一步修订和完善，在实际工作中严格依规办事、照章办事，强化制度的刚性执行。</w:t>
      </w:r>
    </w:p>
    <w:p w14:paraId="3EAFF979">
      <w:pPr>
        <w:pStyle w:val="2"/>
        <w:ind w:firstLine="640" w:firstLineChars="200"/>
        <w:rPr>
          <w:lang w:val="en-US"/>
        </w:rPr>
      </w:pPr>
      <w:r>
        <w:rPr>
          <w:rFonts w:hint="eastAsia"/>
          <w:lang w:val="en-US"/>
        </w:rPr>
        <w:t>（三）结果应用</w:t>
      </w:r>
    </w:p>
    <w:p w14:paraId="4A5BD471">
      <w:pPr>
        <w:spacing w:line="560" w:lineRule="exact"/>
        <w:ind w:firstLine="640" w:firstLineChars="200"/>
        <w:rPr>
          <w:rFonts w:ascii="仿宋_GB2312" w:eastAsia="仿宋_GB2312"/>
          <w:sz w:val="32"/>
        </w:rPr>
      </w:pPr>
      <w:r>
        <w:rPr>
          <w:rFonts w:hint="eastAsia" w:ascii="仿宋_GB2312" w:eastAsia="仿宋_GB2312"/>
          <w:sz w:val="32"/>
        </w:rPr>
        <w:t>绩效自评结果将在政府门户网站上进行公开，接受社会监督。绩效评价结果将通报相关人员督促整改，进一步提高项目绩效。</w:t>
      </w:r>
    </w:p>
    <w:p w14:paraId="145C50F6">
      <w:pPr>
        <w:pStyle w:val="2"/>
        <w:rPr>
          <w:lang w:val="en-US"/>
        </w:rPr>
      </w:pPr>
    </w:p>
    <w:p w14:paraId="403D5792">
      <w:pPr>
        <w:pStyle w:val="2"/>
        <w:rPr>
          <w:lang w:val="en-US"/>
        </w:rPr>
      </w:pPr>
    </w:p>
    <w:p w14:paraId="0AFF5448">
      <w:pPr>
        <w:pStyle w:val="2"/>
        <w:rPr>
          <w:lang w:val="en-US"/>
        </w:rPr>
      </w:pPr>
    </w:p>
    <w:p w14:paraId="7F2B3C03">
      <w:pPr>
        <w:pStyle w:val="2"/>
        <w:rPr>
          <w:lang w:val="en-US"/>
        </w:rPr>
      </w:pPr>
    </w:p>
    <w:p w14:paraId="76AA70B3">
      <w:pPr>
        <w:pStyle w:val="2"/>
        <w:rPr>
          <w:lang w:val="en-US"/>
        </w:rPr>
      </w:pPr>
    </w:p>
    <w:p w14:paraId="69DEF2B3">
      <w:pPr>
        <w:snapToGrid w:val="0"/>
        <w:spacing w:line="560" w:lineRule="exact"/>
        <w:ind w:firstLine="640" w:firstLineChars="200"/>
        <w:rPr>
          <w:rFonts w:ascii="仿宋" w:hAnsi="仿宋" w:eastAsia="仿宋" w:cs="仿宋"/>
          <w:sz w:val="32"/>
          <w:szCs w:val="32"/>
        </w:rPr>
      </w:pPr>
      <w:r>
        <w:rPr>
          <w:rFonts w:hint="eastAsia" w:ascii="黑体" w:hAnsi="黑体" w:eastAsia="黑体" w:cs="黑体"/>
          <w:sz w:val="32"/>
          <w:szCs w:val="32"/>
        </w:rPr>
        <w:t>六、评价工作组人员名单及签字</w:t>
      </w:r>
    </w:p>
    <w:tbl>
      <w:tblPr>
        <w:tblStyle w:val="7"/>
        <w:tblpPr w:leftFromText="180" w:rightFromText="180" w:vertAnchor="text" w:horzAnchor="page" w:tblpX="1962" w:tblpY="668"/>
        <w:tblOverlap w:val="never"/>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1418"/>
        <w:gridCol w:w="1701"/>
        <w:gridCol w:w="2976"/>
        <w:gridCol w:w="1610"/>
      </w:tblGrid>
      <w:tr w14:paraId="4C5146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Align w:val="center"/>
          </w:tcPr>
          <w:p w14:paraId="471FC62A">
            <w:pPr>
              <w:adjustRightInd w:val="0"/>
              <w:snapToGrid w:val="0"/>
              <w:spacing w:line="360" w:lineRule="auto"/>
              <w:jc w:val="center"/>
              <w:rPr>
                <w:rFonts w:ascii="仿宋" w:hAnsi="仿宋" w:eastAsia="仿宋" w:cs="仿宋"/>
                <w:sz w:val="30"/>
                <w:szCs w:val="30"/>
              </w:rPr>
            </w:pPr>
            <w:r>
              <w:rPr>
                <w:rFonts w:hint="eastAsia" w:ascii="仿宋" w:hAnsi="仿宋" w:eastAsia="仿宋" w:cs="仿宋"/>
                <w:sz w:val="30"/>
                <w:szCs w:val="30"/>
              </w:rPr>
              <w:t>序号</w:t>
            </w:r>
          </w:p>
        </w:tc>
        <w:tc>
          <w:tcPr>
            <w:tcW w:w="1418" w:type="dxa"/>
            <w:vAlign w:val="center"/>
          </w:tcPr>
          <w:p w14:paraId="67176A60">
            <w:pPr>
              <w:adjustRightInd w:val="0"/>
              <w:snapToGrid w:val="0"/>
              <w:spacing w:line="360" w:lineRule="auto"/>
              <w:jc w:val="center"/>
              <w:rPr>
                <w:rFonts w:ascii="仿宋" w:hAnsi="仿宋" w:eastAsia="仿宋" w:cs="仿宋"/>
                <w:sz w:val="30"/>
                <w:szCs w:val="30"/>
              </w:rPr>
            </w:pPr>
            <w:r>
              <w:rPr>
                <w:rFonts w:hint="eastAsia" w:ascii="仿宋" w:hAnsi="仿宋" w:eastAsia="仿宋" w:cs="仿宋"/>
                <w:sz w:val="30"/>
                <w:szCs w:val="30"/>
              </w:rPr>
              <w:t>姓名</w:t>
            </w:r>
          </w:p>
        </w:tc>
        <w:tc>
          <w:tcPr>
            <w:tcW w:w="1701" w:type="dxa"/>
            <w:vAlign w:val="center"/>
          </w:tcPr>
          <w:p w14:paraId="2DF20A5C">
            <w:pPr>
              <w:adjustRightInd w:val="0"/>
              <w:snapToGrid w:val="0"/>
              <w:spacing w:line="360" w:lineRule="auto"/>
              <w:jc w:val="center"/>
              <w:rPr>
                <w:rFonts w:ascii="仿宋" w:hAnsi="仿宋" w:eastAsia="仿宋" w:cs="仿宋"/>
                <w:sz w:val="30"/>
                <w:szCs w:val="30"/>
              </w:rPr>
            </w:pPr>
            <w:r>
              <w:rPr>
                <w:rFonts w:hint="eastAsia" w:ascii="仿宋" w:hAnsi="仿宋" w:eastAsia="仿宋" w:cs="仿宋"/>
                <w:sz w:val="30"/>
                <w:szCs w:val="30"/>
              </w:rPr>
              <w:t>工作单位</w:t>
            </w:r>
          </w:p>
        </w:tc>
        <w:tc>
          <w:tcPr>
            <w:tcW w:w="2976" w:type="dxa"/>
            <w:vAlign w:val="center"/>
          </w:tcPr>
          <w:p w14:paraId="0EF28F6A">
            <w:pPr>
              <w:adjustRightInd w:val="0"/>
              <w:snapToGrid w:val="0"/>
              <w:spacing w:line="360" w:lineRule="auto"/>
              <w:jc w:val="center"/>
              <w:rPr>
                <w:rFonts w:ascii="仿宋" w:hAnsi="仿宋" w:eastAsia="仿宋" w:cs="仿宋"/>
                <w:sz w:val="30"/>
                <w:szCs w:val="30"/>
              </w:rPr>
            </w:pPr>
            <w:r>
              <w:rPr>
                <w:rFonts w:hint="eastAsia" w:ascii="仿宋" w:hAnsi="仿宋" w:eastAsia="仿宋" w:cs="仿宋"/>
                <w:sz w:val="30"/>
                <w:szCs w:val="30"/>
              </w:rPr>
              <w:t>职务</w:t>
            </w:r>
          </w:p>
        </w:tc>
        <w:tc>
          <w:tcPr>
            <w:tcW w:w="1610" w:type="dxa"/>
            <w:vAlign w:val="center"/>
          </w:tcPr>
          <w:p w14:paraId="62924C4A">
            <w:pPr>
              <w:adjustRightInd w:val="0"/>
              <w:snapToGrid w:val="0"/>
              <w:spacing w:line="360" w:lineRule="auto"/>
              <w:jc w:val="center"/>
              <w:rPr>
                <w:rFonts w:ascii="仿宋" w:hAnsi="仿宋" w:eastAsia="仿宋" w:cs="仿宋"/>
                <w:sz w:val="30"/>
                <w:szCs w:val="30"/>
              </w:rPr>
            </w:pPr>
            <w:r>
              <w:rPr>
                <w:rFonts w:hint="eastAsia" w:ascii="仿宋" w:hAnsi="仿宋" w:eastAsia="仿宋" w:cs="仿宋"/>
                <w:sz w:val="30"/>
                <w:szCs w:val="30"/>
              </w:rPr>
              <w:t>签字</w:t>
            </w:r>
          </w:p>
        </w:tc>
      </w:tr>
      <w:tr w14:paraId="51967B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1" w:hRule="atLeast"/>
        </w:trPr>
        <w:tc>
          <w:tcPr>
            <w:tcW w:w="817" w:type="dxa"/>
            <w:vAlign w:val="center"/>
          </w:tcPr>
          <w:p w14:paraId="0D56728C">
            <w:pPr>
              <w:adjustRightInd w:val="0"/>
              <w:snapToGrid w:val="0"/>
              <w:spacing w:line="360" w:lineRule="auto"/>
              <w:jc w:val="center"/>
              <w:rPr>
                <w:rFonts w:ascii="仿宋" w:hAnsi="仿宋" w:eastAsia="仿宋" w:cs="仿宋"/>
                <w:sz w:val="30"/>
                <w:szCs w:val="30"/>
              </w:rPr>
            </w:pPr>
            <w:r>
              <w:rPr>
                <w:rFonts w:hint="eastAsia" w:ascii="仿宋" w:hAnsi="仿宋" w:eastAsia="仿宋" w:cs="仿宋"/>
                <w:sz w:val="30"/>
                <w:szCs w:val="30"/>
              </w:rPr>
              <w:t>1</w:t>
            </w:r>
          </w:p>
        </w:tc>
        <w:tc>
          <w:tcPr>
            <w:tcW w:w="1418" w:type="dxa"/>
            <w:vAlign w:val="center"/>
          </w:tcPr>
          <w:p w14:paraId="157E7E79">
            <w:pPr>
              <w:adjustRightInd w:val="0"/>
              <w:snapToGrid w:val="0"/>
              <w:spacing w:line="360" w:lineRule="auto"/>
              <w:rPr>
                <w:rFonts w:ascii="仿宋" w:hAnsi="仿宋" w:eastAsia="仿宋" w:cs="仿宋"/>
                <w:sz w:val="30"/>
                <w:szCs w:val="30"/>
              </w:rPr>
            </w:pPr>
            <w:r>
              <w:rPr>
                <w:rFonts w:hint="eastAsia" w:ascii="仿宋" w:hAnsi="仿宋" w:eastAsia="仿宋" w:cs="仿宋"/>
                <w:sz w:val="30"/>
                <w:szCs w:val="30"/>
              </w:rPr>
              <w:t>边利伟</w:t>
            </w:r>
          </w:p>
        </w:tc>
        <w:tc>
          <w:tcPr>
            <w:tcW w:w="1701" w:type="dxa"/>
            <w:vAlign w:val="center"/>
          </w:tcPr>
          <w:p w14:paraId="016DB925">
            <w:pPr>
              <w:adjustRightInd w:val="0"/>
              <w:snapToGrid w:val="0"/>
              <w:spacing w:line="360" w:lineRule="auto"/>
              <w:jc w:val="center"/>
              <w:rPr>
                <w:rFonts w:ascii="仿宋" w:hAnsi="仿宋" w:eastAsia="仿宋" w:cs="仿宋"/>
                <w:sz w:val="30"/>
                <w:szCs w:val="30"/>
              </w:rPr>
            </w:pPr>
            <w:r>
              <w:rPr>
                <w:rFonts w:hint="eastAsia" w:ascii="仿宋" w:hAnsi="仿宋" w:eastAsia="仿宋" w:cs="仿宋"/>
                <w:sz w:val="30"/>
                <w:szCs w:val="30"/>
              </w:rPr>
              <w:t>区统计局</w:t>
            </w:r>
          </w:p>
        </w:tc>
        <w:tc>
          <w:tcPr>
            <w:tcW w:w="2976" w:type="dxa"/>
            <w:vAlign w:val="center"/>
          </w:tcPr>
          <w:p w14:paraId="3C1D94CB">
            <w:pPr>
              <w:adjustRightInd w:val="0"/>
              <w:snapToGrid w:val="0"/>
              <w:spacing w:line="360" w:lineRule="auto"/>
              <w:jc w:val="center"/>
              <w:rPr>
                <w:rFonts w:ascii="仿宋" w:hAnsi="仿宋" w:eastAsia="仿宋" w:cs="仿宋"/>
                <w:sz w:val="28"/>
                <w:szCs w:val="28"/>
              </w:rPr>
            </w:pPr>
            <w:r>
              <w:rPr>
                <w:rFonts w:hint="eastAsia" w:ascii="仿宋" w:hAnsi="仿宋" w:eastAsia="仿宋" w:cs="仿宋"/>
                <w:sz w:val="28"/>
                <w:szCs w:val="28"/>
              </w:rPr>
              <w:t>局长</w:t>
            </w:r>
          </w:p>
        </w:tc>
        <w:tc>
          <w:tcPr>
            <w:tcW w:w="1610" w:type="dxa"/>
            <w:vAlign w:val="center"/>
          </w:tcPr>
          <w:p w14:paraId="72E8CC99">
            <w:pPr>
              <w:adjustRightInd w:val="0"/>
              <w:snapToGrid w:val="0"/>
              <w:spacing w:line="360" w:lineRule="auto"/>
              <w:jc w:val="center"/>
              <w:rPr>
                <w:rFonts w:ascii="仿宋" w:hAnsi="仿宋" w:eastAsia="仿宋" w:cs="仿宋"/>
                <w:sz w:val="30"/>
                <w:szCs w:val="30"/>
              </w:rPr>
            </w:pPr>
          </w:p>
        </w:tc>
      </w:tr>
      <w:tr w14:paraId="741F9E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2" w:hRule="atLeast"/>
        </w:trPr>
        <w:tc>
          <w:tcPr>
            <w:tcW w:w="817" w:type="dxa"/>
            <w:vAlign w:val="center"/>
          </w:tcPr>
          <w:p w14:paraId="6DABB2B5">
            <w:pPr>
              <w:adjustRightInd w:val="0"/>
              <w:snapToGrid w:val="0"/>
              <w:spacing w:line="360" w:lineRule="auto"/>
              <w:jc w:val="center"/>
              <w:rPr>
                <w:rFonts w:ascii="仿宋" w:hAnsi="仿宋" w:eastAsia="仿宋" w:cs="仿宋"/>
                <w:sz w:val="30"/>
                <w:szCs w:val="30"/>
              </w:rPr>
            </w:pPr>
            <w:r>
              <w:rPr>
                <w:rFonts w:hint="eastAsia" w:ascii="仿宋" w:hAnsi="仿宋" w:eastAsia="仿宋" w:cs="仿宋"/>
                <w:sz w:val="30"/>
                <w:szCs w:val="30"/>
              </w:rPr>
              <w:t>2</w:t>
            </w:r>
          </w:p>
        </w:tc>
        <w:tc>
          <w:tcPr>
            <w:tcW w:w="1418" w:type="dxa"/>
            <w:vAlign w:val="center"/>
          </w:tcPr>
          <w:p w14:paraId="5921FE62">
            <w:pPr>
              <w:adjustRightInd w:val="0"/>
              <w:snapToGrid w:val="0"/>
              <w:spacing w:line="360" w:lineRule="auto"/>
              <w:rPr>
                <w:rFonts w:ascii="仿宋" w:hAnsi="仿宋" w:eastAsia="仿宋" w:cs="仿宋"/>
                <w:sz w:val="30"/>
                <w:szCs w:val="30"/>
              </w:rPr>
            </w:pPr>
            <w:r>
              <w:rPr>
                <w:rFonts w:hint="eastAsia" w:ascii="仿宋" w:hAnsi="仿宋" w:eastAsia="仿宋" w:cs="仿宋"/>
                <w:sz w:val="30"/>
                <w:szCs w:val="30"/>
              </w:rPr>
              <w:t>郭立军</w:t>
            </w:r>
          </w:p>
        </w:tc>
        <w:tc>
          <w:tcPr>
            <w:tcW w:w="1701" w:type="dxa"/>
            <w:vAlign w:val="center"/>
          </w:tcPr>
          <w:p w14:paraId="0DBED6EA">
            <w:pPr>
              <w:adjustRightInd w:val="0"/>
              <w:snapToGrid w:val="0"/>
              <w:spacing w:line="360" w:lineRule="auto"/>
              <w:jc w:val="center"/>
              <w:rPr>
                <w:rFonts w:ascii="仿宋" w:hAnsi="仿宋" w:eastAsia="仿宋" w:cs="仿宋"/>
                <w:sz w:val="30"/>
                <w:szCs w:val="30"/>
              </w:rPr>
            </w:pPr>
            <w:r>
              <w:rPr>
                <w:rFonts w:hint="eastAsia" w:ascii="仿宋" w:hAnsi="仿宋" w:eastAsia="仿宋" w:cs="仿宋"/>
                <w:sz w:val="30"/>
                <w:szCs w:val="30"/>
              </w:rPr>
              <w:t>区统计局</w:t>
            </w:r>
          </w:p>
        </w:tc>
        <w:tc>
          <w:tcPr>
            <w:tcW w:w="2976" w:type="dxa"/>
            <w:vAlign w:val="center"/>
          </w:tcPr>
          <w:p w14:paraId="229567BF">
            <w:pPr>
              <w:adjustRightInd w:val="0"/>
              <w:snapToGrid w:val="0"/>
              <w:spacing w:line="360" w:lineRule="auto"/>
              <w:jc w:val="center"/>
              <w:rPr>
                <w:rFonts w:ascii="仿宋" w:hAnsi="仿宋" w:eastAsia="仿宋" w:cs="仿宋"/>
                <w:sz w:val="28"/>
                <w:szCs w:val="28"/>
              </w:rPr>
            </w:pPr>
            <w:r>
              <w:rPr>
                <w:rFonts w:hint="eastAsia" w:ascii="仿宋" w:hAnsi="仿宋" w:eastAsia="仿宋" w:cs="仿宋"/>
                <w:sz w:val="28"/>
                <w:szCs w:val="28"/>
              </w:rPr>
              <w:t>副局长</w:t>
            </w:r>
          </w:p>
        </w:tc>
        <w:tc>
          <w:tcPr>
            <w:tcW w:w="1610" w:type="dxa"/>
            <w:vAlign w:val="center"/>
          </w:tcPr>
          <w:p w14:paraId="0A1DD31F">
            <w:pPr>
              <w:adjustRightInd w:val="0"/>
              <w:snapToGrid w:val="0"/>
              <w:spacing w:line="360" w:lineRule="auto"/>
              <w:jc w:val="center"/>
              <w:rPr>
                <w:rFonts w:ascii="仿宋" w:hAnsi="仿宋" w:eastAsia="仿宋" w:cs="仿宋"/>
                <w:sz w:val="30"/>
                <w:szCs w:val="30"/>
              </w:rPr>
            </w:pPr>
          </w:p>
        </w:tc>
      </w:tr>
      <w:tr w14:paraId="0C8F23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Align w:val="center"/>
          </w:tcPr>
          <w:p w14:paraId="29996527">
            <w:pPr>
              <w:adjustRightInd w:val="0"/>
              <w:snapToGrid w:val="0"/>
              <w:spacing w:line="360" w:lineRule="auto"/>
              <w:jc w:val="center"/>
              <w:rPr>
                <w:rFonts w:ascii="仿宋" w:hAnsi="仿宋" w:eastAsia="仿宋" w:cs="仿宋"/>
                <w:sz w:val="30"/>
                <w:szCs w:val="30"/>
              </w:rPr>
            </w:pPr>
            <w:r>
              <w:rPr>
                <w:rFonts w:hint="eastAsia" w:ascii="仿宋" w:hAnsi="仿宋" w:eastAsia="仿宋" w:cs="仿宋"/>
                <w:sz w:val="30"/>
                <w:szCs w:val="30"/>
              </w:rPr>
              <w:t>3</w:t>
            </w:r>
          </w:p>
        </w:tc>
        <w:tc>
          <w:tcPr>
            <w:tcW w:w="1418" w:type="dxa"/>
            <w:vAlign w:val="center"/>
          </w:tcPr>
          <w:p w14:paraId="248D2642">
            <w:pPr>
              <w:adjustRightInd w:val="0"/>
              <w:snapToGrid w:val="0"/>
              <w:spacing w:line="360" w:lineRule="auto"/>
              <w:rPr>
                <w:rFonts w:ascii="仿宋" w:hAnsi="仿宋" w:eastAsia="仿宋" w:cs="仿宋"/>
                <w:sz w:val="30"/>
                <w:szCs w:val="30"/>
              </w:rPr>
            </w:pPr>
            <w:r>
              <w:rPr>
                <w:rFonts w:hint="eastAsia" w:ascii="仿宋" w:hAnsi="仿宋" w:eastAsia="仿宋" w:cs="仿宋"/>
                <w:sz w:val="30"/>
                <w:szCs w:val="30"/>
              </w:rPr>
              <w:t>蒲永坡</w:t>
            </w:r>
          </w:p>
        </w:tc>
        <w:tc>
          <w:tcPr>
            <w:tcW w:w="1701" w:type="dxa"/>
            <w:vAlign w:val="center"/>
          </w:tcPr>
          <w:p w14:paraId="3C764991">
            <w:pPr>
              <w:adjustRightInd w:val="0"/>
              <w:snapToGrid w:val="0"/>
              <w:spacing w:line="360" w:lineRule="auto"/>
              <w:jc w:val="center"/>
              <w:rPr>
                <w:rFonts w:ascii="仿宋" w:hAnsi="仿宋" w:eastAsia="仿宋" w:cs="仿宋"/>
                <w:sz w:val="30"/>
                <w:szCs w:val="30"/>
              </w:rPr>
            </w:pPr>
            <w:r>
              <w:rPr>
                <w:rFonts w:hint="eastAsia" w:ascii="仿宋" w:hAnsi="仿宋" w:eastAsia="仿宋" w:cs="仿宋"/>
                <w:sz w:val="30"/>
                <w:szCs w:val="30"/>
              </w:rPr>
              <w:t>区统计局</w:t>
            </w:r>
          </w:p>
        </w:tc>
        <w:tc>
          <w:tcPr>
            <w:tcW w:w="2976" w:type="dxa"/>
            <w:vAlign w:val="center"/>
          </w:tcPr>
          <w:p w14:paraId="1409DF02">
            <w:pPr>
              <w:adjustRightInd w:val="0"/>
              <w:snapToGrid w:val="0"/>
              <w:spacing w:line="360" w:lineRule="auto"/>
              <w:jc w:val="center"/>
              <w:rPr>
                <w:rFonts w:ascii="仿宋" w:hAnsi="仿宋" w:eastAsia="仿宋" w:cs="仿宋"/>
                <w:sz w:val="28"/>
                <w:szCs w:val="28"/>
              </w:rPr>
            </w:pPr>
            <w:r>
              <w:rPr>
                <w:rFonts w:hint="eastAsia" w:ascii="仿宋" w:hAnsi="仿宋" w:eastAsia="仿宋" w:cs="仿宋"/>
                <w:sz w:val="28"/>
                <w:szCs w:val="28"/>
              </w:rPr>
              <w:t>普查中心主任</w:t>
            </w:r>
          </w:p>
        </w:tc>
        <w:tc>
          <w:tcPr>
            <w:tcW w:w="1610" w:type="dxa"/>
            <w:vAlign w:val="center"/>
          </w:tcPr>
          <w:p w14:paraId="6CCFED48">
            <w:pPr>
              <w:adjustRightInd w:val="0"/>
              <w:snapToGrid w:val="0"/>
              <w:spacing w:line="360" w:lineRule="auto"/>
              <w:jc w:val="center"/>
              <w:rPr>
                <w:rFonts w:ascii="仿宋" w:hAnsi="仿宋" w:eastAsia="仿宋" w:cs="仿宋"/>
                <w:sz w:val="30"/>
                <w:szCs w:val="30"/>
              </w:rPr>
            </w:pPr>
          </w:p>
        </w:tc>
      </w:tr>
      <w:tr w14:paraId="0B5244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Align w:val="center"/>
          </w:tcPr>
          <w:p w14:paraId="47D00BF6">
            <w:pPr>
              <w:adjustRightInd w:val="0"/>
              <w:snapToGrid w:val="0"/>
              <w:spacing w:line="360" w:lineRule="auto"/>
              <w:jc w:val="center"/>
              <w:rPr>
                <w:rFonts w:ascii="仿宋" w:hAnsi="仿宋" w:eastAsia="仿宋" w:cs="仿宋"/>
                <w:sz w:val="30"/>
                <w:szCs w:val="30"/>
              </w:rPr>
            </w:pPr>
            <w:r>
              <w:rPr>
                <w:rFonts w:hint="eastAsia" w:ascii="仿宋" w:hAnsi="仿宋" w:eastAsia="仿宋" w:cs="仿宋"/>
                <w:sz w:val="30"/>
                <w:szCs w:val="30"/>
              </w:rPr>
              <w:t>4</w:t>
            </w:r>
          </w:p>
        </w:tc>
        <w:tc>
          <w:tcPr>
            <w:tcW w:w="1418" w:type="dxa"/>
            <w:vAlign w:val="center"/>
          </w:tcPr>
          <w:p w14:paraId="0A667E9E">
            <w:pPr>
              <w:adjustRightInd w:val="0"/>
              <w:snapToGrid w:val="0"/>
              <w:spacing w:line="360" w:lineRule="auto"/>
              <w:rPr>
                <w:rFonts w:ascii="仿宋" w:hAnsi="仿宋" w:eastAsia="仿宋" w:cs="仿宋"/>
                <w:sz w:val="30"/>
                <w:szCs w:val="30"/>
              </w:rPr>
            </w:pPr>
            <w:r>
              <w:rPr>
                <w:rFonts w:hint="eastAsia" w:ascii="仿宋" w:hAnsi="仿宋" w:eastAsia="仿宋" w:cs="仿宋"/>
                <w:sz w:val="30"/>
                <w:szCs w:val="30"/>
              </w:rPr>
              <w:t>崔荣华</w:t>
            </w:r>
          </w:p>
        </w:tc>
        <w:tc>
          <w:tcPr>
            <w:tcW w:w="1701" w:type="dxa"/>
            <w:vAlign w:val="center"/>
          </w:tcPr>
          <w:p w14:paraId="2233FACE">
            <w:pPr>
              <w:adjustRightInd w:val="0"/>
              <w:snapToGrid w:val="0"/>
              <w:spacing w:line="360" w:lineRule="auto"/>
              <w:jc w:val="center"/>
              <w:rPr>
                <w:rFonts w:ascii="仿宋" w:hAnsi="仿宋" w:eastAsia="仿宋" w:cs="仿宋"/>
                <w:sz w:val="30"/>
                <w:szCs w:val="30"/>
              </w:rPr>
            </w:pPr>
            <w:r>
              <w:rPr>
                <w:rFonts w:hint="eastAsia" w:ascii="仿宋" w:hAnsi="仿宋" w:eastAsia="仿宋" w:cs="仿宋"/>
                <w:sz w:val="30"/>
                <w:szCs w:val="30"/>
              </w:rPr>
              <w:t>区统计局</w:t>
            </w:r>
          </w:p>
        </w:tc>
        <w:tc>
          <w:tcPr>
            <w:tcW w:w="2976" w:type="dxa"/>
            <w:vAlign w:val="center"/>
          </w:tcPr>
          <w:p w14:paraId="7FCDD26B">
            <w:pPr>
              <w:adjustRightInd w:val="0"/>
              <w:snapToGrid w:val="0"/>
              <w:spacing w:line="360" w:lineRule="auto"/>
              <w:jc w:val="center"/>
              <w:rPr>
                <w:rFonts w:ascii="仿宋" w:hAnsi="仿宋" w:eastAsia="仿宋" w:cs="仿宋"/>
                <w:sz w:val="28"/>
                <w:szCs w:val="28"/>
              </w:rPr>
            </w:pPr>
            <w:r>
              <w:rPr>
                <w:rFonts w:hint="eastAsia" w:ascii="仿宋" w:hAnsi="仿宋" w:eastAsia="仿宋" w:cs="仿宋"/>
                <w:sz w:val="28"/>
                <w:szCs w:val="28"/>
              </w:rPr>
              <w:t>四级调研员</w:t>
            </w:r>
          </w:p>
        </w:tc>
        <w:tc>
          <w:tcPr>
            <w:tcW w:w="1610" w:type="dxa"/>
            <w:vAlign w:val="center"/>
          </w:tcPr>
          <w:p w14:paraId="3D769BE8">
            <w:pPr>
              <w:adjustRightInd w:val="0"/>
              <w:snapToGrid w:val="0"/>
              <w:spacing w:line="360" w:lineRule="auto"/>
              <w:jc w:val="center"/>
              <w:rPr>
                <w:rFonts w:ascii="仿宋" w:hAnsi="仿宋" w:eastAsia="仿宋" w:cs="仿宋"/>
                <w:sz w:val="30"/>
                <w:szCs w:val="30"/>
              </w:rPr>
            </w:pPr>
          </w:p>
        </w:tc>
      </w:tr>
      <w:tr w14:paraId="1FB46A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Align w:val="center"/>
          </w:tcPr>
          <w:p w14:paraId="72EE2275">
            <w:pPr>
              <w:adjustRightInd w:val="0"/>
              <w:snapToGrid w:val="0"/>
              <w:spacing w:line="360" w:lineRule="auto"/>
              <w:jc w:val="center"/>
              <w:rPr>
                <w:rFonts w:ascii="仿宋" w:hAnsi="仿宋" w:eastAsia="仿宋" w:cs="仿宋"/>
                <w:sz w:val="30"/>
                <w:szCs w:val="30"/>
              </w:rPr>
            </w:pPr>
            <w:r>
              <w:rPr>
                <w:rFonts w:hint="eastAsia" w:ascii="仿宋" w:hAnsi="仿宋" w:eastAsia="仿宋" w:cs="仿宋"/>
                <w:sz w:val="30"/>
                <w:szCs w:val="30"/>
              </w:rPr>
              <w:t>5</w:t>
            </w:r>
          </w:p>
        </w:tc>
        <w:tc>
          <w:tcPr>
            <w:tcW w:w="1418" w:type="dxa"/>
            <w:vAlign w:val="center"/>
          </w:tcPr>
          <w:p w14:paraId="7DE55AE0">
            <w:pPr>
              <w:adjustRightInd w:val="0"/>
              <w:snapToGrid w:val="0"/>
              <w:spacing w:line="360" w:lineRule="auto"/>
              <w:rPr>
                <w:rFonts w:ascii="仿宋" w:hAnsi="仿宋" w:eastAsia="仿宋" w:cs="仿宋"/>
                <w:sz w:val="30"/>
                <w:szCs w:val="30"/>
              </w:rPr>
            </w:pPr>
            <w:r>
              <w:rPr>
                <w:rFonts w:hint="eastAsia" w:ascii="仿宋" w:hAnsi="仿宋" w:eastAsia="仿宋" w:cs="仿宋"/>
                <w:sz w:val="30"/>
                <w:szCs w:val="30"/>
              </w:rPr>
              <w:t>郝华君</w:t>
            </w:r>
          </w:p>
        </w:tc>
        <w:tc>
          <w:tcPr>
            <w:tcW w:w="1701" w:type="dxa"/>
          </w:tcPr>
          <w:p w14:paraId="1DEE250F">
            <w:pPr>
              <w:adjustRightInd w:val="0"/>
              <w:snapToGrid w:val="0"/>
              <w:spacing w:line="360" w:lineRule="auto"/>
              <w:jc w:val="center"/>
              <w:rPr>
                <w:rFonts w:ascii="仿宋" w:hAnsi="仿宋" w:eastAsia="仿宋" w:cs="仿宋"/>
                <w:sz w:val="30"/>
                <w:szCs w:val="30"/>
              </w:rPr>
            </w:pPr>
            <w:r>
              <w:rPr>
                <w:rFonts w:hint="eastAsia" w:ascii="仿宋" w:hAnsi="仿宋" w:eastAsia="仿宋" w:cs="仿宋"/>
                <w:sz w:val="30"/>
                <w:szCs w:val="30"/>
              </w:rPr>
              <w:t>区统计局</w:t>
            </w:r>
          </w:p>
        </w:tc>
        <w:tc>
          <w:tcPr>
            <w:tcW w:w="2976" w:type="dxa"/>
            <w:vAlign w:val="center"/>
          </w:tcPr>
          <w:p w14:paraId="52E6D4FD">
            <w:pPr>
              <w:adjustRightInd w:val="0"/>
              <w:snapToGrid w:val="0"/>
              <w:spacing w:line="360" w:lineRule="auto"/>
              <w:jc w:val="center"/>
              <w:rPr>
                <w:rFonts w:ascii="仿宋" w:hAnsi="仿宋" w:eastAsia="仿宋" w:cs="仿宋"/>
                <w:sz w:val="28"/>
                <w:szCs w:val="28"/>
              </w:rPr>
            </w:pPr>
            <w:r>
              <w:rPr>
                <w:rFonts w:hint="eastAsia" w:ascii="仿宋" w:hAnsi="仿宋" w:eastAsia="仿宋" w:cs="仿宋"/>
                <w:sz w:val="28"/>
                <w:szCs w:val="28"/>
              </w:rPr>
              <w:t>办公室主任</w:t>
            </w:r>
          </w:p>
        </w:tc>
        <w:tc>
          <w:tcPr>
            <w:tcW w:w="1610" w:type="dxa"/>
            <w:vAlign w:val="center"/>
          </w:tcPr>
          <w:p w14:paraId="51406095">
            <w:pPr>
              <w:adjustRightInd w:val="0"/>
              <w:snapToGrid w:val="0"/>
              <w:spacing w:line="360" w:lineRule="auto"/>
              <w:jc w:val="center"/>
              <w:rPr>
                <w:rFonts w:ascii="仿宋" w:hAnsi="仿宋" w:eastAsia="仿宋" w:cs="仿宋"/>
                <w:sz w:val="30"/>
                <w:szCs w:val="30"/>
              </w:rPr>
            </w:pPr>
          </w:p>
        </w:tc>
      </w:tr>
      <w:tr w14:paraId="201BEF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Align w:val="center"/>
          </w:tcPr>
          <w:p w14:paraId="15CDDB6F">
            <w:pPr>
              <w:adjustRightInd w:val="0"/>
              <w:snapToGrid w:val="0"/>
              <w:spacing w:line="360" w:lineRule="auto"/>
              <w:jc w:val="center"/>
              <w:rPr>
                <w:rFonts w:ascii="仿宋" w:hAnsi="仿宋" w:eastAsia="仿宋" w:cs="仿宋"/>
                <w:sz w:val="30"/>
                <w:szCs w:val="30"/>
              </w:rPr>
            </w:pPr>
            <w:r>
              <w:rPr>
                <w:rFonts w:hint="eastAsia" w:ascii="仿宋" w:hAnsi="仿宋" w:eastAsia="仿宋" w:cs="仿宋"/>
                <w:sz w:val="30"/>
                <w:szCs w:val="30"/>
              </w:rPr>
              <w:t>6</w:t>
            </w:r>
          </w:p>
        </w:tc>
        <w:tc>
          <w:tcPr>
            <w:tcW w:w="1418" w:type="dxa"/>
            <w:vAlign w:val="center"/>
          </w:tcPr>
          <w:p w14:paraId="4356DF4F">
            <w:pPr>
              <w:adjustRightInd w:val="0"/>
              <w:snapToGrid w:val="0"/>
              <w:spacing w:line="360" w:lineRule="auto"/>
              <w:rPr>
                <w:rFonts w:ascii="仿宋" w:hAnsi="仿宋" w:eastAsia="仿宋" w:cs="仿宋"/>
                <w:sz w:val="30"/>
                <w:szCs w:val="30"/>
              </w:rPr>
            </w:pPr>
            <w:r>
              <w:rPr>
                <w:rFonts w:hint="eastAsia" w:ascii="仿宋" w:hAnsi="仿宋" w:eastAsia="仿宋" w:cs="仿宋"/>
                <w:sz w:val="30"/>
                <w:szCs w:val="30"/>
              </w:rPr>
              <w:t>王胜彬</w:t>
            </w:r>
          </w:p>
        </w:tc>
        <w:tc>
          <w:tcPr>
            <w:tcW w:w="1701" w:type="dxa"/>
          </w:tcPr>
          <w:p w14:paraId="327E7EC2">
            <w:pPr>
              <w:adjustRightInd w:val="0"/>
              <w:snapToGrid w:val="0"/>
              <w:spacing w:line="360" w:lineRule="auto"/>
              <w:jc w:val="center"/>
              <w:rPr>
                <w:rFonts w:ascii="仿宋" w:hAnsi="仿宋" w:eastAsia="仿宋" w:cs="仿宋"/>
                <w:sz w:val="30"/>
                <w:szCs w:val="30"/>
              </w:rPr>
            </w:pPr>
            <w:r>
              <w:rPr>
                <w:rFonts w:hint="eastAsia" w:ascii="仿宋" w:hAnsi="仿宋" w:eastAsia="仿宋" w:cs="仿宋"/>
                <w:sz w:val="30"/>
                <w:szCs w:val="30"/>
              </w:rPr>
              <w:t>区统计局</w:t>
            </w:r>
          </w:p>
        </w:tc>
        <w:tc>
          <w:tcPr>
            <w:tcW w:w="2976" w:type="dxa"/>
            <w:vAlign w:val="center"/>
          </w:tcPr>
          <w:p w14:paraId="5724AF65">
            <w:pPr>
              <w:adjustRightInd w:val="0"/>
              <w:snapToGrid w:val="0"/>
              <w:spacing w:line="360" w:lineRule="auto"/>
              <w:jc w:val="center"/>
              <w:rPr>
                <w:rFonts w:ascii="仿宋" w:hAnsi="仿宋" w:eastAsia="仿宋" w:cs="仿宋"/>
                <w:sz w:val="28"/>
                <w:szCs w:val="28"/>
              </w:rPr>
            </w:pPr>
            <w:r>
              <w:rPr>
                <w:rFonts w:hint="eastAsia" w:ascii="仿宋" w:hAnsi="仿宋" w:eastAsia="仿宋" w:cs="仿宋"/>
                <w:sz w:val="28"/>
                <w:szCs w:val="28"/>
              </w:rPr>
              <w:t>城调队 股长</w:t>
            </w:r>
          </w:p>
        </w:tc>
        <w:tc>
          <w:tcPr>
            <w:tcW w:w="1610" w:type="dxa"/>
            <w:vAlign w:val="center"/>
          </w:tcPr>
          <w:p w14:paraId="1E88CCCE">
            <w:pPr>
              <w:adjustRightInd w:val="0"/>
              <w:snapToGrid w:val="0"/>
              <w:spacing w:line="360" w:lineRule="auto"/>
              <w:jc w:val="center"/>
              <w:rPr>
                <w:rFonts w:ascii="仿宋" w:hAnsi="仿宋" w:eastAsia="仿宋" w:cs="仿宋"/>
                <w:sz w:val="30"/>
                <w:szCs w:val="30"/>
              </w:rPr>
            </w:pPr>
          </w:p>
        </w:tc>
      </w:tr>
      <w:tr w14:paraId="71FA1B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Align w:val="center"/>
          </w:tcPr>
          <w:p w14:paraId="1D62F9EA">
            <w:pPr>
              <w:adjustRightInd w:val="0"/>
              <w:snapToGrid w:val="0"/>
              <w:spacing w:line="360" w:lineRule="auto"/>
              <w:jc w:val="center"/>
              <w:rPr>
                <w:rFonts w:ascii="仿宋" w:hAnsi="仿宋" w:eastAsia="仿宋" w:cs="仿宋"/>
                <w:sz w:val="30"/>
                <w:szCs w:val="30"/>
              </w:rPr>
            </w:pPr>
            <w:r>
              <w:rPr>
                <w:rFonts w:hint="eastAsia" w:ascii="仿宋" w:hAnsi="仿宋" w:eastAsia="仿宋" w:cs="仿宋"/>
                <w:sz w:val="30"/>
                <w:szCs w:val="30"/>
              </w:rPr>
              <w:t>7</w:t>
            </w:r>
          </w:p>
        </w:tc>
        <w:tc>
          <w:tcPr>
            <w:tcW w:w="1418" w:type="dxa"/>
            <w:vAlign w:val="center"/>
          </w:tcPr>
          <w:p w14:paraId="1690E1C5">
            <w:pPr>
              <w:adjustRightInd w:val="0"/>
              <w:snapToGrid w:val="0"/>
              <w:spacing w:line="360" w:lineRule="auto"/>
              <w:rPr>
                <w:rFonts w:ascii="仿宋" w:hAnsi="仿宋" w:eastAsia="仿宋" w:cs="仿宋"/>
                <w:sz w:val="30"/>
                <w:szCs w:val="30"/>
              </w:rPr>
            </w:pPr>
            <w:r>
              <w:rPr>
                <w:rFonts w:hint="eastAsia" w:ascii="仿宋" w:hAnsi="仿宋" w:eastAsia="仿宋" w:cs="仿宋"/>
                <w:sz w:val="30"/>
                <w:szCs w:val="30"/>
              </w:rPr>
              <w:t>桑力刚</w:t>
            </w:r>
          </w:p>
        </w:tc>
        <w:tc>
          <w:tcPr>
            <w:tcW w:w="1701" w:type="dxa"/>
          </w:tcPr>
          <w:p w14:paraId="738A6D7F">
            <w:pPr>
              <w:adjustRightInd w:val="0"/>
              <w:snapToGrid w:val="0"/>
              <w:spacing w:line="360" w:lineRule="auto"/>
              <w:jc w:val="center"/>
              <w:rPr>
                <w:rFonts w:ascii="仿宋" w:hAnsi="仿宋" w:eastAsia="仿宋" w:cs="仿宋"/>
                <w:sz w:val="30"/>
                <w:szCs w:val="30"/>
              </w:rPr>
            </w:pPr>
            <w:r>
              <w:rPr>
                <w:rFonts w:hint="eastAsia" w:ascii="仿宋" w:hAnsi="仿宋" w:eastAsia="仿宋" w:cs="仿宋"/>
                <w:sz w:val="30"/>
                <w:szCs w:val="30"/>
              </w:rPr>
              <w:t>区统计局</w:t>
            </w:r>
          </w:p>
        </w:tc>
        <w:tc>
          <w:tcPr>
            <w:tcW w:w="2976" w:type="dxa"/>
            <w:vAlign w:val="center"/>
          </w:tcPr>
          <w:p w14:paraId="68D99F56">
            <w:pPr>
              <w:adjustRightInd w:val="0"/>
              <w:snapToGrid w:val="0"/>
              <w:spacing w:line="360" w:lineRule="auto"/>
              <w:jc w:val="center"/>
              <w:rPr>
                <w:rFonts w:ascii="仿宋" w:hAnsi="仿宋" w:eastAsia="仿宋" w:cs="仿宋"/>
                <w:sz w:val="28"/>
                <w:szCs w:val="28"/>
              </w:rPr>
            </w:pPr>
            <w:r>
              <w:rPr>
                <w:rFonts w:hint="eastAsia" w:ascii="仿宋" w:hAnsi="仿宋" w:eastAsia="仿宋" w:cs="仿宋"/>
                <w:sz w:val="28"/>
                <w:szCs w:val="28"/>
              </w:rPr>
              <w:t>普查中心副主任</w:t>
            </w:r>
          </w:p>
        </w:tc>
        <w:tc>
          <w:tcPr>
            <w:tcW w:w="1610" w:type="dxa"/>
            <w:vAlign w:val="center"/>
          </w:tcPr>
          <w:p w14:paraId="68D92550">
            <w:pPr>
              <w:adjustRightInd w:val="0"/>
              <w:snapToGrid w:val="0"/>
              <w:spacing w:line="360" w:lineRule="auto"/>
              <w:jc w:val="center"/>
              <w:rPr>
                <w:rFonts w:ascii="仿宋" w:hAnsi="仿宋" w:eastAsia="仿宋" w:cs="仿宋"/>
                <w:sz w:val="30"/>
                <w:szCs w:val="30"/>
              </w:rPr>
            </w:pPr>
          </w:p>
        </w:tc>
      </w:tr>
      <w:tr w14:paraId="2A0BEB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Align w:val="center"/>
          </w:tcPr>
          <w:p w14:paraId="1B5C6265">
            <w:pPr>
              <w:adjustRightInd w:val="0"/>
              <w:snapToGrid w:val="0"/>
              <w:spacing w:line="360" w:lineRule="auto"/>
              <w:jc w:val="center"/>
              <w:rPr>
                <w:rFonts w:ascii="仿宋" w:hAnsi="仿宋" w:eastAsia="仿宋" w:cs="仿宋"/>
                <w:sz w:val="30"/>
                <w:szCs w:val="30"/>
              </w:rPr>
            </w:pPr>
            <w:r>
              <w:rPr>
                <w:rFonts w:hint="eastAsia" w:ascii="仿宋" w:hAnsi="仿宋" w:eastAsia="仿宋" w:cs="仿宋"/>
                <w:sz w:val="30"/>
                <w:szCs w:val="30"/>
              </w:rPr>
              <w:t>8</w:t>
            </w:r>
          </w:p>
        </w:tc>
        <w:tc>
          <w:tcPr>
            <w:tcW w:w="1418" w:type="dxa"/>
            <w:vAlign w:val="center"/>
          </w:tcPr>
          <w:p w14:paraId="7B3B0EEB">
            <w:pPr>
              <w:adjustRightInd w:val="0"/>
              <w:snapToGrid w:val="0"/>
              <w:spacing w:line="360" w:lineRule="auto"/>
              <w:rPr>
                <w:rFonts w:ascii="仿宋" w:hAnsi="仿宋" w:eastAsia="仿宋" w:cs="仿宋"/>
                <w:sz w:val="30"/>
                <w:szCs w:val="30"/>
              </w:rPr>
            </w:pPr>
            <w:r>
              <w:rPr>
                <w:rFonts w:hint="eastAsia" w:ascii="仿宋" w:hAnsi="仿宋" w:eastAsia="仿宋" w:cs="仿宋"/>
                <w:sz w:val="30"/>
                <w:szCs w:val="30"/>
              </w:rPr>
              <w:t>王婷</w:t>
            </w:r>
          </w:p>
        </w:tc>
        <w:tc>
          <w:tcPr>
            <w:tcW w:w="1701" w:type="dxa"/>
          </w:tcPr>
          <w:p w14:paraId="78FCA0C6">
            <w:pPr>
              <w:adjustRightInd w:val="0"/>
              <w:snapToGrid w:val="0"/>
              <w:spacing w:line="360" w:lineRule="auto"/>
              <w:jc w:val="center"/>
              <w:rPr>
                <w:rFonts w:ascii="仿宋" w:hAnsi="仿宋" w:eastAsia="仿宋" w:cs="仿宋"/>
                <w:sz w:val="30"/>
                <w:szCs w:val="30"/>
              </w:rPr>
            </w:pPr>
            <w:r>
              <w:rPr>
                <w:rFonts w:hint="eastAsia" w:ascii="仿宋" w:hAnsi="仿宋" w:eastAsia="仿宋" w:cs="仿宋"/>
                <w:sz w:val="30"/>
                <w:szCs w:val="30"/>
              </w:rPr>
              <w:t>区统计局</w:t>
            </w:r>
          </w:p>
        </w:tc>
        <w:tc>
          <w:tcPr>
            <w:tcW w:w="2976" w:type="dxa"/>
            <w:vAlign w:val="center"/>
          </w:tcPr>
          <w:p w14:paraId="458691D5">
            <w:pPr>
              <w:adjustRightInd w:val="0"/>
              <w:snapToGrid w:val="0"/>
              <w:spacing w:line="360" w:lineRule="auto"/>
              <w:jc w:val="center"/>
              <w:rPr>
                <w:rFonts w:ascii="仿宋" w:hAnsi="仿宋" w:eastAsia="仿宋" w:cs="仿宋"/>
                <w:sz w:val="28"/>
                <w:szCs w:val="28"/>
              </w:rPr>
            </w:pPr>
            <w:r>
              <w:rPr>
                <w:rFonts w:hint="eastAsia" w:ascii="仿宋" w:hAnsi="仿宋" w:eastAsia="仿宋" w:cs="仿宋"/>
                <w:sz w:val="28"/>
                <w:szCs w:val="28"/>
              </w:rPr>
              <w:t>服务业 股长</w:t>
            </w:r>
          </w:p>
        </w:tc>
        <w:tc>
          <w:tcPr>
            <w:tcW w:w="1610" w:type="dxa"/>
            <w:vAlign w:val="center"/>
          </w:tcPr>
          <w:p w14:paraId="04074AB5">
            <w:pPr>
              <w:adjustRightInd w:val="0"/>
              <w:snapToGrid w:val="0"/>
              <w:spacing w:line="360" w:lineRule="auto"/>
              <w:jc w:val="center"/>
              <w:rPr>
                <w:rFonts w:ascii="仿宋" w:hAnsi="仿宋" w:eastAsia="仿宋" w:cs="仿宋"/>
                <w:sz w:val="30"/>
                <w:szCs w:val="30"/>
              </w:rPr>
            </w:pPr>
          </w:p>
        </w:tc>
      </w:tr>
      <w:tr w14:paraId="711786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3" w:hRule="atLeast"/>
        </w:trPr>
        <w:tc>
          <w:tcPr>
            <w:tcW w:w="817" w:type="dxa"/>
            <w:vAlign w:val="center"/>
          </w:tcPr>
          <w:p w14:paraId="3028DFC7">
            <w:pPr>
              <w:adjustRightInd w:val="0"/>
              <w:snapToGrid w:val="0"/>
              <w:spacing w:line="360" w:lineRule="auto"/>
              <w:jc w:val="center"/>
              <w:rPr>
                <w:rFonts w:ascii="仿宋" w:hAnsi="仿宋" w:eastAsia="仿宋" w:cs="仿宋"/>
                <w:sz w:val="30"/>
                <w:szCs w:val="30"/>
              </w:rPr>
            </w:pPr>
            <w:r>
              <w:rPr>
                <w:rFonts w:ascii="仿宋" w:hAnsi="仿宋" w:eastAsia="仿宋" w:cs="仿宋"/>
                <w:sz w:val="30"/>
                <w:szCs w:val="30"/>
              </w:rPr>
              <w:t>9</w:t>
            </w:r>
          </w:p>
        </w:tc>
        <w:tc>
          <w:tcPr>
            <w:tcW w:w="1418" w:type="dxa"/>
            <w:vAlign w:val="center"/>
          </w:tcPr>
          <w:p w14:paraId="1B38766D">
            <w:pPr>
              <w:adjustRightInd w:val="0"/>
              <w:snapToGrid w:val="0"/>
              <w:spacing w:line="360" w:lineRule="auto"/>
              <w:rPr>
                <w:rFonts w:ascii="仿宋" w:hAnsi="仿宋" w:eastAsia="仿宋" w:cs="仿宋"/>
                <w:sz w:val="30"/>
                <w:szCs w:val="30"/>
              </w:rPr>
            </w:pPr>
            <w:r>
              <w:rPr>
                <w:rFonts w:hint="eastAsia" w:ascii="仿宋" w:hAnsi="仿宋" w:eastAsia="仿宋" w:cs="仿宋"/>
                <w:sz w:val="30"/>
                <w:szCs w:val="30"/>
              </w:rPr>
              <w:t>韩淑巧</w:t>
            </w:r>
          </w:p>
        </w:tc>
        <w:tc>
          <w:tcPr>
            <w:tcW w:w="1701" w:type="dxa"/>
          </w:tcPr>
          <w:p w14:paraId="7BBB3E5F">
            <w:pPr>
              <w:adjustRightInd w:val="0"/>
              <w:snapToGrid w:val="0"/>
              <w:spacing w:line="360" w:lineRule="auto"/>
              <w:jc w:val="center"/>
              <w:rPr>
                <w:rFonts w:ascii="仿宋" w:hAnsi="仿宋" w:eastAsia="仿宋" w:cs="仿宋"/>
                <w:sz w:val="30"/>
                <w:szCs w:val="30"/>
              </w:rPr>
            </w:pPr>
            <w:r>
              <w:rPr>
                <w:rFonts w:hint="eastAsia" w:ascii="仿宋" w:hAnsi="仿宋" w:eastAsia="仿宋" w:cs="仿宋"/>
                <w:sz w:val="30"/>
                <w:szCs w:val="30"/>
              </w:rPr>
              <w:t>区统计局</w:t>
            </w:r>
          </w:p>
        </w:tc>
        <w:tc>
          <w:tcPr>
            <w:tcW w:w="2976" w:type="dxa"/>
            <w:vAlign w:val="center"/>
          </w:tcPr>
          <w:p w14:paraId="184F83D7">
            <w:pPr>
              <w:adjustRightInd w:val="0"/>
              <w:snapToGrid w:val="0"/>
              <w:spacing w:line="360" w:lineRule="auto"/>
              <w:rPr>
                <w:rFonts w:ascii="仿宋" w:hAnsi="仿宋" w:eastAsia="仿宋" w:cs="仿宋"/>
                <w:sz w:val="28"/>
                <w:szCs w:val="28"/>
              </w:rPr>
            </w:pPr>
            <w:r>
              <w:rPr>
                <w:rFonts w:hint="eastAsia" w:ascii="仿宋" w:hAnsi="仿宋" w:eastAsia="仿宋" w:cs="仿宋"/>
                <w:sz w:val="28"/>
                <w:szCs w:val="28"/>
              </w:rPr>
              <w:t>负责失业率调查 科员</w:t>
            </w:r>
          </w:p>
        </w:tc>
        <w:tc>
          <w:tcPr>
            <w:tcW w:w="1610" w:type="dxa"/>
            <w:vAlign w:val="center"/>
          </w:tcPr>
          <w:p w14:paraId="6452689B">
            <w:pPr>
              <w:adjustRightInd w:val="0"/>
              <w:snapToGrid w:val="0"/>
              <w:spacing w:line="360" w:lineRule="auto"/>
              <w:jc w:val="center"/>
              <w:rPr>
                <w:rFonts w:ascii="仿宋" w:hAnsi="仿宋" w:eastAsia="仿宋" w:cs="仿宋"/>
                <w:sz w:val="30"/>
                <w:szCs w:val="30"/>
              </w:rPr>
            </w:pPr>
          </w:p>
        </w:tc>
      </w:tr>
      <w:tr w14:paraId="5719C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817" w:type="dxa"/>
            <w:vAlign w:val="center"/>
          </w:tcPr>
          <w:p w14:paraId="27673C2D">
            <w:pPr>
              <w:adjustRightInd w:val="0"/>
              <w:snapToGrid w:val="0"/>
              <w:spacing w:line="360" w:lineRule="auto"/>
              <w:jc w:val="center"/>
              <w:rPr>
                <w:rFonts w:ascii="仿宋" w:hAnsi="仿宋" w:eastAsia="仿宋" w:cs="仿宋"/>
                <w:sz w:val="30"/>
                <w:szCs w:val="30"/>
              </w:rPr>
            </w:pPr>
            <w:r>
              <w:rPr>
                <w:rFonts w:hint="eastAsia" w:ascii="仿宋" w:hAnsi="仿宋" w:eastAsia="仿宋" w:cs="仿宋"/>
                <w:sz w:val="30"/>
                <w:szCs w:val="30"/>
              </w:rPr>
              <w:t>1</w:t>
            </w:r>
            <w:r>
              <w:rPr>
                <w:rFonts w:ascii="仿宋" w:hAnsi="仿宋" w:eastAsia="仿宋" w:cs="仿宋"/>
                <w:sz w:val="30"/>
                <w:szCs w:val="30"/>
              </w:rPr>
              <w:t>0</w:t>
            </w:r>
          </w:p>
        </w:tc>
        <w:tc>
          <w:tcPr>
            <w:tcW w:w="1418" w:type="dxa"/>
            <w:vAlign w:val="center"/>
          </w:tcPr>
          <w:p w14:paraId="4F27D804">
            <w:pPr>
              <w:adjustRightInd w:val="0"/>
              <w:snapToGrid w:val="0"/>
              <w:spacing w:line="360" w:lineRule="auto"/>
              <w:rPr>
                <w:rFonts w:ascii="仿宋" w:hAnsi="仿宋" w:eastAsia="仿宋" w:cs="仿宋"/>
                <w:sz w:val="30"/>
                <w:szCs w:val="30"/>
              </w:rPr>
            </w:pPr>
            <w:r>
              <w:rPr>
                <w:rFonts w:hint="eastAsia" w:ascii="仿宋" w:hAnsi="仿宋" w:eastAsia="仿宋" w:cs="仿宋"/>
                <w:sz w:val="30"/>
                <w:szCs w:val="30"/>
              </w:rPr>
              <w:t>刘莉</w:t>
            </w:r>
          </w:p>
        </w:tc>
        <w:tc>
          <w:tcPr>
            <w:tcW w:w="1701" w:type="dxa"/>
          </w:tcPr>
          <w:p w14:paraId="7F784F70">
            <w:pPr>
              <w:adjustRightInd w:val="0"/>
              <w:snapToGrid w:val="0"/>
              <w:spacing w:line="360" w:lineRule="auto"/>
              <w:jc w:val="center"/>
              <w:rPr>
                <w:rFonts w:ascii="仿宋" w:hAnsi="仿宋" w:eastAsia="仿宋" w:cs="仿宋"/>
                <w:sz w:val="30"/>
                <w:szCs w:val="30"/>
              </w:rPr>
            </w:pPr>
            <w:r>
              <w:rPr>
                <w:rFonts w:hint="eastAsia" w:ascii="仿宋" w:hAnsi="仿宋" w:eastAsia="仿宋" w:cs="仿宋"/>
                <w:sz w:val="30"/>
                <w:szCs w:val="30"/>
              </w:rPr>
              <w:t>区统计局</w:t>
            </w:r>
          </w:p>
        </w:tc>
        <w:tc>
          <w:tcPr>
            <w:tcW w:w="2976" w:type="dxa"/>
            <w:vAlign w:val="center"/>
          </w:tcPr>
          <w:p w14:paraId="07538A7A">
            <w:pPr>
              <w:adjustRightInd w:val="0"/>
              <w:snapToGrid w:val="0"/>
              <w:spacing w:line="360" w:lineRule="auto"/>
              <w:jc w:val="center"/>
              <w:rPr>
                <w:rFonts w:ascii="仿宋" w:hAnsi="仿宋" w:eastAsia="仿宋" w:cs="仿宋"/>
                <w:sz w:val="28"/>
                <w:szCs w:val="28"/>
              </w:rPr>
            </w:pPr>
            <w:r>
              <w:rPr>
                <w:rFonts w:hint="eastAsia" w:ascii="仿宋" w:hAnsi="仿宋" w:eastAsia="仿宋" w:cs="仿宋"/>
                <w:sz w:val="28"/>
                <w:szCs w:val="28"/>
              </w:rPr>
              <w:t>负责农调队 科员</w:t>
            </w:r>
          </w:p>
        </w:tc>
        <w:tc>
          <w:tcPr>
            <w:tcW w:w="1610" w:type="dxa"/>
            <w:vAlign w:val="center"/>
          </w:tcPr>
          <w:p w14:paraId="6F833988">
            <w:pPr>
              <w:adjustRightInd w:val="0"/>
              <w:snapToGrid w:val="0"/>
              <w:spacing w:line="360" w:lineRule="auto"/>
              <w:jc w:val="center"/>
              <w:rPr>
                <w:rFonts w:ascii="仿宋" w:hAnsi="仿宋" w:eastAsia="仿宋" w:cs="仿宋"/>
                <w:sz w:val="30"/>
                <w:szCs w:val="30"/>
              </w:rPr>
            </w:pPr>
          </w:p>
        </w:tc>
      </w:tr>
      <w:tr w14:paraId="786A43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3" w:hRule="atLeast"/>
        </w:trPr>
        <w:tc>
          <w:tcPr>
            <w:tcW w:w="817" w:type="dxa"/>
            <w:vAlign w:val="center"/>
          </w:tcPr>
          <w:p w14:paraId="426BBE8F">
            <w:pPr>
              <w:adjustRightInd w:val="0"/>
              <w:snapToGrid w:val="0"/>
              <w:spacing w:line="360" w:lineRule="auto"/>
              <w:jc w:val="center"/>
              <w:rPr>
                <w:rFonts w:ascii="仿宋" w:hAnsi="仿宋" w:eastAsia="仿宋" w:cs="仿宋"/>
                <w:sz w:val="30"/>
                <w:szCs w:val="30"/>
              </w:rPr>
            </w:pPr>
            <w:r>
              <w:rPr>
                <w:rFonts w:ascii="仿宋" w:hAnsi="仿宋" w:eastAsia="仿宋" w:cs="仿宋"/>
                <w:sz w:val="30"/>
                <w:szCs w:val="30"/>
              </w:rPr>
              <w:t>11</w:t>
            </w:r>
          </w:p>
        </w:tc>
        <w:tc>
          <w:tcPr>
            <w:tcW w:w="1418" w:type="dxa"/>
            <w:vAlign w:val="center"/>
          </w:tcPr>
          <w:p w14:paraId="6DB0F98F">
            <w:pPr>
              <w:adjustRightInd w:val="0"/>
              <w:snapToGrid w:val="0"/>
              <w:spacing w:line="360" w:lineRule="auto"/>
              <w:rPr>
                <w:rFonts w:ascii="仿宋" w:hAnsi="仿宋" w:eastAsia="仿宋" w:cs="仿宋"/>
                <w:sz w:val="30"/>
                <w:szCs w:val="30"/>
              </w:rPr>
            </w:pPr>
            <w:r>
              <w:rPr>
                <w:rFonts w:hint="eastAsia" w:ascii="仿宋" w:hAnsi="仿宋" w:eastAsia="仿宋" w:cs="仿宋"/>
                <w:sz w:val="30"/>
                <w:szCs w:val="30"/>
              </w:rPr>
              <w:t>李秀华</w:t>
            </w:r>
          </w:p>
        </w:tc>
        <w:tc>
          <w:tcPr>
            <w:tcW w:w="1701" w:type="dxa"/>
          </w:tcPr>
          <w:p w14:paraId="7C4B5135">
            <w:pPr>
              <w:adjustRightInd w:val="0"/>
              <w:snapToGrid w:val="0"/>
              <w:spacing w:line="360" w:lineRule="auto"/>
              <w:jc w:val="center"/>
              <w:rPr>
                <w:rFonts w:ascii="仿宋" w:hAnsi="仿宋" w:eastAsia="仿宋" w:cs="仿宋"/>
                <w:sz w:val="30"/>
                <w:szCs w:val="30"/>
              </w:rPr>
            </w:pPr>
            <w:r>
              <w:rPr>
                <w:rFonts w:hint="eastAsia" w:ascii="仿宋" w:hAnsi="仿宋" w:eastAsia="仿宋" w:cs="仿宋"/>
                <w:sz w:val="30"/>
                <w:szCs w:val="30"/>
              </w:rPr>
              <w:t>区统计局</w:t>
            </w:r>
          </w:p>
        </w:tc>
        <w:tc>
          <w:tcPr>
            <w:tcW w:w="2976" w:type="dxa"/>
            <w:vAlign w:val="center"/>
          </w:tcPr>
          <w:p w14:paraId="1A8804DE">
            <w:pPr>
              <w:adjustRightInd w:val="0"/>
              <w:snapToGrid w:val="0"/>
              <w:spacing w:line="360" w:lineRule="auto"/>
              <w:jc w:val="center"/>
              <w:rPr>
                <w:rFonts w:ascii="仿宋" w:hAnsi="仿宋" w:eastAsia="仿宋" w:cs="仿宋"/>
                <w:sz w:val="28"/>
                <w:szCs w:val="28"/>
              </w:rPr>
            </w:pPr>
            <w:r>
              <w:rPr>
                <w:rFonts w:hint="eastAsia" w:ascii="仿宋" w:hAnsi="仿宋" w:eastAsia="仿宋" w:cs="仿宋"/>
                <w:sz w:val="28"/>
                <w:szCs w:val="28"/>
              </w:rPr>
              <w:t>财务人员 股长</w:t>
            </w:r>
          </w:p>
        </w:tc>
        <w:tc>
          <w:tcPr>
            <w:tcW w:w="1610" w:type="dxa"/>
            <w:vAlign w:val="center"/>
          </w:tcPr>
          <w:p w14:paraId="5B3C2423">
            <w:pPr>
              <w:adjustRightInd w:val="0"/>
              <w:snapToGrid w:val="0"/>
              <w:spacing w:line="360" w:lineRule="auto"/>
              <w:jc w:val="center"/>
              <w:rPr>
                <w:rFonts w:ascii="仿宋" w:hAnsi="仿宋" w:eastAsia="仿宋" w:cs="仿宋"/>
                <w:sz w:val="30"/>
                <w:szCs w:val="30"/>
              </w:rPr>
            </w:pPr>
          </w:p>
        </w:tc>
      </w:tr>
    </w:tbl>
    <w:p w14:paraId="2B3BAB87">
      <w:pPr>
        <w:adjustRightInd w:val="0"/>
        <w:spacing w:line="360" w:lineRule="auto"/>
        <w:rPr>
          <w:rFonts w:ascii="仿宋" w:hAnsi="仿宋" w:eastAsia="仿宋"/>
          <w:sz w:val="32"/>
          <w:szCs w:val="32"/>
        </w:rPr>
      </w:pPr>
    </w:p>
    <w:p w14:paraId="0C26D94B">
      <w:pPr>
        <w:snapToGrid w:val="0"/>
        <w:spacing w:line="560" w:lineRule="exact"/>
        <w:ind w:left="630"/>
        <w:rPr>
          <w:rFonts w:ascii="仿宋" w:hAnsi="仿宋" w:eastAsia="仿宋" w:cs="仿宋"/>
          <w:sz w:val="32"/>
          <w:szCs w:val="32"/>
        </w:rPr>
      </w:pPr>
    </w:p>
    <w:sectPr>
      <w:headerReference r:id="rId3" w:type="default"/>
      <w:footerReference r:id="rId4" w:type="default"/>
      <w:pgSz w:w="11906" w:h="16838"/>
      <w:pgMar w:top="170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891D9F">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A894E58">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3A894E58">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5758A2">
    <w:pPr>
      <w:pStyle w:val="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79F1EC4"/>
    <w:multiLevelType w:val="singleLevel"/>
    <w:tmpl w:val="B79F1EC4"/>
    <w:lvl w:ilvl="0" w:tentative="0">
      <w:start w:val="3"/>
      <w:numFmt w:val="chineseCounting"/>
      <w:suff w:val="nothing"/>
      <w:lvlText w:val="%1、"/>
      <w:lvlJc w:val="left"/>
      <w:pPr>
        <w:ind w:left="-10"/>
      </w:pPr>
      <w:rPr>
        <w:rFonts w:hint="eastAsia"/>
      </w:rPr>
    </w:lvl>
  </w:abstractNum>
  <w:abstractNum w:abstractNumId="1">
    <w:nsid w:val="0BFB5702"/>
    <w:multiLevelType w:val="multilevel"/>
    <w:tmpl w:val="0BFB5702"/>
    <w:lvl w:ilvl="0" w:tentative="0">
      <w:start w:val="13"/>
      <w:numFmt w:val="decimal"/>
      <w:lvlText w:val="（%1）"/>
      <w:lvlJc w:val="left"/>
      <w:pPr>
        <w:ind w:left="1720" w:hanging="1080"/>
      </w:pPr>
      <w:rPr>
        <w:rFonts w:hint="default" w:ascii="仿宋_GB2312" w:hAnsi="仿宋_GB2312" w:eastAsia="仿宋_GB2312" w:cs="仿宋_GB2312"/>
      </w:rPr>
    </w:lvl>
    <w:lvl w:ilvl="1" w:tentative="0">
      <w:start w:val="1"/>
      <w:numFmt w:val="lowerLetter"/>
      <w:lvlText w:val="%2)"/>
      <w:lvlJc w:val="left"/>
      <w:pPr>
        <w:ind w:left="1520" w:hanging="440"/>
      </w:pPr>
    </w:lvl>
    <w:lvl w:ilvl="2" w:tentative="0">
      <w:start w:val="1"/>
      <w:numFmt w:val="lowerRoman"/>
      <w:lvlText w:val="%3."/>
      <w:lvlJc w:val="right"/>
      <w:pPr>
        <w:ind w:left="1960" w:hanging="440"/>
      </w:pPr>
    </w:lvl>
    <w:lvl w:ilvl="3" w:tentative="0">
      <w:start w:val="1"/>
      <w:numFmt w:val="decimal"/>
      <w:lvlText w:val="%4."/>
      <w:lvlJc w:val="left"/>
      <w:pPr>
        <w:ind w:left="2400" w:hanging="440"/>
      </w:pPr>
    </w:lvl>
    <w:lvl w:ilvl="4" w:tentative="0">
      <w:start w:val="1"/>
      <w:numFmt w:val="lowerLetter"/>
      <w:lvlText w:val="%5)"/>
      <w:lvlJc w:val="left"/>
      <w:pPr>
        <w:ind w:left="2840" w:hanging="440"/>
      </w:pPr>
    </w:lvl>
    <w:lvl w:ilvl="5" w:tentative="0">
      <w:start w:val="1"/>
      <w:numFmt w:val="lowerRoman"/>
      <w:lvlText w:val="%6."/>
      <w:lvlJc w:val="right"/>
      <w:pPr>
        <w:ind w:left="3280" w:hanging="440"/>
      </w:pPr>
    </w:lvl>
    <w:lvl w:ilvl="6" w:tentative="0">
      <w:start w:val="1"/>
      <w:numFmt w:val="decimal"/>
      <w:lvlText w:val="%7."/>
      <w:lvlJc w:val="left"/>
      <w:pPr>
        <w:ind w:left="3720" w:hanging="440"/>
      </w:pPr>
    </w:lvl>
    <w:lvl w:ilvl="7" w:tentative="0">
      <w:start w:val="1"/>
      <w:numFmt w:val="lowerLetter"/>
      <w:lvlText w:val="%8)"/>
      <w:lvlJc w:val="left"/>
      <w:pPr>
        <w:ind w:left="4160" w:hanging="440"/>
      </w:pPr>
    </w:lvl>
    <w:lvl w:ilvl="8" w:tentative="0">
      <w:start w:val="1"/>
      <w:numFmt w:val="lowerRoman"/>
      <w:lvlText w:val="%9."/>
      <w:lvlJc w:val="right"/>
      <w:pPr>
        <w:ind w:left="4600" w:hanging="440"/>
      </w:pPr>
    </w:lvl>
  </w:abstractNum>
  <w:abstractNum w:abstractNumId="2">
    <w:nsid w:val="306E5F04"/>
    <w:multiLevelType w:val="singleLevel"/>
    <w:tmpl w:val="306E5F04"/>
    <w:lvl w:ilvl="0" w:tentative="0">
      <w:start w:val="1"/>
      <w:numFmt w:val="chineseCounting"/>
      <w:suff w:val="nothing"/>
      <w:lvlText w:val="（%1）"/>
      <w:lvlJc w:val="left"/>
      <w:rPr>
        <w:rFonts w:hint="eastAsia"/>
        <w:lang w:val="en-US"/>
      </w:rPr>
    </w:lvl>
  </w:abstractNum>
  <w:abstractNum w:abstractNumId="3">
    <w:nsid w:val="60AEF39B"/>
    <w:multiLevelType w:val="singleLevel"/>
    <w:tmpl w:val="60AEF39B"/>
    <w:lvl w:ilvl="0" w:tentative="0">
      <w:start w:val="1"/>
      <w:numFmt w:val="chineseCounting"/>
      <w:suff w:val="nothing"/>
      <w:lvlText w:val="%1、"/>
      <w:lvlJc w:val="left"/>
      <w:rPr>
        <w:rFonts w:hint="eastAsia"/>
      </w:rPr>
    </w:lvl>
  </w:abstractNum>
  <w:abstractNum w:abstractNumId="4">
    <w:nsid w:val="65C32377"/>
    <w:multiLevelType w:val="multilevel"/>
    <w:tmpl w:val="65C32377"/>
    <w:lvl w:ilvl="0" w:tentative="0">
      <w:start w:val="2"/>
      <w:numFmt w:val="japaneseCounting"/>
      <w:lvlText w:val="（%1）"/>
      <w:lvlJc w:val="left"/>
      <w:pPr>
        <w:ind w:left="1585" w:hanging="945"/>
      </w:pPr>
      <w:rPr>
        <w:rFonts w:hint="default" w:ascii="仿宋" w:hAnsi="仿宋" w:eastAsia="仿宋" w:cs="仿宋"/>
        <w:sz w:val="32"/>
      </w:rPr>
    </w:lvl>
    <w:lvl w:ilvl="1" w:tentative="0">
      <w:start w:val="2"/>
      <w:numFmt w:val="decimal"/>
      <w:lvlText w:val="%2、"/>
      <w:lvlJc w:val="left"/>
      <w:pPr>
        <w:ind w:left="1800" w:hanging="720"/>
      </w:pPr>
      <w:rPr>
        <w:rFonts w:hint="default"/>
      </w:rPr>
    </w:lvl>
    <w:lvl w:ilvl="2" w:tentative="0">
      <w:start w:val="1"/>
      <w:numFmt w:val="lowerRoman"/>
      <w:lvlText w:val="%3."/>
      <w:lvlJc w:val="right"/>
      <w:pPr>
        <w:ind w:left="1960" w:hanging="440"/>
      </w:pPr>
    </w:lvl>
    <w:lvl w:ilvl="3" w:tentative="0">
      <w:start w:val="1"/>
      <w:numFmt w:val="decimal"/>
      <w:lvlText w:val="%4."/>
      <w:lvlJc w:val="left"/>
      <w:pPr>
        <w:ind w:left="2400" w:hanging="440"/>
      </w:pPr>
    </w:lvl>
    <w:lvl w:ilvl="4" w:tentative="0">
      <w:start w:val="1"/>
      <w:numFmt w:val="lowerLetter"/>
      <w:lvlText w:val="%5)"/>
      <w:lvlJc w:val="left"/>
      <w:pPr>
        <w:ind w:left="2840" w:hanging="440"/>
      </w:pPr>
    </w:lvl>
    <w:lvl w:ilvl="5" w:tentative="0">
      <w:start w:val="1"/>
      <w:numFmt w:val="lowerRoman"/>
      <w:lvlText w:val="%6."/>
      <w:lvlJc w:val="right"/>
      <w:pPr>
        <w:ind w:left="3280" w:hanging="440"/>
      </w:pPr>
    </w:lvl>
    <w:lvl w:ilvl="6" w:tentative="0">
      <w:start w:val="1"/>
      <w:numFmt w:val="decimal"/>
      <w:lvlText w:val="%7."/>
      <w:lvlJc w:val="left"/>
      <w:pPr>
        <w:ind w:left="3720" w:hanging="440"/>
      </w:pPr>
    </w:lvl>
    <w:lvl w:ilvl="7" w:tentative="0">
      <w:start w:val="1"/>
      <w:numFmt w:val="lowerLetter"/>
      <w:lvlText w:val="%8)"/>
      <w:lvlJc w:val="left"/>
      <w:pPr>
        <w:ind w:left="4160" w:hanging="440"/>
      </w:pPr>
    </w:lvl>
    <w:lvl w:ilvl="8" w:tentative="0">
      <w:start w:val="1"/>
      <w:numFmt w:val="lowerRoman"/>
      <w:lvlText w:val="%9."/>
      <w:lvlJc w:val="right"/>
      <w:pPr>
        <w:ind w:left="4600" w:hanging="440"/>
      </w:pPr>
    </w:lvl>
  </w:abstractNum>
  <w:num w:numId="1">
    <w:abstractNumId w:val="3"/>
  </w:num>
  <w:num w:numId="2">
    <w:abstractNumId w:val="1"/>
  </w:num>
  <w:num w:numId="3">
    <w:abstractNumId w:val="4"/>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EF16A3"/>
    <w:rsid w:val="00012FBE"/>
    <w:rsid w:val="0009078E"/>
    <w:rsid w:val="000D193E"/>
    <w:rsid w:val="000D29F1"/>
    <w:rsid w:val="00151648"/>
    <w:rsid w:val="001627CF"/>
    <w:rsid w:val="001646B1"/>
    <w:rsid w:val="00176210"/>
    <w:rsid w:val="001D2D4C"/>
    <w:rsid w:val="001D6572"/>
    <w:rsid w:val="00233822"/>
    <w:rsid w:val="002B4390"/>
    <w:rsid w:val="00383AC5"/>
    <w:rsid w:val="003B412A"/>
    <w:rsid w:val="003F1417"/>
    <w:rsid w:val="00432709"/>
    <w:rsid w:val="0043554E"/>
    <w:rsid w:val="00487406"/>
    <w:rsid w:val="004919BA"/>
    <w:rsid w:val="00491FCD"/>
    <w:rsid w:val="004E6C05"/>
    <w:rsid w:val="004F6F9F"/>
    <w:rsid w:val="00513509"/>
    <w:rsid w:val="00546BCB"/>
    <w:rsid w:val="00591E52"/>
    <w:rsid w:val="005B610E"/>
    <w:rsid w:val="005C236C"/>
    <w:rsid w:val="005E6EC9"/>
    <w:rsid w:val="00656B2A"/>
    <w:rsid w:val="00665896"/>
    <w:rsid w:val="00676FB1"/>
    <w:rsid w:val="006E7A4A"/>
    <w:rsid w:val="0071336C"/>
    <w:rsid w:val="0071475B"/>
    <w:rsid w:val="00735D70"/>
    <w:rsid w:val="0076596D"/>
    <w:rsid w:val="0077251A"/>
    <w:rsid w:val="00791333"/>
    <w:rsid w:val="00793214"/>
    <w:rsid w:val="007B71DB"/>
    <w:rsid w:val="007D43DA"/>
    <w:rsid w:val="007E50DB"/>
    <w:rsid w:val="007E661D"/>
    <w:rsid w:val="007F5EE6"/>
    <w:rsid w:val="007F7CC2"/>
    <w:rsid w:val="0081530B"/>
    <w:rsid w:val="0085060F"/>
    <w:rsid w:val="008C31C3"/>
    <w:rsid w:val="008E0E58"/>
    <w:rsid w:val="009116F4"/>
    <w:rsid w:val="00941865"/>
    <w:rsid w:val="00966800"/>
    <w:rsid w:val="00986803"/>
    <w:rsid w:val="0099577A"/>
    <w:rsid w:val="009E7E90"/>
    <w:rsid w:val="009F1522"/>
    <w:rsid w:val="00A06D88"/>
    <w:rsid w:val="00A70E93"/>
    <w:rsid w:val="00AB70A8"/>
    <w:rsid w:val="00AD480F"/>
    <w:rsid w:val="00AF5C06"/>
    <w:rsid w:val="00B12EF9"/>
    <w:rsid w:val="00B15F0F"/>
    <w:rsid w:val="00B27E75"/>
    <w:rsid w:val="00B723C7"/>
    <w:rsid w:val="00B80DA9"/>
    <w:rsid w:val="00B8177D"/>
    <w:rsid w:val="00B84CEF"/>
    <w:rsid w:val="00B86365"/>
    <w:rsid w:val="00BC13F3"/>
    <w:rsid w:val="00BE032C"/>
    <w:rsid w:val="00C242EC"/>
    <w:rsid w:val="00C47D31"/>
    <w:rsid w:val="00C63CA9"/>
    <w:rsid w:val="00CA13A1"/>
    <w:rsid w:val="00CA49CD"/>
    <w:rsid w:val="00CC2DAE"/>
    <w:rsid w:val="00CE156F"/>
    <w:rsid w:val="00D243BF"/>
    <w:rsid w:val="00D83598"/>
    <w:rsid w:val="00D926CE"/>
    <w:rsid w:val="00D979C6"/>
    <w:rsid w:val="00DA75BE"/>
    <w:rsid w:val="00DE50A2"/>
    <w:rsid w:val="00DF6FF4"/>
    <w:rsid w:val="00E03726"/>
    <w:rsid w:val="00E17D5D"/>
    <w:rsid w:val="00E26869"/>
    <w:rsid w:val="00E36717"/>
    <w:rsid w:val="00E61BFC"/>
    <w:rsid w:val="00E81B35"/>
    <w:rsid w:val="00E841B7"/>
    <w:rsid w:val="00EC46DA"/>
    <w:rsid w:val="00ED5E84"/>
    <w:rsid w:val="00EF16A3"/>
    <w:rsid w:val="00F57E52"/>
    <w:rsid w:val="00FA7B75"/>
    <w:rsid w:val="00FB4297"/>
    <w:rsid w:val="051D4810"/>
    <w:rsid w:val="053A23F9"/>
    <w:rsid w:val="055B525F"/>
    <w:rsid w:val="0ABA0533"/>
    <w:rsid w:val="0C321D5D"/>
    <w:rsid w:val="12632F03"/>
    <w:rsid w:val="128E44BE"/>
    <w:rsid w:val="12E45B33"/>
    <w:rsid w:val="13B61930"/>
    <w:rsid w:val="181703A4"/>
    <w:rsid w:val="1BAF1154"/>
    <w:rsid w:val="1C655171"/>
    <w:rsid w:val="20276775"/>
    <w:rsid w:val="25425E6D"/>
    <w:rsid w:val="2ABA6598"/>
    <w:rsid w:val="350E4556"/>
    <w:rsid w:val="39124814"/>
    <w:rsid w:val="3921391E"/>
    <w:rsid w:val="3AEF6FE7"/>
    <w:rsid w:val="45BB56F7"/>
    <w:rsid w:val="461E4B39"/>
    <w:rsid w:val="493B718D"/>
    <w:rsid w:val="509C2CC7"/>
    <w:rsid w:val="53A42ADD"/>
    <w:rsid w:val="5C4A315B"/>
    <w:rsid w:val="5E302B1E"/>
    <w:rsid w:val="5ED301D9"/>
    <w:rsid w:val="661D3074"/>
    <w:rsid w:val="661F2ED5"/>
    <w:rsid w:val="69D6417E"/>
    <w:rsid w:val="6BDB1457"/>
    <w:rsid w:val="6BDE7164"/>
    <w:rsid w:val="6DCE4DA3"/>
    <w:rsid w:val="70EF2775"/>
    <w:rsid w:val="72387379"/>
    <w:rsid w:val="73BB26B3"/>
    <w:rsid w:val="7B061DE1"/>
    <w:rsid w:val="F7C784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name="Default Paragraph Font"/>
    <w:lsdException w:qFormat="1" w:unhideWhenUsed="0" w:uiPriority="0" w:semiHidden="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w:basedOn w:val="1"/>
    <w:qFormat/>
    <w:uiPriority w:val="0"/>
    <w:rPr>
      <w:rFonts w:ascii="仿宋_GB2312" w:hAnsi="仿宋_GB2312" w:eastAsia="仿宋_GB2312" w:cs="仿宋_GB2312"/>
      <w:sz w:val="32"/>
      <w:szCs w:val="32"/>
      <w:lang w:val="zh-CN"/>
    </w:rPr>
  </w:style>
  <w:style w:type="paragraph" w:styleId="3">
    <w:name w:val="footer"/>
    <w:basedOn w:val="1"/>
    <w:link w:val="11"/>
    <w:unhideWhenUsed/>
    <w:qFormat/>
    <w:uiPriority w:val="99"/>
    <w:pPr>
      <w:tabs>
        <w:tab w:val="center" w:pos="4153"/>
        <w:tab w:val="right" w:pos="8306"/>
      </w:tabs>
      <w:snapToGrid w:val="0"/>
      <w:jc w:val="left"/>
    </w:pPr>
    <w:rPr>
      <w:sz w:val="18"/>
      <w:szCs w:val="18"/>
    </w:rPr>
  </w:style>
  <w:style w:type="paragraph" w:styleId="4">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0"/>
    <w:pPr>
      <w:widowControl/>
      <w:spacing w:before="100" w:beforeAutospacing="1" w:after="100" w:afterAutospacing="1"/>
      <w:jc w:val="left"/>
    </w:pPr>
    <w:rPr>
      <w:rFonts w:ascii="宋体" w:hAnsi="宋体" w:cs="宋体"/>
      <w:kern w:val="0"/>
      <w:sz w:val="24"/>
    </w:rPr>
  </w:style>
  <w:style w:type="table" w:styleId="7">
    <w:name w:val="Table Grid"/>
    <w:basedOn w:val="6"/>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Normal Indent1"/>
    <w:basedOn w:val="1"/>
    <w:qFormat/>
    <w:uiPriority w:val="0"/>
    <w:pPr>
      <w:ind w:firstLine="420" w:firstLineChars="200"/>
    </w:pPr>
  </w:style>
  <w:style w:type="character" w:customStyle="1" w:styleId="10">
    <w:name w:val="页眉 字符"/>
    <w:basedOn w:val="8"/>
    <w:link w:val="4"/>
    <w:qFormat/>
    <w:uiPriority w:val="99"/>
    <w:rPr>
      <w:sz w:val="18"/>
      <w:szCs w:val="18"/>
    </w:rPr>
  </w:style>
  <w:style w:type="character" w:customStyle="1" w:styleId="11">
    <w:name w:val="页脚 字符"/>
    <w:basedOn w:val="8"/>
    <w:link w:val="3"/>
    <w:qFormat/>
    <w:uiPriority w:val="99"/>
    <w:rPr>
      <w:sz w:val="18"/>
      <w:szCs w:val="18"/>
    </w:rPr>
  </w:style>
  <w:style w:type="paragraph" w:styleId="12">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13</Pages>
  <Words>6220</Words>
  <Characters>6577</Characters>
  <Lines>48</Lines>
  <Paragraphs>13</Paragraphs>
  <TotalTime>200</TotalTime>
  <ScaleCrop>false</ScaleCrop>
  <LinksUpToDate>false</LinksUpToDate>
  <CharactersWithSpaces>6604</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2019-11-14T08:58:00Z</dcterms:created>
  <dc:creator>user</dc:creator>
  <cp:lastModifiedBy> </cp:lastModifiedBy>
  <cp:lastPrinted>2021-02-24T13:43:00Z</cp:lastPrinted>
  <dcterms:modified xsi:type="dcterms:W3CDTF">2024-09-20T06:19:49Z</dcterms:modified>
  <dc:title>附件2： </dc:title>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0C2E07DA798A47A59A1BA7BB72ADF401_12</vt:lpwstr>
  </property>
</Properties>
</file>