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B970E1">
      <w:pPr>
        <w:snapToGrid w:val="0"/>
        <w:spacing w:line="560" w:lineRule="exact"/>
        <w:jc w:val="center"/>
        <w:rPr>
          <w:rFonts w:ascii="宋体" w:hAnsi="宋体" w:cs="宋体"/>
          <w:b/>
          <w:bCs/>
          <w:kern w:val="0"/>
          <w:sz w:val="44"/>
          <w:szCs w:val="44"/>
        </w:rPr>
      </w:pPr>
      <w:r>
        <w:rPr>
          <w:rFonts w:hint="eastAsia" w:ascii="宋体" w:hAnsi="宋体" w:cs="宋体"/>
          <w:b/>
          <w:bCs/>
          <w:kern w:val="0"/>
          <w:sz w:val="44"/>
          <w:szCs w:val="44"/>
        </w:rPr>
        <w:t>石家庄市藁城区交通运输局</w:t>
      </w:r>
    </w:p>
    <w:p w14:paraId="2F6597C3">
      <w:pPr>
        <w:snapToGrid w:val="0"/>
        <w:spacing w:line="560" w:lineRule="exact"/>
        <w:jc w:val="center"/>
        <w:rPr>
          <w:rFonts w:ascii="宋体" w:hAnsi="宋体" w:cs="宋体"/>
          <w:b/>
          <w:bCs/>
          <w:sz w:val="44"/>
          <w:szCs w:val="44"/>
        </w:rPr>
      </w:pPr>
      <w:r>
        <w:rPr>
          <w:rFonts w:hint="eastAsia" w:ascii="宋体" w:hAnsi="宋体" w:cs="宋体"/>
          <w:b/>
          <w:bCs/>
          <w:kern w:val="0"/>
          <w:sz w:val="44"/>
          <w:szCs w:val="44"/>
        </w:rPr>
        <w:t>2022年度整体支出</w:t>
      </w:r>
      <w:r>
        <w:rPr>
          <w:rFonts w:hint="eastAsia" w:ascii="宋体" w:hAnsi="宋体" w:cs="宋体"/>
          <w:b/>
          <w:bCs/>
          <w:sz w:val="44"/>
          <w:szCs w:val="44"/>
        </w:rPr>
        <w:t>绩效自评工作报告</w:t>
      </w:r>
    </w:p>
    <w:p w14:paraId="4D16E801">
      <w:pPr>
        <w:snapToGrid w:val="0"/>
        <w:spacing w:line="560" w:lineRule="exact"/>
        <w:jc w:val="center"/>
        <w:rPr>
          <w:rFonts w:ascii="仿宋" w:hAnsi="仿宋" w:eastAsia="仿宋" w:cs="仿宋"/>
          <w:sz w:val="32"/>
          <w:szCs w:val="32"/>
        </w:rPr>
      </w:pPr>
    </w:p>
    <w:p w14:paraId="13E1E852">
      <w:pPr>
        <w:snapToGrid w:val="0"/>
        <w:spacing w:line="560" w:lineRule="exact"/>
        <w:ind w:firstLine="640" w:firstLineChars="200"/>
        <w:rPr>
          <w:rFonts w:ascii="仿宋" w:hAnsi="仿宋" w:eastAsia="仿宋" w:cs="仿宋"/>
          <w:sz w:val="32"/>
          <w:szCs w:val="32"/>
        </w:rPr>
      </w:pPr>
      <w:r>
        <w:rPr>
          <w:rFonts w:hint="eastAsia" w:ascii="仿宋" w:hAnsi="仿宋" w:eastAsia="仿宋" w:cs="仿宋_GB2312"/>
          <w:sz w:val="32"/>
          <w:szCs w:val="32"/>
        </w:rPr>
        <w:t>根据</w:t>
      </w:r>
      <w:r>
        <w:rPr>
          <w:rFonts w:hint="eastAsia" w:ascii="仿宋" w:hAnsi="仿宋" w:eastAsia="仿宋" w:cs="宋体"/>
          <w:sz w:val="32"/>
          <w:szCs w:val="32"/>
        </w:rPr>
        <w:t>《石家庄市藁城区区级部门预算项目绩效自评管理办法》（藁财字</w:t>
      </w:r>
      <w:r>
        <w:rPr>
          <w:rFonts w:hint="eastAsia" w:ascii="仿宋" w:hAnsi="仿宋" w:eastAsia="仿宋" w:cs="仿宋"/>
          <w:sz w:val="32"/>
          <w:szCs w:val="32"/>
        </w:rPr>
        <w:t>〔2020〕23号</w:t>
      </w:r>
      <w:r>
        <w:rPr>
          <w:rFonts w:hint="eastAsia" w:ascii="仿宋" w:hAnsi="仿宋" w:eastAsia="仿宋" w:cs="宋体"/>
          <w:sz w:val="32"/>
          <w:szCs w:val="32"/>
        </w:rPr>
        <w:t>）及</w:t>
      </w:r>
      <w:r>
        <w:rPr>
          <w:rFonts w:hint="eastAsia" w:ascii="仿宋" w:hAnsi="仿宋" w:eastAsia="仿宋" w:cs="仿宋_GB2312"/>
          <w:sz w:val="32"/>
          <w:szCs w:val="32"/>
        </w:rPr>
        <w:t>石家庄市财政局</w:t>
      </w:r>
      <w:r>
        <w:rPr>
          <w:rFonts w:hint="eastAsia" w:ascii="仿宋" w:hAnsi="仿宋" w:eastAsia="仿宋" w:cs="宋体"/>
          <w:sz w:val="32"/>
          <w:szCs w:val="32"/>
        </w:rPr>
        <w:t>《</w:t>
      </w:r>
      <w:r>
        <w:rPr>
          <w:rFonts w:hint="eastAsia" w:ascii="仿宋" w:hAnsi="仿宋" w:eastAsia="仿宋" w:cs="仿宋_GB2312"/>
          <w:sz w:val="32"/>
          <w:szCs w:val="32"/>
        </w:rPr>
        <w:t>关于开展2023年专项项目绩效自评工作的通知</w:t>
      </w:r>
      <w:r>
        <w:rPr>
          <w:rFonts w:hint="eastAsia" w:ascii="仿宋" w:hAnsi="仿宋" w:eastAsia="仿宋" w:cs="宋体"/>
          <w:sz w:val="32"/>
          <w:szCs w:val="32"/>
        </w:rPr>
        <w:t>》要求，</w:t>
      </w:r>
      <w:r>
        <w:rPr>
          <w:rFonts w:hint="eastAsia" w:ascii="仿宋" w:hAnsi="仿宋" w:eastAsia="仿宋" w:cs="仿宋"/>
          <w:sz w:val="32"/>
          <w:szCs w:val="32"/>
        </w:rPr>
        <w:t>为进一步推进我部门绩效预算管理工作，</w:t>
      </w:r>
      <w:r>
        <w:rPr>
          <w:rFonts w:hint="eastAsia" w:ascii="仿宋" w:hAnsi="仿宋" w:eastAsia="仿宋" w:cs="仿宋_GB2312"/>
          <w:sz w:val="32"/>
          <w:szCs w:val="32"/>
        </w:rPr>
        <w:t>提高财政资金使用效益和财政管理科学化、精细化水平</w:t>
      </w:r>
      <w:r>
        <w:rPr>
          <w:rFonts w:hint="eastAsia" w:ascii="仿宋" w:hAnsi="仿宋" w:eastAsia="仿宋" w:cs="宋体"/>
          <w:sz w:val="32"/>
          <w:szCs w:val="32"/>
        </w:rPr>
        <w:t>，我单位</w:t>
      </w:r>
      <w:r>
        <w:rPr>
          <w:rFonts w:hint="eastAsia" w:ascii="仿宋" w:hAnsi="仿宋" w:eastAsia="仿宋" w:cs="楷体_GB2312"/>
          <w:sz w:val="32"/>
          <w:szCs w:val="32"/>
        </w:rPr>
        <w:t>组织相关人员对2022年度所有专项项目逐一进行绩效自评，现将我部门2022年度绩效自评工作汇报如下：</w:t>
      </w:r>
    </w:p>
    <w:p w14:paraId="6A8C1614">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一、部门基本情况</w:t>
      </w:r>
    </w:p>
    <w:p w14:paraId="00D2656A">
      <w:pPr>
        <w:snapToGrid w:val="0"/>
        <w:spacing w:line="560" w:lineRule="exact"/>
        <w:ind w:firstLine="643" w:firstLineChars="200"/>
        <w:rPr>
          <w:rFonts w:ascii="楷体_GB2312" w:hAnsi="仿宋" w:eastAsia="楷体_GB2312"/>
          <w:b/>
          <w:sz w:val="32"/>
          <w:szCs w:val="32"/>
        </w:rPr>
      </w:pPr>
      <w:r>
        <w:rPr>
          <w:rFonts w:hint="eastAsia" w:ascii="楷体_GB2312" w:hAnsi="仿宋" w:eastAsia="楷体_GB2312"/>
          <w:b/>
          <w:sz w:val="32"/>
          <w:szCs w:val="32"/>
        </w:rPr>
        <w:t>（一）基本情况。</w:t>
      </w:r>
    </w:p>
    <w:p w14:paraId="391EA03D">
      <w:pPr>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1．主要职能。</w:t>
      </w:r>
    </w:p>
    <w:p w14:paraId="3C41DB00">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kern w:val="0"/>
          <w:sz w:val="32"/>
          <w:szCs w:val="32"/>
        </w:rPr>
        <w:t>（1）</w:t>
      </w:r>
      <w:r>
        <w:rPr>
          <w:rFonts w:hint="eastAsia" w:ascii="仿宋" w:hAnsi="仿宋" w:eastAsia="仿宋" w:cs="仿宋"/>
          <w:sz w:val="32"/>
          <w:szCs w:val="32"/>
        </w:rPr>
        <w:t>贯彻执行上级有关交通运输行业的方针、政策和法律、法规，研究拟定全区公路运输、公路建设、交通运输管理的中、长期发展规划，并监督实施。</w:t>
      </w:r>
    </w:p>
    <w:p w14:paraId="2B8A1183">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（2）负责交通运输行业统计和信息工作。</w:t>
      </w:r>
    </w:p>
    <w:p w14:paraId="43454AD9">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负责全区（不含城区）公路、桥梁及其设施的规划、立项报批工作以及设计、建设、养护、路政管理工作，依法拆除违章建筑、管理路产路权、保护公路设施，开发公路用地。培育和管理交通运输基础设施建筑区场，组织公路及其设施的建设、维护、招投标管理。</w:t>
      </w:r>
    </w:p>
    <w:p w14:paraId="726CE6F0">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（4）负责交通运输系统国有资产的经营管理、增值保值和开发工作。负责全区交通运输行业专项资金的管理和使用。</w:t>
      </w:r>
    </w:p>
    <w:p w14:paraId="0D141AB5">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（5）负责交通运输行业管理，引导交通运输行业优化结构、协调发展。对关系国计民生的重点物资和紧急物资的运输进行必要调控。</w:t>
      </w:r>
    </w:p>
    <w:p w14:paraId="75AE9B6C">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6）负责培育和管理全区道路运输区场、机动车维修区场、机动车配件经营区场。参与管理旧车交易区场。负责搬运装卸、运输服务的行业管理。负责城乡客货运输管理，搞好汽车客货运输站、场、点的规划、建设和管理，依法保护和支持合法经营，取缔非法运输，指导管理好跨地域客货运输。</w:t>
      </w:r>
    </w:p>
    <w:p w14:paraId="66E6BF9F">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7）负责局机关并指导所属事业单位人事、劳动、机构编制管理、人力资源开发工作；负责所属事业单位党员干部队伍和基层党组织建设，组织指导全区交通运输行业的精神文明建设和职工队伍思想建设，加强行风建设和党风廉政建设。</w:t>
      </w:r>
    </w:p>
    <w:p w14:paraId="109AAB14">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（8）负责全区交通战备工作，组织编制全区国防交通规划，制定全区交通运输战时保障方案。</w:t>
      </w:r>
    </w:p>
    <w:p w14:paraId="75D1C6A8">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（9）负责国有资产管理和对保值增值的监督；负责全区交通运输专项资金的管理和使用。</w:t>
      </w:r>
    </w:p>
    <w:p w14:paraId="01B986C8">
      <w:pPr>
        <w:snapToGrid w:val="0"/>
        <w:spacing w:line="560" w:lineRule="exact"/>
        <w:ind w:firstLine="640" w:firstLineChars="200"/>
        <w:rPr>
          <w:rFonts w:ascii="楷体_GB2312" w:hAnsi="仿宋" w:eastAsia="楷体_GB2312"/>
          <w:b/>
          <w:sz w:val="32"/>
          <w:szCs w:val="32"/>
        </w:rPr>
      </w:pPr>
      <w:r>
        <w:rPr>
          <w:rFonts w:hint="eastAsia" w:ascii="仿宋" w:hAnsi="仿宋" w:eastAsia="仿宋" w:cs="仿宋"/>
          <w:sz w:val="32"/>
          <w:szCs w:val="32"/>
        </w:rPr>
        <w:t>（10）承办区人民政府交办的其他工作。</w:t>
      </w:r>
    </w:p>
    <w:tbl>
      <w:tblPr>
        <w:tblStyle w:val="4"/>
        <w:tblpPr w:leftFromText="180" w:rightFromText="180" w:vertAnchor="text" w:horzAnchor="margin" w:tblpY="691"/>
        <w:tblOverlap w:val="never"/>
        <w:tblW w:w="95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3345"/>
        <w:gridCol w:w="2205"/>
        <w:gridCol w:w="3220"/>
      </w:tblGrid>
      <w:tr w14:paraId="6D99A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trPr>
        <w:tc>
          <w:tcPr>
            <w:tcW w:w="807" w:type="dxa"/>
            <w:vAlign w:val="center"/>
          </w:tcPr>
          <w:p w14:paraId="08E70A21">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序号</w:t>
            </w:r>
          </w:p>
        </w:tc>
        <w:tc>
          <w:tcPr>
            <w:tcW w:w="3345" w:type="dxa"/>
            <w:vAlign w:val="center"/>
          </w:tcPr>
          <w:p w14:paraId="36C8D1DD">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单位名称</w:t>
            </w:r>
          </w:p>
        </w:tc>
        <w:tc>
          <w:tcPr>
            <w:tcW w:w="2205" w:type="dxa"/>
            <w:vAlign w:val="center"/>
          </w:tcPr>
          <w:p w14:paraId="783670BF">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单位基本性质</w:t>
            </w:r>
          </w:p>
        </w:tc>
        <w:tc>
          <w:tcPr>
            <w:tcW w:w="3220" w:type="dxa"/>
            <w:vAlign w:val="center"/>
          </w:tcPr>
          <w:p w14:paraId="02D781EE">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经费形式</w:t>
            </w:r>
          </w:p>
        </w:tc>
      </w:tr>
      <w:tr w14:paraId="16F24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807" w:type="dxa"/>
          </w:tcPr>
          <w:p w14:paraId="2951DD1C">
            <w:pPr>
              <w:spacing w:line="560" w:lineRule="exact"/>
              <w:jc w:val="center"/>
              <w:rPr>
                <w:rFonts w:ascii="仿宋_GB2312" w:eastAsia="仿宋_GB2312" w:cs="Arial Black"/>
                <w:kern w:val="0"/>
                <w:sz w:val="24"/>
              </w:rPr>
            </w:pPr>
            <w:r>
              <w:rPr>
                <w:rFonts w:hint="eastAsia" w:ascii="仿宋_GB2312" w:eastAsia="仿宋_GB2312" w:cs="Arial Black"/>
                <w:kern w:val="0"/>
                <w:sz w:val="24"/>
              </w:rPr>
              <w:t>1</w:t>
            </w:r>
          </w:p>
        </w:tc>
        <w:tc>
          <w:tcPr>
            <w:tcW w:w="3345" w:type="dxa"/>
          </w:tcPr>
          <w:p w14:paraId="1881EBA0">
            <w:pPr>
              <w:spacing w:line="560" w:lineRule="exact"/>
              <w:rPr>
                <w:rFonts w:ascii="仿宋" w:hAnsi="仿宋" w:eastAsia="仿宋" w:cs="仿宋"/>
                <w:kern w:val="0"/>
                <w:sz w:val="24"/>
              </w:rPr>
            </w:pPr>
            <w:r>
              <w:rPr>
                <w:rFonts w:hint="eastAsia" w:ascii="仿宋" w:hAnsi="仿宋" w:eastAsia="仿宋" w:cs="仿宋"/>
                <w:kern w:val="0"/>
                <w:sz w:val="24"/>
              </w:rPr>
              <w:t>石家庄市藁城区交通运输局</w:t>
            </w:r>
          </w:p>
        </w:tc>
        <w:tc>
          <w:tcPr>
            <w:tcW w:w="2205" w:type="dxa"/>
          </w:tcPr>
          <w:p w14:paraId="6C6AB226">
            <w:pPr>
              <w:spacing w:line="560" w:lineRule="exact"/>
              <w:jc w:val="center"/>
              <w:rPr>
                <w:rFonts w:ascii="仿宋" w:hAnsi="仿宋" w:eastAsia="仿宋" w:cs="仿宋"/>
                <w:kern w:val="0"/>
                <w:sz w:val="24"/>
              </w:rPr>
            </w:pPr>
            <w:r>
              <w:rPr>
                <w:rFonts w:hint="eastAsia" w:ascii="仿宋" w:hAnsi="仿宋" w:eastAsia="仿宋" w:cs="仿宋"/>
                <w:kern w:val="0"/>
                <w:sz w:val="24"/>
              </w:rPr>
              <w:t>行政单位</w:t>
            </w:r>
          </w:p>
        </w:tc>
        <w:tc>
          <w:tcPr>
            <w:tcW w:w="3220" w:type="dxa"/>
          </w:tcPr>
          <w:p w14:paraId="0A7A0E24">
            <w:pPr>
              <w:spacing w:line="560" w:lineRule="exact"/>
              <w:jc w:val="center"/>
              <w:rPr>
                <w:rFonts w:ascii="仿宋" w:hAnsi="仿宋" w:eastAsia="仿宋" w:cs="仿宋"/>
                <w:kern w:val="0"/>
                <w:sz w:val="24"/>
              </w:rPr>
            </w:pPr>
            <w:r>
              <w:rPr>
                <w:rFonts w:hint="eastAsia" w:ascii="仿宋_GB2312" w:eastAsia="仿宋_GB2312" w:cs="Arial Black"/>
                <w:kern w:val="0"/>
                <w:sz w:val="24"/>
              </w:rPr>
              <w:t>财政性资金定额或定项补助</w:t>
            </w:r>
          </w:p>
        </w:tc>
      </w:tr>
      <w:tr w14:paraId="1D648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807" w:type="dxa"/>
          </w:tcPr>
          <w:p w14:paraId="7D0BECC7">
            <w:pPr>
              <w:spacing w:line="560" w:lineRule="exact"/>
              <w:jc w:val="center"/>
              <w:rPr>
                <w:rFonts w:ascii="仿宋_GB2312" w:eastAsia="仿宋_GB2312" w:cs="Arial Black"/>
                <w:kern w:val="0"/>
                <w:sz w:val="28"/>
                <w:szCs w:val="28"/>
              </w:rPr>
            </w:pPr>
            <w:r>
              <w:rPr>
                <w:rFonts w:hint="eastAsia" w:ascii="仿宋_GB2312" w:eastAsia="仿宋_GB2312" w:cs="Arial Black"/>
                <w:kern w:val="0"/>
                <w:sz w:val="28"/>
                <w:szCs w:val="28"/>
              </w:rPr>
              <w:t>2</w:t>
            </w:r>
          </w:p>
        </w:tc>
        <w:tc>
          <w:tcPr>
            <w:tcW w:w="3345" w:type="dxa"/>
          </w:tcPr>
          <w:p w14:paraId="5CA11A32">
            <w:pPr>
              <w:spacing w:line="560" w:lineRule="exact"/>
              <w:rPr>
                <w:rFonts w:ascii="仿宋" w:hAnsi="仿宋" w:eastAsia="仿宋" w:cs="仿宋"/>
                <w:kern w:val="0"/>
                <w:sz w:val="28"/>
                <w:szCs w:val="28"/>
              </w:rPr>
            </w:pPr>
            <w:r>
              <w:rPr>
                <w:rFonts w:hint="eastAsia" w:ascii="仿宋" w:hAnsi="仿宋" w:eastAsia="仿宋" w:cs="ArialUnicodeMS"/>
                <w:kern w:val="0"/>
                <w:sz w:val="24"/>
              </w:rPr>
              <w:t>石家庄市藁城区公路管理站</w:t>
            </w:r>
          </w:p>
        </w:tc>
        <w:tc>
          <w:tcPr>
            <w:tcW w:w="2205" w:type="dxa"/>
          </w:tcPr>
          <w:p w14:paraId="3FCAC72C">
            <w:pPr>
              <w:spacing w:line="560" w:lineRule="exact"/>
              <w:jc w:val="center"/>
              <w:rPr>
                <w:rFonts w:ascii="仿宋" w:hAnsi="仿宋" w:eastAsia="仿宋" w:cs="仿宋"/>
                <w:kern w:val="0"/>
                <w:sz w:val="28"/>
                <w:szCs w:val="28"/>
              </w:rPr>
            </w:pPr>
            <w:r>
              <w:rPr>
                <w:rFonts w:hint="eastAsia" w:ascii="仿宋" w:hAnsi="仿宋" w:eastAsia="仿宋" w:cs="ArialUnicodeMS"/>
                <w:kern w:val="0"/>
                <w:sz w:val="24"/>
              </w:rPr>
              <w:t>经费自理事业单位</w:t>
            </w:r>
          </w:p>
        </w:tc>
        <w:tc>
          <w:tcPr>
            <w:tcW w:w="3220" w:type="dxa"/>
          </w:tcPr>
          <w:p w14:paraId="4F0D9FB9">
            <w:pPr>
              <w:spacing w:line="560" w:lineRule="exact"/>
              <w:jc w:val="center"/>
              <w:rPr>
                <w:rFonts w:ascii="仿宋" w:hAnsi="仿宋" w:eastAsia="仿宋" w:cs="仿宋"/>
                <w:kern w:val="0"/>
                <w:sz w:val="28"/>
                <w:szCs w:val="28"/>
              </w:rPr>
            </w:pPr>
            <w:r>
              <w:rPr>
                <w:rFonts w:hint="eastAsia" w:ascii="仿宋_GB2312" w:eastAsia="仿宋_GB2312" w:cs="Arial Black"/>
                <w:kern w:val="0"/>
                <w:sz w:val="24"/>
              </w:rPr>
              <w:t>财政性资金定额或定项补助</w:t>
            </w:r>
          </w:p>
        </w:tc>
      </w:tr>
    </w:tbl>
    <w:p w14:paraId="446B71C6">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2．机构情况</w:t>
      </w:r>
    </w:p>
    <w:p w14:paraId="2BC31B8D">
      <w:pPr>
        <w:snapToGrid w:val="0"/>
        <w:spacing w:line="520" w:lineRule="exact"/>
        <w:ind w:firstLine="640" w:firstLineChars="200"/>
        <w:rPr>
          <w:rFonts w:ascii="仿宋" w:hAnsi="仿宋" w:eastAsia="仿宋" w:cs="仿宋"/>
          <w:sz w:val="32"/>
          <w:szCs w:val="32"/>
        </w:rPr>
      </w:pPr>
    </w:p>
    <w:p w14:paraId="4A809089">
      <w:pPr>
        <w:snapToGrid w:val="0"/>
        <w:spacing w:line="560" w:lineRule="exact"/>
        <w:ind w:firstLine="640" w:firstLineChars="200"/>
        <w:rPr>
          <w:rFonts w:ascii="仿宋_GB2312" w:hAnsi="仿宋" w:eastAsia="仿宋_GB2312"/>
          <w:sz w:val="32"/>
          <w:szCs w:val="32"/>
        </w:rPr>
      </w:pPr>
      <w:r>
        <w:rPr>
          <w:rFonts w:hint="eastAsia" w:ascii="仿宋" w:hAnsi="仿宋" w:eastAsia="仿宋" w:cs="仿宋"/>
          <w:sz w:val="32"/>
          <w:szCs w:val="32"/>
        </w:rPr>
        <w:t>石家庄市藁城区交通运输局属行政编制，下设股室：办公室、公路股、政工股、财务与综合股。</w:t>
      </w:r>
    </w:p>
    <w:p w14:paraId="52AD6BDD">
      <w:pPr>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3．人员情况</w:t>
      </w:r>
    </w:p>
    <w:p w14:paraId="12536F4E">
      <w:pPr>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2022年年初在职人数为195人，年末在职人数为188人，其中退休5人，调出2人。行政编制12人，事业编制201人。</w:t>
      </w:r>
    </w:p>
    <w:p w14:paraId="70E2724C">
      <w:pPr>
        <w:snapToGrid w:val="0"/>
        <w:spacing w:line="560" w:lineRule="exact"/>
        <w:ind w:firstLine="643" w:firstLineChars="200"/>
        <w:rPr>
          <w:rFonts w:ascii="楷体_GB2312" w:hAnsi="仿宋" w:eastAsia="楷体_GB2312"/>
          <w:b/>
          <w:sz w:val="32"/>
          <w:szCs w:val="32"/>
        </w:rPr>
      </w:pPr>
      <w:r>
        <w:rPr>
          <w:rFonts w:hint="eastAsia" w:ascii="楷体_GB2312" w:hAnsi="仿宋" w:eastAsia="楷体_GB2312"/>
          <w:b/>
          <w:sz w:val="32"/>
          <w:szCs w:val="32"/>
        </w:rPr>
        <w:t>（二）部门收支预决算情况。</w:t>
      </w:r>
    </w:p>
    <w:p w14:paraId="0EC6D147">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1、部门预算情况</w:t>
      </w:r>
    </w:p>
    <w:p w14:paraId="33790B11">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w:t>
      </w:r>
      <w:r>
        <w:rPr>
          <w:rFonts w:eastAsia="仿宋"/>
          <w:sz w:val="32"/>
          <w:szCs w:val="32"/>
        </w:rPr>
        <w:t>收入说明</w:t>
      </w:r>
    </w:p>
    <w:p w14:paraId="109F9531">
      <w:pPr>
        <w:snapToGrid w:val="0"/>
        <w:spacing w:line="560" w:lineRule="exact"/>
        <w:ind w:firstLine="640" w:firstLineChars="200"/>
        <w:rPr>
          <w:rFonts w:ascii="仿宋" w:hAnsi="仿宋" w:eastAsia="仿宋" w:cs="仿宋"/>
          <w:sz w:val="32"/>
          <w:szCs w:val="32"/>
        </w:rPr>
      </w:pPr>
      <w:r>
        <w:rPr>
          <w:rFonts w:hint="eastAsia" w:ascii="仿宋" w:hAnsi="仿宋" w:eastAsia="仿宋"/>
          <w:sz w:val="32"/>
          <w:szCs w:val="32"/>
        </w:rPr>
        <w:t>2022年部门预算安排收入52878.38万元，其中：一般公共预算收入12628.51万元，基金预算收入26197.87万元，国有资本经营预算收入</w:t>
      </w:r>
      <w:r>
        <w:rPr>
          <w:rFonts w:ascii="仿宋" w:hAnsi="仿宋" w:eastAsia="仿宋"/>
          <w:sz w:val="32"/>
          <w:szCs w:val="32"/>
        </w:rPr>
        <w:t>14052</w:t>
      </w:r>
      <w:r>
        <w:rPr>
          <w:rFonts w:hint="eastAsia" w:ascii="仿宋" w:hAnsi="仿宋" w:eastAsia="仿宋"/>
          <w:sz w:val="32"/>
          <w:szCs w:val="32"/>
        </w:rPr>
        <w:t>万元。</w:t>
      </w:r>
    </w:p>
    <w:p w14:paraId="7E5CF6FA">
      <w:pPr>
        <w:snapToGrid w:val="0"/>
        <w:spacing w:line="560" w:lineRule="exact"/>
        <w:ind w:firstLine="640" w:firstLineChars="200"/>
        <w:rPr>
          <w:rFonts w:ascii="仿宋_GB2312" w:hAnsi="仿宋" w:eastAsia="仿宋_GB2312"/>
          <w:sz w:val="32"/>
          <w:szCs w:val="32"/>
        </w:rPr>
      </w:pPr>
      <w:r>
        <w:rPr>
          <w:rFonts w:hint="eastAsia" w:ascii="仿宋" w:hAnsi="仿宋" w:eastAsia="仿宋" w:cs="仿宋"/>
          <w:sz w:val="32"/>
          <w:szCs w:val="32"/>
        </w:rPr>
        <w:t>（2）</w:t>
      </w:r>
      <w:r>
        <w:rPr>
          <w:rFonts w:hint="eastAsia" w:ascii="仿宋_GB2312" w:hAnsi="仿宋" w:eastAsia="仿宋_GB2312"/>
          <w:sz w:val="32"/>
          <w:szCs w:val="32"/>
        </w:rPr>
        <w:t>支出说明</w:t>
      </w:r>
    </w:p>
    <w:p w14:paraId="217D5B40">
      <w:pPr>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2022年部门支出预算为52878.38万元，其中基本支出2108.56万元，包括人员经费1985.18万元和日常公用经费123.38万元；项目支出50769.82万元，主要为政府性基金预算项目26197.87万元，国有资本经营预算项目14052万元。</w:t>
      </w:r>
    </w:p>
    <w:p w14:paraId="0F9F2634">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2、部门决算情况</w:t>
      </w:r>
    </w:p>
    <w:p w14:paraId="5D925DD5">
      <w:pPr>
        <w:snapToGrid w:val="0"/>
        <w:spacing w:line="560" w:lineRule="exact"/>
        <w:ind w:firstLine="640" w:firstLineChars="200"/>
        <w:rPr>
          <w:rFonts w:ascii="仿宋_GB2312" w:hAnsi="仿宋" w:eastAsia="仿宋_GB2312"/>
          <w:color w:val="FF0000"/>
          <w:sz w:val="32"/>
          <w:szCs w:val="32"/>
        </w:rPr>
      </w:pPr>
      <w:r>
        <w:rPr>
          <w:rFonts w:hint="eastAsia" w:ascii="仿宋" w:hAnsi="仿宋" w:eastAsia="仿宋" w:cs="仿宋"/>
          <w:sz w:val="32"/>
          <w:szCs w:val="32"/>
        </w:rPr>
        <w:t>本部门2022年度本年收入合计41195.19万元，其中：财政拨款收入41195.19万元，占100%。本部门2022年度本年支出合计41195.19万元，其中：基本支出2223.76万元，占5.4%；项目支出38971.43万元，占94.6%。</w:t>
      </w:r>
    </w:p>
    <w:p w14:paraId="1155665A">
      <w:pPr>
        <w:snapToGrid w:val="0"/>
        <w:spacing w:line="560" w:lineRule="exact"/>
        <w:ind w:firstLine="643" w:firstLineChars="200"/>
        <w:rPr>
          <w:rFonts w:ascii="楷体_GB2312" w:hAnsi="仿宋" w:eastAsia="楷体_GB2312"/>
          <w:b/>
          <w:sz w:val="32"/>
          <w:szCs w:val="32"/>
        </w:rPr>
      </w:pPr>
      <w:r>
        <w:rPr>
          <w:rFonts w:hint="eastAsia" w:ascii="楷体_GB2312" w:hAnsi="仿宋" w:eastAsia="楷体_GB2312"/>
          <w:b/>
          <w:sz w:val="32"/>
          <w:szCs w:val="32"/>
        </w:rPr>
        <w:t>（三）部门整体支出绩效目标指标。</w:t>
      </w:r>
    </w:p>
    <w:p w14:paraId="55B92538">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根据《石家庄市藁城区交通运输局主要职责、内设机构和人员编制规定》的规定，石家庄市藁城区交通运输局主要职责及石家庄市藁城区交通运输局工作特点，石家庄市藁城区交通运输局2022年部门整体绩效目标是: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14:paraId="4BBE71F9">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普通国省干线日常养护及小修工程建设、县级公路、主要多道及配套设施日常养护、维护、安全隐患治理、绿色廊道建设、普通国省干线绿化管理护、完善更新公路建设管理养护基础数据，对农村公路实施“以奖代补”承担全区综合运输体系的规划协调，指导城乡客运及有关设施规划和管理，对全县公路及其设施的建设和养护进行管理，指导出租汽车行业管理工作。</w:t>
      </w:r>
    </w:p>
    <w:p w14:paraId="253F98C5">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二、绩效自评工作开展情况</w:t>
      </w:r>
    </w:p>
    <w:p w14:paraId="6024B27C">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为切实做好2022年度财政支出绩效自评工作，提高财政资金使用效益，根据区财政局《</w:t>
      </w:r>
      <w:r>
        <w:rPr>
          <w:rFonts w:hint="eastAsia" w:ascii="仿宋" w:hAnsi="仿宋" w:eastAsia="仿宋" w:cs="仿宋_GB2312"/>
          <w:sz w:val="32"/>
          <w:szCs w:val="32"/>
        </w:rPr>
        <w:t>关于开展2023年专项项目绩效自评工作的通知</w:t>
      </w:r>
      <w:r>
        <w:rPr>
          <w:rFonts w:hint="eastAsia" w:ascii="仿宋" w:hAnsi="仿宋" w:eastAsia="仿宋" w:cs="仿宋"/>
          <w:sz w:val="32"/>
          <w:szCs w:val="32"/>
        </w:rPr>
        <w:t>》文件要求，我单位对2022年度所有专项项目均开展了绩效自评工作。我局成立由局长丁勇同志任组长，主管副职韩彦振同志任副组长，相关科室负责人为成员的绩效评价工作小组，明确了各成员在此次自评工作中的职责。</w:t>
      </w:r>
    </w:p>
    <w:p w14:paraId="5DC90824">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按照2022年预算执行情况，纳入我单位财政支出绩效评价自评项目共44项，涉及资金52939.92万元，其中包括藁城区交通运输局本级项目37项，涉及资金49556.54;</w:t>
      </w:r>
      <w:r>
        <w:rPr>
          <w:rFonts w:hint="eastAsia"/>
        </w:rPr>
        <w:t xml:space="preserve"> </w:t>
      </w:r>
      <w:r>
        <w:rPr>
          <w:rFonts w:hint="eastAsia" w:ascii="仿宋" w:hAnsi="仿宋" w:eastAsia="仿宋" w:cs="仿宋"/>
          <w:sz w:val="32"/>
          <w:szCs w:val="32"/>
        </w:rPr>
        <w:t>公路管理站7项，涉及资金3383.38万元。</w:t>
      </w:r>
    </w:p>
    <w:p w14:paraId="533F75E0">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自评方法和过程：</w:t>
      </w:r>
    </w:p>
    <w:p w14:paraId="2E51ADF8">
      <w:pPr>
        <w:spacing w:line="560" w:lineRule="exact"/>
        <w:ind w:firstLine="642"/>
        <w:rPr>
          <w:rFonts w:ascii="仿宋" w:hAnsi="仿宋" w:eastAsia="仿宋" w:cs="楷体_GB2312"/>
          <w:sz w:val="32"/>
          <w:szCs w:val="32"/>
        </w:rPr>
      </w:pPr>
      <w:r>
        <w:rPr>
          <w:rFonts w:hint="eastAsia" w:ascii="仿宋" w:hAnsi="仿宋" w:eastAsia="仿宋"/>
          <w:sz w:val="32"/>
          <w:szCs w:val="32"/>
        </w:rPr>
        <w:t>1、</w:t>
      </w:r>
      <w:r>
        <w:rPr>
          <w:rFonts w:hint="eastAsia" w:ascii="仿宋" w:hAnsi="仿宋" w:eastAsia="仿宋" w:cs="楷体_GB2312"/>
          <w:sz w:val="32"/>
          <w:szCs w:val="32"/>
        </w:rPr>
        <w:t>前期准备。</w:t>
      </w:r>
    </w:p>
    <w:p w14:paraId="60DDB8EA">
      <w:pPr>
        <w:spacing w:line="560" w:lineRule="exact"/>
        <w:ind w:firstLine="640"/>
        <w:rPr>
          <w:rFonts w:ascii="仿宋" w:hAnsi="仿宋" w:eastAsia="仿宋"/>
          <w:sz w:val="32"/>
          <w:szCs w:val="32"/>
        </w:rPr>
      </w:pPr>
      <w:r>
        <w:rPr>
          <w:rFonts w:hint="eastAsia" w:ascii="仿宋" w:hAnsi="仿宋" w:eastAsia="仿宋"/>
          <w:sz w:val="32"/>
          <w:szCs w:val="32"/>
        </w:rPr>
        <w:t>本次绩效评价工作由藁城区交通运输局统一组织，</w:t>
      </w:r>
      <w:r>
        <w:rPr>
          <w:rFonts w:hint="eastAsia" w:ascii="仿宋" w:hAnsi="仿宋" w:eastAsia="仿宋" w:cs="仿宋"/>
          <w:sz w:val="32"/>
          <w:szCs w:val="32"/>
        </w:rPr>
        <w:t>由局长丁勇同志任组长，主管副职韩彦振同志任副组长，相关科室负责人为成员的绩效评价工作小组</w:t>
      </w:r>
      <w:r>
        <w:rPr>
          <w:rFonts w:hint="eastAsia" w:ascii="仿宋" w:hAnsi="仿宋" w:eastAsia="仿宋"/>
          <w:sz w:val="32"/>
          <w:szCs w:val="32"/>
        </w:rPr>
        <w:t>，分工明确。</w:t>
      </w:r>
    </w:p>
    <w:p w14:paraId="32FFE093">
      <w:pPr>
        <w:spacing w:line="560" w:lineRule="exact"/>
        <w:ind w:firstLine="640"/>
        <w:rPr>
          <w:rFonts w:ascii="仿宋" w:hAnsi="仿宋" w:eastAsia="仿宋" w:cs="楷体_GB2312"/>
          <w:sz w:val="32"/>
          <w:szCs w:val="32"/>
        </w:rPr>
      </w:pPr>
      <w:r>
        <w:rPr>
          <w:rFonts w:hint="eastAsia" w:ascii="仿宋" w:hAnsi="仿宋" w:eastAsia="仿宋" w:cs="楷体_GB2312"/>
          <w:sz w:val="32"/>
          <w:szCs w:val="32"/>
        </w:rPr>
        <w:t>2、组织实施。</w:t>
      </w:r>
    </w:p>
    <w:p w14:paraId="7FC25291">
      <w:pPr>
        <w:spacing w:line="560" w:lineRule="exact"/>
        <w:ind w:firstLine="640"/>
        <w:rPr>
          <w:rFonts w:ascii="仿宋" w:hAnsi="仿宋" w:eastAsia="仿宋"/>
          <w:sz w:val="32"/>
          <w:szCs w:val="32"/>
        </w:rPr>
      </w:pPr>
      <w:r>
        <w:rPr>
          <w:rFonts w:hint="eastAsia" w:ascii="仿宋" w:hAnsi="仿宋" w:eastAsia="仿宋"/>
          <w:sz w:val="32"/>
          <w:szCs w:val="32"/>
        </w:rPr>
        <w:t>该项目通过项目组对具体项目实施的验收，对照《项目管理绩效评价明细表》有关明细要求，逐条对管理绩效指标进行了评价。</w:t>
      </w:r>
    </w:p>
    <w:p w14:paraId="04EE598B">
      <w:pPr>
        <w:spacing w:line="560" w:lineRule="exact"/>
        <w:ind w:firstLine="640"/>
        <w:rPr>
          <w:rFonts w:ascii="仿宋" w:hAnsi="仿宋" w:eastAsia="仿宋" w:cs="楷体_GB2312"/>
          <w:sz w:val="32"/>
          <w:szCs w:val="32"/>
        </w:rPr>
      </w:pPr>
      <w:r>
        <w:rPr>
          <w:rFonts w:hint="eastAsia" w:ascii="仿宋" w:hAnsi="仿宋" w:eastAsia="仿宋" w:cs="楷体_GB2312"/>
          <w:sz w:val="32"/>
          <w:szCs w:val="32"/>
        </w:rPr>
        <w:t>3、分析评价。</w:t>
      </w:r>
    </w:p>
    <w:p w14:paraId="7F220E0B">
      <w:pPr>
        <w:snapToGrid w:val="0"/>
        <w:spacing w:line="560" w:lineRule="exact"/>
        <w:ind w:firstLine="640" w:firstLineChars="200"/>
        <w:rPr>
          <w:rFonts w:ascii="仿宋" w:hAnsi="仿宋" w:eastAsia="仿宋" w:cs="仿宋"/>
          <w:sz w:val="32"/>
          <w:szCs w:val="32"/>
        </w:rPr>
      </w:pPr>
      <w:r>
        <w:rPr>
          <w:rFonts w:hint="eastAsia" w:ascii="仿宋" w:hAnsi="仿宋" w:eastAsia="仿宋" w:cs="楷体_GB2312"/>
          <w:sz w:val="32"/>
          <w:szCs w:val="32"/>
        </w:rPr>
        <w:t>我单位</w:t>
      </w:r>
      <w:r>
        <w:rPr>
          <w:rFonts w:hint="eastAsia" w:ascii="仿宋" w:hAnsi="仿宋" w:eastAsia="仿宋" w:cs="楷体_GB2312"/>
          <w:sz w:val="32"/>
          <w:szCs w:val="32"/>
          <w:lang w:val="en-US" w:eastAsia="zh-CN"/>
        </w:rPr>
        <w:t>积极</w:t>
      </w:r>
      <w:r>
        <w:rPr>
          <w:rFonts w:hint="eastAsia" w:ascii="仿宋" w:hAnsi="仿宋" w:eastAsia="仿宋" w:cs="楷体_GB2312"/>
          <w:sz w:val="32"/>
          <w:szCs w:val="32"/>
        </w:rPr>
        <w:t>组织自评报告，严格按照文件要求，实事求是、客观公正地进行本次绩效评价工作，克服了时间紧，任务重等诸多困难，基本按照文件要求完成了本次绩效自评工作。</w:t>
      </w:r>
    </w:p>
    <w:p w14:paraId="46B70E9F">
      <w:pPr>
        <w:numPr>
          <w:ilvl w:val="0"/>
          <w:numId w:val="1"/>
        </w:numPr>
        <w:snapToGrid w:val="0"/>
        <w:spacing w:line="560" w:lineRule="exact"/>
        <w:ind w:firstLine="640"/>
        <w:rPr>
          <w:rFonts w:ascii="黑体" w:hAnsi="黑体" w:eastAsia="黑体" w:cs="黑体"/>
          <w:sz w:val="32"/>
          <w:szCs w:val="32"/>
        </w:rPr>
      </w:pPr>
      <w:r>
        <w:rPr>
          <w:rFonts w:hint="eastAsia" w:ascii="黑体" w:hAnsi="黑体" w:eastAsia="黑体" w:cs="黑体"/>
          <w:sz w:val="32"/>
          <w:szCs w:val="32"/>
        </w:rPr>
        <w:t>部门整体支出绩效目标实现情况及指标分析</w:t>
      </w:r>
    </w:p>
    <w:p w14:paraId="6C53CB5A">
      <w:pPr>
        <w:snapToGrid w:val="0"/>
        <w:spacing w:line="560" w:lineRule="exact"/>
        <w:ind w:firstLine="645"/>
        <w:rPr>
          <w:rFonts w:ascii="仿宋" w:hAnsi="仿宋" w:eastAsia="仿宋"/>
          <w:sz w:val="32"/>
          <w:szCs w:val="32"/>
          <w:shd w:val="clear" w:color="auto" w:fill="FFFFFF"/>
        </w:rPr>
      </w:pPr>
      <w:r>
        <w:rPr>
          <w:rFonts w:hint="eastAsia" w:ascii="楷体_GB2312" w:hAnsi="仿宋" w:eastAsia="楷体_GB2312"/>
          <w:b/>
          <w:sz w:val="32"/>
          <w:szCs w:val="32"/>
        </w:rPr>
        <w:t>（一）总体绩效目标实现情况</w:t>
      </w:r>
    </w:p>
    <w:p w14:paraId="41DA75AA">
      <w:pPr>
        <w:snapToGrid w:val="0"/>
        <w:spacing w:line="560" w:lineRule="exact"/>
        <w:ind w:firstLine="645"/>
        <w:rPr>
          <w:rFonts w:ascii="仿宋" w:hAnsi="仿宋" w:eastAsia="仿宋" w:cs="楷体_GB2312"/>
          <w:sz w:val="32"/>
          <w:szCs w:val="32"/>
        </w:rPr>
      </w:pPr>
      <w:r>
        <w:rPr>
          <w:rFonts w:hint="eastAsia" w:ascii="仿宋" w:hAnsi="仿宋" w:eastAsia="仿宋"/>
          <w:sz w:val="32"/>
          <w:szCs w:val="32"/>
          <w:shd w:val="clear" w:color="auto" w:fill="FFFFFF"/>
        </w:rPr>
        <w:t>从整体情况来看，2022年所有项目资金涉及人员经费、占地租金、疫情防控资金、农村公路及国省干线的工程款和养护经费、改建工程款、路赔费、治超经费、津石高速拆迁费等资金，除农村公路日常养护227万、农村公路养护工程和建设工程316万元，因2022年当年资金尚未到位，故预算执行率为0，现财政均已结转下年。</w:t>
      </w:r>
      <w:r>
        <w:rPr>
          <w:rFonts w:hint="eastAsia" w:ascii="仿宋" w:hAnsi="仿宋" w:eastAsia="仿宋" w:cs="楷体_GB2312"/>
          <w:sz w:val="32"/>
          <w:szCs w:val="32"/>
        </w:rPr>
        <w:t>其余项目资金全部执行到位，预算执行率为均达95%以上，整体支出情况良好，无拖压资金情况，产出指标、效益指标均达到预期指标值，满意度调查也收到良好反馈。</w:t>
      </w:r>
    </w:p>
    <w:p w14:paraId="24960825">
      <w:pPr>
        <w:snapToGrid w:val="0"/>
        <w:spacing w:line="560" w:lineRule="exact"/>
        <w:ind w:firstLine="482" w:firstLineChars="150"/>
        <w:rPr>
          <w:rFonts w:ascii="黑体" w:hAnsi="黑体" w:eastAsia="黑体" w:cs="黑体"/>
          <w:sz w:val="32"/>
          <w:szCs w:val="32"/>
        </w:rPr>
      </w:pPr>
      <w:r>
        <w:rPr>
          <w:rFonts w:hint="eastAsia" w:ascii="楷体_GB2312" w:hAnsi="仿宋" w:eastAsia="楷体_GB2312"/>
          <w:b/>
          <w:sz w:val="32"/>
          <w:szCs w:val="32"/>
        </w:rPr>
        <w:t>（二）分项绩效目标实现情况</w:t>
      </w:r>
    </w:p>
    <w:p w14:paraId="3D22030E">
      <w:pPr>
        <w:pStyle w:val="9"/>
        <w:spacing w:line="560" w:lineRule="exact"/>
        <w:rPr>
          <w:rFonts w:ascii="仿宋" w:hAnsi="仿宋" w:eastAsia="仿宋"/>
          <w:sz w:val="32"/>
          <w:szCs w:val="32"/>
          <w:lang w:eastAsia="zh-CN"/>
        </w:rPr>
      </w:pPr>
      <w:r>
        <w:rPr>
          <w:rFonts w:ascii="仿宋" w:hAnsi="仿宋" w:eastAsia="仿宋"/>
          <w:sz w:val="32"/>
          <w:szCs w:val="32"/>
        </w:rPr>
        <w:t xml:space="preserve"> </w:t>
      </w:r>
      <w:r>
        <w:rPr>
          <w:rFonts w:hint="eastAsia" w:ascii="仿宋" w:hAnsi="仿宋" w:eastAsia="仿宋"/>
          <w:sz w:val="32"/>
          <w:szCs w:val="32"/>
          <w:lang w:eastAsia="zh-CN"/>
        </w:rPr>
        <w:t>1、</w:t>
      </w:r>
      <w:r>
        <w:rPr>
          <w:rFonts w:ascii="仿宋" w:hAnsi="仿宋" w:eastAsia="仿宋"/>
          <w:sz w:val="32"/>
          <w:szCs w:val="32"/>
        </w:rPr>
        <w:t>交通运输基础设施建设</w:t>
      </w:r>
    </w:p>
    <w:p w14:paraId="746E9E99">
      <w:pPr>
        <w:pStyle w:val="9"/>
        <w:spacing w:line="560" w:lineRule="exact"/>
        <w:rPr>
          <w:rFonts w:ascii="仿宋" w:hAnsi="仿宋" w:eastAsia="仿宋"/>
          <w:sz w:val="32"/>
          <w:szCs w:val="32"/>
          <w:lang w:eastAsia="zh-CN"/>
        </w:rPr>
      </w:pPr>
      <w:r>
        <w:rPr>
          <w:rFonts w:hint="eastAsia" w:ascii="仿宋" w:hAnsi="仿宋" w:eastAsia="仿宋"/>
          <w:sz w:val="32"/>
          <w:szCs w:val="32"/>
          <w:lang w:eastAsia="zh-CN"/>
        </w:rPr>
        <w:t>按区政府规定权限审批、核准区规划内和年度计划规模内的固定资产投资项目，完成基础设施建设工程可行性缺口补贴和工程建设投资补贴、专项债券还本付息支出等项目。</w:t>
      </w:r>
      <w:r>
        <w:rPr>
          <w:rFonts w:ascii="仿宋" w:hAnsi="仿宋" w:eastAsia="仿宋"/>
          <w:sz w:val="32"/>
          <w:szCs w:val="32"/>
        </w:rPr>
        <w:t>对工程质量和安全生产进行监管，招投标活动进行监督管理。</w:t>
      </w:r>
      <w:r>
        <w:rPr>
          <w:rFonts w:hint="eastAsia" w:ascii="仿宋" w:hAnsi="仿宋" w:eastAsia="仿宋"/>
          <w:sz w:val="32"/>
          <w:szCs w:val="32"/>
          <w:lang w:eastAsia="zh-CN"/>
        </w:rPr>
        <w:t>该项绩效目标全部完成。</w:t>
      </w:r>
    </w:p>
    <w:p w14:paraId="202AF12E">
      <w:pPr>
        <w:pStyle w:val="9"/>
        <w:spacing w:line="560" w:lineRule="exact"/>
        <w:rPr>
          <w:rFonts w:ascii="仿宋" w:hAnsi="仿宋" w:eastAsia="仿宋"/>
          <w:sz w:val="32"/>
          <w:szCs w:val="32"/>
          <w:lang w:eastAsia="zh-CN"/>
        </w:rPr>
      </w:pPr>
      <w:r>
        <w:rPr>
          <w:rFonts w:hint="eastAsia" w:ascii="仿宋" w:hAnsi="仿宋" w:eastAsia="仿宋"/>
          <w:sz w:val="32"/>
          <w:szCs w:val="32"/>
          <w:lang w:eastAsia="zh-CN"/>
        </w:rPr>
        <w:t>2、</w:t>
      </w:r>
      <w:r>
        <w:rPr>
          <w:rFonts w:ascii="仿宋" w:hAnsi="仿宋" w:eastAsia="仿宋"/>
          <w:sz w:val="32"/>
          <w:szCs w:val="32"/>
          <w:lang w:eastAsia="zh-CN"/>
        </w:rPr>
        <w:t>交通运输基础设施养护、维护。</w:t>
      </w:r>
    </w:p>
    <w:p w14:paraId="57955DFC">
      <w:pPr>
        <w:spacing w:line="560" w:lineRule="exact"/>
        <w:ind w:firstLine="480" w:firstLineChars="150"/>
        <w:rPr>
          <w:rFonts w:ascii="仿宋" w:hAnsi="仿宋" w:eastAsia="仿宋"/>
          <w:kern w:val="0"/>
          <w:sz w:val="32"/>
          <w:szCs w:val="32"/>
        </w:rPr>
      </w:pPr>
      <w:r>
        <w:rPr>
          <w:rFonts w:ascii="仿宋" w:hAnsi="仿宋" w:eastAsia="仿宋"/>
          <w:kern w:val="0"/>
          <w:sz w:val="32"/>
          <w:szCs w:val="32"/>
        </w:rPr>
        <w:t>普通国省干线</w:t>
      </w:r>
      <w:r>
        <w:rPr>
          <w:rFonts w:hint="eastAsia" w:ascii="仿宋" w:hAnsi="仿宋" w:eastAsia="仿宋"/>
          <w:kern w:val="0"/>
          <w:sz w:val="32"/>
          <w:szCs w:val="32"/>
        </w:rPr>
        <w:t>、</w:t>
      </w:r>
      <w:r>
        <w:rPr>
          <w:rFonts w:ascii="仿宋" w:hAnsi="仿宋" w:eastAsia="仿宋"/>
          <w:kern w:val="0"/>
          <w:sz w:val="32"/>
          <w:szCs w:val="32"/>
        </w:rPr>
        <w:t>县级公路</w:t>
      </w:r>
      <w:r>
        <w:rPr>
          <w:rFonts w:hint="eastAsia" w:ascii="仿宋" w:hAnsi="仿宋" w:eastAsia="仿宋"/>
          <w:kern w:val="0"/>
          <w:sz w:val="32"/>
          <w:szCs w:val="32"/>
        </w:rPr>
        <w:t>、</w:t>
      </w:r>
      <w:r>
        <w:rPr>
          <w:rFonts w:ascii="仿宋" w:hAnsi="仿宋" w:eastAsia="仿宋"/>
          <w:kern w:val="0"/>
          <w:sz w:val="32"/>
          <w:szCs w:val="32"/>
        </w:rPr>
        <w:t>主要乡道</w:t>
      </w:r>
      <w:r>
        <w:rPr>
          <w:rFonts w:hint="eastAsia" w:ascii="仿宋" w:hAnsi="仿宋" w:eastAsia="仿宋"/>
          <w:kern w:val="0"/>
          <w:sz w:val="32"/>
          <w:szCs w:val="32"/>
        </w:rPr>
        <w:t>公路</w:t>
      </w:r>
      <w:r>
        <w:rPr>
          <w:rFonts w:ascii="仿宋" w:hAnsi="仿宋" w:eastAsia="仿宋"/>
          <w:kern w:val="0"/>
          <w:sz w:val="32"/>
          <w:szCs w:val="32"/>
        </w:rPr>
        <w:t>养护</w:t>
      </w:r>
      <w:r>
        <w:rPr>
          <w:rFonts w:hint="eastAsia" w:ascii="仿宋" w:hAnsi="仿宋" w:eastAsia="仿宋"/>
          <w:kern w:val="0"/>
          <w:sz w:val="32"/>
          <w:szCs w:val="32"/>
        </w:rPr>
        <w:t>，县级公路及主要乡道附属配套设施维护，确保工程质量，恢复、提升公路原有技术指标，有效提高通行能力和行车舒适性，保障沿线人民出行需求。该项绩效目标全部完成</w:t>
      </w:r>
    </w:p>
    <w:p w14:paraId="4766E9BE">
      <w:pPr>
        <w:pStyle w:val="9"/>
        <w:spacing w:line="560" w:lineRule="exact"/>
        <w:ind w:firstLine="561"/>
        <w:rPr>
          <w:rFonts w:ascii="仿宋" w:hAnsi="仿宋" w:eastAsia="仿宋"/>
          <w:sz w:val="32"/>
          <w:szCs w:val="32"/>
          <w:lang w:eastAsia="zh-CN"/>
        </w:rPr>
      </w:pPr>
      <w:r>
        <w:rPr>
          <w:rFonts w:hint="eastAsia" w:ascii="仿宋" w:hAnsi="仿宋" w:eastAsia="仿宋"/>
          <w:sz w:val="32"/>
          <w:szCs w:val="32"/>
          <w:lang w:eastAsia="zh-CN"/>
        </w:rPr>
        <w:t>3、</w:t>
      </w:r>
      <w:r>
        <w:rPr>
          <w:rFonts w:ascii="仿宋" w:hAnsi="仿宋" w:eastAsia="仿宋"/>
          <w:sz w:val="32"/>
          <w:szCs w:val="32"/>
        </w:rPr>
        <w:t>交通运输管理</w:t>
      </w:r>
    </w:p>
    <w:p w14:paraId="568C540C">
      <w:pPr>
        <w:pStyle w:val="9"/>
        <w:spacing w:line="560" w:lineRule="exact"/>
        <w:ind w:firstLine="561"/>
        <w:rPr>
          <w:rFonts w:ascii="仿宋" w:hAnsi="仿宋" w:eastAsia="仿宋"/>
          <w:sz w:val="32"/>
          <w:szCs w:val="32"/>
          <w:lang w:eastAsia="zh-CN"/>
        </w:rPr>
      </w:pPr>
      <w:r>
        <w:rPr>
          <w:rFonts w:ascii="仿宋" w:hAnsi="仿宋" w:eastAsia="仿宋"/>
          <w:sz w:val="32"/>
          <w:szCs w:val="32"/>
        </w:rPr>
        <w:t>对全区道路旅客运输、货物运输、从业人员、道路运输相关业务进行行业管理、市场监管及安全检查，依法行使道路运输行政许可、行政处罚强制权，监督检有关道路运输法律法规的执行情况，对全区货运源头治超工作进行监督检查治理。</w:t>
      </w:r>
      <w:r>
        <w:rPr>
          <w:rFonts w:hint="eastAsia" w:ascii="仿宋" w:hAnsi="仿宋" w:eastAsia="仿宋"/>
          <w:sz w:val="32"/>
          <w:szCs w:val="32"/>
          <w:lang w:eastAsia="zh-CN"/>
        </w:rPr>
        <w:t>该项绩效目标全部完成。</w:t>
      </w:r>
    </w:p>
    <w:p w14:paraId="420BEBD7">
      <w:pPr>
        <w:pStyle w:val="9"/>
        <w:spacing w:line="560" w:lineRule="exact"/>
        <w:ind w:firstLine="561"/>
        <w:rPr>
          <w:rFonts w:ascii="仿宋" w:hAnsi="仿宋" w:eastAsia="仿宋"/>
          <w:sz w:val="32"/>
          <w:szCs w:val="32"/>
          <w:lang w:eastAsia="zh-CN"/>
        </w:rPr>
      </w:pPr>
      <w:r>
        <w:rPr>
          <w:rFonts w:ascii="仿宋" w:hAnsi="仿宋" w:eastAsia="仿宋"/>
          <w:sz w:val="32"/>
          <w:szCs w:val="32"/>
        </w:rPr>
        <w:t xml:space="preserve"> </w:t>
      </w:r>
      <w:r>
        <w:rPr>
          <w:rFonts w:hint="eastAsia" w:ascii="仿宋" w:hAnsi="仿宋" w:eastAsia="仿宋"/>
          <w:sz w:val="32"/>
          <w:szCs w:val="32"/>
          <w:lang w:eastAsia="zh-CN"/>
        </w:rPr>
        <w:t>4、</w:t>
      </w:r>
      <w:r>
        <w:rPr>
          <w:rFonts w:ascii="仿宋" w:hAnsi="仿宋" w:eastAsia="仿宋"/>
          <w:sz w:val="32"/>
          <w:szCs w:val="32"/>
        </w:rPr>
        <w:t>交通政务管理。</w:t>
      </w:r>
    </w:p>
    <w:p w14:paraId="748423CF">
      <w:pPr>
        <w:pStyle w:val="9"/>
        <w:spacing w:line="560" w:lineRule="exact"/>
        <w:ind w:firstLine="561"/>
        <w:rPr>
          <w:rFonts w:ascii="仿宋" w:hAnsi="仿宋" w:eastAsia="仿宋"/>
          <w:sz w:val="32"/>
          <w:szCs w:val="32"/>
          <w:lang w:eastAsia="zh-CN"/>
        </w:rPr>
      </w:pPr>
      <w:r>
        <w:rPr>
          <w:rFonts w:ascii="仿宋" w:hAnsi="仿宋" w:eastAsia="仿宋"/>
          <w:sz w:val="32"/>
          <w:szCs w:val="32"/>
        </w:rPr>
        <w:t>保障机关正常工作高效运转，保障各项业务工作畅通</w:t>
      </w:r>
      <w:r>
        <w:rPr>
          <w:rFonts w:hint="eastAsia" w:ascii="仿宋" w:hAnsi="仿宋" w:eastAsia="仿宋"/>
          <w:sz w:val="32"/>
          <w:szCs w:val="32"/>
          <w:lang w:eastAsia="zh-CN"/>
        </w:rPr>
        <w:t>，完成国防公路建设工役制人员补助发放工作;完成公路占地补偿。完成机关及公路站等下属单位项目及经费落实，管理交通国有资产，筹措、管理、监督交通建设专项资金。该项绩效目标全部完成。</w:t>
      </w:r>
    </w:p>
    <w:p w14:paraId="36236AC6">
      <w:pPr>
        <w:numPr>
          <w:ilvl w:val="0"/>
          <w:numId w:val="1"/>
        </w:numPr>
        <w:snapToGrid w:val="0"/>
        <w:spacing w:line="560" w:lineRule="exact"/>
        <w:ind w:firstLine="640"/>
        <w:rPr>
          <w:rFonts w:ascii="黑体" w:hAnsi="黑体" w:eastAsia="黑体" w:cs="黑体"/>
          <w:sz w:val="32"/>
          <w:szCs w:val="32"/>
        </w:rPr>
      </w:pPr>
      <w:r>
        <w:rPr>
          <w:rFonts w:hint="eastAsia" w:ascii="黑体" w:hAnsi="黑体" w:eastAsia="黑体" w:cs="黑体"/>
          <w:sz w:val="32"/>
          <w:szCs w:val="32"/>
        </w:rPr>
        <w:t>评价结论和评价等级</w:t>
      </w:r>
    </w:p>
    <w:p w14:paraId="5E34AF7C">
      <w:pPr>
        <w:adjustRightInd w:val="0"/>
        <w:snapToGrid w:val="0"/>
        <w:spacing w:line="560" w:lineRule="exact"/>
        <w:ind w:firstLine="640" w:firstLineChars="200"/>
        <w:rPr>
          <w:rFonts w:ascii="仿宋" w:hAnsi="仿宋" w:eastAsia="仿宋" w:cs="仿宋_GB2312"/>
          <w:sz w:val="32"/>
          <w:szCs w:val="32"/>
        </w:rPr>
      </w:pPr>
      <w:r>
        <w:rPr>
          <w:rFonts w:hint="eastAsia" w:ascii="仿宋" w:hAnsi="仿宋" w:eastAsia="仿宋"/>
          <w:color w:val="333333"/>
          <w:sz w:val="32"/>
          <w:szCs w:val="32"/>
          <w:shd w:val="clear" w:color="auto" w:fill="FFFFFF"/>
        </w:rPr>
        <w:t>2022年部门整体支出绩效自评结果显示，我单位绩效管理情况较为良好，达到了年初设定的各项绩效目标。</w:t>
      </w:r>
      <w:r>
        <w:rPr>
          <w:rFonts w:hint="eastAsia" w:ascii="仿宋" w:hAnsi="仿宋" w:eastAsia="仿宋"/>
          <w:sz w:val="32"/>
          <w:szCs w:val="32"/>
          <w:shd w:val="clear" w:color="auto" w:fill="FFFFFF"/>
        </w:rPr>
        <w:t>除农村公路日常养护227万、农村公路养护工程和建设工程316万元，因2022年当年资金尚未到位，故预算</w:t>
      </w:r>
      <w:bookmarkStart w:id="0" w:name="_GoBack"/>
      <w:bookmarkEnd w:id="0"/>
      <w:r>
        <w:rPr>
          <w:rFonts w:hint="eastAsia" w:ascii="仿宋" w:hAnsi="仿宋" w:eastAsia="仿宋"/>
          <w:sz w:val="32"/>
          <w:szCs w:val="32"/>
          <w:shd w:val="clear" w:color="auto" w:fill="FFFFFF"/>
        </w:rPr>
        <w:t>执行率为0，现均已结转下年以外，</w:t>
      </w:r>
      <w:r>
        <w:rPr>
          <w:rFonts w:hint="eastAsia" w:ascii="仿宋" w:hAnsi="仿宋" w:eastAsia="仿宋"/>
          <w:color w:val="333333"/>
          <w:sz w:val="32"/>
          <w:szCs w:val="32"/>
          <w:shd w:val="clear" w:color="auto" w:fill="FFFFFF"/>
        </w:rPr>
        <w:t>所有资金使用严格按审批程序办理、操作规范，会计核算结果真实、准确，各项支出严格按照各项制度执行。</w:t>
      </w:r>
      <w:r>
        <w:rPr>
          <w:rFonts w:hint="eastAsia" w:ascii="仿宋" w:hAnsi="仿宋" w:eastAsia="仿宋" w:cs="仿宋_GB2312"/>
          <w:sz w:val="32"/>
          <w:szCs w:val="32"/>
        </w:rPr>
        <w:t>总体产出指标、效益指标及满意度指标均达预期指标值，预算执行率也达95%以上。</w:t>
      </w:r>
    </w:p>
    <w:p w14:paraId="24C2395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根据项目执行情况和项目绩效情况，给出总得分，指标体系设定满分100分，得出综合评价结论和项目综合绩效评价等级。项目综合绩效评价分为4个等级：得分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5FFC7C72">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通过逐项分析每个项目产出指标、效益指标、预算执行率指标、满意度指标的完成情况，得出全年项目绩效评价总体自评得分99.5分，评价等级为优秀。</w:t>
      </w:r>
    </w:p>
    <w:p w14:paraId="3FF9DB03">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五、整改措施及结果应用</w:t>
      </w:r>
    </w:p>
    <w:p w14:paraId="2190621E">
      <w:pPr>
        <w:snapToGrid w:val="0"/>
        <w:spacing w:line="560" w:lineRule="exact"/>
        <w:ind w:firstLine="645"/>
        <w:rPr>
          <w:rFonts w:ascii="楷体_GB2312" w:hAnsi="仿宋" w:eastAsia="楷体_GB2312"/>
          <w:b/>
          <w:sz w:val="32"/>
          <w:szCs w:val="32"/>
        </w:rPr>
      </w:pPr>
      <w:r>
        <w:rPr>
          <w:rFonts w:hint="eastAsia" w:ascii="楷体_GB2312" w:hAnsi="仿宋" w:eastAsia="楷体_GB2312"/>
          <w:b/>
          <w:sz w:val="32"/>
          <w:szCs w:val="32"/>
        </w:rPr>
        <w:t>（一）主要存在的问题</w:t>
      </w:r>
    </w:p>
    <w:p w14:paraId="4B15DDDD">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1、对绩效评价工作的认识不够。</w:t>
      </w:r>
    </w:p>
    <w:p w14:paraId="5FF05F0F">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对绩效评价工作了解还不够深入，认为绩效评价只是财务部门的事情，相关项目职责部门配合不够，往往只能提供有限的财经资料或简单的工作计划、工作总结，绩效评价工作资料非常有限，内容粗浅。大部分单位直接借用工作总结作为绩效自评报告的主要内容。</w:t>
      </w:r>
    </w:p>
    <w:p w14:paraId="20B42FD2">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2、人员素质有待进一步提高</w:t>
      </w:r>
    </w:p>
    <w:p w14:paraId="71DA38D6">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由于预算绩效管理工作开展时间短，涉及面广，专业性强，相关人员对预算绩效管理理解不充分，对预算绩效管理业务部精通，在一定程度上影响了绩效评价工作质量。</w:t>
      </w:r>
    </w:p>
    <w:p w14:paraId="049C15EA">
      <w:pPr>
        <w:snapToGrid w:val="0"/>
        <w:spacing w:line="560" w:lineRule="exact"/>
        <w:ind w:firstLine="645"/>
        <w:rPr>
          <w:rFonts w:ascii="仿宋" w:hAnsi="仿宋" w:eastAsia="仿宋" w:cs="仿宋"/>
          <w:sz w:val="32"/>
          <w:szCs w:val="32"/>
        </w:rPr>
      </w:pPr>
      <w:r>
        <w:rPr>
          <w:rFonts w:hint="eastAsia" w:ascii="楷体_GB2312" w:hAnsi="仿宋" w:eastAsia="楷体_GB2312"/>
          <w:b/>
          <w:sz w:val="32"/>
          <w:szCs w:val="32"/>
        </w:rPr>
        <w:t>（二）改进措施</w:t>
      </w:r>
    </w:p>
    <w:p w14:paraId="18F39690">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1、深入学习对绩效评价的认识</w:t>
      </w:r>
    </w:p>
    <w:p w14:paraId="7ABC9715">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通过绩效评价工作的逐步推进，我单位逐步树立了绩效理念，对预算绩效评价工作的态度由“被动接受”变成“主动实施”，多种方式学习提高全体人员对绩效评价的认识。</w:t>
      </w:r>
    </w:p>
    <w:p w14:paraId="27E28AA2">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2、加强学习，提高人员素质</w:t>
      </w:r>
    </w:p>
    <w:p w14:paraId="7C7C1A0C">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加强学习，希望财政部门多组织关于绩效评价的讲座，培养单位专业人员，在健全制度、完善政策、改进管理、优化流程中多做功课，逐步增强绩效管理，开展好整体支出及项目资金绩效管理工作，运用好绩效评价结果，不断提升预算管理水平。</w:t>
      </w:r>
    </w:p>
    <w:p w14:paraId="3967C8A1">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六、评价工作组人员名单</w:t>
      </w:r>
    </w:p>
    <w:p w14:paraId="0EB66E96">
      <w:pPr>
        <w:snapToGrid w:val="0"/>
        <w:spacing w:line="560" w:lineRule="exact"/>
        <w:ind w:left="630"/>
        <w:rPr>
          <w:rFonts w:ascii="仿宋" w:hAnsi="仿宋" w:eastAsia="仿宋" w:cs="仿宋"/>
          <w:sz w:val="32"/>
          <w:szCs w:val="32"/>
        </w:rPr>
      </w:pPr>
    </w:p>
    <w:p w14:paraId="326CE780">
      <w:pPr>
        <w:snapToGrid w:val="0"/>
        <w:spacing w:line="560" w:lineRule="exact"/>
        <w:ind w:left="630"/>
        <w:rPr>
          <w:rFonts w:ascii="仿宋" w:hAnsi="仿宋" w:eastAsia="仿宋" w:cs="仿宋"/>
          <w:sz w:val="32"/>
          <w:szCs w:val="32"/>
        </w:rPr>
      </w:pPr>
    </w:p>
    <w:p w14:paraId="07B54B3C">
      <w:pPr>
        <w:snapToGrid w:val="0"/>
        <w:spacing w:line="560" w:lineRule="exact"/>
        <w:ind w:left="630"/>
        <w:rPr>
          <w:rFonts w:ascii="仿宋" w:hAnsi="仿宋" w:eastAsia="仿宋" w:cs="仿宋"/>
          <w:sz w:val="32"/>
          <w:szCs w:val="32"/>
        </w:rPr>
      </w:pPr>
    </w:p>
    <w:p w14:paraId="002ADAB7">
      <w:pPr>
        <w:snapToGrid w:val="0"/>
        <w:spacing w:line="560" w:lineRule="exact"/>
        <w:ind w:left="630"/>
        <w:rPr>
          <w:rFonts w:ascii="仿宋" w:hAnsi="仿宋" w:eastAsia="仿宋" w:cs="仿宋"/>
          <w:sz w:val="32"/>
          <w:szCs w:val="32"/>
        </w:rPr>
      </w:pPr>
    </w:p>
    <w:p w14:paraId="12D43B8E">
      <w:pPr>
        <w:snapToGrid w:val="0"/>
        <w:spacing w:line="560" w:lineRule="exact"/>
        <w:ind w:left="630"/>
        <w:rPr>
          <w:rFonts w:ascii="仿宋" w:hAnsi="仿宋" w:eastAsia="仿宋" w:cs="仿宋"/>
          <w:sz w:val="32"/>
          <w:szCs w:val="32"/>
        </w:rPr>
      </w:pPr>
    </w:p>
    <w:p w14:paraId="0381646D">
      <w:pPr>
        <w:snapToGrid w:val="0"/>
        <w:spacing w:line="560" w:lineRule="exact"/>
        <w:ind w:left="630"/>
        <w:rPr>
          <w:rFonts w:ascii="仿宋" w:hAnsi="仿宋" w:eastAsia="仿宋" w:cs="仿宋"/>
          <w:sz w:val="32"/>
          <w:szCs w:val="32"/>
        </w:rPr>
      </w:pPr>
    </w:p>
    <w:p w14:paraId="5D18A032">
      <w:pPr>
        <w:snapToGrid w:val="0"/>
        <w:spacing w:line="560" w:lineRule="exact"/>
        <w:ind w:left="630"/>
        <w:rPr>
          <w:rFonts w:ascii="仿宋" w:hAnsi="仿宋" w:eastAsia="仿宋" w:cs="仿宋"/>
          <w:sz w:val="32"/>
          <w:szCs w:val="32"/>
        </w:rPr>
      </w:pPr>
    </w:p>
    <w:p w14:paraId="1F733E9C">
      <w:pPr>
        <w:snapToGrid w:val="0"/>
        <w:spacing w:line="560" w:lineRule="exact"/>
        <w:ind w:left="630"/>
        <w:rPr>
          <w:rFonts w:ascii="仿宋" w:hAnsi="仿宋" w:eastAsia="仿宋" w:cs="仿宋"/>
          <w:sz w:val="32"/>
          <w:szCs w:val="32"/>
        </w:rPr>
      </w:pPr>
    </w:p>
    <w:tbl>
      <w:tblPr>
        <w:tblStyle w:val="4"/>
        <w:tblpPr w:leftFromText="180" w:rightFromText="180" w:horzAnchor="margin" w:tblpXSpec="center" w:tblpY="690"/>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77"/>
        <w:gridCol w:w="993"/>
        <w:gridCol w:w="4660"/>
      </w:tblGrid>
      <w:tr w14:paraId="7FB809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77" w:type="dxa"/>
            <w:vAlign w:val="center"/>
          </w:tcPr>
          <w:p w14:paraId="55BE599D">
            <w:pPr>
              <w:snapToGrid w:val="0"/>
              <w:spacing w:line="560" w:lineRule="exact"/>
              <w:jc w:val="center"/>
              <w:rPr>
                <w:rFonts w:ascii="仿宋" w:hAnsi="仿宋" w:eastAsia="仿宋" w:cs="仿宋"/>
                <w:sz w:val="24"/>
              </w:rPr>
            </w:pPr>
          </w:p>
        </w:tc>
        <w:tc>
          <w:tcPr>
            <w:tcW w:w="993" w:type="dxa"/>
            <w:vAlign w:val="center"/>
          </w:tcPr>
          <w:p w14:paraId="51407EAA">
            <w:pPr>
              <w:snapToGrid w:val="0"/>
              <w:spacing w:line="560" w:lineRule="exact"/>
              <w:jc w:val="center"/>
              <w:rPr>
                <w:rFonts w:ascii="仿宋" w:hAnsi="仿宋" w:eastAsia="仿宋" w:cs="仿宋"/>
                <w:sz w:val="24"/>
              </w:rPr>
            </w:pPr>
            <w:r>
              <w:rPr>
                <w:rFonts w:hint="eastAsia" w:ascii="仿宋" w:hAnsi="仿宋" w:eastAsia="仿宋" w:cs="仿宋"/>
                <w:sz w:val="24"/>
              </w:rPr>
              <w:t>姓名</w:t>
            </w:r>
          </w:p>
        </w:tc>
        <w:tc>
          <w:tcPr>
            <w:tcW w:w="4660" w:type="dxa"/>
            <w:vAlign w:val="center"/>
          </w:tcPr>
          <w:p w14:paraId="3C21460F">
            <w:pPr>
              <w:snapToGrid w:val="0"/>
              <w:spacing w:line="560" w:lineRule="exact"/>
              <w:jc w:val="center"/>
              <w:rPr>
                <w:rFonts w:ascii="仿宋" w:hAnsi="仿宋" w:eastAsia="仿宋" w:cs="仿宋"/>
                <w:sz w:val="24"/>
              </w:rPr>
            </w:pPr>
            <w:r>
              <w:rPr>
                <w:rFonts w:hint="eastAsia" w:ascii="仿宋" w:hAnsi="仿宋" w:eastAsia="仿宋" w:cs="仿宋"/>
                <w:sz w:val="24"/>
              </w:rPr>
              <w:t>工作单位及职务</w:t>
            </w:r>
          </w:p>
        </w:tc>
      </w:tr>
      <w:tr w14:paraId="0E8F73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77" w:type="dxa"/>
            <w:vAlign w:val="center"/>
          </w:tcPr>
          <w:p w14:paraId="29F441C1">
            <w:pPr>
              <w:snapToGrid w:val="0"/>
              <w:spacing w:line="560" w:lineRule="exact"/>
              <w:jc w:val="center"/>
              <w:rPr>
                <w:rFonts w:ascii="仿宋" w:hAnsi="仿宋" w:eastAsia="仿宋" w:cs="仿宋"/>
                <w:sz w:val="24"/>
              </w:rPr>
            </w:pPr>
            <w:r>
              <w:rPr>
                <w:rFonts w:hint="eastAsia" w:ascii="仿宋" w:hAnsi="仿宋" w:eastAsia="仿宋" w:cs="仿宋"/>
                <w:sz w:val="24"/>
              </w:rPr>
              <w:t>组  长</w:t>
            </w:r>
          </w:p>
        </w:tc>
        <w:tc>
          <w:tcPr>
            <w:tcW w:w="993" w:type="dxa"/>
            <w:vAlign w:val="center"/>
          </w:tcPr>
          <w:p w14:paraId="3CF38273">
            <w:pPr>
              <w:snapToGrid w:val="0"/>
              <w:spacing w:line="560" w:lineRule="exact"/>
              <w:jc w:val="center"/>
              <w:rPr>
                <w:rFonts w:ascii="仿宋" w:hAnsi="仿宋" w:eastAsia="仿宋" w:cs="仿宋"/>
                <w:sz w:val="24"/>
              </w:rPr>
            </w:pPr>
            <w:r>
              <w:rPr>
                <w:rFonts w:hint="eastAsia" w:ascii="仿宋" w:hAnsi="仿宋" w:eastAsia="仿宋" w:cs="仿宋"/>
                <w:sz w:val="24"/>
              </w:rPr>
              <w:t>丁勇</w:t>
            </w:r>
          </w:p>
        </w:tc>
        <w:tc>
          <w:tcPr>
            <w:tcW w:w="4660" w:type="dxa"/>
            <w:vAlign w:val="center"/>
          </w:tcPr>
          <w:p w14:paraId="6AFEAF26">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藁城区交通运输局局长</w:t>
            </w:r>
          </w:p>
        </w:tc>
      </w:tr>
      <w:tr w14:paraId="46EFDA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77" w:type="dxa"/>
            <w:vAlign w:val="center"/>
          </w:tcPr>
          <w:p w14:paraId="1468979D">
            <w:pPr>
              <w:snapToGrid w:val="0"/>
              <w:spacing w:line="560" w:lineRule="exact"/>
              <w:jc w:val="center"/>
              <w:rPr>
                <w:rFonts w:ascii="仿宋" w:hAnsi="仿宋" w:eastAsia="仿宋" w:cs="仿宋"/>
                <w:sz w:val="24"/>
              </w:rPr>
            </w:pPr>
            <w:r>
              <w:rPr>
                <w:rFonts w:hint="eastAsia" w:ascii="仿宋" w:hAnsi="仿宋" w:eastAsia="仿宋" w:cs="仿宋"/>
                <w:sz w:val="24"/>
              </w:rPr>
              <w:t>副组长</w:t>
            </w:r>
          </w:p>
        </w:tc>
        <w:tc>
          <w:tcPr>
            <w:tcW w:w="993" w:type="dxa"/>
            <w:vAlign w:val="center"/>
          </w:tcPr>
          <w:p w14:paraId="4CBCB158">
            <w:pPr>
              <w:snapToGrid w:val="0"/>
              <w:spacing w:line="560" w:lineRule="exact"/>
              <w:jc w:val="center"/>
              <w:rPr>
                <w:rFonts w:ascii="仿宋" w:hAnsi="仿宋" w:eastAsia="仿宋" w:cs="仿宋"/>
                <w:sz w:val="24"/>
              </w:rPr>
            </w:pPr>
            <w:r>
              <w:rPr>
                <w:rFonts w:hint="eastAsia" w:ascii="仿宋" w:hAnsi="仿宋" w:eastAsia="仿宋" w:cs="仿宋"/>
                <w:sz w:val="24"/>
              </w:rPr>
              <w:t>韩彦振</w:t>
            </w:r>
          </w:p>
        </w:tc>
        <w:tc>
          <w:tcPr>
            <w:tcW w:w="4660" w:type="dxa"/>
            <w:vAlign w:val="center"/>
          </w:tcPr>
          <w:p w14:paraId="7A547526">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藁城区交通运输局副局长</w:t>
            </w:r>
          </w:p>
        </w:tc>
      </w:tr>
      <w:tr w14:paraId="711C46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77" w:type="dxa"/>
            <w:vMerge w:val="restart"/>
            <w:vAlign w:val="center"/>
          </w:tcPr>
          <w:p w14:paraId="0B6771C0">
            <w:pPr>
              <w:snapToGrid w:val="0"/>
              <w:spacing w:line="560" w:lineRule="exact"/>
              <w:jc w:val="center"/>
              <w:rPr>
                <w:rFonts w:ascii="仿宋" w:hAnsi="仿宋" w:eastAsia="仿宋" w:cs="仿宋"/>
                <w:sz w:val="24"/>
              </w:rPr>
            </w:pPr>
            <w:r>
              <w:rPr>
                <w:rFonts w:hint="eastAsia" w:ascii="仿宋" w:hAnsi="仿宋" w:eastAsia="仿宋" w:cs="仿宋"/>
                <w:sz w:val="24"/>
              </w:rPr>
              <w:t>成  员</w:t>
            </w:r>
          </w:p>
        </w:tc>
        <w:tc>
          <w:tcPr>
            <w:tcW w:w="993" w:type="dxa"/>
            <w:vAlign w:val="center"/>
          </w:tcPr>
          <w:p w14:paraId="4278015D">
            <w:pPr>
              <w:snapToGrid w:val="0"/>
              <w:spacing w:line="560" w:lineRule="exact"/>
              <w:jc w:val="center"/>
              <w:rPr>
                <w:rFonts w:ascii="仿宋" w:hAnsi="仿宋" w:eastAsia="仿宋" w:cs="仿宋"/>
                <w:sz w:val="24"/>
              </w:rPr>
            </w:pPr>
            <w:r>
              <w:rPr>
                <w:rFonts w:hint="eastAsia" w:ascii="仿宋" w:hAnsi="仿宋" w:eastAsia="仿宋" w:cs="仿宋"/>
                <w:sz w:val="24"/>
              </w:rPr>
              <w:t>郭彦收</w:t>
            </w:r>
          </w:p>
        </w:tc>
        <w:tc>
          <w:tcPr>
            <w:tcW w:w="4660" w:type="dxa"/>
            <w:vAlign w:val="center"/>
          </w:tcPr>
          <w:p w14:paraId="1D96441A">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藁城区交通运输局办公室主任</w:t>
            </w:r>
          </w:p>
        </w:tc>
      </w:tr>
      <w:tr w14:paraId="32A95D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77" w:type="dxa"/>
            <w:vMerge w:val="continue"/>
            <w:vAlign w:val="center"/>
          </w:tcPr>
          <w:p w14:paraId="773316A0">
            <w:pPr>
              <w:snapToGrid w:val="0"/>
              <w:spacing w:line="560" w:lineRule="exact"/>
              <w:jc w:val="center"/>
              <w:rPr>
                <w:rFonts w:ascii="仿宋" w:hAnsi="仿宋" w:eastAsia="仿宋" w:cs="仿宋"/>
                <w:sz w:val="24"/>
              </w:rPr>
            </w:pPr>
          </w:p>
        </w:tc>
        <w:tc>
          <w:tcPr>
            <w:tcW w:w="993" w:type="dxa"/>
            <w:vAlign w:val="center"/>
          </w:tcPr>
          <w:p w14:paraId="3C7BA02F">
            <w:pPr>
              <w:snapToGrid w:val="0"/>
              <w:spacing w:line="560" w:lineRule="exact"/>
              <w:jc w:val="center"/>
              <w:rPr>
                <w:rFonts w:ascii="仿宋" w:hAnsi="仿宋" w:eastAsia="仿宋" w:cs="仿宋"/>
                <w:sz w:val="24"/>
              </w:rPr>
            </w:pPr>
            <w:r>
              <w:rPr>
                <w:rFonts w:hint="eastAsia" w:ascii="仿宋" w:hAnsi="仿宋" w:eastAsia="仿宋" w:cs="仿宋"/>
                <w:sz w:val="24"/>
              </w:rPr>
              <w:t>申彦华</w:t>
            </w:r>
          </w:p>
        </w:tc>
        <w:tc>
          <w:tcPr>
            <w:tcW w:w="4660" w:type="dxa"/>
            <w:vAlign w:val="center"/>
          </w:tcPr>
          <w:p w14:paraId="6CB0CBF1">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藁城区交通运输局公路股股长</w:t>
            </w:r>
          </w:p>
        </w:tc>
      </w:tr>
      <w:tr w14:paraId="77A5F8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77" w:type="dxa"/>
            <w:vMerge w:val="continue"/>
            <w:vAlign w:val="center"/>
          </w:tcPr>
          <w:p w14:paraId="53365253">
            <w:pPr>
              <w:snapToGrid w:val="0"/>
              <w:spacing w:line="560" w:lineRule="exact"/>
              <w:jc w:val="center"/>
              <w:rPr>
                <w:rFonts w:ascii="仿宋" w:hAnsi="仿宋" w:eastAsia="仿宋" w:cs="仿宋"/>
                <w:sz w:val="24"/>
              </w:rPr>
            </w:pPr>
          </w:p>
        </w:tc>
        <w:tc>
          <w:tcPr>
            <w:tcW w:w="993" w:type="dxa"/>
            <w:vAlign w:val="center"/>
          </w:tcPr>
          <w:p w14:paraId="25E70704">
            <w:pPr>
              <w:snapToGrid w:val="0"/>
              <w:spacing w:line="560" w:lineRule="exact"/>
              <w:jc w:val="center"/>
              <w:rPr>
                <w:rFonts w:ascii="仿宋" w:hAnsi="仿宋" w:eastAsia="仿宋" w:cs="仿宋"/>
                <w:sz w:val="24"/>
              </w:rPr>
            </w:pPr>
            <w:r>
              <w:rPr>
                <w:rFonts w:hint="eastAsia" w:ascii="仿宋" w:hAnsi="仿宋" w:eastAsia="仿宋" w:cs="仿宋"/>
                <w:sz w:val="24"/>
              </w:rPr>
              <w:t>孙建辉</w:t>
            </w:r>
          </w:p>
        </w:tc>
        <w:tc>
          <w:tcPr>
            <w:tcW w:w="4660" w:type="dxa"/>
            <w:vAlign w:val="center"/>
          </w:tcPr>
          <w:p w14:paraId="56EF0BF8">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藁城区交通运输局财务与综合股股长</w:t>
            </w:r>
          </w:p>
        </w:tc>
      </w:tr>
      <w:tr w14:paraId="07F5AF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77" w:type="dxa"/>
            <w:vMerge w:val="continue"/>
            <w:vAlign w:val="center"/>
          </w:tcPr>
          <w:p w14:paraId="3BB3168A">
            <w:pPr>
              <w:snapToGrid w:val="0"/>
              <w:spacing w:line="560" w:lineRule="exact"/>
              <w:jc w:val="center"/>
              <w:rPr>
                <w:rFonts w:ascii="仿宋" w:hAnsi="仿宋" w:eastAsia="仿宋" w:cs="仿宋"/>
                <w:sz w:val="24"/>
              </w:rPr>
            </w:pPr>
          </w:p>
        </w:tc>
        <w:tc>
          <w:tcPr>
            <w:tcW w:w="993" w:type="dxa"/>
            <w:vAlign w:val="center"/>
          </w:tcPr>
          <w:p w14:paraId="51B7BF31">
            <w:pPr>
              <w:snapToGrid w:val="0"/>
              <w:spacing w:line="560" w:lineRule="exact"/>
              <w:jc w:val="center"/>
              <w:rPr>
                <w:rFonts w:ascii="仿宋" w:hAnsi="仿宋" w:eastAsia="仿宋" w:cs="仿宋"/>
                <w:sz w:val="24"/>
              </w:rPr>
            </w:pPr>
            <w:r>
              <w:rPr>
                <w:rFonts w:hint="eastAsia" w:ascii="仿宋" w:hAnsi="仿宋" w:eastAsia="仿宋" w:cs="仿宋"/>
                <w:sz w:val="24"/>
              </w:rPr>
              <w:t>王力辉</w:t>
            </w:r>
          </w:p>
        </w:tc>
        <w:tc>
          <w:tcPr>
            <w:tcW w:w="4660" w:type="dxa"/>
            <w:vAlign w:val="center"/>
          </w:tcPr>
          <w:p w14:paraId="6207BF3E">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藁城区交通运输局政工股股长</w:t>
            </w:r>
          </w:p>
        </w:tc>
      </w:tr>
      <w:tr w14:paraId="38CF4D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77" w:type="dxa"/>
            <w:vMerge w:val="continue"/>
            <w:vAlign w:val="center"/>
          </w:tcPr>
          <w:p w14:paraId="113B697F">
            <w:pPr>
              <w:snapToGrid w:val="0"/>
              <w:spacing w:line="560" w:lineRule="exact"/>
              <w:jc w:val="center"/>
              <w:rPr>
                <w:rFonts w:ascii="仿宋" w:hAnsi="仿宋" w:eastAsia="仿宋" w:cs="仿宋"/>
                <w:sz w:val="24"/>
              </w:rPr>
            </w:pPr>
          </w:p>
        </w:tc>
        <w:tc>
          <w:tcPr>
            <w:tcW w:w="993" w:type="dxa"/>
            <w:vAlign w:val="center"/>
          </w:tcPr>
          <w:p w14:paraId="527DB222">
            <w:pPr>
              <w:snapToGrid w:val="0"/>
              <w:spacing w:line="560" w:lineRule="exact"/>
              <w:jc w:val="center"/>
              <w:rPr>
                <w:rFonts w:ascii="仿宋" w:hAnsi="仿宋" w:eastAsia="仿宋" w:cs="仿宋"/>
                <w:sz w:val="24"/>
              </w:rPr>
            </w:pPr>
            <w:r>
              <w:rPr>
                <w:rFonts w:hint="eastAsia" w:ascii="仿宋" w:hAnsi="仿宋" w:eastAsia="仿宋" w:cs="仿宋"/>
                <w:sz w:val="24"/>
              </w:rPr>
              <w:t>张利超</w:t>
            </w:r>
          </w:p>
        </w:tc>
        <w:tc>
          <w:tcPr>
            <w:tcW w:w="4660" w:type="dxa"/>
            <w:vAlign w:val="center"/>
          </w:tcPr>
          <w:p w14:paraId="2BCBCDEB">
            <w:pPr>
              <w:snapToGrid w:val="0"/>
              <w:spacing w:line="560" w:lineRule="exact"/>
              <w:jc w:val="center"/>
              <w:rPr>
                <w:rFonts w:ascii="仿宋" w:hAnsi="仿宋" w:eastAsia="仿宋" w:cs="仿宋"/>
                <w:sz w:val="24"/>
              </w:rPr>
            </w:pPr>
            <w:r>
              <w:rPr>
                <w:rFonts w:hint="eastAsia" w:ascii="仿宋" w:hAnsi="仿宋" w:eastAsia="仿宋" w:cs="仿宋"/>
                <w:sz w:val="24"/>
              </w:rPr>
              <w:t>藁城区交通运输局综合科科长</w:t>
            </w:r>
          </w:p>
        </w:tc>
      </w:tr>
      <w:tr w14:paraId="3A3AD2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77" w:type="dxa"/>
            <w:vMerge w:val="continue"/>
            <w:vAlign w:val="center"/>
          </w:tcPr>
          <w:p w14:paraId="589BAA16">
            <w:pPr>
              <w:snapToGrid w:val="0"/>
              <w:spacing w:line="560" w:lineRule="exact"/>
              <w:jc w:val="center"/>
              <w:rPr>
                <w:rFonts w:ascii="仿宋" w:hAnsi="仿宋" w:eastAsia="仿宋" w:cs="仿宋"/>
                <w:sz w:val="24"/>
              </w:rPr>
            </w:pPr>
          </w:p>
        </w:tc>
        <w:tc>
          <w:tcPr>
            <w:tcW w:w="993" w:type="dxa"/>
            <w:vAlign w:val="center"/>
          </w:tcPr>
          <w:p w14:paraId="7F222309">
            <w:pPr>
              <w:snapToGrid w:val="0"/>
              <w:spacing w:line="560" w:lineRule="exact"/>
              <w:jc w:val="center"/>
              <w:rPr>
                <w:rFonts w:ascii="仿宋" w:hAnsi="仿宋" w:eastAsia="仿宋" w:cs="仿宋"/>
                <w:sz w:val="24"/>
              </w:rPr>
            </w:pPr>
            <w:r>
              <w:rPr>
                <w:rFonts w:hint="eastAsia" w:ascii="仿宋" w:hAnsi="仿宋" w:eastAsia="仿宋" w:cs="仿宋"/>
                <w:sz w:val="24"/>
              </w:rPr>
              <w:t>穆永鹏</w:t>
            </w:r>
          </w:p>
        </w:tc>
        <w:tc>
          <w:tcPr>
            <w:tcW w:w="4660" w:type="dxa"/>
            <w:vAlign w:val="center"/>
          </w:tcPr>
          <w:p w14:paraId="6B22E521">
            <w:pPr>
              <w:snapToGrid w:val="0"/>
              <w:spacing w:line="560" w:lineRule="exact"/>
              <w:jc w:val="center"/>
              <w:rPr>
                <w:rFonts w:ascii="仿宋" w:hAnsi="仿宋" w:eastAsia="仿宋" w:cs="仿宋"/>
                <w:sz w:val="24"/>
              </w:rPr>
            </w:pPr>
            <w:r>
              <w:rPr>
                <w:rFonts w:hint="eastAsia" w:ascii="仿宋" w:hAnsi="仿宋" w:eastAsia="仿宋" w:cs="仿宋"/>
                <w:sz w:val="24"/>
              </w:rPr>
              <w:t>藁城区公路管理站站长</w:t>
            </w:r>
          </w:p>
        </w:tc>
      </w:tr>
    </w:tbl>
    <w:p w14:paraId="70F0F91B">
      <w:pPr>
        <w:snapToGrid w:val="0"/>
        <w:spacing w:line="560" w:lineRule="exact"/>
        <w:ind w:left="630"/>
        <w:rPr>
          <w:rFonts w:ascii="仿宋" w:hAnsi="仿宋" w:eastAsia="仿宋" w:cs="仿宋"/>
          <w:sz w:val="32"/>
          <w:szCs w:val="32"/>
        </w:rPr>
      </w:pPr>
    </w:p>
    <w:p w14:paraId="45CD2F27">
      <w:pPr>
        <w:snapToGrid w:val="0"/>
        <w:spacing w:line="560" w:lineRule="exact"/>
        <w:ind w:left="630"/>
        <w:rPr>
          <w:rFonts w:ascii="仿宋" w:hAnsi="仿宋" w:eastAsia="仿宋" w:cs="仿宋"/>
          <w:sz w:val="32"/>
          <w:szCs w:val="32"/>
        </w:rPr>
      </w:pPr>
    </w:p>
    <w:p w14:paraId="203CD19B">
      <w:pPr>
        <w:snapToGrid w:val="0"/>
        <w:spacing w:line="560" w:lineRule="exact"/>
        <w:ind w:left="630"/>
        <w:rPr>
          <w:rFonts w:ascii="仿宋" w:hAnsi="仿宋" w:eastAsia="仿宋" w:cs="仿宋"/>
          <w:sz w:val="32"/>
          <w:szCs w:val="32"/>
        </w:rPr>
      </w:pPr>
    </w:p>
    <w:p w14:paraId="6C73EF75">
      <w:pPr>
        <w:snapToGrid w:val="0"/>
        <w:spacing w:line="560" w:lineRule="exact"/>
        <w:ind w:left="630"/>
        <w:rPr>
          <w:rFonts w:ascii="仿宋" w:hAnsi="仿宋" w:eastAsia="仿宋" w:cs="仿宋"/>
          <w:sz w:val="32"/>
          <w:szCs w:val="32"/>
        </w:rPr>
      </w:pPr>
    </w:p>
    <w:p w14:paraId="74FCAC23">
      <w:pPr>
        <w:snapToGrid w:val="0"/>
        <w:spacing w:line="560" w:lineRule="exact"/>
        <w:ind w:left="630"/>
        <w:rPr>
          <w:rFonts w:ascii="仿宋" w:hAnsi="仿宋" w:eastAsia="仿宋" w:cs="仿宋"/>
          <w:sz w:val="32"/>
          <w:szCs w:val="32"/>
        </w:rPr>
      </w:pPr>
    </w:p>
    <w:p w14:paraId="2838F576">
      <w:pPr>
        <w:snapToGrid w:val="0"/>
        <w:spacing w:line="560" w:lineRule="exact"/>
        <w:ind w:left="630"/>
        <w:rPr>
          <w:rFonts w:ascii="仿宋" w:hAnsi="仿宋" w:eastAsia="仿宋" w:cs="仿宋"/>
          <w:sz w:val="32"/>
          <w:szCs w:val="32"/>
        </w:rPr>
      </w:pPr>
    </w:p>
    <w:p w14:paraId="04F015A9">
      <w:pPr>
        <w:snapToGrid w:val="0"/>
        <w:spacing w:line="560" w:lineRule="exact"/>
        <w:ind w:left="630"/>
        <w:rPr>
          <w:rFonts w:ascii="仿宋" w:hAnsi="仿宋" w:eastAsia="仿宋" w:cs="仿宋"/>
          <w:sz w:val="32"/>
          <w:szCs w:val="32"/>
        </w:rPr>
      </w:pPr>
    </w:p>
    <w:p w14:paraId="07F627CA">
      <w:pPr>
        <w:snapToGrid w:val="0"/>
        <w:spacing w:line="560" w:lineRule="exact"/>
        <w:ind w:left="630"/>
        <w:rPr>
          <w:rFonts w:ascii="仿宋" w:hAnsi="仿宋" w:eastAsia="仿宋" w:cs="仿宋"/>
          <w:sz w:val="32"/>
          <w:szCs w:val="32"/>
        </w:rPr>
      </w:pPr>
    </w:p>
    <w:p w14:paraId="3A2195AE">
      <w:pPr>
        <w:snapToGrid w:val="0"/>
        <w:spacing w:line="560" w:lineRule="exact"/>
        <w:ind w:left="630"/>
        <w:rPr>
          <w:rFonts w:ascii="仿宋" w:hAnsi="仿宋" w:eastAsia="仿宋" w:cs="仿宋"/>
          <w:sz w:val="32"/>
          <w:szCs w:val="32"/>
        </w:rPr>
      </w:pPr>
    </w:p>
    <w:p w14:paraId="4A70C60F">
      <w:pPr>
        <w:snapToGrid w:val="0"/>
        <w:spacing w:line="560" w:lineRule="exact"/>
        <w:ind w:left="630"/>
        <w:rPr>
          <w:rFonts w:ascii="仿宋" w:hAnsi="仿宋" w:eastAsia="仿宋" w:cs="仿宋"/>
          <w:sz w:val="32"/>
          <w:szCs w:val="32"/>
        </w:rPr>
      </w:pPr>
    </w:p>
    <w:p w14:paraId="06DD25BB">
      <w:pPr>
        <w:snapToGrid w:val="0"/>
        <w:spacing w:line="560" w:lineRule="exact"/>
        <w:ind w:left="630"/>
        <w:rPr>
          <w:rFonts w:ascii="仿宋" w:hAnsi="仿宋" w:eastAsia="仿宋" w:cs="仿宋"/>
          <w:sz w:val="32"/>
          <w:szCs w:val="32"/>
        </w:rPr>
      </w:pPr>
    </w:p>
    <w:p w14:paraId="12EEF74A">
      <w:pPr>
        <w:snapToGrid w:val="0"/>
        <w:spacing w:line="560" w:lineRule="exact"/>
        <w:ind w:left="630"/>
        <w:rPr>
          <w:rFonts w:ascii="仿宋" w:hAnsi="仿宋" w:eastAsia="仿宋" w:cs="仿宋"/>
          <w:sz w:val="32"/>
          <w:szCs w:val="32"/>
        </w:rPr>
      </w:pPr>
    </w:p>
    <w:p w14:paraId="6FF04377">
      <w:pPr>
        <w:snapToGrid w:val="0"/>
        <w:spacing w:line="560" w:lineRule="exact"/>
        <w:ind w:left="630"/>
        <w:rPr>
          <w:rFonts w:ascii="仿宋" w:hAnsi="仿宋" w:eastAsia="仿宋" w:cs="仿宋"/>
          <w:sz w:val="32"/>
          <w:szCs w:val="32"/>
        </w:rPr>
      </w:pPr>
    </w:p>
    <w:p w14:paraId="1764CCF1">
      <w:pPr>
        <w:adjustRightInd w:val="0"/>
        <w:snapToGrid w:val="0"/>
        <w:spacing w:line="560" w:lineRule="exact"/>
        <w:ind w:firstLine="4160" w:firstLineChars="1300"/>
        <w:rPr>
          <w:rFonts w:ascii="仿宋" w:hAnsi="仿宋" w:eastAsia="仿宋"/>
          <w:sz w:val="32"/>
          <w:szCs w:val="32"/>
        </w:rPr>
      </w:pPr>
      <w:r>
        <w:rPr>
          <w:rFonts w:hint="eastAsia" w:ascii="仿宋" w:hAnsi="仿宋" w:eastAsia="仿宋"/>
          <w:sz w:val="32"/>
          <w:szCs w:val="32"/>
        </w:rPr>
        <w:t>石家庄市藁城区交通运输局</w:t>
      </w:r>
    </w:p>
    <w:p w14:paraId="4C48F874">
      <w:pPr>
        <w:snapToGrid w:val="0"/>
        <w:spacing w:line="560" w:lineRule="exact"/>
        <w:ind w:left="630"/>
        <w:rPr>
          <w:rFonts w:ascii="仿宋" w:hAnsi="仿宋" w:eastAsia="仿宋" w:cs="仿宋"/>
          <w:sz w:val="32"/>
          <w:szCs w:val="32"/>
        </w:rPr>
      </w:pPr>
      <w:r>
        <w:rPr>
          <w:rFonts w:hint="eastAsia" w:ascii="仿宋" w:hAnsi="仿宋" w:eastAsia="仿宋"/>
          <w:sz w:val="32"/>
          <w:szCs w:val="32"/>
        </w:rPr>
        <w:t xml:space="preserve">                          2023年4月28日</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ArialUnicodeMS">
    <w:altName w:val="Malgun Gothic"/>
    <w:panose1 w:val="00000000000000000000"/>
    <w:charset w:val="81"/>
    <w:family w:val="auto"/>
    <w:pitch w:val="default"/>
    <w:sig w:usb0="00000000" w:usb1="00000000" w:usb2="00000010" w:usb3="00000000" w:csb0="0008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F2EAE2">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10AEF36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- 7 -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OqXm5zwAAAAUBAAAPAAAAAAAAAAEAIAAAACIAAABkcnMvZG93bnJldi54bWxQSwEC&#10;FAAUAAAACACHTuJAdLiVLsQBAACrAwAADgAAAAAAAAABACAAAAAeAQAAZHJzL2Uyb0RvYy54bWxQ&#10;SwUGAAAAAAYABgBZAQAAVAUAAAAA&#10;">
              <v:fill on="f" focussize="0,0"/>
              <v:stroke on="f"/>
              <v:imagedata o:title=""/>
              <o:lock v:ext="edit" aspectratio="f"/>
              <v:textbox inset="0mm,0mm,0mm,0mm" style="mso-fit-shape-to-text:t;">
                <w:txbxContent>
                  <w:p w14:paraId="10AEF36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- 7 -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D02EBF">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173B1"/>
    <w:rsid w:val="000D193E"/>
    <w:rsid w:val="000D29F1"/>
    <w:rsid w:val="000E4564"/>
    <w:rsid w:val="00153C99"/>
    <w:rsid w:val="001627CF"/>
    <w:rsid w:val="001646B1"/>
    <w:rsid w:val="00176210"/>
    <w:rsid w:val="00176F5E"/>
    <w:rsid w:val="001B3CB9"/>
    <w:rsid w:val="001C139A"/>
    <w:rsid w:val="001D2D4C"/>
    <w:rsid w:val="001E47C8"/>
    <w:rsid w:val="00214F3B"/>
    <w:rsid w:val="00276464"/>
    <w:rsid w:val="002A2324"/>
    <w:rsid w:val="002D6E62"/>
    <w:rsid w:val="002F0F54"/>
    <w:rsid w:val="00313C58"/>
    <w:rsid w:val="00372343"/>
    <w:rsid w:val="00383AC5"/>
    <w:rsid w:val="003B412A"/>
    <w:rsid w:val="00432709"/>
    <w:rsid w:val="0043554E"/>
    <w:rsid w:val="004667A4"/>
    <w:rsid w:val="004919BA"/>
    <w:rsid w:val="00491FCD"/>
    <w:rsid w:val="004E6C05"/>
    <w:rsid w:val="004F6F9F"/>
    <w:rsid w:val="00546BCB"/>
    <w:rsid w:val="005B610E"/>
    <w:rsid w:val="005C236C"/>
    <w:rsid w:val="005E6EC9"/>
    <w:rsid w:val="005F5417"/>
    <w:rsid w:val="00656B2A"/>
    <w:rsid w:val="00665896"/>
    <w:rsid w:val="00665B65"/>
    <w:rsid w:val="006C4359"/>
    <w:rsid w:val="0071336C"/>
    <w:rsid w:val="0071475B"/>
    <w:rsid w:val="0077251A"/>
    <w:rsid w:val="00793214"/>
    <w:rsid w:val="007C3144"/>
    <w:rsid w:val="007D43DA"/>
    <w:rsid w:val="007E50DB"/>
    <w:rsid w:val="007E661D"/>
    <w:rsid w:val="007F2247"/>
    <w:rsid w:val="007F5EE6"/>
    <w:rsid w:val="007F7CC2"/>
    <w:rsid w:val="0081530B"/>
    <w:rsid w:val="008C31C3"/>
    <w:rsid w:val="008E0E58"/>
    <w:rsid w:val="00931DFB"/>
    <w:rsid w:val="00941865"/>
    <w:rsid w:val="00966800"/>
    <w:rsid w:val="00986803"/>
    <w:rsid w:val="0099577A"/>
    <w:rsid w:val="009D4077"/>
    <w:rsid w:val="009F1522"/>
    <w:rsid w:val="009F2AD0"/>
    <w:rsid w:val="00A06D88"/>
    <w:rsid w:val="00A24515"/>
    <w:rsid w:val="00AB70A8"/>
    <w:rsid w:val="00AF5C06"/>
    <w:rsid w:val="00B723C7"/>
    <w:rsid w:val="00B8177D"/>
    <w:rsid w:val="00B86365"/>
    <w:rsid w:val="00BA384B"/>
    <w:rsid w:val="00BA767F"/>
    <w:rsid w:val="00BB3BB5"/>
    <w:rsid w:val="00BC5F34"/>
    <w:rsid w:val="00BE032C"/>
    <w:rsid w:val="00C242EC"/>
    <w:rsid w:val="00CB5960"/>
    <w:rsid w:val="00CE156F"/>
    <w:rsid w:val="00DE50A2"/>
    <w:rsid w:val="00DF6FF4"/>
    <w:rsid w:val="00E03726"/>
    <w:rsid w:val="00E04152"/>
    <w:rsid w:val="00E17D5D"/>
    <w:rsid w:val="00E61BFC"/>
    <w:rsid w:val="00E841B7"/>
    <w:rsid w:val="00E865F6"/>
    <w:rsid w:val="00E97A7D"/>
    <w:rsid w:val="00ED5E84"/>
    <w:rsid w:val="00EF16A3"/>
    <w:rsid w:val="00EF2D1D"/>
    <w:rsid w:val="00F57E52"/>
    <w:rsid w:val="00FB4297"/>
    <w:rsid w:val="00FE3CE8"/>
    <w:rsid w:val="00FF3819"/>
    <w:rsid w:val="051D4810"/>
    <w:rsid w:val="055B525F"/>
    <w:rsid w:val="13B61930"/>
    <w:rsid w:val="1BAF1154"/>
    <w:rsid w:val="1C655171"/>
    <w:rsid w:val="1CC606BB"/>
    <w:rsid w:val="20276775"/>
    <w:rsid w:val="2AC450FA"/>
    <w:rsid w:val="2C9C4575"/>
    <w:rsid w:val="2D2D4762"/>
    <w:rsid w:val="3AEF6FE7"/>
    <w:rsid w:val="45464C32"/>
    <w:rsid w:val="493B718D"/>
    <w:rsid w:val="53A42ADD"/>
    <w:rsid w:val="5C4A315B"/>
    <w:rsid w:val="661D3074"/>
    <w:rsid w:val="6BDE7164"/>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插入文本样式-插入职责分类绩效目标文件"/>
    <w:basedOn w:val="1"/>
    <w:qFormat/>
    <w:uiPriority w:val="0"/>
    <w:pPr>
      <w:widowControl/>
      <w:spacing w:line="500" w:lineRule="exact"/>
      <w:ind w:firstLine="560"/>
      <w:jc w:val="left"/>
    </w:pPr>
    <w:rPr>
      <w:rFonts w:eastAsia="方正仿宋_GBK"/>
      <w:kern w:val="0"/>
      <w:sz w:val="28"/>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9</Pages>
  <Words>3885</Words>
  <Characters>4112</Characters>
  <Lines>30</Lines>
  <Paragraphs>8</Paragraphs>
  <TotalTime>475</TotalTime>
  <ScaleCrop>false</ScaleCrop>
  <LinksUpToDate>false</LinksUpToDate>
  <CharactersWithSpaces>4145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2024-09-26T07:06:07Z</dcterms:modified>
  <dc:title>附件2： </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6710DD7AAE7C4D17BFE76994C0D50F6D_13</vt:lpwstr>
  </property>
</Properties>
</file>