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r>
        <w:rPr>
          <w:rFonts w:hint="eastAsia" w:ascii="黑体" w:hAnsi="黑体" w:eastAsia="黑体" w:cs="黑体"/>
          <w:b/>
          <w:color w:val="000000"/>
          <w:sz w:val="44"/>
          <w:lang w:val="en-US" w:eastAsia="zh-CN"/>
        </w:rPr>
        <w:t xml:space="preserve">                                                                                                                                                                                                                                                                                                                                                                                                                                                                                                                                                                                                                                                                                                                                                                                                                                                                                                                                                                                                                                                                                                                                                                                                                                                                                                                                                                                                                                                                               </w:t>
      </w:r>
    </w:p>
    <w:p>
      <w:pPr>
        <w:keepNext w:val="0"/>
        <w:keepLines w:val="0"/>
        <w:pageBreakBefore w:val="0"/>
        <w:widowControl/>
        <w:kinsoku/>
        <w:wordWrap/>
        <w:overflowPunct/>
        <w:topLinePunct w:val="0"/>
        <w:autoSpaceDE/>
        <w:autoSpaceDN/>
        <w:bidi w:val="0"/>
        <w:adjustRightInd/>
        <w:snapToGrid/>
        <w:spacing w:before="0" w:after="0" w:afterLines="100" w:line="240" w:lineRule="auto"/>
        <w:ind w:firstLine="0"/>
        <w:jc w:val="center"/>
        <w:textAlignment w:val="auto"/>
        <w:outlineLvl w:val="0"/>
        <w:rPr>
          <w:rFonts w:ascii="黑体" w:hAnsi="黑体" w:eastAsia="黑体" w:cs="黑体"/>
          <w:b/>
          <w:color w:val="000000"/>
          <w:kern w:val="0"/>
          <w:sz w:val="44"/>
          <w:lang w:eastAsia="uk-UA"/>
        </w:rPr>
      </w:pPr>
      <w:r>
        <w:rPr>
          <w:rFonts w:hint="eastAsia" w:ascii="黑体" w:hAnsi="黑体" w:eastAsia="黑体" w:cs="黑体"/>
          <w:b/>
          <w:color w:val="000000"/>
          <w:kern w:val="0"/>
          <w:sz w:val="44"/>
          <w:lang w:eastAsia="zh-CN"/>
        </w:rPr>
        <w:t>党校所属单位</w:t>
      </w:r>
      <w:r>
        <w:rPr>
          <w:rFonts w:ascii="黑体" w:hAnsi="黑体" w:eastAsia="黑体" w:cs="黑体"/>
          <w:b/>
          <w:color w:val="000000"/>
          <w:kern w:val="0"/>
          <w:sz w:val="44"/>
          <w:lang w:eastAsia="uk-UA"/>
        </w:rPr>
        <w:t>2022年</w:t>
      </w:r>
      <w:r>
        <w:rPr>
          <w:rFonts w:hint="eastAsia" w:ascii="黑体" w:hAnsi="黑体" w:eastAsia="黑体" w:cs="黑体"/>
          <w:b/>
          <w:color w:val="000000"/>
          <w:kern w:val="0"/>
          <w:sz w:val="44"/>
          <w:lang w:eastAsia="zh-CN"/>
        </w:rPr>
        <w:t>度</w:t>
      </w:r>
      <w:r>
        <w:rPr>
          <w:rFonts w:ascii="黑体" w:hAnsi="黑体" w:eastAsia="黑体" w:cs="黑体"/>
          <w:b/>
          <w:color w:val="000000"/>
          <w:kern w:val="0"/>
          <w:sz w:val="44"/>
          <w:lang w:eastAsia="uk-UA"/>
        </w:rPr>
        <w:t>预算公开</w:t>
      </w: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一、中国共产党石家庄市藁城区委员会党校本级收支预算</w:t>
      </w:r>
      <w:r>
        <w:tab/>
      </w:r>
      <w:r>
        <w:rPr>
          <w:rFonts w:hint="eastAsia"/>
          <w:lang w:val="en-US" w:eastAsia="zh-CN"/>
        </w:rPr>
        <w:t>2</w:t>
      </w:r>
      <w:r>
        <w:fldChar w:fldCharType="end"/>
      </w:r>
    </w:p>
    <w:p>
      <w:pPr>
        <w:sectPr>
          <w:footerReference r:id="rId3" w:type="default"/>
          <w:footerReference r:id="rId4" w:type="even"/>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both"/>
        <w:outlineLvl w:val="9"/>
      </w:pPr>
      <w:bookmarkStart w:id="0" w:name="_Toc_4_4_0000000019"/>
      <w:r>
        <w:rPr>
          <w:rFonts w:ascii="方正小标宋_GBK" w:hAnsi="方正小标宋_GBK" w:eastAsia="方正小标宋_GBK" w:cs="方正小标宋_GBK"/>
          <w:b w:val="0"/>
          <w:color w:val="000000"/>
          <w:sz w:val="44"/>
        </w:rPr>
        <w:t>一、中国共产党石家庄市藁城区委员会党校本级收支预算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281001中国共产党石家庄市藁城区委员会党校本级</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527.20</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r>
              <w:t>527.20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527.20</w:t>
            </w:r>
          </w:p>
        </w:tc>
        <w:tc>
          <w:tcPr>
            <w:tcW w:w="4535" w:type="dxa"/>
            <w:vAlign w:val="center"/>
          </w:tcPr>
          <w:p>
            <w:pPr>
              <w:pStyle w:val="18"/>
            </w:pPr>
            <w:r>
              <w:t>本年支出合计</w:t>
            </w:r>
          </w:p>
        </w:tc>
        <w:tc>
          <w:tcPr>
            <w:tcW w:w="2126" w:type="dxa"/>
            <w:vAlign w:val="center"/>
          </w:tcPr>
          <w:p>
            <w:pPr>
              <w:pStyle w:val="19"/>
            </w:pPr>
            <w:r>
              <w:t>527.20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527.20</w:t>
            </w:r>
          </w:p>
        </w:tc>
        <w:tc>
          <w:tcPr>
            <w:tcW w:w="4535" w:type="dxa"/>
            <w:vAlign w:val="center"/>
          </w:tcPr>
          <w:p>
            <w:pPr>
              <w:pStyle w:val="18"/>
            </w:pPr>
            <w:r>
              <w:t>支出总计</w:t>
            </w:r>
          </w:p>
        </w:tc>
        <w:tc>
          <w:tcPr>
            <w:tcW w:w="2126" w:type="dxa"/>
            <w:vAlign w:val="center"/>
          </w:tcPr>
          <w:p>
            <w:pPr>
              <w:pStyle w:val="19"/>
            </w:pPr>
            <w:r>
              <w:t>527.20</w:t>
            </w:r>
          </w:p>
        </w:tc>
      </w:tr>
    </w:tbl>
    <w:p>
      <w:pPr>
        <w:sectPr>
          <w:footerReference r:id="rId5" w:type="default"/>
          <w:footerReference r:id="rId6"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941"/>
        <w:gridCol w:w="1044"/>
        <w:gridCol w:w="985"/>
        <w:gridCol w:w="691"/>
        <w:gridCol w:w="780"/>
        <w:gridCol w:w="625"/>
        <w:gridCol w:w="758"/>
        <w:gridCol w:w="922"/>
        <w:gridCol w:w="823"/>
        <w:gridCol w:w="7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59" w:type="dxa"/>
            <w:gridSpan w:val="5"/>
            <w:tcBorders>
              <w:top w:val="single" w:color="FFFFFF" w:sz="6" w:space="0"/>
              <w:left w:val="single" w:color="FFFFFF" w:sz="6" w:space="0"/>
              <w:right w:val="single" w:color="FFFFFF" w:sz="6" w:space="0"/>
            </w:tcBorders>
            <w:vAlign w:val="center"/>
          </w:tcPr>
          <w:p>
            <w:pPr>
              <w:pStyle w:val="13"/>
            </w:pPr>
            <w:r>
              <w:t>281001中国共产党石家庄市藁城区委员会党校本级</w:t>
            </w:r>
          </w:p>
        </w:tc>
        <w:tc>
          <w:tcPr>
            <w:tcW w:w="2456"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3867"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4"/>
            </w:pPr>
            <w:r>
              <w:t>序号</w:t>
            </w:r>
          </w:p>
        </w:tc>
        <w:tc>
          <w:tcPr>
            <w:tcW w:w="1516" w:type="dxa"/>
            <w:gridSpan w:val="2"/>
            <w:vAlign w:val="center"/>
          </w:tcPr>
          <w:p>
            <w:pPr>
              <w:pStyle w:val="14"/>
            </w:pPr>
            <w:r>
              <w:t>功能分类科目</w:t>
            </w:r>
          </w:p>
        </w:tc>
        <w:tc>
          <w:tcPr>
            <w:tcW w:w="941" w:type="dxa"/>
            <w:vMerge w:val="restart"/>
            <w:vAlign w:val="center"/>
          </w:tcPr>
          <w:p>
            <w:pPr>
              <w:pStyle w:val="14"/>
            </w:pPr>
            <w:r>
              <w:t>合计</w:t>
            </w:r>
          </w:p>
        </w:tc>
        <w:tc>
          <w:tcPr>
            <w:tcW w:w="6628" w:type="dxa"/>
            <w:gridSpan w:val="8"/>
            <w:vAlign w:val="center"/>
          </w:tcPr>
          <w:p>
            <w:pPr>
              <w:pStyle w:val="14"/>
            </w:pPr>
            <w:r>
              <w:t>本年收入</w:t>
            </w:r>
          </w:p>
        </w:tc>
        <w:tc>
          <w:tcPr>
            <w:tcW w:w="739"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4"/>
            </w:pPr>
            <w:r>
              <w:t>科目    编码</w:t>
            </w:r>
          </w:p>
        </w:tc>
        <w:tc>
          <w:tcPr>
            <w:tcW w:w="758" w:type="dxa"/>
            <w:vAlign w:val="center"/>
          </w:tcPr>
          <w:p>
            <w:pPr>
              <w:pStyle w:val="14"/>
            </w:pPr>
            <w:r>
              <w:t>科目名称</w:t>
            </w:r>
          </w:p>
        </w:tc>
        <w:tc>
          <w:tcPr>
            <w:tcW w:w="941" w:type="dxa"/>
            <w:vMerge w:val="continue"/>
          </w:tcPr>
          <w:p/>
        </w:tc>
        <w:tc>
          <w:tcPr>
            <w:tcW w:w="1044" w:type="dxa"/>
            <w:vAlign w:val="center"/>
          </w:tcPr>
          <w:p>
            <w:pPr>
              <w:pStyle w:val="14"/>
            </w:pPr>
            <w:r>
              <w:t>小计</w:t>
            </w:r>
          </w:p>
        </w:tc>
        <w:tc>
          <w:tcPr>
            <w:tcW w:w="985" w:type="dxa"/>
            <w:vAlign w:val="center"/>
          </w:tcPr>
          <w:p>
            <w:pPr>
              <w:pStyle w:val="14"/>
            </w:pPr>
            <w:r>
              <w:t>财政拨款 收入</w:t>
            </w:r>
          </w:p>
        </w:tc>
        <w:tc>
          <w:tcPr>
            <w:tcW w:w="691" w:type="dxa"/>
            <w:vAlign w:val="center"/>
          </w:tcPr>
          <w:p>
            <w:pPr>
              <w:pStyle w:val="14"/>
            </w:pPr>
            <w:r>
              <w:t>财政专户 收入</w:t>
            </w:r>
          </w:p>
        </w:tc>
        <w:tc>
          <w:tcPr>
            <w:tcW w:w="780" w:type="dxa"/>
            <w:vAlign w:val="center"/>
          </w:tcPr>
          <w:p>
            <w:pPr>
              <w:pStyle w:val="14"/>
            </w:pPr>
            <w:r>
              <w:t>事业收入</w:t>
            </w:r>
          </w:p>
        </w:tc>
        <w:tc>
          <w:tcPr>
            <w:tcW w:w="625" w:type="dxa"/>
            <w:vAlign w:val="center"/>
          </w:tcPr>
          <w:p>
            <w:pPr>
              <w:pStyle w:val="14"/>
            </w:pPr>
            <w:r>
              <w:t>经营收入</w:t>
            </w:r>
          </w:p>
        </w:tc>
        <w:tc>
          <w:tcPr>
            <w:tcW w:w="758" w:type="dxa"/>
            <w:vAlign w:val="center"/>
          </w:tcPr>
          <w:p>
            <w:pPr>
              <w:pStyle w:val="14"/>
            </w:pPr>
            <w:r>
              <w:t>上级补助收入</w:t>
            </w:r>
          </w:p>
        </w:tc>
        <w:tc>
          <w:tcPr>
            <w:tcW w:w="922" w:type="dxa"/>
            <w:vAlign w:val="center"/>
          </w:tcPr>
          <w:p>
            <w:pPr>
              <w:pStyle w:val="14"/>
            </w:pPr>
            <w:r>
              <w:t>附属单位上缴收入</w:t>
            </w:r>
          </w:p>
        </w:tc>
        <w:tc>
          <w:tcPr>
            <w:tcW w:w="823" w:type="dxa"/>
            <w:vAlign w:val="center"/>
          </w:tcPr>
          <w:p>
            <w:pPr>
              <w:pStyle w:val="14"/>
            </w:pPr>
            <w:r>
              <w:t>其他收入</w:t>
            </w:r>
          </w:p>
        </w:tc>
        <w:tc>
          <w:tcPr>
            <w:tcW w:w="73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4"/>
            </w:pPr>
            <w:r>
              <w:t>栏次</w:t>
            </w:r>
          </w:p>
        </w:tc>
        <w:tc>
          <w:tcPr>
            <w:tcW w:w="758" w:type="dxa"/>
            <w:vAlign w:val="center"/>
          </w:tcPr>
          <w:p>
            <w:pPr>
              <w:pStyle w:val="14"/>
            </w:pPr>
            <w:r>
              <w:t>1</w:t>
            </w:r>
          </w:p>
        </w:tc>
        <w:tc>
          <w:tcPr>
            <w:tcW w:w="758" w:type="dxa"/>
            <w:vAlign w:val="center"/>
          </w:tcPr>
          <w:p>
            <w:pPr>
              <w:pStyle w:val="14"/>
            </w:pPr>
            <w:r>
              <w:t>2</w:t>
            </w:r>
          </w:p>
        </w:tc>
        <w:tc>
          <w:tcPr>
            <w:tcW w:w="941" w:type="dxa"/>
            <w:vAlign w:val="center"/>
          </w:tcPr>
          <w:p>
            <w:pPr>
              <w:pStyle w:val="14"/>
            </w:pPr>
            <w:r>
              <w:t>3</w:t>
            </w:r>
          </w:p>
        </w:tc>
        <w:tc>
          <w:tcPr>
            <w:tcW w:w="1044" w:type="dxa"/>
            <w:vAlign w:val="center"/>
          </w:tcPr>
          <w:p>
            <w:pPr>
              <w:pStyle w:val="14"/>
            </w:pPr>
            <w:r>
              <w:t>4</w:t>
            </w:r>
          </w:p>
        </w:tc>
        <w:tc>
          <w:tcPr>
            <w:tcW w:w="985" w:type="dxa"/>
            <w:vAlign w:val="center"/>
          </w:tcPr>
          <w:p>
            <w:pPr>
              <w:pStyle w:val="14"/>
            </w:pPr>
            <w:r>
              <w:t>5</w:t>
            </w:r>
          </w:p>
        </w:tc>
        <w:tc>
          <w:tcPr>
            <w:tcW w:w="691" w:type="dxa"/>
            <w:vAlign w:val="center"/>
          </w:tcPr>
          <w:p>
            <w:pPr>
              <w:pStyle w:val="14"/>
            </w:pPr>
            <w:r>
              <w:t>6</w:t>
            </w:r>
          </w:p>
        </w:tc>
        <w:tc>
          <w:tcPr>
            <w:tcW w:w="780" w:type="dxa"/>
            <w:vAlign w:val="center"/>
          </w:tcPr>
          <w:p>
            <w:pPr>
              <w:pStyle w:val="14"/>
            </w:pPr>
            <w:r>
              <w:t>7</w:t>
            </w:r>
          </w:p>
        </w:tc>
        <w:tc>
          <w:tcPr>
            <w:tcW w:w="625" w:type="dxa"/>
            <w:vAlign w:val="center"/>
          </w:tcPr>
          <w:p>
            <w:pPr>
              <w:pStyle w:val="14"/>
            </w:pPr>
            <w:r>
              <w:t>8</w:t>
            </w:r>
          </w:p>
        </w:tc>
        <w:tc>
          <w:tcPr>
            <w:tcW w:w="758" w:type="dxa"/>
            <w:vAlign w:val="center"/>
          </w:tcPr>
          <w:p>
            <w:pPr>
              <w:pStyle w:val="14"/>
            </w:pPr>
            <w:r>
              <w:t>9</w:t>
            </w:r>
          </w:p>
        </w:tc>
        <w:tc>
          <w:tcPr>
            <w:tcW w:w="922" w:type="dxa"/>
            <w:vAlign w:val="center"/>
          </w:tcPr>
          <w:p>
            <w:pPr>
              <w:pStyle w:val="14"/>
            </w:pPr>
            <w:r>
              <w:t>10</w:t>
            </w:r>
          </w:p>
        </w:tc>
        <w:tc>
          <w:tcPr>
            <w:tcW w:w="823" w:type="dxa"/>
            <w:vAlign w:val="center"/>
          </w:tcPr>
          <w:p>
            <w:pPr>
              <w:pStyle w:val="14"/>
            </w:pPr>
            <w:r>
              <w:t>11</w:t>
            </w:r>
          </w:p>
        </w:tc>
        <w:tc>
          <w:tcPr>
            <w:tcW w:w="739"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w:t>
            </w:r>
          </w:p>
        </w:tc>
        <w:tc>
          <w:tcPr>
            <w:tcW w:w="758" w:type="dxa"/>
            <w:vAlign w:val="center"/>
          </w:tcPr>
          <w:p>
            <w:pPr>
              <w:pStyle w:val="20"/>
            </w:pPr>
          </w:p>
        </w:tc>
        <w:tc>
          <w:tcPr>
            <w:tcW w:w="758" w:type="dxa"/>
            <w:vAlign w:val="center"/>
          </w:tcPr>
          <w:p>
            <w:pPr>
              <w:pStyle w:val="18"/>
            </w:pPr>
            <w:r>
              <w:t>合计</w:t>
            </w:r>
          </w:p>
        </w:tc>
        <w:tc>
          <w:tcPr>
            <w:tcW w:w="941" w:type="dxa"/>
            <w:vAlign w:val="center"/>
          </w:tcPr>
          <w:p>
            <w:pPr>
              <w:pStyle w:val="19"/>
            </w:pPr>
            <w:r>
              <w:t>527.20</w:t>
            </w:r>
          </w:p>
        </w:tc>
        <w:tc>
          <w:tcPr>
            <w:tcW w:w="1044" w:type="dxa"/>
            <w:vAlign w:val="center"/>
          </w:tcPr>
          <w:p>
            <w:pPr>
              <w:pStyle w:val="19"/>
            </w:pPr>
            <w:r>
              <w:t>527.20</w:t>
            </w:r>
          </w:p>
        </w:tc>
        <w:tc>
          <w:tcPr>
            <w:tcW w:w="985" w:type="dxa"/>
            <w:vAlign w:val="center"/>
          </w:tcPr>
          <w:p>
            <w:pPr>
              <w:pStyle w:val="19"/>
            </w:pPr>
            <w:r>
              <w:t>527.20</w:t>
            </w:r>
          </w:p>
        </w:tc>
        <w:tc>
          <w:tcPr>
            <w:tcW w:w="691" w:type="dxa"/>
            <w:vAlign w:val="center"/>
          </w:tcPr>
          <w:p>
            <w:pPr>
              <w:pStyle w:val="19"/>
            </w:pPr>
          </w:p>
        </w:tc>
        <w:tc>
          <w:tcPr>
            <w:tcW w:w="780" w:type="dxa"/>
            <w:vAlign w:val="center"/>
          </w:tcPr>
          <w:p>
            <w:pPr>
              <w:pStyle w:val="19"/>
            </w:pPr>
          </w:p>
        </w:tc>
        <w:tc>
          <w:tcPr>
            <w:tcW w:w="625" w:type="dxa"/>
            <w:vAlign w:val="center"/>
          </w:tcPr>
          <w:p>
            <w:pPr>
              <w:pStyle w:val="19"/>
            </w:pPr>
          </w:p>
        </w:tc>
        <w:tc>
          <w:tcPr>
            <w:tcW w:w="758" w:type="dxa"/>
            <w:vAlign w:val="center"/>
          </w:tcPr>
          <w:p>
            <w:pPr>
              <w:pStyle w:val="19"/>
            </w:pPr>
          </w:p>
        </w:tc>
        <w:tc>
          <w:tcPr>
            <w:tcW w:w="922" w:type="dxa"/>
            <w:vAlign w:val="center"/>
          </w:tcPr>
          <w:p>
            <w:pPr>
              <w:pStyle w:val="19"/>
            </w:pPr>
          </w:p>
        </w:tc>
        <w:tc>
          <w:tcPr>
            <w:tcW w:w="823" w:type="dxa"/>
            <w:vAlign w:val="center"/>
          </w:tcPr>
          <w:p>
            <w:pPr>
              <w:pStyle w:val="19"/>
            </w:pPr>
          </w:p>
        </w:tc>
        <w:tc>
          <w:tcPr>
            <w:tcW w:w="739"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2</w:t>
            </w:r>
          </w:p>
        </w:tc>
        <w:tc>
          <w:tcPr>
            <w:tcW w:w="758" w:type="dxa"/>
            <w:vAlign w:val="center"/>
          </w:tcPr>
          <w:p>
            <w:pPr>
              <w:pStyle w:val="16"/>
            </w:pPr>
            <w:r>
              <w:t>205</w:t>
            </w:r>
          </w:p>
        </w:tc>
        <w:tc>
          <w:tcPr>
            <w:tcW w:w="758" w:type="dxa"/>
            <w:vAlign w:val="center"/>
          </w:tcPr>
          <w:p>
            <w:pPr>
              <w:pStyle w:val="16"/>
            </w:pPr>
            <w:r>
              <w:t>教育支出</w:t>
            </w:r>
          </w:p>
        </w:tc>
        <w:tc>
          <w:tcPr>
            <w:tcW w:w="941" w:type="dxa"/>
            <w:vAlign w:val="center"/>
          </w:tcPr>
          <w:p>
            <w:pPr>
              <w:pStyle w:val="15"/>
            </w:pPr>
            <w:r>
              <w:t>527.20</w:t>
            </w:r>
          </w:p>
        </w:tc>
        <w:tc>
          <w:tcPr>
            <w:tcW w:w="1044" w:type="dxa"/>
            <w:vAlign w:val="center"/>
          </w:tcPr>
          <w:p>
            <w:pPr>
              <w:pStyle w:val="15"/>
            </w:pPr>
            <w:r>
              <w:t>527.20</w:t>
            </w:r>
          </w:p>
        </w:tc>
        <w:tc>
          <w:tcPr>
            <w:tcW w:w="985" w:type="dxa"/>
            <w:vAlign w:val="center"/>
          </w:tcPr>
          <w:p>
            <w:pPr>
              <w:pStyle w:val="15"/>
            </w:pPr>
            <w:r>
              <w:t>527.20</w:t>
            </w:r>
          </w:p>
        </w:tc>
        <w:tc>
          <w:tcPr>
            <w:tcW w:w="691" w:type="dxa"/>
            <w:vAlign w:val="center"/>
          </w:tcPr>
          <w:p>
            <w:pPr>
              <w:pStyle w:val="15"/>
            </w:pPr>
          </w:p>
        </w:tc>
        <w:tc>
          <w:tcPr>
            <w:tcW w:w="780" w:type="dxa"/>
            <w:vAlign w:val="center"/>
          </w:tcPr>
          <w:p>
            <w:pPr>
              <w:pStyle w:val="15"/>
            </w:pPr>
          </w:p>
        </w:tc>
        <w:tc>
          <w:tcPr>
            <w:tcW w:w="625" w:type="dxa"/>
            <w:vAlign w:val="center"/>
          </w:tcPr>
          <w:p>
            <w:pPr>
              <w:pStyle w:val="15"/>
            </w:pPr>
          </w:p>
        </w:tc>
        <w:tc>
          <w:tcPr>
            <w:tcW w:w="758" w:type="dxa"/>
            <w:vAlign w:val="center"/>
          </w:tcPr>
          <w:p>
            <w:pPr>
              <w:pStyle w:val="15"/>
            </w:pPr>
          </w:p>
        </w:tc>
        <w:tc>
          <w:tcPr>
            <w:tcW w:w="922" w:type="dxa"/>
            <w:vAlign w:val="center"/>
          </w:tcPr>
          <w:p>
            <w:pPr>
              <w:pStyle w:val="15"/>
            </w:pPr>
          </w:p>
        </w:tc>
        <w:tc>
          <w:tcPr>
            <w:tcW w:w="823" w:type="dxa"/>
            <w:vAlign w:val="center"/>
          </w:tcPr>
          <w:p>
            <w:pPr>
              <w:pStyle w:val="15"/>
            </w:pPr>
          </w:p>
        </w:tc>
        <w:tc>
          <w:tcPr>
            <w:tcW w:w="7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3</w:t>
            </w:r>
          </w:p>
        </w:tc>
        <w:tc>
          <w:tcPr>
            <w:tcW w:w="758" w:type="dxa"/>
            <w:vAlign w:val="center"/>
          </w:tcPr>
          <w:p>
            <w:pPr>
              <w:pStyle w:val="16"/>
            </w:pPr>
            <w:r>
              <w:t>20508</w:t>
            </w:r>
          </w:p>
        </w:tc>
        <w:tc>
          <w:tcPr>
            <w:tcW w:w="758" w:type="dxa"/>
            <w:vAlign w:val="center"/>
          </w:tcPr>
          <w:p>
            <w:pPr>
              <w:pStyle w:val="16"/>
            </w:pPr>
            <w:r>
              <w:t>进修及培训</w:t>
            </w:r>
          </w:p>
        </w:tc>
        <w:tc>
          <w:tcPr>
            <w:tcW w:w="941" w:type="dxa"/>
            <w:vAlign w:val="center"/>
          </w:tcPr>
          <w:p>
            <w:pPr>
              <w:pStyle w:val="15"/>
            </w:pPr>
            <w:r>
              <w:t>527.20</w:t>
            </w:r>
          </w:p>
        </w:tc>
        <w:tc>
          <w:tcPr>
            <w:tcW w:w="1044" w:type="dxa"/>
            <w:vAlign w:val="center"/>
          </w:tcPr>
          <w:p>
            <w:pPr>
              <w:pStyle w:val="15"/>
            </w:pPr>
            <w:r>
              <w:t>527.20</w:t>
            </w:r>
          </w:p>
        </w:tc>
        <w:tc>
          <w:tcPr>
            <w:tcW w:w="985" w:type="dxa"/>
            <w:vAlign w:val="center"/>
          </w:tcPr>
          <w:p>
            <w:pPr>
              <w:pStyle w:val="15"/>
            </w:pPr>
            <w:r>
              <w:t>527.20</w:t>
            </w:r>
          </w:p>
        </w:tc>
        <w:tc>
          <w:tcPr>
            <w:tcW w:w="691" w:type="dxa"/>
            <w:vAlign w:val="center"/>
          </w:tcPr>
          <w:p>
            <w:pPr>
              <w:pStyle w:val="15"/>
            </w:pPr>
          </w:p>
        </w:tc>
        <w:tc>
          <w:tcPr>
            <w:tcW w:w="780" w:type="dxa"/>
            <w:vAlign w:val="center"/>
          </w:tcPr>
          <w:p>
            <w:pPr>
              <w:pStyle w:val="15"/>
            </w:pPr>
          </w:p>
        </w:tc>
        <w:tc>
          <w:tcPr>
            <w:tcW w:w="625" w:type="dxa"/>
            <w:vAlign w:val="center"/>
          </w:tcPr>
          <w:p>
            <w:pPr>
              <w:pStyle w:val="15"/>
            </w:pPr>
          </w:p>
        </w:tc>
        <w:tc>
          <w:tcPr>
            <w:tcW w:w="758" w:type="dxa"/>
            <w:vAlign w:val="center"/>
          </w:tcPr>
          <w:p>
            <w:pPr>
              <w:pStyle w:val="15"/>
            </w:pPr>
          </w:p>
        </w:tc>
        <w:tc>
          <w:tcPr>
            <w:tcW w:w="922" w:type="dxa"/>
            <w:vAlign w:val="center"/>
          </w:tcPr>
          <w:p>
            <w:pPr>
              <w:pStyle w:val="15"/>
            </w:pPr>
          </w:p>
        </w:tc>
        <w:tc>
          <w:tcPr>
            <w:tcW w:w="823" w:type="dxa"/>
            <w:vAlign w:val="center"/>
          </w:tcPr>
          <w:p>
            <w:pPr>
              <w:pStyle w:val="15"/>
            </w:pPr>
          </w:p>
        </w:tc>
        <w:tc>
          <w:tcPr>
            <w:tcW w:w="7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4</w:t>
            </w:r>
          </w:p>
        </w:tc>
        <w:tc>
          <w:tcPr>
            <w:tcW w:w="758" w:type="dxa"/>
            <w:vAlign w:val="center"/>
          </w:tcPr>
          <w:p>
            <w:pPr>
              <w:pStyle w:val="16"/>
            </w:pPr>
            <w:r>
              <w:t>2050802</w:t>
            </w:r>
          </w:p>
        </w:tc>
        <w:tc>
          <w:tcPr>
            <w:tcW w:w="758" w:type="dxa"/>
            <w:vAlign w:val="center"/>
          </w:tcPr>
          <w:p>
            <w:pPr>
              <w:pStyle w:val="16"/>
            </w:pPr>
            <w:r>
              <w:t>干部教育</w:t>
            </w:r>
          </w:p>
        </w:tc>
        <w:tc>
          <w:tcPr>
            <w:tcW w:w="941" w:type="dxa"/>
            <w:vAlign w:val="center"/>
          </w:tcPr>
          <w:p>
            <w:pPr>
              <w:pStyle w:val="15"/>
            </w:pPr>
            <w:r>
              <w:t>527.20</w:t>
            </w:r>
          </w:p>
        </w:tc>
        <w:tc>
          <w:tcPr>
            <w:tcW w:w="1044" w:type="dxa"/>
            <w:vAlign w:val="center"/>
          </w:tcPr>
          <w:p>
            <w:pPr>
              <w:pStyle w:val="15"/>
            </w:pPr>
            <w:r>
              <w:t>527.20</w:t>
            </w:r>
          </w:p>
        </w:tc>
        <w:tc>
          <w:tcPr>
            <w:tcW w:w="985" w:type="dxa"/>
            <w:vAlign w:val="center"/>
          </w:tcPr>
          <w:p>
            <w:pPr>
              <w:pStyle w:val="15"/>
            </w:pPr>
            <w:r>
              <w:t>527.20</w:t>
            </w:r>
          </w:p>
        </w:tc>
        <w:tc>
          <w:tcPr>
            <w:tcW w:w="691" w:type="dxa"/>
            <w:vAlign w:val="center"/>
          </w:tcPr>
          <w:p>
            <w:pPr>
              <w:pStyle w:val="15"/>
            </w:pPr>
          </w:p>
        </w:tc>
        <w:tc>
          <w:tcPr>
            <w:tcW w:w="780" w:type="dxa"/>
            <w:vAlign w:val="center"/>
          </w:tcPr>
          <w:p>
            <w:pPr>
              <w:pStyle w:val="15"/>
            </w:pPr>
          </w:p>
        </w:tc>
        <w:tc>
          <w:tcPr>
            <w:tcW w:w="625" w:type="dxa"/>
            <w:vAlign w:val="center"/>
          </w:tcPr>
          <w:p>
            <w:pPr>
              <w:pStyle w:val="15"/>
            </w:pPr>
          </w:p>
        </w:tc>
        <w:tc>
          <w:tcPr>
            <w:tcW w:w="758" w:type="dxa"/>
            <w:vAlign w:val="center"/>
          </w:tcPr>
          <w:p>
            <w:pPr>
              <w:pStyle w:val="15"/>
            </w:pPr>
          </w:p>
        </w:tc>
        <w:tc>
          <w:tcPr>
            <w:tcW w:w="922" w:type="dxa"/>
            <w:vAlign w:val="center"/>
          </w:tcPr>
          <w:p>
            <w:pPr>
              <w:pStyle w:val="15"/>
            </w:pPr>
          </w:p>
        </w:tc>
        <w:tc>
          <w:tcPr>
            <w:tcW w:w="823" w:type="dxa"/>
            <w:vAlign w:val="center"/>
          </w:tcPr>
          <w:p>
            <w:pPr>
              <w:pStyle w:val="15"/>
            </w:pPr>
          </w:p>
        </w:tc>
        <w:tc>
          <w:tcPr>
            <w:tcW w:w="739"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281001中国共产党石家庄市藁城区委员会党校本级</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527.20</w:t>
            </w:r>
          </w:p>
        </w:tc>
        <w:tc>
          <w:tcPr>
            <w:tcW w:w="1361" w:type="dxa"/>
            <w:vAlign w:val="center"/>
          </w:tcPr>
          <w:p>
            <w:pPr>
              <w:pStyle w:val="19"/>
            </w:pPr>
            <w:r>
              <w:t>516.94</w:t>
            </w:r>
          </w:p>
        </w:tc>
        <w:tc>
          <w:tcPr>
            <w:tcW w:w="1361" w:type="dxa"/>
            <w:vAlign w:val="center"/>
          </w:tcPr>
          <w:p>
            <w:pPr>
              <w:pStyle w:val="19"/>
            </w:pPr>
            <w:r>
              <w:t>10.26</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205</w:t>
            </w:r>
          </w:p>
        </w:tc>
        <w:tc>
          <w:tcPr>
            <w:tcW w:w="4535" w:type="dxa"/>
            <w:vAlign w:val="center"/>
          </w:tcPr>
          <w:p>
            <w:pPr>
              <w:pStyle w:val="16"/>
            </w:pPr>
            <w:r>
              <w:t>教育支出</w:t>
            </w:r>
          </w:p>
        </w:tc>
        <w:tc>
          <w:tcPr>
            <w:tcW w:w="1361" w:type="dxa"/>
            <w:vAlign w:val="center"/>
          </w:tcPr>
          <w:p>
            <w:pPr>
              <w:pStyle w:val="15"/>
            </w:pPr>
            <w:r>
              <w:t>527.20</w:t>
            </w:r>
          </w:p>
        </w:tc>
        <w:tc>
          <w:tcPr>
            <w:tcW w:w="1361" w:type="dxa"/>
            <w:vAlign w:val="center"/>
          </w:tcPr>
          <w:p>
            <w:pPr>
              <w:pStyle w:val="15"/>
            </w:pPr>
            <w:r>
              <w:t>516.94</w:t>
            </w:r>
          </w:p>
        </w:tc>
        <w:tc>
          <w:tcPr>
            <w:tcW w:w="1361" w:type="dxa"/>
            <w:vAlign w:val="center"/>
          </w:tcPr>
          <w:p>
            <w:pPr>
              <w:pStyle w:val="15"/>
            </w:pPr>
            <w:r>
              <w:t>10.26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20508</w:t>
            </w:r>
          </w:p>
        </w:tc>
        <w:tc>
          <w:tcPr>
            <w:tcW w:w="4535" w:type="dxa"/>
            <w:vAlign w:val="center"/>
          </w:tcPr>
          <w:p>
            <w:pPr>
              <w:pStyle w:val="16"/>
            </w:pPr>
            <w:r>
              <w:t>进修及培训</w:t>
            </w:r>
          </w:p>
        </w:tc>
        <w:tc>
          <w:tcPr>
            <w:tcW w:w="1361" w:type="dxa"/>
            <w:vAlign w:val="center"/>
          </w:tcPr>
          <w:p>
            <w:pPr>
              <w:pStyle w:val="15"/>
            </w:pPr>
            <w:r>
              <w:t>527.20</w:t>
            </w:r>
          </w:p>
        </w:tc>
        <w:tc>
          <w:tcPr>
            <w:tcW w:w="1361" w:type="dxa"/>
            <w:vAlign w:val="center"/>
          </w:tcPr>
          <w:p>
            <w:pPr>
              <w:pStyle w:val="15"/>
            </w:pPr>
            <w:r>
              <w:t>516.94</w:t>
            </w:r>
          </w:p>
        </w:tc>
        <w:tc>
          <w:tcPr>
            <w:tcW w:w="1361" w:type="dxa"/>
            <w:vAlign w:val="center"/>
          </w:tcPr>
          <w:p>
            <w:pPr>
              <w:pStyle w:val="15"/>
            </w:pPr>
            <w:r>
              <w:t>10.26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2050802</w:t>
            </w:r>
          </w:p>
        </w:tc>
        <w:tc>
          <w:tcPr>
            <w:tcW w:w="4535" w:type="dxa"/>
            <w:vAlign w:val="center"/>
          </w:tcPr>
          <w:p>
            <w:pPr>
              <w:pStyle w:val="16"/>
            </w:pPr>
            <w:r>
              <w:t>干部教育</w:t>
            </w:r>
          </w:p>
        </w:tc>
        <w:tc>
          <w:tcPr>
            <w:tcW w:w="1361" w:type="dxa"/>
            <w:vAlign w:val="center"/>
          </w:tcPr>
          <w:p>
            <w:pPr>
              <w:pStyle w:val="15"/>
            </w:pPr>
            <w:r>
              <w:t>527.20</w:t>
            </w:r>
          </w:p>
        </w:tc>
        <w:tc>
          <w:tcPr>
            <w:tcW w:w="1361" w:type="dxa"/>
            <w:vAlign w:val="center"/>
          </w:tcPr>
          <w:p>
            <w:pPr>
              <w:pStyle w:val="15"/>
            </w:pPr>
            <w:r>
              <w:t>516.94</w:t>
            </w:r>
          </w:p>
        </w:tc>
        <w:tc>
          <w:tcPr>
            <w:tcW w:w="1361" w:type="dxa"/>
            <w:vAlign w:val="center"/>
          </w:tcPr>
          <w:p>
            <w:pPr>
              <w:pStyle w:val="15"/>
            </w:pPr>
            <w:r>
              <w:t>10.26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281001中国共产党石家庄市藁城区委员会党校本级</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527.20</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r>
              <w:t>527.20</w:t>
            </w:r>
          </w:p>
        </w:tc>
        <w:tc>
          <w:tcPr>
            <w:tcW w:w="1474" w:type="dxa"/>
            <w:vAlign w:val="center"/>
          </w:tcPr>
          <w:p>
            <w:pPr>
              <w:pStyle w:val="15"/>
            </w:pPr>
            <w:r>
              <w:t>527.20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527.20</w:t>
            </w:r>
          </w:p>
        </w:tc>
        <w:tc>
          <w:tcPr>
            <w:tcW w:w="3402" w:type="dxa"/>
            <w:vAlign w:val="center"/>
          </w:tcPr>
          <w:p>
            <w:pPr>
              <w:pStyle w:val="18"/>
            </w:pPr>
            <w:r>
              <w:t>本年支出合计</w:t>
            </w:r>
          </w:p>
        </w:tc>
        <w:tc>
          <w:tcPr>
            <w:tcW w:w="1474" w:type="dxa"/>
            <w:vAlign w:val="center"/>
          </w:tcPr>
          <w:p>
            <w:pPr>
              <w:pStyle w:val="19"/>
            </w:pPr>
            <w:r>
              <w:t>527.20</w:t>
            </w:r>
          </w:p>
        </w:tc>
        <w:tc>
          <w:tcPr>
            <w:tcW w:w="1474" w:type="dxa"/>
            <w:vAlign w:val="center"/>
          </w:tcPr>
          <w:p>
            <w:pPr>
              <w:pStyle w:val="19"/>
            </w:pPr>
            <w:r>
              <w:t>527.20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527.20</w:t>
            </w:r>
          </w:p>
        </w:tc>
        <w:tc>
          <w:tcPr>
            <w:tcW w:w="3402" w:type="dxa"/>
            <w:vAlign w:val="center"/>
          </w:tcPr>
          <w:p>
            <w:pPr>
              <w:pStyle w:val="18"/>
            </w:pPr>
            <w:r>
              <w:t>支出总计</w:t>
            </w:r>
          </w:p>
        </w:tc>
        <w:tc>
          <w:tcPr>
            <w:tcW w:w="1474" w:type="dxa"/>
            <w:vAlign w:val="center"/>
          </w:tcPr>
          <w:p>
            <w:pPr>
              <w:pStyle w:val="19"/>
            </w:pPr>
            <w:r>
              <w:t>527.20</w:t>
            </w:r>
          </w:p>
        </w:tc>
        <w:tc>
          <w:tcPr>
            <w:tcW w:w="1474" w:type="dxa"/>
            <w:vAlign w:val="center"/>
          </w:tcPr>
          <w:p>
            <w:pPr>
              <w:pStyle w:val="19"/>
            </w:pPr>
            <w:r>
              <w:t>527.20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281001中国共产党石家庄市藁城区委员会党校本级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527.20</w:t>
            </w:r>
          </w:p>
        </w:tc>
        <w:tc>
          <w:tcPr>
            <w:tcW w:w="2551" w:type="dxa"/>
            <w:vAlign w:val="center"/>
          </w:tcPr>
          <w:p>
            <w:pPr>
              <w:pStyle w:val="19"/>
            </w:pPr>
            <w:r>
              <w:t>516.94</w:t>
            </w:r>
          </w:p>
        </w:tc>
        <w:tc>
          <w:tcPr>
            <w:tcW w:w="2551" w:type="dxa"/>
            <w:vAlign w:val="center"/>
          </w:tcPr>
          <w:p>
            <w:pPr>
              <w:pStyle w:val="19"/>
            </w:pPr>
            <w:r>
              <w:t>10.26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205</w:t>
            </w:r>
          </w:p>
        </w:tc>
        <w:tc>
          <w:tcPr>
            <w:tcW w:w="4535" w:type="dxa"/>
            <w:vAlign w:val="center"/>
          </w:tcPr>
          <w:p>
            <w:pPr>
              <w:pStyle w:val="16"/>
            </w:pPr>
            <w:r>
              <w:t>教育支出</w:t>
            </w:r>
          </w:p>
        </w:tc>
        <w:tc>
          <w:tcPr>
            <w:tcW w:w="2551" w:type="dxa"/>
            <w:vAlign w:val="center"/>
          </w:tcPr>
          <w:p>
            <w:pPr>
              <w:pStyle w:val="15"/>
            </w:pPr>
            <w:r>
              <w:t>527.20</w:t>
            </w:r>
          </w:p>
        </w:tc>
        <w:tc>
          <w:tcPr>
            <w:tcW w:w="2551" w:type="dxa"/>
            <w:vAlign w:val="center"/>
          </w:tcPr>
          <w:p>
            <w:pPr>
              <w:pStyle w:val="15"/>
            </w:pPr>
            <w:r>
              <w:t>516.94</w:t>
            </w:r>
          </w:p>
        </w:tc>
        <w:tc>
          <w:tcPr>
            <w:tcW w:w="2551" w:type="dxa"/>
            <w:vAlign w:val="center"/>
          </w:tcPr>
          <w:p>
            <w:pPr>
              <w:pStyle w:val="15"/>
            </w:pPr>
            <w:r>
              <w:t>10.26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20508</w:t>
            </w:r>
          </w:p>
        </w:tc>
        <w:tc>
          <w:tcPr>
            <w:tcW w:w="4535" w:type="dxa"/>
            <w:vAlign w:val="center"/>
          </w:tcPr>
          <w:p>
            <w:pPr>
              <w:pStyle w:val="16"/>
            </w:pPr>
            <w:r>
              <w:t>进修及培训</w:t>
            </w:r>
          </w:p>
        </w:tc>
        <w:tc>
          <w:tcPr>
            <w:tcW w:w="2551" w:type="dxa"/>
            <w:vAlign w:val="center"/>
          </w:tcPr>
          <w:p>
            <w:pPr>
              <w:pStyle w:val="15"/>
            </w:pPr>
            <w:r>
              <w:t>527.20</w:t>
            </w:r>
          </w:p>
        </w:tc>
        <w:tc>
          <w:tcPr>
            <w:tcW w:w="2551" w:type="dxa"/>
            <w:vAlign w:val="center"/>
          </w:tcPr>
          <w:p>
            <w:pPr>
              <w:pStyle w:val="15"/>
            </w:pPr>
            <w:r>
              <w:t>516.94</w:t>
            </w:r>
          </w:p>
        </w:tc>
        <w:tc>
          <w:tcPr>
            <w:tcW w:w="2551" w:type="dxa"/>
            <w:vAlign w:val="center"/>
          </w:tcPr>
          <w:p>
            <w:pPr>
              <w:pStyle w:val="15"/>
            </w:pPr>
            <w:r>
              <w:t>10.26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2050802</w:t>
            </w:r>
          </w:p>
        </w:tc>
        <w:tc>
          <w:tcPr>
            <w:tcW w:w="4535" w:type="dxa"/>
            <w:vAlign w:val="center"/>
          </w:tcPr>
          <w:p>
            <w:pPr>
              <w:pStyle w:val="16"/>
            </w:pPr>
            <w:r>
              <w:t>干部教育</w:t>
            </w:r>
          </w:p>
        </w:tc>
        <w:tc>
          <w:tcPr>
            <w:tcW w:w="2551" w:type="dxa"/>
            <w:vAlign w:val="center"/>
          </w:tcPr>
          <w:p>
            <w:pPr>
              <w:pStyle w:val="15"/>
            </w:pPr>
            <w:r>
              <w:t>527.20</w:t>
            </w:r>
          </w:p>
        </w:tc>
        <w:tc>
          <w:tcPr>
            <w:tcW w:w="2551" w:type="dxa"/>
            <w:vAlign w:val="center"/>
          </w:tcPr>
          <w:p>
            <w:pPr>
              <w:pStyle w:val="15"/>
            </w:pPr>
            <w:r>
              <w:t>516.94</w:t>
            </w:r>
          </w:p>
        </w:tc>
        <w:tc>
          <w:tcPr>
            <w:tcW w:w="2551" w:type="dxa"/>
            <w:vAlign w:val="center"/>
          </w:tcPr>
          <w:p>
            <w:pPr>
              <w:pStyle w:val="15"/>
            </w:pPr>
            <w:r>
              <w:t>10.26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281001中国共产党石家庄市藁城区委员会党校本级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516.94</w:t>
            </w:r>
          </w:p>
        </w:tc>
        <w:tc>
          <w:tcPr>
            <w:tcW w:w="2551" w:type="dxa"/>
            <w:vAlign w:val="center"/>
          </w:tcPr>
          <w:p>
            <w:pPr>
              <w:pStyle w:val="19"/>
            </w:pPr>
            <w:r>
              <w:t>478.22</w:t>
            </w:r>
          </w:p>
        </w:tc>
        <w:tc>
          <w:tcPr>
            <w:tcW w:w="2551" w:type="dxa"/>
            <w:vAlign w:val="center"/>
          </w:tcPr>
          <w:p>
            <w:pPr>
              <w:pStyle w:val="19"/>
            </w:pPr>
            <w:r>
              <w:t>38.73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478.22</w:t>
            </w:r>
          </w:p>
        </w:tc>
        <w:tc>
          <w:tcPr>
            <w:tcW w:w="2551" w:type="dxa"/>
            <w:vAlign w:val="center"/>
          </w:tcPr>
          <w:p>
            <w:pPr>
              <w:pStyle w:val="15"/>
            </w:pPr>
            <w:r>
              <w:t>478.22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126.81</w:t>
            </w:r>
          </w:p>
        </w:tc>
        <w:tc>
          <w:tcPr>
            <w:tcW w:w="2551" w:type="dxa"/>
            <w:vAlign w:val="center"/>
          </w:tcPr>
          <w:p>
            <w:pPr>
              <w:pStyle w:val="15"/>
            </w:pPr>
            <w:r>
              <w:t>126.81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136.96</w:t>
            </w:r>
          </w:p>
        </w:tc>
        <w:tc>
          <w:tcPr>
            <w:tcW w:w="2551" w:type="dxa"/>
            <w:vAlign w:val="center"/>
          </w:tcPr>
          <w:p>
            <w:pPr>
              <w:pStyle w:val="15"/>
            </w:pPr>
            <w:r>
              <w:t>136.96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2.89</w:t>
            </w:r>
          </w:p>
        </w:tc>
        <w:tc>
          <w:tcPr>
            <w:tcW w:w="2551" w:type="dxa"/>
            <w:vAlign w:val="center"/>
          </w:tcPr>
          <w:p>
            <w:pPr>
              <w:pStyle w:val="15"/>
            </w:pPr>
            <w:r>
              <w:t>2.89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57.51</w:t>
            </w:r>
          </w:p>
        </w:tc>
        <w:tc>
          <w:tcPr>
            <w:tcW w:w="2551" w:type="dxa"/>
            <w:vAlign w:val="center"/>
          </w:tcPr>
          <w:p>
            <w:pPr>
              <w:pStyle w:val="15"/>
            </w:pPr>
            <w:r>
              <w:t>57.51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42.91</w:t>
            </w:r>
          </w:p>
        </w:tc>
        <w:tc>
          <w:tcPr>
            <w:tcW w:w="2551" w:type="dxa"/>
            <w:vAlign w:val="center"/>
          </w:tcPr>
          <w:p>
            <w:pPr>
              <w:pStyle w:val="15"/>
            </w:pPr>
            <w:r>
              <w:t>42.91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22.53</w:t>
            </w:r>
          </w:p>
        </w:tc>
        <w:tc>
          <w:tcPr>
            <w:tcW w:w="2551" w:type="dxa"/>
            <w:vAlign w:val="center"/>
          </w:tcPr>
          <w:p>
            <w:pPr>
              <w:pStyle w:val="15"/>
            </w:pPr>
            <w:r>
              <w:t>22.53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pPr>
            <w:r>
              <w:t>17.43</w:t>
            </w:r>
          </w:p>
        </w:tc>
        <w:tc>
          <w:tcPr>
            <w:tcW w:w="2551" w:type="dxa"/>
            <w:vAlign w:val="center"/>
          </w:tcPr>
          <w:p>
            <w:pPr>
              <w:pStyle w:val="15"/>
            </w:pPr>
            <w:r>
              <w:t>17.43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35.62</w:t>
            </w:r>
          </w:p>
        </w:tc>
        <w:tc>
          <w:tcPr>
            <w:tcW w:w="2551" w:type="dxa"/>
            <w:vAlign w:val="center"/>
          </w:tcPr>
          <w:p>
            <w:pPr>
              <w:pStyle w:val="15"/>
            </w:pPr>
            <w:r>
              <w:t>35.62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35.56</w:t>
            </w:r>
          </w:p>
        </w:tc>
        <w:tc>
          <w:tcPr>
            <w:tcW w:w="2551" w:type="dxa"/>
            <w:vAlign w:val="center"/>
          </w:tcPr>
          <w:p>
            <w:pPr>
              <w:pStyle w:val="15"/>
            </w:pPr>
            <w:r>
              <w:t>35.56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38.73</w:t>
            </w:r>
          </w:p>
        </w:tc>
        <w:tc>
          <w:tcPr>
            <w:tcW w:w="2551" w:type="dxa"/>
            <w:vAlign w:val="center"/>
          </w:tcPr>
          <w:p>
            <w:pPr>
              <w:pStyle w:val="15"/>
            </w:pPr>
          </w:p>
        </w:tc>
        <w:tc>
          <w:tcPr>
            <w:tcW w:w="2551" w:type="dxa"/>
            <w:vAlign w:val="center"/>
          </w:tcPr>
          <w:p>
            <w:pPr>
              <w:pStyle w:val="15"/>
            </w:pPr>
            <w:r>
              <w:t>38.73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10.80</w:t>
            </w:r>
          </w:p>
        </w:tc>
        <w:tc>
          <w:tcPr>
            <w:tcW w:w="2551" w:type="dxa"/>
            <w:vAlign w:val="center"/>
          </w:tcPr>
          <w:p>
            <w:pPr>
              <w:pStyle w:val="15"/>
            </w:pPr>
          </w:p>
        </w:tc>
        <w:tc>
          <w:tcPr>
            <w:tcW w:w="2551" w:type="dxa"/>
            <w:vAlign w:val="center"/>
          </w:tcPr>
          <w:p>
            <w:pPr>
              <w:pStyle w:val="15"/>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4.38</w:t>
            </w:r>
          </w:p>
        </w:tc>
        <w:tc>
          <w:tcPr>
            <w:tcW w:w="2551" w:type="dxa"/>
            <w:vAlign w:val="center"/>
          </w:tcPr>
          <w:p>
            <w:pPr>
              <w:pStyle w:val="15"/>
            </w:pPr>
          </w:p>
        </w:tc>
        <w:tc>
          <w:tcPr>
            <w:tcW w:w="2551" w:type="dxa"/>
            <w:vAlign w:val="center"/>
          </w:tcPr>
          <w:p>
            <w:pPr>
              <w:pStyle w:val="15"/>
            </w:pPr>
            <w:r>
              <w:t>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2.54</w:t>
            </w:r>
          </w:p>
        </w:tc>
        <w:tc>
          <w:tcPr>
            <w:tcW w:w="2551" w:type="dxa"/>
            <w:vAlign w:val="center"/>
          </w:tcPr>
          <w:p>
            <w:pPr>
              <w:pStyle w:val="15"/>
            </w:pPr>
          </w:p>
        </w:tc>
        <w:tc>
          <w:tcPr>
            <w:tcW w:w="2551" w:type="dxa"/>
            <w:vAlign w:val="center"/>
          </w:tcPr>
          <w:p>
            <w:pPr>
              <w:pStyle w:val="15"/>
            </w:pPr>
            <w:r>
              <w:t>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3.17</w:t>
            </w:r>
          </w:p>
        </w:tc>
        <w:tc>
          <w:tcPr>
            <w:tcW w:w="2551" w:type="dxa"/>
            <w:vAlign w:val="center"/>
          </w:tcPr>
          <w:p>
            <w:pPr>
              <w:pStyle w:val="15"/>
            </w:pPr>
          </w:p>
        </w:tc>
        <w:tc>
          <w:tcPr>
            <w:tcW w:w="2551" w:type="dxa"/>
            <w:vAlign w:val="center"/>
          </w:tcPr>
          <w:p>
            <w:pPr>
              <w:pStyle w:val="15"/>
            </w:pPr>
            <w:r>
              <w:t>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15.30</w:t>
            </w:r>
          </w:p>
        </w:tc>
        <w:tc>
          <w:tcPr>
            <w:tcW w:w="2551" w:type="dxa"/>
            <w:vAlign w:val="center"/>
          </w:tcPr>
          <w:p>
            <w:pPr>
              <w:pStyle w:val="15"/>
            </w:pPr>
          </w:p>
        </w:tc>
        <w:tc>
          <w:tcPr>
            <w:tcW w:w="2551" w:type="dxa"/>
            <w:vAlign w:val="center"/>
          </w:tcPr>
          <w:p>
            <w:pPr>
              <w:pStyle w:val="15"/>
            </w:pPr>
            <w:r>
              <w:t>15.30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2.54</w:t>
            </w:r>
          </w:p>
        </w:tc>
        <w:tc>
          <w:tcPr>
            <w:tcW w:w="2551" w:type="dxa"/>
            <w:vAlign w:val="center"/>
          </w:tcPr>
          <w:p>
            <w:pPr>
              <w:pStyle w:val="15"/>
            </w:pPr>
          </w:p>
        </w:tc>
        <w:tc>
          <w:tcPr>
            <w:tcW w:w="2551" w:type="dxa"/>
            <w:vAlign w:val="center"/>
          </w:tcPr>
          <w:p>
            <w:pPr>
              <w:pStyle w:val="15"/>
            </w:pPr>
            <w:r>
              <w:t>2.54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281001中国共产党石家庄市藁城区委员会党校本级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281001中国共产党石家庄市藁城区委员会党校本级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281001中国共产党石家庄市藁城区委员会党校本级</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中国共产党石家庄市藁城区委员会党校本级2022年单位预算信息公开情况说明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按照《预算法》、《地方预决算公开操作规程》和《关于进一步推进预算公开工作的实施意见》规定，现将中国共产党石家庄市藁城区委员会党校本级2022年单位预算公开如下：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1"/>
      </w:pPr>
      <w:r>
        <w:t>一是做好党员干部培训。通过不断提高教学水平、完善教学设施、优化教学部局、丰富教学手段，按照实事求是、与时俱进、艰苦奋斗、执政为民的要求，培养忠诚于中国特色社会主义事业、德才兼备的党员领导干部和理论干部，有效提高干部的政策理论水平、思想觉悟和执政能力。</w:t>
      </w:r>
    </w:p>
    <w:p>
      <w:pPr>
        <w:pStyle w:val="21"/>
      </w:pPr>
      <w:r>
        <w:t>二是做好理论科研与政策咨询。通过对党的中心任务、重大战略部署及相关重大现实理论问题开展调查研究，组织撰写科研文章，为区委决策提供参考依据；通过对党的路线方针政策的宣传和对重大理论问题的分析解读，使党员领导干部和群众掌握马克思主义的立场、观点、方法，坚定理想信念，始终和党中央保持一致。</w:t>
      </w:r>
    </w:p>
    <w:p>
      <w:pPr>
        <w:pStyle w:val="21"/>
      </w:pPr>
      <w:r>
        <w:t>三是做好行政后勤保障。通过有效的行政后勤管理，强化学校基础设施建设及教学科研设备配套达标，完善教学设施和服务网络，提高保障水平，促进教学科研活动和学员培训水平的提高。</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中国共产党石家庄市藁城区委员会党校本级</w:t>
            </w:r>
          </w:p>
        </w:tc>
        <w:tc>
          <w:tcPr>
            <w:tcW w:w="1843" w:type="dxa"/>
            <w:vAlign w:val="center"/>
          </w:tcPr>
          <w:p>
            <w:pPr>
              <w:pStyle w:val="17"/>
            </w:pPr>
            <w:r>
              <w:t>事业</w:t>
            </w:r>
          </w:p>
        </w:tc>
        <w:tc>
          <w:tcPr>
            <w:tcW w:w="2126" w:type="dxa"/>
            <w:vAlign w:val="center"/>
          </w:tcPr>
          <w:p>
            <w:pPr>
              <w:pStyle w:val="17"/>
            </w:pPr>
            <w:r>
              <w:t>正科级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numPr>
          <w:ilvl w:val="0"/>
          <w:numId w:val="0"/>
        </w:numPr>
        <w:spacing w:line="460" w:lineRule="exact"/>
        <w:ind w:firstLine="640" w:firstLineChars="200"/>
        <w:rPr>
          <w:rFonts w:ascii="Times New Roman" w:hAnsi="Times New Roman" w:eastAsia="仿宋" w:cs="Times New Roman"/>
          <w:sz w:val="32"/>
          <w:szCs w:val="32"/>
        </w:rPr>
      </w:pPr>
      <w:r>
        <w:rPr>
          <w:rFonts w:hint="eastAsia" w:eastAsia="仿宋" w:cs="Times New Roman"/>
          <w:sz w:val="32"/>
          <w:szCs w:val="32"/>
          <w:lang w:val="en-US" w:eastAsia="zh-CN"/>
        </w:rPr>
        <w:t>1.</w:t>
      </w:r>
      <w:r>
        <w:rPr>
          <w:rFonts w:ascii="Times New Roman" w:hAnsi="Times New Roman" w:eastAsia="仿宋" w:cs="Times New Roman"/>
          <w:sz w:val="32"/>
          <w:szCs w:val="32"/>
        </w:rPr>
        <w:t>收入说明</w:t>
      </w:r>
    </w:p>
    <w:p>
      <w:pPr>
        <w:numPr>
          <w:ilvl w:val="0"/>
          <w:numId w:val="0"/>
        </w:numPr>
        <w:spacing w:line="46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反映本</w:t>
      </w:r>
      <w:r>
        <w:rPr>
          <w:rFonts w:hint="eastAsia" w:eastAsia="仿宋" w:cs="Times New Roman"/>
          <w:sz w:val="32"/>
          <w:szCs w:val="32"/>
          <w:lang w:eastAsia="zh-CN"/>
        </w:rPr>
        <w:t>单位</w:t>
      </w:r>
      <w:r>
        <w:rPr>
          <w:rFonts w:hint="eastAsia" w:ascii="Times New Roman" w:hAnsi="Times New Roman" w:eastAsia="仿宋" w:cs="Times New Roman"/>
          <w:sz w:val="32"/>
          <w:szCs w:val="32"/>
        </w:rPr>
        <w:t>当年全部收入。2022年预算收入</w:t>
      </w:r>
      <w:r>
        <w:rPr>
          <w:rFonts w:hint="eastAsia" w:eastAsia="仿宋" w:cs="Times New Roman"/>
          <w:sz w:val="32"/>
          <w:szCs w:val="32"/>
          <w:lang w:val="en-US" w:eastAsia="zh-CN"/>
        </w:rPr>
        <w:t>527.2</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527.2</w:t>
      </w:r>
      <w:r>
        <w:rPr>
          <w:rFonts w:hint="eastAsia" w:ascii="Times New Roman" w:hAnsi="Times New Roman" w:eastAsia="仿宋" w:cs="Times New Roman"/>
          <w:sz w:val="32"/>
          <w:szCs w:val="32"/>
        </w:rPr>
        <w:t>万元，基金预算收入0万元，财政专户核拨收入0万元，其他来源收入0万元。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hint="eastAsia" w:eastAsia="仿宋" w:cs="Times New Roman"/>
          <w:sz w:val="32"/>
          <w:szCs w:val="32"/>
          <w:lang w:val="en-US" w:eastAsia="zh-CN"/>
        </w:rPr>
        <w:t>.</w:t>
      </w:r>
      <w:r>
        <w:rPr>
          <w:rFonts w:ascii="Times New Roman" w:hAnsi="Times New Roman" w:eastAsia="仿宋" w:cs="Times New Roman"/>
          <w:sz w:val="32"/>
          <w:szCs w:val="32"/>
        </w:rPr>
        <w:t>支出说明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w:t>
      </w:r>
      <w:r>
        <w:rPr>
          <w:rFonts w:hint="eastAsia" w:eastAsia="仿宋" w:cs="Times New Roman"/>
          <w:sz w:val="32"/>
          <w:szCs w:val="32"/>
          <w:lang w:eastAsia="zh-CN"/>
        </w:rPr>
        <w:t>单位</w:t>
      </w:r>
      <w:r>
        <w:rPr>
          <w:rFonts w:hint="eastAsia" w:ascii="Times New Roman" w:hAnsi="Times New Roman" w:eastAsia="仿宋" w:cs="Times New Roman"/>
          <w:sz w:val="32"/>
          <w:szCs w:val="32"/>
        </w:rPr>
        <w:t>预算中支出预算的总体情况。2022年</w:t>
      </w:r>
      <w:r>
        <w:rPr>
          <w:rFonts w:hint="eastAsia" w:eastAsia="仿宋" w:cs="Times New Roman"/>
          <w:sz w:val="32"/>
          <w:szCs w:val="32"/>
          <w:lang w:eastAsia="zh-CN"/>
        </w:rPr>
        <w:t>单位</w:t>
      </w:r>
      <w:r>
        <w:rPr>
          <w:rFonts w:hint="eastAsia" w:ascii="Times New Roman" w:hAnsi="Times New Roman" w:eastAsia="仿宋" w:cs="Times New Roman"/>
          <w:sz w:val="32"/>
          <w:szCs w:val="32"/>
        </w:rPr>
        <w:t>支出预算为</w:t>
      </w:r>
      <w:r>
        <w:rPr>
          <w:rFonts w:hint="eastAsia" w:eastAsia="仿宋" w:cs="Times New Roman"/>
          <w:sz w:val="32"/>
          <w:szCs w:val="32"/>
          <w:lang w:val="en-US" w:eastAsia="zh-CN"/>
        </w:rPr>
        <w:t>527.2</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516.94</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478.22</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38.73</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10.26</w:t>
      </w:r>
      <w:r>
        <w:rPr>
          <w:rFonts w:hint="eastAsia" w:ascii="Times New Roman" w:hAnsi="Times New Roman" w:eastAsia="仿宋" w:cs="Times New Roman"/>
          <w:sz w:val="32"/>
          <w:szCs w:val="32"/>
        </w:rPr>
        <w:t>万元，主要为</w:t>
      </w:r>
      <w:r>
        <w:rPr>
          <w:rFonts w:hint="eastAsia" w:eastAsia="仿宋" w:cs="Times New Roman"/>
          <w:sz w:val="32"/>
          <w:szCs w:val="32"/>
          <w:lang w:eastAsia="zh-CN"/>
        </w:rPr>
        <w:t>办公场地维护费</w:t>
      </w:r>
      <w:r>
        <w:rPr>
          <w:rFonts w:hint="eastAsia" w:eastAsia="仿宋" w:cs="Times New Roman"/>
          <w:sz w:val="32"/>
          <w:szCs w:val="32"/>
          <w:lang w:val="en-US" w:eastAsia="zh-CN"/>
        </w:rPr>
        <w:t>5.26</w:t>
      </w:r>
      <w:r>
        <w:rPr>
          <w:rFonts w:hint="eastAsia" w:ascii="Times New Roman" w:hAnsi="Times New Roman" w:eastAsia="仿宋" w:cs="Times New Roman"/>
          <w:sz w:val="32"/>
          <w:szCs w:val="32"/>
        </w:rPr>
        <w:t>万元，</w:t>
      </w:r>
      <w:r>
        <w:rPr>
          <w:rFonts w:hint="eastAsia" w:eastAsia="仿宋" w:cs="Times New Roman"/>
          <w:sz w:val="32"/>
          <w:szCs w:val="32"/>
          <w:lang w:eastAsia="zh-CN"/>
        </w:rPr>
        <w:t>教师进修科研费</w:t>
      </w:r>
      <w:r>
        <w:rPr>
          <w:rFonts w:hint="eastAsia" w:eastAsia="仿宋" w:cs="Times New Roman"/>
          <w:sz w:val="32"/>
          <w:szCs w:val="32"/>
          <w:lang w:val="en-US" w:eastAsia="zh-CN"/>
        </w:rPr>
        <w:t>5</w:t>
      </w:r>
      <w:r>
        <w:rPr>
          <w:rFonts w:hint="eastAsia" w:ascii="Times New Roman" w:hAnsi="Times New Roman" w:eastAsia="仿宋" w:cs="Times New Roman"/>
          <w:sz w:val="32"/>
          <w:szCs w:val="32"/>
        </w:rPr>
        <w:t>万元；其他支出0万元。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hint="eastAsia" w:eastAsia="仿宋" w:cs="Times New Roman"/>
          <w:sz w:val="32"/>
          <w:szCs w:val="32"/>
          <w:lang w:val="en-US" w:eastAsia="zh-CN"/>
        </w:rPr>
        <w:t>.</w:t>
      </w:r>
      <w:r>
        <w:rPr>
          <w:rFonts w:ascii="Times New Roman" w:hAnsi="Times New Roman" w:eastAsia="仿宋" w:cs="Times New Roman"/>
          <w:sz w:val="32"/>
          <w:szCs w:val="32"/>
        </w:rPr>
        <w:t>比上年增减情况</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2022年</w:t>
      </w:r>
      <w:r>
        <w:rPr>
          <w:rFonts w:hint="eastAsia" w:eastAsia="仿宋" w:cs="Times New Roman"/>
          <w:color w:val="000000"/>
          <w:sz w:val="32"/>
          <w:szCs w:val="32"/>
          <w:lang w:eastAsia="zh-CN"/>
        </w:rPr>
        <w:t>单位</w:t>
      </w:r>
      <w:r>
        <w:rPr>
          <w:rFonts w:hint="eastAsia" w:ascii="Times New Roman" w:hAnsi="Times New Roman" w:eastAsia="仿宋" w:cs="Times New Roman"/>
          <w:color w:val="000000"/>
          <w:sz w:val="32"/>
          <w:szCs w:val="32"/>
        </w:rPr>
        <w:t>预算收支安排</w:t>
      </w:r>
      <w:r>
        <w:rPr>
          <w:rFonts w:hint="eastAsia" w:eastAsia="仿宋" w:cs="Times New Roman"/>
          <w:sz w:val="32"/>
          <w:szCs w:val="32"/>
          <w:lang w:val="en-US" w:eastAsia="zh-CN"/>
        </w:rPr>
        <w:t>527.2</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101.08</w:t>
      </w:r>
      <w:r>
        <w:rPr>
          <w:rFonts w:hint="eastAsia" w:ascii="Times New Roman" w:hAnsi="Times New Roman" w:eastAsia="仿宋" w:cs="Times New Roman"/>
          <w:sz w:val="32"/>
          <w:szCs w:val="32"/>
        </w:rPr>
        <w:t>万元，其中：基本支出</w:t>
      </w:r>
      <w:r>
        <w:rPr>
          <w:rFonts w:hint="eastAsia" w:eastAsia="仿宋" w:cs="Times New Roman"/>
          <w:sz w:val="32"/>
          <w:szCs w:val="32"/>
          <w:lang w:eastAsia="zh-CN"/>
        </w:rPr>
        <w:t>增加</w:t>
      </w:r>
      <w:r>
        <w:rPr>
          <w:rFonts w:hint="eastAsia" w:eastAsia="仿宋" w:cs="Times New Roman"/>
          <w:sz w:val="32"/>
          <w:szCs w:val="32"/>
          <w:lang w:val="en-US" w:eastAsia="zh-CN"/>
        </w:rPr>
        <w:t>92.94</w:t>
      </w:r>
      <w:r>
        <w:rPr>
          <w:rFonts w:hint="eastAsia" w:ascii="Times New Roman" w:hAnsi="Times New Roman" w:eastAsia="仿宋" w:cs="Times New Roman"/>
          <w:sz w:val="32"/>
          <w:szCs w:val="32"/>
        </w:rPr>
        <w:t>万元，</w:t>
      </w:r>
      <w:r>
        <w:rPr>
          <w:rFonts w:hint="eastAsia" w:eastAsia="仿宋" w:cs="Times New Roman"/>
          <w:sz w:val="32"/>
          <w:szCs w:val="32"/>
          <w:lang w:eastAsia="zh-CN"/>
        </w:rPr>
        <w:t>日常公用增加</w:t>
      </w:r>
      <w:r>
        <w:rPr>
          <w:rFonts w:hint="eastAsia" w:eastAsia="仿宋" w:cs="Times New Roman"/>
          <w:sz w:val="32"/>
          <w:szCs w:val="32"/>
          <w:lang w:val="en-US" w:eastAsia="zh-CN"/>
        </w:rPr>
        <w:t>3.15万元，</w:t>
      </w:r>
      <w:r>
        <w:rPr>
          <w:rFonts w:hint="eastAsia" w:ascii="Times New Roman" w:hAnsi="Times New Roman" w:eastAsia="仿宋" w:cs="Times New Roman"/>
          <w:sz w:val="32"/>
          <w:szCs w:val="32"/>
        </w:rPr>
        <w:t>主要是人员</w:t>
      </w:r>
      <w:r>
        <w:rPr>
          <w:rFonts w:hint="eastAsia" w:eastAsia="仿宋" w:cs="Times New Roman"/>
          <w:sz w:val="32"/>
          <w:szCs w:val="32"/>
          <w:lang w:eastAsia="zh-CN"/>
        </w:rPr>
        <w:t>增加</w:t>
      </w:r>
      <w:r>
        <w:rPr>
          <w:rFonts w:hint="eastAsia" w:ascii="Times New Roman" w:hAnsi="Times New Roman" w:eastAsia="仿宋" w:cs="Times New Roman"/>
          <w:sz w:val="32"/>
          <w:szCs w:val="32"/>
        </w:rPr>
        <w:t>，相应</w:t>
      </w:r>
      <w:r>
        <w:rPr>
          <w:rFonts w:hint="eastAsia"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人员经费和日常公用经费；项目支出增加</w:t>
      </w:r>
      <w:r>
        <w:rPr>
          <w:rFonts w:hint="eastAsia" w:eastAsia="仿宋" w:cs="Times New Roman"/>
          <w:sz w:val="32"/>
          <w:szCs w:val="32"/>
          <w:lang w:val="en-US" w:eastAsia="zh-CN"/>
        </w:rPr>
        <w:t>5</w:t>
      </w:r>
      <w:r>
        <w:rPr>
          <w:rFonts w:hint="eastAsia" w:ascii="Times New Roman" w:hAnsi="Times New Roman" w:eastAsia="仿宋" w:cs="Times New Roman"/>
          <w:sz w:val="32"/>
          <w:szCs w:val="32"/>
        </w:rPr>
        <w:t>万元，主要是增加</w:t>
      </w:r>
      <w:r>
        <w:rPr>
          <w:rFonts w:hint="eastAsia" w:eastAsia="仿宋" w:cs="Times New Roman"/>
          <w:sz w:val="32"/>
          <w:szCs w:val="32"/>
          <w:lang w:eastAsia="zh-CN"/>
        </w:rPr>
        <w:t>教师进修科研</w:t>
      </w:r>
      <w:r>
        <w:rPr>
          <w:rFonts w:hint="eastAsia" w:ascii="Times New Roman" w:hAnsi="Times New Roman" w:eastAsia="仿宋" w:cs="Times New Roman"/>
          <w:sz w:val="32"/>
          <w:szCs w:val="32"/>
        </w:rPr>
        <w:t>资金；其他支出无增减变化。</w:t>
      </w:r>
    </w:p>
    <w:p>
      <w:pPr>
        <w:pStyle w:val="34"/>
      </w:pPr>
    </w:p>
    <w:p>
      <w:pPr>
        <w:spacing w:before="10" w:after="10" w:line="240" w:lineRule="auto"/>
        <w:ind w:firstLine="640"/>
        <w:jc w:val="left"/>
        <w:outlineLvl w:val="5"/>
      </w:pPr>
      <w:r>
        <w:rPr>
          <w:rFonts w:ascii="黑体" w:hAnsi="黑体" w:eastAsia="黑体" w:cs="黑体"/>
          <w:color w:val="000000"/>
          <w:sz w:val="32"/>
        </w:rPr>
        <w:t>三、机关运行经费安排情况</w:t>
      </w:r>
    </w:p>
    <w:p>
      <w:pPr>
        <w:autoSpaceDE w:val="0"/>
        <w:autoSpaceDN w:val="0"/>
        <w:adjustRightInd w:val="0"/>
        <w:ind w:left="198" w:firstLine="640" w:firstLineChars="200"/>
        <w:jc w:val="left"/>
        <w:rPr>
          <w:rFonts w:hint="eastAsia" w:ascii="Times New Roman" w:hAnsi="Times New Roman" w:eastAsia="仿宋" w:cs="Times New Roman"/>
          <w:color w:val="000000"/>
          <w:sz w:val="32"/>
          <w:szCs w:val="32"/>
          <w:lang w:eastAsia="zh-CN"/>
        </w:rPr>
      </w:pPr>
      <w:r>
        <w:rPr>
          <w:rFonts w:hint="eastAsia" w:ascii="Times New Roman" w:hAnsi="Times New Roman" w:eastAsia="仿宋" w:cs="Times New Roman"/>
          <w:sz w:val="32"/>
          <w:szCs w:val="32"/>
        </w:rPr>
        <w:t>2022年，我</w:t>
      </w:r>
      <w:r>
        <w:rPr>
          <w:rFonts w:hint="eastAsia" w:eastAsia="仿宋" w:cs="Times New Roman"/>
          <w:sz w:val="32"/>
          <w:szCs w:val="32"/>
          <w:lang w:eastAsia="zh-CN"/>
        </w:rPr>
        <w:t>单位</w:t>
      </w:r>
      <w:r>
        <w:rPr>
          <w:rFonts w:hint="eastAsia" w:ascii="Times New Roman" w:hAnsi="Times New Roman" w:eastAsia="仿宋" w:cs="Times New Roman"/>
          <w:sz w:val="32"/>
          <w:szCs w:val="32"/>
        </w:rPr>
        <w:t>机关运行经费共计安排</w:t>
      </w:r>
      <w:r>
        <w:rPr>
          <w:rFonts w:hint="eastAsia" w:eastAsia="仿宋" w:cs="Times New Roman"/>
          <w:sz w:val="32"/>
          <w:szCs w:val="32"/>
          <w:lang w:val="en-US" w:eastAsia="zh-CN"/>
        </w:rPr>
        <w:t>38.73</w:t>
      </w:r>
      <w:r>
        <w:rPr>
          <w:rFonts w:hint="eastAsia" w:ascii="Times New Roman" w:hAnsi="Times New Roman" w:eastAsia="仿宋" w:cs="Times New Roman"/>
          <w:sz w:val="32"/>
          <w:szCs w:val="32"/>
        </w:rPr>
        <w:t>万元，主要用于保证机关正常运转的办公及印刷费、</w:t>
      </w:r>
      <w:r>
        <w:rPr>
          <w:rFonts w:hint="eastAsia" w:ascii="Times New Roman" w:hAnsi="Times New Roman" w:eastAsia="仿宋" w:cs="Times New Roman"/>
          <w:color w:val="000000"/>
          <w:sz w:val="32"/>
          <w:szCs w:val="32"/>
          <w:lang w:eastAsia="zh-CN"/>
        </w:rPr>
        <w:t>邮电费、</w:t>
      </w:r>
      <w:r>
        <w:rPr>
          <w:rFonts w:hint="eastAsia" w:ascii="Times New Roman" w:hAnsi="Times New Roman" w:eastAsia="仿宋" w:cs="Times New Roman"/>
          <w:color w:val="000000"/>
          <w:sz w:val="32"/>
          <w:szCs w:val="32"/>
        </w:rPr>
        <w:t>公务交通补贴、工会经费、福利费等支出</w:t>
      </w:r>
      <w:r>
        <w:rPr>
          <w:rFonts w:hint="eastAsia" w:ascii="Times New Roman" w:hAnsi="Times New Roman" w:eastAsia="仿宋" w:cs="Times New Roman"/>
          <w:color w:val="000000"/>
          <w:sz w:val="32"/>
          <w:szCs w:val="32"/>
          <w:lang w:eastAsia="zh-CN"/>
        </w:rPr>
        <w:t>。</w:t>
      </w:r>
    </w:p>
    <w:p>
      <w:pPr>
        <w:autoSpaceDE w:val="0"/>
        <w:autoSpaceDN w:val="0"/>
        <w:adjustRightInd w:val="0"/>
        <w:ind w:left="198" w:firstLine="640" w:firstLineChars="200"/>
        <w:jc w:val="left"/>
        <w:rPr>
          <w:rFonts w:hint="eastAsia" w:ascii="Times New Roman" w:hAnsi="Times New Roman" w:eastAsia="仿宋" w:cs="Times New Roman"/>
          <w:color w:val="000000"/>
          <w:sz w:val="32"/>
          <w:szCs w:val="32"/>
          <w:lang w:eastAsia="zh-CN"/>
        </w:rPr>
      </w:pPr>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p>
    <w:p>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w:t>
      </w:r>
      <w:r>
        <w:rPr>
          <w:rFonts w:hint="eastAsia" w:eastAsia="仿宋" w:cs="Times New Roman"/>
          <w:sz w:val="32"/>
          <w:szCs w:val="32"/>
          <w:lang w:eastAsia="zh-CN"/>
        </w:rPr>
        <w:t>单位</w:t>
      </w:r>
      <w:r>
        <w:rPr>
          <w:rFonts w:hint="eastAsia" w:ascii="Times New Roman" w:hAnsi="Times New Roman" w:eastAsia="仿宋" w:cs="Times New Roman"/>
          <w:sz w:val="32"/>
          <w:szCs w:val="32"/>
        </w:rPr>
        <w:t>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pStyle w:val="36"/>
        <w:ind w:left="0" w:leftChars="0" w:firstLine="0" w:firstLineChars="0"/>
      </w:pPr>
    </w:p>
    <w:p>
      <w:pPr>
        <w:spacing w:before="10" w:after="10" w:line="240" w:lineRule="auto"/>
        <w:ind w:firstLine="640"/>
        <w:jc w:val="left"/>
        <w:outlineLvl w:val="5"/>
      </w:pPr>
      <w:r>
        <w:rPr>
          <w:rFonts w:ascii="黑体" w:hAnsi="黑体" w:eastAsia="黑体" w:cs="黑体"/>
          <w:color w:val="000000"/>
          <w:sz w:val="32"/>
        </w:rPr>
        <w:t>五、预算绩效信息</w:t>
      </w:r>
    </w:p>
    <w:p>
      <w:pPr>
        <w:pStyle w:val="28"/>
        <w:spacing w:before="0" w:after="0"/>
        <w:ind w:firstLine="560"/>
        <w:jc w:val="left"/>
        <w:outlineLvl w:val="9"/>
      </w:pPr>
      <w:r>
        <w:rPr>
          <w:rFonts w:ascii="方正仿宋_GBK" w:hAnsi="方正仿宋_GBK" w:eastAsia="方正仿宋_GBK" w:cs="方正仿宋_GBK"/>
          <w:b/>
          <w:color w:val="000000"/>
          <w:sz w:val="28"/>
        </w:rPr>
        <w:t>1、办公场地维护费绩效目标表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1.保证党校安保、校舍维护、卫生保洁、食宿设施建设等事项正常运行。</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质量指标</w:t>
            </w:r>
          </w:p>
        </w:tc>
        <w:tc>
          <w:tcPr>
            <w:tcW w:w="2835" w:type="dxa"/>
            <w:vAlign w:val="center"/>
          </w:tcPr>
          <w:p>
            <w:pPr>
              <w:pStyle w:val="30"/>
            </w:pPr>
            <w:r>
              <w:t>安保、卫生保洁、食宿和校舍等设施建设</w:t>
            </w:r>
          </w:p>
        </w:tc>
        <w:tc>
          <w:tcPr>
            <w:tcW w:w="2835" w:type="dxa"/>
            <w:vAlign w:val="center"/>
          </w:tcPr>
          <w:p>
            <w:pPr>
              <w:pStyle w:val="30"/>
            </w:pPr>
            <w:r>
              <w:t>安保、卫生保洁、食宿和校舍等设施建设达标率</w:t>
            </w:r>
          </w:p>
        </w:tc>
        <w:tc>
          <w:tcPr>
            <w:tcW w:w="2551" w:type="dxa"/>
            <w:vAlign w:val="center"/>
          </w:tcPr>
          <w:p>
            <w:pPr>
              <w:pStyle w:val="30"/>
            </w:pPr>
            <w:r>
              <w:t>≥90百分比</w:t>
            </w:r>
          </w:p>
        </w:tc>
        <w:tc>
          <w:tcPr>
            <w:tcW w:w="2268"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数量指标</w:t>
            </w:r>
          </w:p>
        </w:tc>
        <w:tc>
          <w:tcPr>
            <w:tcW w:w="2835" w:type="dxa"/>
            <w:vAlign w:val="center"/>
          </w:tcPr>
          <w:p>
            <w:pPr>
              <w:pStyle w:val="30"/>
            </w:pPr>
            <w:r>
              <w:t>办公场所维护</w:t>
            </w:r>
          </w:p>
        </w:tc>
        <w:tc>
          <w:tcPr>
            <w:tcW w:w="2835" w:type="dxa"/>
            <w:vAlign w:val="center"/>
          </w:tcPr>
          <w:p>
            <w:pPr>
              <w:pStyle w:val="30"/>
            </w:pPr>
            <w:r>
              <w:t>办公场所维护达标率</w:t>
            </w:r>
          </w:p>
        </w:tc>
        <w:tc>
          <w:tcPr>
            <w:tcW w:w="2551" w:type="dxa"/>
            <w:vAlign w:val="center"/>
          </w:tcPr>
          <w:p>
            <w:pPr>
              <w:pStyle w:val="30"/>
            </w:pPr>
            <w:r>
              <w:t>≥90百分比</w:t>
            </w:r>
          </w:p>
        </w:tc>
        <w:tc>
          <w:tcPr>
            <w:tcW w:w="2268"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完成安保、校舍维护、卫生保洁、食宿设施建设、教学设备更新的时限</w:t>
            </w:r>
          </w:p>
        </w:tc>
        <w:tc>
          <w:tcPr>
            <w:tcW w:w="2835" w:type="dxa"/>
            <w:vAlign w:val="center"/>
          </w:tcPr>
          <w:p>
            <w:pPr>
              <w:pStyle w:val="30"/>
            </w:pPr>
            <w:r>
              <w:t>12月中旬前完成安保、校舍维护、卫生保洁、食宿设施建设、教学设备更新等事项</w:t>
            </w:r>
          </w:p>
        </w:tc>
        <w:tc>
          <w:tcPr>
            <w:tcW w:w="2551" w:type="dxa"/>
            <w:vAlign w:val="center"/>
          </w:tcPr>
          <w:p>
            <w:pPr>
              <w:pStyle w:val="30"/>
            </w:pPr>
            <w:r>
              <w:t>＜=12月</w:t>
            </w:r>
          </w:p>
        </w:tc>
        <w:tc>
          <w:tcPr>
            <w:tcW w:w="2268"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保证项目完成的成本控制</w:t>
            </w:r>
          </w:p>
        </w:tc>
        <w:tc>
          <w:tcPr>
            <w:tcW w:w="2835" w:type="dxa"/>
            <w:vAlign w:val="center"/>
          </w:tcPr>
          <w:p>
            <w:pPr>
              <w:pStyle w:val="30"/>
            </w:pPr>
            <w:r>
              <w:t>不超过项目预算金额</w:t>
            </w:r>
          </w:p>
        </w:tc>
        <w:tc>
          <w:tcPr>
            <w:tcW w:w="2551" w:type="dxa"/>
            <w:vAlign w:val="center"/>
          </w:tcPr>
          <w:p>
            <w:pPr>
              <w:pStyle w:val="30"/>
            </w:pPr>
            <w:r>
              <w:t>＜=5百分比</w:t>
            </w:r>
          </w:p>
        </w:tc>
        <w:tc>
          <w:tcPr>
            <w:tcW w:w="2268"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办公场所维护带来的社会效益</w:t>
            </w:r>
          </w:p>
        </w:tc>
        <w:tc>
          <w:tcPr>
            <w:tcW w:w="2835" w:type="dxa"/>
            <w:vAlign w:val="center"/>
          </w:tcPr>
          <w:p>
            <w:pPr>
              <w:pStyle w:val="30"/>
            </w:pPr>
            <w:r>
              <w:t>通过加强后勤管理，党校建设达到合格水平</w:t>
            </w:r>
          </w:p>
        </w:tc>
        <w:tc>
          <w:tcPr>
            <w:tcW w:w="2551" w:type="dxa"/>
            <w:vAlign w:val="center"/>
          </w:tcPr>
          <w:p>
            <w:pPr>
              <w:pStyle w:val="30"/>
            </w:pPr>
            <w:r>
              <w:t>≥90百分比</w:t>
            </w:r>
          </w:p>
        </w:tc>
        <w:tc>
          <w:tcPr>
            <w:tcW w:w="2268"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服务对象满意度</w:t>
            </w:r>
          </w:p>
        </w:tc>
        <w:tc>
          <w:tcPr>
            <w:tcW w:w="2835" w:type="dxa"/>
            <w:vAlign w:val="center"/>
          </w:tcPr>
          <w:p>
            <w:pPr>
              <w:pStyle w:val="30"/>
            </w:pPr>
            <w:r>
              <w:t>通过加强基础设施建设，提升党校基础设施建设水平，提高学员在校期间对基础设施建设的满意度。</w:t>
            </w:r>
          </w:p>
        </w:tc>
        <w:tc>
          <w:tcPr>
            <w:tcW w:w="2551" w:type="dxa"/>
            <w:vAlign w:val="center"/>
          </w:tcPr>
          <w:p>
            <w:pPr>
              <w:pStyle w:val="30"/>
            </w:pPr>
            <w:r>
              <w:t>≥90百分比</w:t>
            </w:r>
          </w:p>
        </w:tc>
        <w:tc>
          <w:tcPr>
            <w:tcW w:w="2268"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服务对象满意度指标</w:t>
            </w:r>
          </w:p>
        </w:tc>
        <w:tc>
          <w:tcPr>
            <w:tcW w:w="2835" w:type="dxa"/>
            <w:vAlign w:val="center"/>
          </w:tcPr>
          <w:p>
            <w:pPr>
              <w:pStyle w:val="30"/>
            </w:pPr>
            <w:r>
              <w:t>服务对象满意度</w:t>
            </w:r>
          </w:p>
        </w:tc>
        <w:tc>
          <w:tcPr>
            <w:tcW w:w="2835" w:type="dxa"/>
            <w:vAlign w:val="center"/>
          </w:tcPr>
          <w:p>
            <w:pPr>
              <w:pStyle w:val="30"/>
            </w:pPr>
            <w:r>
              <w:t>通过提升党校后勤管理水平，提高党校学员对在校期间各项后勤服务工作的满意度。</w:t>
            </w:r>
          </w:p>
        </w:tc>
        <w:tc>
          <w:tcPr>
            <w:tcW w:w="2551" w:type="dxa"/>
            <w:vAlign w:val="center"/>
          </w:tcPr>
          <w:p>
            <w:pPr>
              <w:pStyle w:val="30"/>
            </w:pPr>
            <w:r>
              <w:t>≥90百分比</w:t>
            </w:r>
          </w:p>
        </w:tc>
        <w:tc>
          <w:tcPr>
            <w:tcW w:w="2268" w:type="dxa"/>
            <w:vAlign w:val="center"/>
          </w:tcPr>
          <w:p>
            <w:pPr>
              <w:pStyle w:val="30"/>
            </w:pPr>
            <w:r>
              <w:t>年度工作计划</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2、教师进修科研费绩效目标表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1.提高教学科研水平和区领导决策咨询服务水平，全年撰写科研文章12篇，提供决策咨询2项；进一步提高藁城党员干部培训水平，举办各类培训班5期，共计培训1500人次。</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教师进修培训人次</w:t>
            </w:r>
          </w:p>
        </w:tc>
        <w:tc>
          <w:tcPr>
            <w:tcW w:w="2835" w:type="dxa"/>
            <w:vAlign w:val="center"/>
          </w:tcPr>
          <w:p>
            <w:pPr>
              <w:pStyle w:val="30"/>
            </w:pPr>
            <w:r>
              <w:t>通过有组织、有计划地组织教师到上级党校进修，提高教师自身素质和能力</w:t>
            </w:r>
          </w:p>
        </w:tc>
        <w:tc>
          <w:tcPr>
            <w:tcW w:w="2551" w:type="dxa"/>
            <w:vAlign w:val="center"/>
          </w:tcPr>
          <w:p>
            <w:pPr>
              <w:pStyle w:val="30"/>
            </w:pPr>
            <w:r>
              <w:t>≥10人</w:t>
            </w:r>
          </w:p>
        </w:tc>
        <w:tc>
          <w:tcPr>
            <w:tcW w:w="2268"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科学研究文章数量</w:t>
            </w:r>
          </w:p>
        </w:tc>
        <w:tc>
          <w:tcPr>
            <w:tcW w:w="2835" w:type="dxa"/>
            <w:vAlign w:val="center"/>
          </w:tcPr>
          <w:p>
            <w:pPr>
              <w:pStyle w:val="30"/>
            </w:pPr>
            <w:r>
              <w:t>通过开展对</w:t>
            </w:r>
            <w:r>
              <w:rPr>
                <w:rFonts w:hint="eastAsia"/>
                <w:lang w:eastAsia="zh-CN"/>
              </w:rPr>
              <w:t>习近平新时代中国特色社会主义思想</w:t>
            </w:r>
            <w:r>
              <w:t>研究，推出几篇有质量、有</w:t>
            </w:r>
            <w:r>
              <w:rPr>
                <w:rFonts w:hint="eastAsia"/>
                <w:lang w:eastAsia="zh-CN"/>
              </w:rPr>
              <w:t>分</w:t>
            </w:r>
            <w:r>
              <w:t>量的科研文章</w:t>
            </w:r>
          </w:p>
        </w:tc>
        <w:tc>
          <w:tcPr>
            <w:tcW w:w="2551" w:type="dxa"/>
            <w:vAlign w:val="center"/>
          </w:tcPr>
          <w:p>
            <w:pPr>
              <w:pStyle w:val="30"/>
            </w:pPr>
            <w:r>
              <w:t>≥12项</w:t>
            </w:r>
          </w:p>
        </w:tc>
        <w:tc>
          <w:tcPr>
            <w:tcW w:w="2268"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决策咨询服务项数</w:t>
            </w:r>
          </w:p>
        </w:tc>
        <w:tc>
          <w:tcPr>
            <w:tcW w:w="2835" w:type="dxa"/>
            <w:vAlign w:val="center"/>
          </w:tcPr>
          <w:p>
            <w:pPr>
              <w:pStyle w:val="30"/>
            </w:pPr>
            <w:r>
              <w:t>通过决策咨询服务，设立一批有质量的决策咨询项目，拿出一批决策咨询成果，为区领导决策服务</w:t>
            </w:r>
          </w:p>
        </w:tc>
        <w:tc>
          <w:tcPr>
            <w:tcW w:w="2551" w:type="dxa"/>
            <w:vAlign w:val="center"/>
          </w:tcPr>
          <w:p>
            <w:pPr>
              <w:pStyle w:val="30"/>
            </w:pPr>
            <w:r>
              <w:t>≥2项</w:t>
            </w:r>
          </w:p>
        </w:tc>
        <w:tc>
          <w:tcPr>
            <w:tcW w:w="2268"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完成培训、科研文章、决策咨询、办公场所改造时限</w:t>
            </w:r>
          </w:p>
        </w:tc>
        <w:tc>
          <w:tcPr>
            <w:tcW w:w="2835" w:type="dxa"/>
            <w:vAlign w:val="center"/>
          </w:tcPr>
          <w:p>
            <w:pPr>
              <w:pStyle w:val="30"/>
            </w:pPr>
            <w:r>
              <w:t>12月中旬前完成培训、科研文章、决策咨询、办公场所改造</w:t>
            </w:r>
          </w:p>
        </w:tc>
        <w:tc>
          <w:tcPr>
            <w:tcW w:w="2551" w:type="dxa"/>
            <w:vAlign w:val="center"/>
          </w:tcPr>
          <w:p>
            <w:pPr>
              <w:pStyle w:val="30"/>
            </w:pPr>
            <w:r>
              <w:t>＜=12月</w:t>
            </w:r>
          </w:p>
        </w:tc>
        <w:tc>
          <w:tcPr>
            <w:tcW w:w="2268"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保证项目完成的成本控制</w:t>
            </w:r>
          </w:p>
        </w:tc>
        <w:tc>
          <w:tcPr>
            <w:tcW w:w="2835" w:type="dxa"/>
            <w:vAlign w:val="center"/>
          </w:tcPr>
          <w:p>
            <w:pPr>
              <w:pStyle w:val="30"/>
            </w:pPr>
            <w:r>
              <w:t>不超过项目预算金额</w:t>
            </w:r>
          </w:p>
        </w:tc>
        <w:tc>
          <w:tcPr>
            <w:tcW w:w="2551" w:type="dxa"/>
            <w:vAlign w:val="center"/>
          </w:tcPr>
          <w:p>
            <w:pPr>
              <w:pStyle w:val="30"/>
            </w:pPr>
            <w:r>
              <w:t>＜=5百分比</w:t>
            </w:r>
          </w:p>
        </w:tc>
        <w:tc>
          <w:tcPr>
            <w:tcW w:w="2268"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教师进修率</w:t>
            </w:r>
          </w:p>
        </w:tc>
        <w:tc>
          <w:tcPr>
            <w:tcW w:w="2835" w:type="dxa"/>
            <w:vAlign w:val="center"/>
          </w:tcPr>
          <w:p>
            <w:pPr>
              <w:pStyle w:val="30"/>
            </w:pPr>
            <w:r>
              <w:t>提升教师学历，达到上级党校要求</w:t>
            </w:r>
          </w:p>
        </w:tc>
        <w:tc>
          <w:tcPr>
            <w:tcW w:w="2551" w:type="dxa"/>
            <w:vAlign w:val="center"/>
          </w:tcPr>
          <w:p>
            <w:pPr>
              <w:pStyle w:val="30"/>
            </w:pPr>
            <w:r>
              <w:t>≥90百分比</w:t>
            </w:r>
          </w:p>
        </w:tc>
        <w:tc>
          <w:tcPr>
            <w:tcW w:w="2268"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社会效益指标</w:t>
            </w:r>
          </w:p>
        </w:tc>
        <w:tc>
          <w:tcPr>
            <w:tcW w:w="2835" w:type="dxa"/>
            <w:vAlign w:val="center"/>
          </w:tcPr>
          <w:p>
            <w:pPr>
              <w:pStyle w:val="30"/>
            </w:pPr>
            <w:r>
              <w:t>理论研究评选文章篇数</w:t>
            </w:r>
          </w:p>
        </w:tc>
        <w:tc>
          <w:tcPr>
            <w:tcW w:w="2835" w:type="dxa"/>
            <w:vAlign w:val="center"/>
          </w:tcPr>
          <w:p>
            <w:pPr>
              <w:pStyle w:val="30"/>
            </w:pPr>
            <w:r>
              <w:t>推出4篇省市评选文章</w:t>
            </w:r>
          </w:p>
        </w:tc>
        <w:tc>
          <w:tcPr>
            <w:tcW w:w="2551" w:type="dxa"/>
            <w:vAlign w:val="center"/>
          </w:tcPr>
          <w:p>
            <w:pPr>
              <w:pStyle w:val="30"/>
            </w:pPr>
            <w:r>
              <w:t>≥4项</w:t>
            </w:r>
          </w:p>
        </w:tc>
        <w:tc>
          <w:tcPr>
            <w:tcW w:w="2268"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社会效益指标</w:t>
            </w:r>
          </w:p>
        </w:tc>
        <w:tc>
          <w:tcPr>
            <w:tcW w:w="2835" w:type="dxa"/>
            <w:vAlign w:val="center"/>
          </w:tcPr>
          <w:p>
            <w:pPr>
              <w:pStyle w:val="30"/>
            </w:pPr>
            <w:r>
              <w:t>完成决策咨询服务项目</w:t>
            </w:r>
          </w:p>
        </w:tc>
        <w:tc>
          <w:tcPr>
            <w:tcW w:w="2835" w:type="dxa"/>
            <w:vAlign w:val="center"/>
          </w:tcPr>
          <w:p>
            <w:pPr>
              <w:pStyle w:val="30"/>
            </w:pPr>
            <w:r>
              <w:t>提高为区领导决策咨询服务的能力和水平，供区领导参阅的资料编印报送和批示数量</w:t>
            </w:r>
          </w:p>
        </w:tc>
        <w:tc>
          <w:tcPr>
            <w:tcW w:w="2551" w:type="dxa"/>
            <w:vAlign w:val="center"/>
          </w:tcPr>
          <w:p>
            <w:pPr>
              <w:pStyle w:val="30"/>
            </w:pPr>
            <w:r>
              <w:t>≥2项</w:t>
            </w:r>
          </w:p>
        </w:tc>
        <w:tc>
          <w:tcPr>
            <w:tcW w:w="2268"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学员对培训满意度</w:t>
            </w:r>
          </w:p>
        </w:tc>
        <w:tc>
          <w:tcPr>
            <w:tcW w:w="2835" w:type="dxa"/>
            <w:vAlign w:val="center"/>
          </w:tcPr>
          <w:p>
            <w:pPr>
              <w:pStyle w:val="30"/>
            </w:pPr>
            <w:r>
              <w:t>学员对培训满意度</w:t>
            </w:r>
          </w:p>
        </w:tc>
        <w:tc>
          <w:tcPr>
            <w:tcW w:w="2551" w:type="dxa"/>
            <w:vAlign w:val="center"/>
          </w:tcPr>
          <w:p>
            <w:pPr>
              <w:pStyle w:val="30"/>
            </w:pPr>
            <w:r>
              <w:t>≥90百分比</w:t>
            </w:r>
          </w:p>
        </w:tc>
        <w:tc>
          <w:tcPr>
            <w:tcW w:w="2268" w:type="dxa"/>
            <w:vAlign w:val="center"/>
          </w:tcPr>
          <w:p>
            <w:pPr>
              <w:pStyle w:val="30"/>
            </w:pPr>
            <w:r>
              <w:t>年度工作计划</w:t>
            </w:r>
          </w:p>
        </w:tc>
      </w:tr>
    </w:tbl>
    <w:p>
      <w:pPr>
        <w:pStyle w:val="28"/>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2022年，中国共产党石家庄市藁城区委员会党校本级安排政府采购预算0.00万元。具体内容见下表。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281001中国共产党石家庄市藁城区委员会党校本级</w:t>
            </w:r>
          </w:p>
        </w:tc>
        <w:tc>
          <w:tcPr>
            <w:tcW w:w="8674" w:type="dxa"/>
            <w:gridSpan w:val="9"/>
            <w:tcBorders>
              <w:top w:val="single" w:color="FFFFFF" w:sz="6" w:space="0"/>
              <w:left w:val="single" w:color="FFFFFF" w:sz="6" w:space="0"/>
              <w:right w:val="single" w:color="FFFFFF" w:sz="6" w:space="0"/>
            </w:tcBorders>
            <w:vAlign w:val="center"/>
          </w:tcPr>
          <w:p>
            <w:pPr>
              <w:pStyle w:val="3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w:t>
            </w:r>
            <w:r>
              <w:rPr>
                <w:rFonts w:hint="eastAsia"/>
                <w:lang w:eastAsia="zh-CN"/>
              </w:rPr>
              <w:t>单位</w:t>
            </w:r>
            <w:r>
              <w:t>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ind w:firstLine="560" w:firstLineChars="200"/>
      </w:pPr>
      <w:r>
        <w:rPr>
          <w:rFonts w:ascii="Times New Roman" w:hAnsi="Times New Roman" w:eastAsia="方正仿宋_GBK" w:cs="Times New Roman"/>
          <w:b w:val="0"/>
          <w:color w:val="000000"/>
          <w:sz w:val="28"/>
        </w:rPr>
        <w:t>中国共产党石家庄市藁城区委员会党校本级</w:t>
      </w:r>
      <w:r>
        <w:rPr>
          <w:rFonts w:ascii="仿宋" w:hAnsi="仿宋" w:eastAsia="仿宋"/>
          <w:color w:val="000000"/>
          <w:sz w:val="32"/>
          <w:szCs w:val="32"/>
          <w:lang w:val="uk-UA"/>
        </w:rPr>
        <w:t>上年末固定资产金额为</w:t>
      </w:r>
      <w:r>
        <w:rPr>
          <w:rFonts w:hint="eastAsia" w:ascii="仿宋" w:hAnsi="仿宋" w:eastAsia="仿宋"/>
          <w:color w:val="000000"/>
          <w:sz w:val="32"/>
          <w:szCs w:val="32"/>
          <w:lang w:val="en-US" w:eastAsia="zh-CN"/>
        </w:rPr>
        <w:t>13.21</w:t>
      </w:r>
      <w:r>
        <w:rPr>
          <w:rFonts w:ascii="仿宋" w:hAnsi="仿宋" w:eastAsia="仿宋"/>
          <w:color w:val="000000"/>
          <w:sz w:val="32"/>
          <w:szCs w:val="32"/>
          <w:lang w:val="uk-UA"/>
        </w:rPr>
        <w:t>万元（详见下表）。本年度</w:t>
      </w:r>
      <w:r>
        <w:rPr>
          <w:rFonts w:ascii="仿宋" w:hAnsi="仿宋" w:eastAsia="仿宋"/>
          <w:b/>
          <w:color w:val="000000"/>
          <w:sz w:val="32"/>
          <w:szCs w:val="32"/>
          <w:lang w:val="uk-UA"/>
        </w:rPr>
        <w:t>拟购置固定资产总额为</w:t>
      </w:r>
      <w:r>
        <w:rPr>
          <w:rFonts w:hint="eastAsia" w:ascii="仿宋" w:hAnsi="仿宋" w:eastAsia="仿宋"/>
          <w:b/>
          <w:color w:val="000000"/>
          <w:sz w:val="32"/>
          <w:szCs w:val="32"/>
          <w:lang w:val="en-US" w:eastAsia="zh-CN"/>
        </w:rPr>
        <w:t>1.1</w:t>
      </w:r>
      <w:r>
        <w:rPr>
          <w:rFonts w:ascii="仿宋" w:hAnsi="仿宋" w:eastAsia="仿宋"/>
          <w:b/>
          <w:color w:val="000000"/>
          <w:sz w:val="32"/>
          <w:szCs w:val="32"/>
          <w:lang w:val="uk-UA"/>
        </w:rPr>
        <w:t>万元</w:t>
      </w:r>
      <w:r>
        <w:rPr>
          <w:rFonts w:ascii="仿宋" w:hAnsi="仿宋" w:eastAsia="仿宋"/>
          <w:color w:val="000000"/>
          <w:sz w:val="32"/>
          <w:szCs w:val="32"/>
          <w:lang w:val="uk-UA"/>
        </w:rPr>
        <w:t>，</w:t>
      </w:r>
      <w:r>
        <w:rPr>
          <w:rFonts w:hint="eastAsia" w:ascii="仿宋" w:hAnsi="仿宋" w:eastAsia="仿宋"/>
          <w:color w:val="000000"/>
          <w:sz w:val="32"/>
          <w:szCs w:val="32"/>
          <w:lang w:val="uk-UA"/>
        </w:rPr>
        <w:t>主要为计算机、打印机等，因未达到政府采购限额，故未列入政府采购预算。</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pPr>
              <w:pStyle w:val="13"/>
            </w:pPr>
            <w:r>
              <w:t>281中国共产党石家庄市藁城区委员会党校</w:t>
            </w:r>
          </w:p>
        </w:tc>
        <w:tc>
          <w:tcPr>
            <w:tcW w:w="5669" w:type="dxa"/>
            <w:gridSpan w:val="2"/>
            <w:tcBorders>
              <w:top w:val="single" w:color="FFFFFF" w:sz="6" w:space="0"/>
              <w:left w:val="single" w:color="FFFFFF" w:sz="6" w:space="0"/>
              <w:right w:val="single" w:color="FFFFFF" w:sz="6" w:space="0"/>
            </w:tcBorders>
            <w:noWrap w:val="0"/>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pPr>
              <w:pStyle w:val="14"/>
            </w:pPr>
            <w:r>
              <w:t>项   目</w:t>
            </w:r>
          </w:p>
        </w:tc>
        <w:tc>
          <w:tcPr>
            <w:tcW w:w="2835" w:type="dxa"/>
            <w:noWrap w:val="0"/>
            <w:vAlign w:val="center"/>
          </w:tcPr>
          <w:p>
            <w:pPr>
              <w:pStyle w:val="14"/>
            </w:pPr>
            <w:r>
              <w:t>数量</w:t>
            </w:r>
          </w:p>
        </w:tc>
        <w:tc>
          <w:tcPr>
            <w:tcW w:w="2835" w:type="dxa"/>
            <w:noWrap w:val="0"/>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6"/>
            </w:pPr>
            <w:r>
              <w:t>资产总额</w:t>
            </w:r>
          </w:p>
        </w:tc>
        <w:tc>
          <w:tcPr>
            <w:tcW w:w="2835" w:type="dxa"/>
            <w:noWrap w:val="0"/>
            <w:vAlign w:val="center"/>
          </w:tcPr>
          <w:p>
            <w:pPr>
              <w:pStyle w:val="17"/>
            </w:pPr>
          </w:p>
        </w:tc>
        <w:tc>
          <w:tcPr>
            <w:tcW w:w="2835" w:type="dxa"/>
            <w:noWrap w:val="0"/>
            <w:vAlign w:val="center"/>
          </w:tcPr>
          <w:p>
            <w:pPr>
              <w:pStyle w:val="15"/>
              <w:rPr>
                <w:rFonts w:hint="default" w:eastAsia="方正书宋_GBK"/>
                <w:lang w:val="en-US" w:eastAsia="zh-CN"/>
              </w:rPr>
            </w:pPr>
            <w:r>
              <w:rPr>
                <w:rFonts w:hint="eastAsia"/>
                <w:lang w:val="en-US" w:eastAsia="zh-CN"/>
              </w:rPr>
              <w:t>13.21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6"/>
            </w:pPr>
            <w:r>
              <w:t>1、房屋（平方米）</w:t>
            </w:r>
          </w:p>
        </w:tc>
        <w:tc>
          <w:tcPr>
            <w:tcW w:w="2835" w:type="dxa"/>
            <w:noWrap w:val="0"/>
            <w:vAlign w:val="center"/>
          </w:tcPr>
          <w:p>
            <w:pPr>
              <w:pStyle w:val="17"/>
            </w:pPr>
          </w:p>
        </w:tc>
        <w:tc>
          <w:tcPr>
            <w:tcW w:w="2835" w:type="dxa"/>
            <w:noWrap w:val="0"/>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6"/>
            </w:pPr>
            <w:r>
              <w:t>　　其中：办公用房（平方米）</w:t>
            </w:r>
          </w:p>
        </w:tc>
        <w:tc>
          <w:tcPr>
            <w:tcW w:w="2835" w:type="dxa"/>
            <w:noWrap w:val="0"/>
            <w:vAlign w:val="center"/>
          </w:tcPr>
          <w:p>
            <w:pPr>
              <w:pStyle w:val="17"/>
            </w:pPr>
          </w:p>
        </w:tc>
        <w:tc>
          <w:tcPr>
            <w:tcW w:w="2835" w:type="dxa"/>
            <w:noWrap w:val="0"/>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6"/>
            </w:pPr>
            <w:r>
              <w:t>2、车辆（台、辆）</w:t>
            </w:r>
          </w:p>
        </w:tc>
        <w:tc>
          <w:tcPr>
            <w:tcW w:w="2835" w:type="dxa"/>
            <w:noWrap w:val="0"/>
            <w:vAlign w:val="center"/>
          </w:tcPr>
          <w:p>
            <w:pPr>
              <w:pStyle w:val="17"/>
            </w:pPr>
          </w:p>
        </w:tc>
        <w:tc>
          <w:tcPr>
            <w:tcW w:w="2835" w:type="dxa"/>
            <w:noWrap w:val="0"/>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6"/>
            </w:pPr>
            <w:r>
              <w:t>3、单价在20万元以上的设备</w:t>
            </w:r>
          </w:p>
        </w:tc>
        <w:tc>
          <w:tcPr>
            <w:tcW w:w="2835" w:type="dxa"/>
            <w:noWrap w:val="0"/>
            <w:vAlign w:val="center"/>
          </w:tcPr>
          <w:p>
            <w:pPr>
              <w:pStyle w:val="17"/>
            </w:pPr>
          </w:p>
        </w:tc>
        <w:tc>
          <w:tcPr>
            <w:tcW w:w="2835" w:type="dxa"/>
            <w:noWrap w:val="0"/>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6"/>
            </w:pPr>
            <w:r>
              <w:t>4、其他固定资产</w:t>
            </w:r>
          </w:p>
        </w:tc>
        <w:tc>
          <w:tcPr>
            <w:tcW w:w="2835" w:type="dxa"/>
            <w:noWrap w:val="0"/>
            <w:vAlign w:val="center"/>
          </w:tcPr>
          <w:p>
            <w:pPr>
              <w:pStyle w:val="17"/>
              <w:rPr>
                <w:rFonts w:hint="default" w:eastAsia="方正书宋_GBK"/>
                <w:lang w:val="en-US" w:eastAsia="zh-CN"/>
              </w:rPr>
            </w:pPr>
            <w:r>
              <w:rPr>
                <w:rFonts w:hint="eastAsia"/>
                <w:lang w:val="en-US" w:eastAsia="zh-CN"/>
              </w:rPr>
              <w:t>82</w:t>
            </w:r>
          </w:p>
        </w:tc>
        <w:tc>
          <w:tcPr>
            <w:tcW w:w="2835" w:type="dxa"/>
            <w:noWrap w:val="0"/>
            <w:vAlign w:val="center"/>
          </w:tcPr>
          <w:p>
            <w:pPr>
              <w:pStyle w:val="15"/>
              <w:rPr>
                <w:rFonts w:hint="default" w:eastAsia="方正书宋_GBK"/>
                <w:lang w:val="en-US" w:eastAsia="zh-CN"/>
              </w:rPr>
            </w:pPr>
            <w:r>
              <w:rPr>
                <w:rFonts w:hint="eastAsia"/>
                <w:lang w:val="en-US" w:eastAsia="zh-CN"/>
              </w:rPr>
              <w:t>13.21</w:t>
            </w:r>
          </w:p>
        </w:tc>
      </w:tr>
    </w:tbl>
    <w:p>
      <w:pPr>
        <w:spacing w:before="0" w:after="0"/>
        <w:jc w:val="left"/>
        <w:outlineLvl w:val="9"/>
      </w:pPr>
      <w:bookmarkStart w:id="1" w:name="_GoBack"/>
      <w:bookmarkEnd w:id="1"/>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099" o:spid="_x0000_s4099" o:spt="202" type="#_x0000_t202" style="position:absolute;left:0pt;margin-top:0pt;height:144pt;width:144pt;mso-position-horizontal:right;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4100" o:spid="_x0000_s4100" o:spt="202" type="#_x0000_t202" style="position:absolute;left:0pt;margin-top:0pt;height:144pt;width:144pt;mso-position-horizontal:right;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hdrShapeDefaults>
    <o:shapelayout v:ext="edit">
      <o:idmap v:ext="edit" data="3,4"/>
    </o:shapelayout>
  </w:hdrShapeDefault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ZDFkOWM3YjNhNzdiY2IzNmQ1NGRhZjQ2NWU4OWRhOTkifQ=="/>
  </w:docVars>
  <w:rsids>
    <w:rsidRoot w:val="00000000"/>
    <w:rsid w:val="098A5185"/>
    <w:rsid w:val="099313FB"/>
    <w:rsid w:val="18164B0F"/>
    <w:rsid w:val="1C0A3AB2"/>
    <w:rsid w:val="2B1D5B5B"/>
    <w:rsid w:val="2C1B550B"/>
    <w:rsid w:val="37F729DB"/>
    <w:rsid w:val="389A305D"/>
    <w:rsid w:val="404D2E17"/>
    <w:rsid w:val="51915E77"/>
    <w:rsid w:val="523D4AF7"/>
    <w:rsid w:val="60D80349"/>
    <w:rsid w:val="68E872AE"/>
    <w:rsid w:val="7642618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Normal_2b77b97c-40f6-4335-aa17-4cf111f1b3cd"/>
    <w:qFormat/>
    <w:uiPriority w:val="0"/>
    <w:rPr>
      <w:rFonts w:ascii="Times New Roman" w:hAnsi="Times New Roman" w:eastAsia="Times New Roman" w:cs="Times New Roman"/>
      <w:sz w:val="24"/>
      <w:szCs w:val="24"/>
      <w:lang w:val="en-US" w:eastAsia="uk-UA" w:bidi="ar-SA"/>
    </w:rPr>
  </w:style>
  <w:style w:type="paragraph" w:customStyle="1" w:styleId="29">
    <w:name w:val="单元格样式1_55658ef3-a4af-453b-96da-2860b1dc454b"/>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30">
    <w:name w:val="单元格样式2_0548489f-8be2-49b1-86e8-d6b2a8441f74"/>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31">
    <w:name w:val="单元格样式3_d8921fb3-7bc6-426c-8b89-854f68acf5ee"/>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2">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3">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5">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6">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2022-02-14T17:25:41Z</dcterms:created>
  <dcterms:modified xsi:type="dcterms:W3CDTF">2022-02-14T09:25:41Z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2022-02-14T17:25:39Z</dcterms:created>
  <dcterms:modified xsi:type="dcterms:W3CDTF">2022-02-14T09:25:39Z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2022-02-14T17:25:35Z</dcterms:created>
  <dcterms:modified xsi:type="dcterms:W3CDTF">2022-02-14T09:25:35Z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2022-02-14T17:25:33Z</dcterms:created>
  <dcterms:modified xsi:type="dcterms:W3CDTF">2022-02-14T09:25:33Z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89cde78-af9d-4aba-8793-3ed425a0049f}">
  <ds:schemaRefs/>
</ds:datastoreItem>
</file>

<file path=customXml/itemProps3.xml><?xml version="1.0" encoding="utf-8"?>
<ds:datastoreItem xmlns:ds="http://schemas.openxmlformats.org/officeDocument/2006/customXml" ds:itemID="{1aa05e71-3e4d-4cab-99f6-054e54845338}">
  <ds:schemaRefs/>
</ds:datastoreItem>
</file>

<file path=customXml/itemProps4.xml><?xml version="1.0" encoding="utf-8"?>
<ds:datastoreItem xmlns:ds="http://schemas.openxmlformats.org/officeDocument/2006/customXml" ds:itemID="{7ee77828-d819-4a01-9164-4375d2c33f37}">
  <ds:schemaRefs/>
</ds:datastoreItem>
</file>

<file path=customXml/itemProps5.xml><?xml version="1.0" encoding="utf-8"?>
<ds:datastoreItem xmlns:ds="http://schemas.openxmlformats.org/officeDocument/2006/customXml" ds:itemID="{58b0710b-e0b4-49fd-8033-1a6dbc10d04f}">
  <ds:schemaRefs/>
</ds:datastoreItem>
</file>

<file path=customXml/itemProps6.xml><?xml version="1.0" encoding="utf-8"?>
<ds:datastoreItem xmlns:ds="http://schemas.openxmlformats.org/officeDocument/2006/customXml" ds:itemID="{21ed9c4a-2166-46b4-ad4b-5602c1eb237f}">
  <ds:schemaRefs/>
</ds:datastoreItem>
</file>

<file path=customXml/itemProps7.xml><?xml version="1.0" encoding="utf-8"?>
<ds:datastoreItem xmlns:ds="http://schemas.openxmlformats.org/officeDocument/2006/customXml" ds:itemID="{db5d39cb-346b-4189-bcfb-14e11acf3351}">
  <ds:schemaRefs/>
</ds:datastoreItem>
</file>

<file path=customXml/itemProps8.xml><?xml version="1.0" encoding="utf-8"?>
<ds:datastoreItem xmlns:ds="http://schemas.openxmlformats.org/officeDocument/2006/customXml" ds:itemID="{be8de1df-9d7f-4f8d-8036-f720ff795c24}">
  <ds:schemaRefs/>
</ds:datastoreItem>
</file>

<file path=customXml/itemProps9.xml><?xml version="1.0" encoding="utf-8"?>
<ds:datastoreItem xmlns:ds="http://schemas.openxmlformats.org/officeDocument/2006/customXml" ds:itemID="{ea79a692-4759-4175-9525-315dda14d483}">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Office_12.1.0.15374_F1E327BC-269C-435d-A152-05C5408002CA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2022-02-14T17:25:00Z</dcterms:created>
  <dc:creator>1</dc:creator>
  <cp:lastModifiedBy>1</cp:lastModifiedBy>
  <dcterms:modified xsi:type="dcterms:W3CDTF">2023-09-13T08:37:36Z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447831F7423249E891AA354C2DDF3866</vt:lpwstr>
  </property>
</Properties>
</file>