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eastAsia="宋体"/>
          <w:lang w:val="en-US" w:eastAsia="zh-CN"/>
        </w:rPr>
      </w:pPr>
      <w:bookmarkStart w:id="1" w:name="_GoBack"/>
      <w:bookmarkEnd w:id="1"/>
      <w:r>
        <w:rPr>
          <w:rFonts w:hint="eastAsia" w:ascii="黑体" w:hAnsi="黑体" w:eastAsia="黑体" w:cs="黑体"/>
          <w:b/>
          <w:color w:val="000000"/>
          <w:sz w:val="44"/>
          <w:lang w:eastAsia="zh-CN"/>
        </w:rPr>
        <w:t>石家庄市藁城区档案馆所属单位</w:t>
      </w:r>
      <w:r>
        <w:rPr>
          <w:rFonts w:hint="eastAsia" w:ascii="黑体" w:hAnsi="黑体" w:eastAsia="黑体" w:cs="黑体"/>
          <w:b/>
          <w:color w:val="000000"/>
          <w:sz w:val="44"/>
          <w:lang w:val="en-US" w:eastAsia="zh-CN"/>
        </w:rPr>
        <w:t>2022年度单位预算公开</w:t>
      </w:r>
    </w:p>
    <w:p>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_Toc30842 </w:instrText>
      </w:r>
      <w:r>
        <w:fldChar w:fldCharType="separate"/>
      </w:r>
      <w:r>
        <w:rPr>
          <w:rFonts w:ascii="方正小标宋_GBK" w:hAnsi="方正小标宋_GBK" w:eastAsia="方正小标宋_GBK" w:cs="方正小标宋_GBK"/>
        </w:rPr>
        <w:t>一、石家庄市藁城区档案馆本级收支预算</w:t>
      </w:r>
      <w:r>
        <w:tab/>
      </w:r>
      <w:r>
        <w:fldChar w:fldCharType="begin"/>
      </w:r>
      <w:r>
        <w:instrText xml:space="preserve"> PAGEREF _Toc30842 \h </w:instrText>
      </w:r>
      <w:r>
        <w:fldChar w:fldCharType="separate"/>
      </w:r>
      <w:r>
        <w:t>2</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30842"/>
      <w:r>
        <w:rPr>
          <w:rFonts w:ascii="方正小标宋_GBK" w:hAnsi="方正小标宋_GBK" w:eastAsia="方正小标宋_GBK" w:cs="方正小标宋_GBK"/>
          <w:b w:val="0"/>
          <w:color w:val="000000"/>
          <w:sz w:val="44"/>
        </w:rPr>
        <w:t>一、石家庄市藁城区档案馆本级收支预算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139.72</w:t>
            </w:r>
          </w:p>
        </w:tc>
        <w:tc>
          <w:tcPr>
            <w:tcW w:w="2959" w:type="dxa"/>
            <w:vAlign w:val="center"/>
          </w:tcPr>
          <w:p>
            <w:pPr>
              <w:pStyle w:val="16"/>
            </w:pPr>
            <w:r>
              <w:t>一、一般公共服务支出</w:t>
            </w:r>
          </w:p>
        </w:tc>
        <w:tc>
          <w:tcPr>
            <w:tcW w:w="2959" w:type="dxa"/>
            <w:vAlign w:val="center"/>
          </w:tcPr>
          <w:p>
            <w:pPr>
              <w:pStyle w:val="15"/>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139.72</w:t>
            </w:r>
          </w:p>
        </w:tc>
        <w:tc>
          <w:tcPr>
            <w:tcW w:w="2959" w:type="dxa"/>
            <w:vAlign w:val="center"/>
          </w:tcPr>
          <w:p>
            <w:pPr>
              <w:pStyle w:val="18"/>
            </w:pPr>
            <w:r>
              <w:t>本年支出合计</w:t>
            </w:r>
          </w:p>
        </w:tc>
        <w:tc>
          <w:tcPr>
            <w:tcW w:w="2959" w:type="dxa"/>
            <w:vAlign w:val="center"/>
          </w:tcPr>
          <w:p>
            <w:pPr>
              <w:pStyle w:val="19"/>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139.72</w:t>
            </w:r>
          </w:p>
        </w:tc>
        <w:tc>
          <w:tcPr>
            <w:tcW w:w="2959" w:type="dxa"/>
            <w:vAlign w:val="center"/>
          </w:tcPr>
          <w:p>
            <w:pPr>
              <w:pStyle w:val="18"/>
            </w:pPr>
            <w:r>
              <w:t>支出总计</w:t>
            </w:r>
          </w:p>
        </w:tc>
        <w:tc>
          <w:tcPr>
            <w:tcW w:w="2959" w:type="dxa"/>
            <w:vAlign w:val="center"/>
          </w:tcPr>
          <w:p>
            <w:pPr>
              <w:pStyle w:val="19"/>
            </w:pPr>
            <w:r>
              <w:t>139.72</w:t>
            </w:r>
          </w:p>
        </w:tc>
      </w:tr>
    </w:tbl>
    <w:p>
      <w:pPr>
        <w:sectPr>
          <w:footerReference r:id="rId5" w:type="default"/>
          <w:footerReference r:id="rId6"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139.72</w:t>
            </w:r>
          </w:p>
        </w:tc>
        <w:tc>
          <w:tcPr>
            <w:tcW w:w="758" w:type="dxa"/>
            <w:vAlign w:val="center"/>
          </w:tcPr>
          <w:p>
            <w:pPr>
              <w:pStyle w:val="19"/>
            </w:pPr>
            <w:r>
              <w:t>139.72</w:t>
            </w:r>
          </w:p>
        </w:tc>
        <w:tc>
          <w:tcPr>
            <w:tcW w:w="758" w:type="dxa"/>
            <w:vAlign w:val="center"/>
          </w:tcPr>
          <w:p>
            <w:pPr>
              <w:pStyle w:val="19"/>
            </w:pPr>
            <w:r>
              <w:t>139.72</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20126</w:t>
            </w:r>
          </w:p>
        </w:tc>
        <w:tc>
          <w:tcPr>
            <w:tcW w:w="758" w:type="dxa"/>
            <w:vAlign w:val="center"/>
          </w:tcPr>
          <w:p>
            <w:pPr>
              <w:pStyle w:val="16"/>
            </w:pPr>
            <w:r>
              <w:t>档案事务</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2012604</w:t>
            </w:r>
          </w:p>
        </w:tc>
        <w:tc>
          <w:tcPr>
            <w:tcW w:w="758" w:type="dxa"/>
            <w:vAlign w:val="center"/>
          </w:tcPr>
          <w:p>
            <w:pPr>
              <w:pStyle w:val="16"/>
            </w:pPr>
            <w:r>
              <w:t>档案馆</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139.72</w:t>
            </w:r>
          </w:p>
        </w:tc>
        <w:tc>
          <w:tcPr>
            <w:tcW w:w="1095" w:type="dxa"/>
            <w:vAlign w:val="center"/>
          </w:tcPr>
          <w:p>
            <w:pPr>
              <w:pStyle w:val="19"/>
            </w:pPr>
            <w:r>
              <w:t>124.72</w:t>
            </w:r>
          </w:p>
        </w:tc>
        <w:tc>
          <w:tcPr>
            <w:tcW w:w="1095" w:type="dxa"/>
            <w:vAlign w:val="center"/>
          </w:tcPr>
          <w:p>
            <w:pPr>
              <w:pStyle w:val="19"/>
            </w:pPr>
            <w:r>
              <w:t>15.00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139.72</w:t>
            </w:r>
          </w:p>
        </w:tc>
        <w:tc>
          <w:tcPr>
            <w:tcW w:w="1095" w:type="dxa"/>
            <w:vAlign w:val="center"/>
          </w:tcPr>
          <w:p>
            <w:pPr>
              <w:pStyle w:val="15"/>
            </w:pPr>
            <w:r>
              <w:t>124.72</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20126</w:t>
            </w:r>
          </w:p>
        </w:tc>
        <w:tc>
          <w:tcPr>
            <w:tcW w:w="1095" w:type="dxa"/>
            <w:vAlign w:val="center"/>
          </w:tcPr>
          <w:p>
            <w:pPr>
              <w:pStyle w:val="16"/>
            </w:pPr>
            <w:r>
              <w:t>档案事务</w:t>
            </w:r>
          </w:p>
        </w:tc>
        <w:tc>
          <w:tcPr>
            <w:tcW w:w="1095" w:type="dxa"/>
            <w:vAlign w:val="center"/>
          </w:tcPr>
          <w:p>
            <w:pPr>
              <w:pStyle w:val="15"/>
            </w:pPr>
            <w:r>
              <w:t>139.72</w:t>
            </w:r>
          </w:p>
        </w:tc>
        <w:tc>
          <w:tcPr>
            <w:tcW w:w="1095" w:type="dxa"/>
            <w:vAlign w:val="center"/>
          </w:tcPr>
          <w:p>
            <w:pPr>
              <w:pStyle w:val="15"/>
            </w:pPr>
            <w:r>
              <w:t>124.72</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2012604</w:t>
            </w:r>
          </w:p>
        </w:tc>
        <w:tc>
          <w:tcPr>
            <w:tcW w:w="1095" w:type="dxa"/>
            <w:vAlign w:val="center"/>
          </w:tcPr>
          <w:p>
            <w:pPr>
              <w:pStyle w:val="16"/>
            </w:pPr>
            <w:r>
              <w:t>档案馆</w:t>
            </w:r>
          </w:p>
        </w:tc>
        <w:tc>
          <w:tcPr>
            <w:tcW w:w="1095" w:type="dxa"/>
            <w:vAlign w:val="center"/>
          </w:tcPr>
          <w:p>
            <w:pPr>
              <w:pStyle w:val="15"/>
            </w:pPr>
            <w:r>
              <w:t>139.72</w:t>
            </w:r>
          </w:p>
        </w:tc>
        <w:tc>
          <w:tcPr>
            <w:tcW w:w="1095" w:type="dxa"/>
            <w:vAlign w:val="center"/>
          </w:tcPr>
          <w:p>
            <w:pPr>
              <w:pStyle w:val="15"/>
            </w:pPr>
            <w:r>
              <w:t>124.72</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139.72</w:t>
            </w:r>
          </w:p>
        </w:tc>
        <w:tc>
          <w:tcPr>
            <w:tcW w:w="1232" w:type="dxa"/>
            <w:vAlign w:val="center"/>
          </w:tcPr>
          <w:p>
            <w:pPr>
              <w:pStyle w:val="16"/>
            </w:pPr>
            <w:r>
              <w:t>一、一般公共服务支出</w:t>
            </w:r>
          </w:p>
        </w:tc>
        <w:tc>
          <w:tcPr>
            <w:tcW w:w="1232" w:type="dxa"/>
            <w:vAlign w:val="center"/>
          </w:tcPr>
          <w:p>
            <w:pPr>
              <w:pStyle w:val="15"/>
            </w:pPr>
            <w:r>
              <w:t>139.72</w:t>
            </w:r>
          </w:p>
        </w:tc>
        <w:tc>
          <w:tcPr>
            <w:tcW w:w="1232" w:type="dxa"/>
            <w:vAlign w:val="center"/>
          </w:tcPr>
          <w:p>
            <w:pPr>
              <w:pStyle w:val="15"/>
            </w:pPr>
            <w:r>
              <w:t>139.72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139.72</w:t>
            </w:r>
          </w:p>
        </w:tc>
        <w:tc>
          <w:tcPr>
            <w:tcW w:w="1232" w:type="dxa"/>
            <w:vAlign w:val="center"/>
          </w:tcPr>
          <w:p>
            <w:pPr>
              <w:pStyle w:val="18"/>
            </w:pPr>
            <w:r>
              <w:t>本年支出合计</w:t>
            </w:r>
          </w:p>
        </w:tc>
        <w:tc>
          <w:tcPr>
            <w:tcW w:w="1232" w:type="dxa"/>
            <w:vAlign w:val="center"/>
          </w:tcPr>
          <w:p>
            <w:pPr>
              <w:pStyle w:val="19"/>
            </w:pPr>
            <w:r>
              <w:t>139.72</w:t>
            </w:r>
          </w:p>
        </w:tc>
        <w:tc>
          <w:tcPr>
            <w:tcW w:w="1232" w:type="dxa"/>
            <w:vAlign w:val="center"/>
          </w:tcPr>
          <w:p>
            <w:pPr>
              <w:pStyle w:val="19"/>
            </w:pPr>
            <w:r>
              <w:t>139.72</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139.72</w:t>
            </w:r>
          </w:p>
        </w:tc>
        <w:tc>
          <w:tcPr>
            <w:tcW w:w="1232" w:type="dxa"/>
            <w:vAlign w:val="center"/>
          </w:tcPr>
          <w:p>
            <w:pPr>
              <w:pStyle w:val="18"/>
            </w:pPr>
            <w:r>
              <w:t>支出总计</w:t>
            </w:r>
          </w:p>
        </w:tc>
        <w:tc>
          <w:tcPr>
            <w:tcW w:w="1232" w:type="dxa"/>
            <w:vAlign w:val="center"/>
          </w:tcPr>
          <w:p>
            <w:pPr>
              <w:pStyle w:val="19"/>
            </w:pPr>
            <w:r>
              <w:t>139.72</w:t>
            </w:r>
          </w:p>
        </w:tc>
        <w:tc>
          <w:tcPr>
            <w:tcW w:w="1232" w:type="dxa"/>
            <w:vAlign w:val="center"/>
          </w:tcPr>
          <w:p>
            <w:pPr>
              <w:pStyle w:val="19"/>
            </w:pPr>
            <w:r>
              <w:t>139.72</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139.72</w:t>
            </w:r>
          </w:p>
        </w:tc>
        <w:tc>
          <w:tcPr>
            <w:tcW w:w="1643" w:type="dxa"/>
            <w:vAlign w:val="center"/>
          </w:tcPr>
          <w:p>
            <w:pPr>
              <w:pStyle w:val="19"/>
            </w:pPr>
            <w:r>
              <w:t>124.72</w:t>
            </w:r>
          </w:p>
        </w:tc>
        <w:tc>
          <w:tcPr>
            <w:tcW w:w="1643" w:type="dxa"/>
            <w:vAlign w:val="center"/>
          </w:tcPr>
          <w:p>
            <w:pPr>
              <w:pStyle w:val="1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139.72</w:t>
            </w:r>
          </w:p>
        </w:tc>
        <w:tc>
          <w:tcPr>
            <w:tcW w:w="1643" w:type="dxa"/>
            <w:vAlign w:val="center"/>
          </w:tcPr>
          <w:p>
            <w:pPr>
              <w:pStyle w:val="15"/>
            </w:pPr>
            <w:r>
              <w:t>124.72</w:t>
            </w: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20126</w:t>
            </w:r>
          </w:p>
        </w:tc>
        <w:tc>
          <w:tcPr>
            <w:tcW w:w="1643" w:type="dxa"/>
            <w:vAlign w:val="center"/>
          </w:tcPr>
          <w:p>
            <w:pPr>
              <w:pStyle w:val="16"/>
            </w:pPr>
            <w:r>
              <w:t>档案事务</w:t>
            </w:r>
          </w:p>
        </w:tc>
        <w:tc>
          <w:tcPr>
            <w:tcW w:w="1643" w:type="dxa"/>
            <w:vAlign w:val="center"/>
          </w:tcPr>
          <w:p>
            <w:pPr>
              <w:pStyle w:val="15"/>
            </w:pPr>
            <w:r>
              <w:t>139.72</w:t>
            </w:r>
          </w:p>
        </w:tc>
        <w:tc>
          <w:tcPr>
            <w:tcW w:w="1643" w:type="dxa"/>
            <w:vAlign w:val="center"/>
          </w:tcPr>
          <w:p>
            <w:pPr>
              <w:pStyle w:val="15"/>
            </w:pPr>
            <w:r>
              <w:t>124.72</w:t>
            </w: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2012604</w:t>
            </w:r>
          </w:p>
        </w:tc>
        <w:tc>
          <w:tcPr>
            <w:tcW w:w="1643" w:type="dxa"/>
            <w:vAlign w:val="center"/>
          </w:tcPr>
          <w:p>
            <w:pPr>
              <w:pStyle w:val="16"/>
            </w:pPr>
            <w:r>
              <w:t>档案馆</w:t>
            </w:r>
          </w:p>
        </w:tc>
        <w:tc>
          <w:tcPr>
            <w:tcW w:w="1643" w:type="dxa"/>
            <w:vAlign w:val="center"/>
          </w:tcPr>
          <w:p>
            <w:pPr>
              <w:pStyle w:val="15"/>
            </w:pPr>
            <w:r>
              <w:t>139.72</w:t>
            </w:r>
          </w:p>
        </w:tc>
        <w:tc>
          <w:tcPr>
            <w:tcW w:w="1643" w:type="dxa"/>
            <w:vAlign w:val="center"/>
          </w:tcPr>
          <w:p>
            <w:pPr>
              <w:pStyle w:val="15"/>
            </w:pPr>
            <w:r>
              <w:t>124.72</w:t>
            </w:r>
          </w:p>
        </w:tc>
        <w:tc>
          <w:tcPr>
            <w:tcW w:w="1643" w:type="dxa"/>
            <w:vAlign w:val="center"/>
          </w:tcPr>
          <w:p>
            <w:pPr>
              <w:pStyle w:val="15"/>
            </w:pPr>
            <w:r>
              <w:t>15.00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124.72</w:t>
            </w:r>
          </w:p>
        </w:tc>
        <w:tc>
          <w:tcPr>
            <w:tcW w:w="1643" w:type="dxa"/>
            <w:vAlign w:val="center"/>
          </w:tcPr>
          <w:p>
            <w:pPr>
              <w:pStyle w:val="19"/>
            </w:pPr>
            <w:r>
              <w:t>120.63</w:t>
            </w:r>
          </w:p>
        </w:tc>
        <w:tc>
          <w:tcPr>
            <w:tcW w:w="1643" w:type="dxa"/>
            <w:vAlign w:val="center"/>
          </w:tcPr>
          <w:p>
            <w:pPr>
              <w:pStyle w:val="19"/>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120.63</w:t>
            </w:r>
          </w:p>
        </w:tc>
        <w:tc>
          <w:tcPr>
            <w:tcW w:w="1643" w:type="dxa"/>
            <w:vAlign w:val="center"/>
          </w:tcPr>
          <w:p>
            <w:pPr>
              <w:pStyle w:val="15"/>
            </w:pPr>
            <w:r>
              <w:t>120.63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30.86</w:t>
            </w:r>
          </w:p>
        </w:tc>
        <w:tc>
          <w:tcPr>
            <w:tcW w:w="1643" w:type="dxa"/>
            <w:vAlign w:val="center"/>
          </w:tcPr>
          <w:p>
            <w:pPr>
              <w:pStyle w:val="15"/>
            </w:pPr>
            <w:r>
              <w:t>30.86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29.11</w:t>
            </w:r>
          </w:p>
        </w:tc>
        <w:tc>
          <w:tcPr>
            <w:tcW w:w="1643" w:type="dxa"/>
            <w:vAlign w:val="center"/>
          </w:tcPr>
          <w:p>
            <w:pPr>
              <w:pStyle w:val="15"/>
            </w:pPr>
            <w:r>
              <w:t>29.11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21.80</w:t>
            </w:r>
          </w:p>
        </w:tc>
        <w:tc>
          <w:tcPr>
            <w:tcW w:w="1643" w:type="dxa"/>
            <w:vAlign w:val="center"/>
          </w:tcPr>
          <w:p>
            <w:pPr>
              <w:pStyle w:val="15"/>
            </w:pPr>
            <w:r>
              <w:t>21.80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10.75</w:t>
            </w:r>
          </w:p>
        </w:tc>
        <w:tc>
          <w:tcPr>
            <w:tcW w:w="1643" w:type="dxa"/>
            <w:vAlign w:val="center"/>
          </w:tcPr>
          <w:p>
            <w:pPr>
              <w:pStyle w:val="15"/>
            </w:pPr>
            <w:r>
              <w:t>10.75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5.64</w:t>
            </w:r>
          </w:p>
        </w:tc>
        <w:tc>
          <w:tcPr>
            <w:tcW w:w="1643" w:type="dxa"/>
            <w:vAlign w:val="center"/>
          </w:tcPr>
          <w:p>
            <w:pPr>
              <w:pStyle w:val="15"/>
            </w:pPr>
            <w:r>
              <w:t>5.64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4.37</w:t>
            </w:r>
          </w:p>
        </w:tc>
        <w:tc>
          <w:tcPr>
            <w:tcW w:w="1643" w:type="dxa"/>
            <w:vAlign w:val="center"/>
          </w:tcPr>
          <w:p>
            <w:pPr>
              <w:pStyle w:val="15"/>
            </w:pPr>
            <w:r>
              <w:t>4.37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9.21</w:t>
            </w:r>
          </w:p>
        </w:tc>
        <w:tc>
          <w:tcPr>
            <w:tcW w:w="1643" w:type="dxa"/>
            <w:vAlign w:val="center"/>
          </w:tcPr>
          <w:p>
            <w:pPr>
              <w:pStyle w:val="15"/>
            </w:pPr>
            <w:r>
              <w:t>9.21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8.91</w:t>
            </w:r>
          </w:p>
        </w:tc>
        <w:tc>
          <w:tcPr>
            <w:tcW w:w="1643" w:type="dxa"/>
            <w:vAlign w:val="center"/>
          </w:tcPr>
          <w:p>
            <w:pPr>
              <w:pStyle w:val="15"/>
            </w:pPr>
            <w:r>
              <w:t>8.91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4.10</w:t>
            </w:r>
          </w:p>
        </w:tc>
        <w:tc>
          <w:tcPr>
            <w:tcW w:w="1643" w:type="dxa"/>
            <w:vAlign w:val="center"/>
          </w:tcPr>
          <w:p>
            <w:pPr>
              <w:pStyle w:val="15"/>
            </w:pPr>
          </w:p>
        </w:tc>
        <w:tc>
          <w:tcPr>
            <w:tcW w:w="1643" w:type="dxa"/>
            <w:vAlign w:val="center"/>
          </w:tcPr>
          <w:p>
            <w:pPr>
              <w:pStyle w:val="15"/>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2.10</w:t>
            </w:r>
          </w:p>
        </w:tc>
        <w:tc>
          <w:tcPr>
            <w:tcW w:w="1643" w:type="dxa"/>
            <w:vAlign w:val="center"/>
          </w:tcPr>
          <w:p>
            <w:pPr>
              <w:pStyle w:val="15"/>
            </w:pPr>
          </w:p>
        </w:tc>
        <w:tc>
          <w:tcPr>
            <w:tcW w:w="1643" w:type="dxa"/>
            <w:vAlign w:val="center"/>
          </w:tcPr>
          <w:p>
            <w:pPr>
              <w:pStyle w:val="15"/>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0.63</w:t>
            </w:r>
          </w:p>
        </w:tc>
        <w:tc>
          <w:tcPr>
            <w:tcW w:w="1643" w:type="dxa"/>
            <w:vAlign w:val="center"/>
          </w:tcPr>
          <w:p>
            <w:pPr>
              <w:pStyle w:val="15"/>
            </w:pPr>
          </w:p>
        </w:tc>
        <w:tc>
          <w:tcPr>
            <w:tcW w:w="1643" w:type="dxa"/>
            <w:vAlign w:val="center"/>
          </w:tcPr>
          <w:p>
            <w:pPr>
              <w:pStyle w:val="15"/>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0.77</w:t>
            </w:r>
          </w:p>
        </w:tc>
        <w:tc>
          <w:tcPr>
            <w:tcW w:w="1643" w:type="dxa"/>
            <w:vAlign w:val="center"/>
          </w:tcPr>
          <w:p>
            <w:pPr>
              <w:pStyle w:val="15"/>
            </w:pPr>
          </w:p>
        </w:tc>
        <w:tc>
          <w:tcPr>
            <w:tcW w:w="1643" w:type="dxa"/>
            <w:vAlign w:val="center"/>
          </w:tcPr>
          <w:p>
            <w:pPr>
              <w:pStyle w:val="15"/>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0.59</w:t>
            </w:r>
          </w:p>
        </w:tc>
        <w:tc>
          <w:tcPr>
            <w:tcW w:w="1643" w:type="dxa"/>
            <w:vAlign w:val="center"/>
          </w:tcPr>
          <w:p>
            <w:pPr>
              <w:pStyle w:val="15"/>
            </w:pPr>
          </w:p>
        </w:tc>
        <w:tc>
          <w:tcPr>
            <w:tcW w:w="1643" w:type="dxa"/>
            <w:vAlign w:val="center"/>
          </w:tcPr>
          <w:p>
            <w:pPr>
              <w:pStyle w:val="15"/>
            </w:pPr>
            <w:r>
              <w:t>0.59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石家庄市藁城区档案馆本级2022年单位预算信息公开情况说明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按照《预算法》、《地方预决算公开操作规程》和《关于进一步推进预算公开工作的实施意见》规定，现将石家庄市藁城区档案馆本级2022年单位预算公开如下：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3"/>
        <w:rPr>
          <w:rFonts w:hint="eastAsia"/>
        </w:rPr>
      </w:pPr>
      <w:r>
        <w:rPr>
          <w:rFonts w:hint="eastAsia"/>
        </w:rPr>
        <w:t>为贯彻落实党中央、省委、市委和区委关于档案工作的方针政策和决策部署，坚持和加强党对档案工作的集中统一领导。区档案馆主要职责是：</w:t>
      </w:r>
    </w:p>
    <w:p>
      <w:pPr>
        <w:pStyle w:val="33"/>
        <w:rPr>
          <w:rFonts w:hint="eastAsia"/>
        </w:rPr>
      </w:pPr>
      <w:r>
        <w:rPr>
          <w:rFonts w:hint="eastAsia"/>
        </w:rPr>
        <w:t>一、贯彻执行国家和本省有关档案管理的法律、法规、规章。</w:t>
      </w:r>
    </w:p>
    <w:p>
      <w:pPr>
        <w:pStyle w:val="33"/>
        <w:rPr>
          <w:rFonts w:hint="eastAsia"/>
        </w:rPr>
      </w:pPr>
      <w:r>
        <w:rPr>
          <w:rFonts w:hint="eastAsia"/>
        </w:rPr>
        <w:t>二、集中统一管理区直机关、乡镇各历史时期的档案资料，保守党和国家机密，维护档案完整，确保档案资料安全。</w:t>
      </w:r>
    </w:p>
    <w:p>
      <w:pPr>
        <w:pStyle w:val="33"/>
        <w:rPr>
          <w:rFonts w:hint="eastAsia"/>
        </w:rPr>
      </w:pPr>
      <w:r>
        <w:rPr>
          <w:rFonts w:hint="eastAsia"/>
        </w:rPr>
        <w:t>三、接收区委，区人大，区政府，区政协，区纪委，及区直各机关单位、乡镇应进馆的档案资料。</w:t>
      </w:r>
    </w:p>
    <w:p>
      <w:pPr>
        <w:pStyle w:val="33"/>
        <w:rPr>
          <w:rFonts w:hint="eastAsia"/>
        </w:rPr>
      </w:pPr>
      <w:r>
        <w:rPr>
          <w:rFonts w:hint="eastAsia"/>
        </w:rPr>
        <w:t>四、收集和接收本馆保管范围内对国家和社会有保存价值的档案，征集社会珍贵档案资料。</w:t>
      </w:r>
    </w:p>
    <w:p>
      <w:pPr>
        <w:pStyle w:val="33"/>
        <w:rPr>
          <w:rFonts w:hint="eastAsia"/>
        </w:rPr>
      </w:pPr>
      <w:r>
        <w:rPr>
          <w:rFonts w:hint="eastAsia"/>
        </w:rPr>
        <w:t>五、负责馆藏档案资料完整的整理、编目、鉴定、统计和技术保护工作。</w:t>
      </w:r>
    </w:p>
    <w:p>
      <w:pPr>
        <w:pStyle w:val="33"/>
        <w:rPr>
          <w:rFonts w:hint="eastAsia"/>
        </w:rPr>
      </w:pPr>
      <w:r>
        <w:rPr>
          <w:rFonts w:hint="eastAsia"/>
        </w:rPr>
        <w:t>六、依法开放档案，为党和政府及社会各方面提供利用服务。</w:t>
      </w:r>
    </w:p>
    <w:p>
      <w:pPr>
        <w:pStyle w:val="33"/>
        <w:rPr>
          <w:rFonts w:hint="eastAsia"/>
        </w:rPr>
      </w:pPr>
      <w:r>
        <w:rPr>
          <w:rFonts w:hint="eastAsia"/>
        </w:rPr>
        <w:t>七、承担政府公开信息的收集、管理和集中查阅工作。</w:t>
      </w:r>
    </w:p>
    <w:p>
      <w:pPr>
        <w:pStyle w:val="33"/>
        <w:rPr>
          <w:rFonts w:hint="eastAsia"/>
        </w:rPr>
      </w:pPr>
    </w:p>
    <w:p>
      <w:pPr>
        <w:pStyle w:val="33"/>
        <w:rPr>
          <w:rFonts w:hint="eastAsia"/>
        </w:rPr>
      </w:pPr>
      <w:r>
        <w:rPr>
          <w:rFonts w:hint="eastAsia"/>
        </w:rPr>
        <w:t>八、制定馆藏档案信息资源开发规划，开发档案信息资源，开展馆藏档案史料的编研出版、展览陈列和社会教育活动。</w:t>
      </w:r>
    </w:p>
    <w:p>
      <w:pPr>
        <w:pStyle w:val="33"/>
        <w:rPr>
          <w:rFonts w:hint="eastAsia"/>
        </w:rPr>
      </w:pPr>
      <w:r>
        <w:rPr>
          <w:rFonts w:hint="eastAsia"/>
        </w:rPr>
        <w:t>九、运用现代化技术手段，开展馆藏档案信息化建设。</w:t>
      </w:r>
    </w:p>
    <w:p>
      <w:pPr>
        <w:pStyle w:val="33"/>
      </w:pPr>
      <w:r>
        <w:rPr>
          <w:rFonts w:hint="eastAsia"/>
        </w:rP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石家庄市藁城区档案馆本级</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省单位</w:t>
      </w:r>
      <w:r>
        <w:rPr>
          <w:rFonts w:ascii="Times New Roman" w:hAnsi="Times New Roman" w:eastAsia="方正仿宋_GBK" w:cs="Times New Roman"/>
          <w:b w:val="0"/>
          <w:color w:val="000000"/>
          <w:sz w:val="28"/>
        </w:rPr>
        <w:t>预算的编制实行综合预算管理，即全部收入和支出都反映在预算中。</w:t>
      </w:r>
    </w:p>
    <w:p>
      <w:pPr>
        <w:pStyle w:val="34"/>
        <w:rPr>
          <w:rFonts w:hint="eastAsia"/>
        </w:rPr>
      </w:pPr>
      <w:r>
        <w:rPr>
          <w:rFonts w:hint="eastAsia"/>
        </w:rPr>
        <w:t>1、收入说明</w:t>
      </w:r>
    </w:p>
    <w:p>
      <w:pPr>
        <w:pStyle w:val="34"/>
        <w:rPr>
          <w:rFonts w:hint="eastAsia"/>
        </w:rPr>
      </w:pPr>
      <w:r>
        <w:rPr>
          <w:rFonts w:hint="eastAsia"/>
        </w:rPr>
        <w:t>反映本单位当年全部收入。2022年预算收入</w:t>
      </w:r>
      <w:r>
        <w:rPr>
          <w:rFonts w:hint="eastAsia"/>
          <w:lang w:val="en-US" w:eastAsia="zh-CN"/>
        </w:rPr>
        <w:t>139.72</w:t>
      </w:r>
      <w:r>
        <w:rPr>
          <w:rFonts w:hint="eastAsia"/>
        </w:rPr>
        <w:t>万元，其中：一般公共预算收入</w:t>
      </w:r>
      <w:r>
        <w:rPr>
          <w:rFonts w:hint="eastAsia"/>
          <w:lang w:val="en-US" w:eastAsia="zh-CN"/>
        </w:rPr>
        <w:t>139.7</w:t>
      </w:r>
      <w:r>
        <w:rPr>
          <w:rFonts w:hint="eastAsia"/>
        </w:rPr>
        <w:t>2万元，基金预算收入0万元，财政专户核拨收入0万元，其他来源收入0万元。</w:t>
      </w:r>
    </w:p>
    <w:p>
      <w:pPr>
        <w:pStyle w:val="34"/>
        <w:rPr>
          <w:rFonts w:hint="eastAsia"/>
        </w:rPr>
      </w:pPr>
      <w:r>
        <w:rPr>
          <w:rFonts w:hint="eastAsia"/>
        </w:rPr>
        <w:t>2、支出说明</w:t>
      </w:r>
    </w:p>
    <w:p>
      <w:pPr>
        <w:pStyle w:val="34"/>
        <w:rPr>
          <w:rFonts w:hint="eastAsia"/>
        </w:rPr>
      </w:pPr>
      <w:r>
        <w:rPr>
          <w:rFonts w:hint="eastAsia"/>
        </w:rPr>
        <w:t>收支预算总表支出栏、基本支出表、项目支出表按经济分类和支出功能分类科目编制，反映本单位预算中支出预算的总体情况。2022年单位支出预算为</w:t>
      </w:r>
      <w:r>
        <w:rPr>
          <w:rFonts w:hint="eastAsia"/>
          <w:lang w:val="en-US" w:eastAsia="zh-CN"/>
        </w:rPr>
        <w:t>139.72</w:t>
      </w:r>
      <w:r>
        <w:rPr>
          <w:rFonts w:hint="eastAsia"/>
        </w:rPr>
        <w:t>万元，其中基本支出</w:t>
      </w:r>
      <w:r>
        <w:rPr>
          <w:rFonts w:hint="eastAsia"/>
          <w:lang w:val="en-US" w:eastAsia="zh-CN"/>
        </w:rPr>
        <w:t>124.72</w:t>
      </w:r>
      <w:r>
        <w:rPr>
          <w:rFonts w:hint="eastAsia"/>
        </w:rPr>
        <w:t>万元，包括人员经费</w:t>
      </w:r>
      <w:r>
        <w:rPr>
          <w:rFonts w:hint="eastAsia"/>
          <w:lang w:val="en-US" w:eastAsia="zh-CN"/>
        </w:rPr>
        <w:t>120.63</w:t>
      </w:r>
      <w:r>
        <w:rPr>
          <w:rFonts w:hint="eastAsia"/>
        </w:rPr>
        <w:t>万元和日常公用经费</w:t>
      </w:r>
      <w:r>
        <w:rPr>
          <w:rFonts w:hint="eastAsia"/>
          <w:lang w:val="en-US" w:eastAsia="zh-CN"/>
        </w:rPr>
        <w:t>4.1</w:t>
      </w:r>
      <w:r>
        <w:rPr>
          <w:rFonts w:hint="eastAsia"/>
        </w:rPr>
        <w:t>万元；项目支出</w:t>
      </w:r>
      <w:r>
        <w:rPr>
          <w:rFonts w:hint="eastAsia"/>
          <w:lang w:val="en-US" w:eastAsia="zh-CN"/>
        </w:rPr>
        <w:t>15</w:t>
      </w:r>
      <w:r>
        <w:rPr>
          <w:rFonts w:hint="eastAsia"/>
        </w:rPr>
        <w:t>万元，主要为</w:t>
      </w:r>
      <w:r>
        <w:rPr>
          <w:rFonts w:hint="eastAsia"/>
          <w:lang w:eastAsia="zh-CN"/>
        </w:rPr>
        <w:t>档案日常管理维护费</w:t>
      </w:r>
      <w:r>
        <w:rPr>
          <w:rFonts w:hint="eastAsia"/>
          <w:lang w:val="en-US" w:eastAsia="zh-CN"/>
        </w:rPr>
        <w:t>15</w:t>
      </w:r>
      <w:r>
        <w:rPr>
          <w:rFonts w:hint="eastAsia"/>
        </w:rPr>
        <w:t>万元；其他支出0万元。</w:t>
      </w:r>
    </w:p>
    <w:p>
      <w:pPr>
        <w:pStyle w:val="34"/>
        <w:rPr>
          <w:rFonts w:hint="eastAsia"/>
        </w:rPr>
      </w:pPr>
      <w:r>
        <w:rPr>
          <w:rFonts w:hint="eastAsia"/>
        </w:rPr>
        <w:t>3、比上年增减情况</w:t>
      </w:r>
    </w:p>
    <w:p>
      <w:p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2022年单位预算收支安排1</w:t>
      </w:r>
      <w:r>
        <w:rPr>
          <w:rFonts w:hint="eastAsia" w:ascii="Times New Roman" w:hAnsi="Times New Roman" w:eastAsia="方正仿宋_GBK" w:cs="Times New Roman"/>
          <w:sz w:val="28"/>
          <w:szCs w:val="24"/>
          <w:lang w:val="en-US" w:eastAsia="zh-CN" w:bidi="ar-SA"/>
        </w:rPr>
        <w:t>39.72</w:t>
      </w:r>
      <w:r>
        <w:rPr>
          <w:rFonts w:hint="eastAsia" w:ascii="Times New Roman" w:hAnsi="Times New Roman" w:eastAsia="方正仿宋_GBK" w:cs="Times New Roman"/>
          <w:sz w:val="28"/>
          <w:szCs w:val="24"/>
          <w:lang w:val="en-US" w:eastAsia="uk-UA" w:bidi="ar-SA"/>
        </w:rPr>
        <w:t>万元，较2021年增加</w:t>
      </w:r>
      <w:r>
        <w:rPr>
          <w:rFonts w:hint="eastAsia" w:ascii="Times New Roman" w:hAnsi="Times New Roman" w:eastAsia="方正仿宋_GBK" w:cs="Times New Roman"/>
          <w:sz w:val="28"/>
          <w:szCs w:val="24"/>
          <w:lang w:val="en-US" w:eastAsia="zh-CN" w:bidi="ar-SA"/>
        </w:rPr>
        <w:t>61.28</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增加51.28</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，相应</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人员经费和日常公用经费；项目支出增加</w:t>
      </w:r>
      <w:r>
        <w:rPr>
          <w:rFonts w:hint="eastAsia" w:ascii="Times New Roman" w:hAnsi="Times New Roman" w:eastAsia="方正仿宋_GBK" w:cs="Times New Roman"/>
          <w:sz w:val="28"/>
          <w:szCs w:val="24"/>
          <w:lang w:val="en-US" w:eastAsia="zh-CN" w:bidi="ar-SA"/>
        </w:rPr>
        <w:t>10</w:t>
      </w:r>
      <w:r>
        <w:rPr>
          <w:rFonts w:hint="eastAsia" w:ascii="Times New Roman" w:hAnsi="Times New Roman" w:eastAsia="方正仿宋_GBK" w:cs="Times New Roman"/>
          <w:sz w:val="28"/>
          <w:szCs w:val="24"/>
          <w:lang w:val="en-US" w:eastAsia="uk-UA" w:bidi="ar-SA"/>
        </w:rPr>
        <w:t>万元，主要是增加</w:t>
      </w:r>
      <w:r>
        <w:rPr>
          <w:rFonts w:hint="eastAsia" w:ascii="Times New Roman" w:hAnsi="Times New Roman" w:eastAsia="方正仿宋_GBK" w:cs="Times New Roman"/>
          <w:sz w:val="28"/>
          <w:szCs w:val="24"/>
          <w:lang w:val="en-US" w:eastAsia="zh-CN" w:bidi="ar-SA"/>
        </w:rPr>
        <w:t>档案日常管理维护费</w:t>
      </w:r>
      <w:r>
        <w:rPr>
          <w:rFonts w:hint="eastAsia" w:ascii="Times New Roman" w:hAnsi="Times New Roman" w:eastAsia="方正仿宋_GBK" w:cs="Times New Roman"/>
          <w:sz w:val="28"/>
          <w:szCs w:val="24"/>
          <w:lang w:val="en-US" w:eastAsia="uk-UA" w:bidi="ar-SA"/>
        </w:rPr>
        <w:t>；其他支出无增减变化。</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35"/>
      </w:pPr>
      <w:r>
        <w:rPr>
          <w:rFonts w:hint="eastAsia"/>
        </w:rPr>
        <w:t>2022年，我单位机关运行经费共计安排</w:t>
      </w:r>
      <w:r>
        <w:rPr>
          <w:rFonts w:hint="eastAsia"/>
          <w:lang w:val="en-US" w:eastAsia="zh-CN"/>
        </w:rPr>
        <w:t>4.1</w:t>
      </w:r>
      <w:r>
        <w:rPr>
          <w:rFonts w:hint="eastAsia"/>
        </w:rPr>
        <w:t>万元，主要用于保证机关正常运转的办公及印刷费、差旅费、福利费、专用材料及一般设备购置费、日常维修费等支出。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6"/>
      </w:pPr>
      <w:r>
        <w:rPr>
          <w:rFonts w:hint="eastAsia"/>
        </w:rPr>
        <w:t>2022年，我单位财政拨款“三公”经费预算安排</w:t>
      </w:r>
      <w:r>
        <w:rPr>
          <w:rFonts w:hint="eastAsia"/>
          <w:lang w:val="en-US" w:eastAsia="zh-CN"/>
        </w:rPr>
        <w:t>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万元（其中：公务用车购置费0万元，公务用车运行维护费</w:t>
      </w:r>
      <w:r>
        <w:rPr>
          <w:rFonts w:hint="eastAsia"/>
          <w:lang w:val="en-US" w:eastAsia="zh-CN"/>
        </w:rPr>
        <w:t>0</w:t>
      </w:r>
      <w:r>
        <w:rPr>
          <w:rFonts w:hint="eastAsia"/>
        </w:rPr>
        <w:t>万元)；公务接待费</w:t>
      </w:r>
      <w:r>
        <w:rPr>
          <w:rFonts w:hint="eastAsia"/>
          <w:lang w:val="en-US" w:eastAsia="zh-CN"/>
        </w:rPr>
        <w:t>0</w:t>
      </w:r>
      <w:r>
        <w:rPr>
          <w:rFonts w:hint="eastAsia"/>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8"/>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1、档案日常管理维护费绩效目标表</w:t>
      </w:r>
    </w:p>
    <w:p>
      <w:pPr>
        <w:pStyle w:val="28"/>
        <w:spacing w:before="0" w:after="0"/>
        <w:ind w:firstLine="560"/>
        <w:jc w:val="left"/>
        <w:outlineLvl w:val="9"/>
        <w:rPr>
          <w:rFonts w:ascii="方正仿宋_GBK" w:hAnsi="方正仿宋_GBK" w:eastAsia="方正仿宋_GBK" w:cs="方正仿宋_GBK"/>
          <w:b/>
          <w:color w:val="000000"/>
          <w:sz w:val="28"/>
        </w:rPr>
      </w:pPr>
    </w:p>
    <w:p>
      <w:pPr>
        <w:pStyle w:val="28"/>
        <w:spacing w:before="0" w:after="0"/>
        <w:ind w:firstLine="560"/>
        <w:jc w:val="left"/>
        <w:outlineLvl w:val="9"/>
        <w:rPr>
          <w:rFonts w:ascii="方正仿宋_GBK" w:hAnsi="方正仿宋_GBK" w:eastAsia="方正仿宋_GBK" w:cs="方正仿宋_GBK"/>
          <w:b/>
          <w:color w:val="000000"/>
          <w:sz w:val="28"/>
        </w:rPr>
      </w:pPr>
    </w:p>
    <w:p>
      <w:pPr>
        <w:pStyle w:val="28"/>
        <w:spacing w:before="0" w:after="0"/>
        <w:ind w:firstLine="560"/>
        <w:jc w:val="left"/>
        <w:outlineLvl w:val="9"/>
        <w:rPr>
          <w:rFonts w:ascii="方正仿宋_GBK" w:hAnsi="方正仿宋_GBK" w:eastAsia="方正仿宋_GBK" w:cs="方正仿宋_GBK"/>
          <w:b/>
          <w:color w:val="000000"/>
          <w:sz w:val="28"/>
        </w:rPr>
      </w:pPr>
    </w:p>
    <w:p>
      <w:pPr>
        <w:pStyle w:val="28"/>
        <w:spacing w:before="0" w:after="0"/>
        <w:ind w:firstLine="560"/>
        <w:jc w:val="left"/>
        <w:outlineLvl w:val="9"/>
        <w:rPr>
          <w:rFonts w:ascii="方正仿宋_GBK" w:hAnsi="方正仿宋_GBK" w:eastAsia="方正仿宋_GBK" w:cs="方正仿宋_GBK"/>
          <w:b/>
          <w:color w:val="000000"/>
          <w:sz w:val="28"/>
        </w:rPr>
      </w:pP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1.根据档案的不同等级采取有效措施,加以整理、保护和保管,使馆藏更加丰富,档案保管更加规范化标准化。</w:t>
            </w:r>
          </w:p>
          <w:p>
            <w:pPr>
              <w:pStyle w:val="30"/>
            </w:pPr>
            <w:r>
              <w:t>2.对符合开放的馆藏档案，按照年初计划进行电子化录入，加强档案安全保管，提高档案利用率。</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电子化档案录入数量</w:t>
            </w:r>
          </w:p>
        </w:tc>
        <w:tc>
          <w:tcPr>
            <w:tcW w:w="2466" w:type="dxa"/>
            <w:vAlign w:val="center"/>
          </w:tcPr>
          <w:p>
            <w:pPr>
              <w:pStyle w:val="30"/>
            </w:pPr>
            <w:r>
              <w:t>对符合开放要求的馆藏档案电子化录入的数量</w:t>
            </w:r>
          </w:p>
        </w:tc>
        <w:tc>
          <w:tcPr>
            <w:tcW w:w="2466" w:type="dxa"/>
            <w:vAlign w:val="center"/>
          </w:tcPr>
          <w:p>
            <w:pPr>
              <w:pStyle w:val="30"/>
            </w:pPr>
            <w:r>
              <w:t>≥20万页</w:t>
            </w:r>
          </w:p>
        </w:tc>
        <w:tc>
          <w:tcPr>
            <w:tcW w:w="2466" w:type="dxa"/>
            <w:vAlign w:val="center"/>
          </w:tcPr>
          <w:p>
            <w:pPr>
              <w:pStyle w:val="30"/>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档案日常管理维护年底完成率</w:t>
            </w:r>
          </w:p>
        </w:tc>
        <w:tc>
          <w:tcPr>
            <w:tcW w:w="2466" w:type="dxa"/>
            <w:vAlign w:val="center"/>
          </w:tcPr>
          <w:p>
            <w:pPr>
              <w:pStyle w:val="30"/>
            </w:pPr>
            <w:r>
              <w:t>年底实际完成情况与年初工作计划的比率</w:t>
            </w:r>
          </w:p>
        </w:tc>
        <w:tc>
          <w:tcPr>
            <w:tcW w:w="2466" w:type="dxa"/>
            <w:vAlign w:val="center"/>
          </w:tcPr>
          <w:p>
            <w:pPr>
              <w:pStyle w:val="30"/>
            </w:pPr>
            <w:r>
              <w:t>≥90%</w:t>
            </w:r>
          </w:p>
        </w:tc>
        <w:tc>
          <w:tcPr>
            <w:tcW w:w="2466" w:type="dxa"/>
            <w:vAlign w:val="center"/>
          </w:tcPr>
          <w:p>
            <w:pPr>
              <w:pStyle w:val="30"/>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完成时间</w:t>
            </w:r>
          </w:p>
        </w:tc>
        <w:tc>
          <w:tcPr>
            <w:tcW w:w="2466" w:type="dxa"/>
            <w:vAlign w:val="center"/>
          </w:tcPr>
          <w:p>
            <w:pPr>
              <w:pStyle w:val="30"/>
            </w:pPr>
            <w:r>
              <w:t>2022年度工作目标完成时间</w:t>
            </w:r>
          </w:p>
        </w:tc>
        <w:tc>
          <w:tcPr>
            <w:tcW w:w="2466" w:type="dxa"/>
            <w:vAlign w:val="center"/>
          </w:tcPr>
          <w:p>
            <w:pPr>
              <w:pStyle w:val="30"/>
            </w:pPr>
            <w:r>
              <w:t>12月底完成</w:t>
            </w:r>
          </w:p>
        </w:tc>
        <w:tc>
          <w:tcPr>
            <w:tcW w:w="2466" w:type="dxa"/>
            <w:vAlign w:val="center"/>
          </w:tcPr>
          <w:p>
            <w:pPr>
              <w:pStyle w:val="30"/>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档案日常管理维护费</w:t>
            </w:r>
          </w:p>
        </w:tc>
        <w:tc>
          <w:tcPr>
            <w:tcW w:w="2466" w:type="dxa"/>
            <w:vAlign w:val="center"/>
          </w:tcPr>
          <w:p>
            <w:pPr>
              <w:pStyle w:val="30"/>
            </w:pPr>
            <w:r>
              <w:t>每卷档案日常管理维护费</w:t>
            </w:r>
          </w:p>
        </w:tc>
        <w:tc>
          <w:tcPr>
            <w:tcW w:w="2466" w:type="dxa"/>
            <w:vAlign w:val="center"/>
          </w:tcPr>
          <w:p>
            <w:pPr>
              <w:pStyle w:val="30"/>
            </w:pPr>
            <w:r>
              <w:t>2元</w:t>
            </w:r>
          </w:p>
        </w:tc>
        <w:tc>
          <w:tcPr>
            <w:tcW w:w="2466" w:type="dxa"/>
            <w:vAlign w:val="center"/>
          </w:tcPr>
          <w:p>
            <w:pPr>
              <w:pStyle w:val="30"/>
            </w:pPr>
            <w:r>
              <w:t>石家庄市会议纪要（2017年33号）及区领导批示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社会影响力</w:t>
            </w:r>
          </w:p>
        </w:tc>
        <w:tc>
          <w:tcPr>
            <w:tcW w:w="2466" w:type="dxa"/>
            <w:vAlign w:val="center"/>
          </w:tcPr>
          <w:p>
            <w:pPr>
              <w:pStyle w:val="30"/>
            </w:pPr>
            <w:r>
              <w:t>确保档案的安全完整，延长档案寿命，提高档案利用率，便于提供利用，更好地为社会各界服务。</w:t>
            </w:r>
          </w:p>
        </w:tc>
        <w:tc>
          <w:tcPr>
            <w:tcW w:w="2466" w:type="dxa"/>
            <w:vAlign w:val="center"/>
          </w:tcPr>
          <w:p>
            <w:pPr>
              <w:pStyle w:val="30"/>
            </w:pPr>
            <w:r>
              <w:t>≥95%</w:t>
            </w:r>
          </w:p>
        </w:tc>
        <w:tc>
          <w:tcPr>
            <w:tcW w:w="2466" w:type="dxa"/>
            <w:vAlign w:val="center"/>
          </w:tcPr>
          <w:p>
            <w:pPr>
              <w:pStyle w:val="3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利用人员满意度</w:t>
            </w:r>
          </w:p>
        </w:tc>
        <w:tc>
          <w:tcPr>
            <w:tcW w:w="2466" w:type="dxa"/>
            <w:vAlign w:val="center"/>
          </w:tcPr>
          <w:p>
            <w:pPr>
              <w:pStyle w:val="30"/>
            </w:pPr>
            <w:r>
              <w:t>档案利用人员满意度</w:t>
            </w:r>
          </w:p>
        </w:tc>
        <w:tc>
          <w:tcPr>
            <w:tcW w:w="2466" w:type="dxa"/>
            <w:vAlign w:val="center"/>
          </w:tcPr>
          <w:p>
            <w:pPr>
              <w:pStyle w:val="30"/>
            </w:pPr>
            <w:r>
              <w:t>≥90%</w:t>
            </w:r>
          </w:p>
        </w:tc>
        <w:tc>
          <w:tcPr>
            <w:tcW w:w="2466" w:type="dxa"/>
            <w:vAlign w:val="center"/>
          </w:tcPr>
          <w:p>
            <w:pPr>
              <w:pStyle w:val="30"/>
            </w:pPr>
            <w:r>
              <w:t>调查问卷</w:t>
            </w:r>
          </w:p>
        </w:tc>
      </w:tr>
    </w:tbl>
    <w:p>
      <w:pPr>
        <w:pStyle w:val="28"/>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2022年，石家庄市藁城区档案馆本级安排政府采购预算0.39万元。具体内容见下表。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0.39</w:t>
            </w:r>
          </w:p>
        </w:tc>
        <w:tc>
          <w:tcPr>
            <w:tcW w:w="924" w:type="dxa"/>
            <w:vAlign w:val="center"/>
          </w:tcPr>
          <w:p>
            <w:pPr>
              <w:pStyle w:val="19"/>
            </w:pPr>
            <w:r>
              <w:t>0.39</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石家庄市藁城区档案馆本级小计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0.39</w:t>
            </w:r>
          </w:p>
        </w:tc>
        <w:tc>
          <w:tcPr>
            <w:tcW w:w="924" w:type="dxa"/>
            <w:vAlign w:val="center"/>
          </w:tcPr>
          <w:p>
            <w:pPr>
              <w:pStyle w:val="19"/>
            </w:pPr>
            <w:r>
              <w:t>0.39</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2022年日常公用经费</w:t>
            </w:r>
          </w:p>
        </w:tc>
        <w:tc>
          <w:tcPr>
            <w:tcW w:w="924" w:type="dxa"/>
            <w:vAlign w:val="center"/>
          </w:tcPr>
          <w:p>
            <w:pPr>
              <w:pStyle w:val="15"/>
            </w:pPr>
            <w:r>
              <w:t>4.10</w:t>
            </w:r>
          </w:p>
        </w:tc>
        <w:tc>
          <w:tcPr>
            <w:tcW w:w="924" w:type="dxa"/>
            <w:vAlign w:val="center"/>
          </w:tcPr>
          <w:p>
            <w:pPr>
              <w:pStyle w:val="16"/>
            </w:pPr>
            <w:r>
              <w:t>复印纸</w:t>
            </w:r>
          </w:p>
        </w:tc>
        <w:tc>
          <w:tcPr>
            <w:tcW w:w="924" w:type="dxa"/>
            <w:vAlign w:val="center"/>
          </w:tcPr>
          <w:p>
            <w:pPr>
              <w:pStyle w:val="16"/>
            </w:pPr>
            <w:r>
              <w:t>A090101</w:t>
            </w:r>
          </w:p>
        </w:tc>
        <w:tc>
          <w:tcPr>
            <w:tcW w:w="924" w:type="dxa"/>
            <w:vAlign w:val="center"/>
          </w:tcPr>
          <w:p>
            <w:pPr>
              <w:pStyle w:val="17"/>
            </w:pPr>
            <w:r>
              <w:t>箱</w:t>
            </w:r>
          </w:p>
        </w:tc>
        <w:tc>
          <w:tcPr>
            <w:tcW w:w="924" w:type="dxa"/>
            <w:vAlign w:val="center"/>
          </w:tcPr>
          <w:p>
            <w:pPr>
              <w:pStyle w:val="15"/>
            </w:pPr>
            <w:r>
              <w:t>10</w:t>
            </w:r>
          </w:p>
        </w:tc>
        <w:tc>
          <w:tcPr>
            <w:tcW w:w="924" w:type="dxa"/>
            <w:vAlign w:val="center"/>
          </w:tcPr>
          <w:p>
            <w:pPr>
              <w:pStyle w:val="15"/>
            </w:pPr>
            <w:r>
              <w:t>0.02</w:t>
            </w:r>
          </w:p>
        </w:tc>
        <w:tc>
          <w:tcPr>
            <w:tcW w:w="924" w:type="dxa"/>
            <w:vAlign w:val="center"/>
          </w:tcPr>
          <w:p>
            <w:pPr>
              <w:pStyle w:val="15"/>
            </w:pPr>
            <w:r>
              <w:t>0.20</w:t>
            </w:r>
          </w:p>
        </w:tc>
        <w:tc>
          <w:tcPr>
            <w:tcW w:w="924" w:type="dxa"/>
            <w:vAlign w:val="center"/>
          </w:tcPr>
          <w:p>
            <w:pPr>
              <w:pStyle w:val="15"/>
            </w:pPr>
            <w:r>
              <w:t>0.20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档案日常管理维护费</w:t>
            </w:r>
          </w:p>
        </w:tc>
        <w:tc>
          <w:tcPr>
            <w:tcW w:w="924" w:type="dxa"/>
            <w:vAlign w:val="center"/>
          </w:tcPr>
          <w:p>
            <w:pPr>
              <w:pStyle w:val="15"/>
            </w:pPr>
            <w:r>
              <w:t>15.00</w:t>
            </w:r>
          </w:p>
        </w:tc>
        <w:tc>
          <w:tcPr>
            <w:tcW w:w="924" w:type="dxa"/>
            <w:vAlign w:val="center"/>
          </w:tcPr>
          <w:p>
            <w:pPr>
              <w:pStyle w:val="16"/>
            </w:pPr>
            <w:r>
              <w:t>激光打印机</w:t>
            </w:r>
          </w:p>
        </w:tc>
        <w:tc>
          <w:tcPr>
            <w:tcW w:w="924" w:type="dxa"/>
            <w:vAlign w:val="center"/>
          </w:tcPr>
          <w:p>
            <w:pPr>
              <w:pStyle w:val="16"/>
            </w:pPr>
            <w:r>
              <w:t>A0201060102</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0.19</w:t>
            </w:r>
          </w:p>
        </w:tc>
        <w:tc>
          <w:tcPr>
            <w:tcW w:w="924" w:type="dxa"/>
            <w:vAlign w:val="center"/>
          </w:tcPr>
          <w:p>
            <w:pPr>
              <w:pStyle w:val="15"/>
            </w:pPr>
            <w:r>
              <w:t>0.19</w:t>
            </w:r>
          </w:p>
        </w:tc>
        <w:tc>
          <w:tcPr>
            <w:tcW w:w="924" w:type="dxa"/>
            <w:vAlign w:val="center"/>
          </w:tcPr>
          <w:p>
            <w:pPr>
              <w:pStyle w:val="15"/>
            </w:pPr>
            <w:r>
              <w:t>0.19</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石家庄市藁城区档案馆本级上年末固定资产金额为</w:t>
      </w:r>
      <w:r>
        <w:rPr>
          <w:rFonts w:hint="eastAsia" w:eastAsia="方正仿宋_GBK" w:cs="Times New Roman"/>
          <w:b w:val="0"/>
          <w:color w:val="000000"/>
          <w:sz w:val="28"/>
          <w:lang w:val="en-US" w:eastAsia="zh-CN"/>
        </w:rPr>
        <w:t>39.48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0.19</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pPr>
            <w:r>
              <w:t>资产总额</w:t>
            </w:r>
          </w:p>
        </w:tc>
        <w:tc>
          <w:tcPr>
            <w:tcW w:w="4933" w:type="dxa"/>
            <w:vAlign w:val="center"/>
          </w:tcPr>
          <w:p>
            <w:pPr>
              <w:pStyle w:val="17"/>
              <w:ind w:firstLine="0" w:firstLineChars="0"/>
            </w:pPr>
          </w:p>
        </w:tc>
        <w:tc>
          <w:tcPr>
            <w:tcW w:w="4933" w:type="dxa"/>
            <w:vAlign w:val="center"/>
          </w:tcPr>
          <w:p>
            <w:pPr>
              <w:pStyle w:val="15"/>
              <w:ind w:firstLine="0" w:firstLineChars="0"/>
            </w:pPr>
            <w:r>
              <w:rPr>
                <w:rFonts w:hint="eastAsia"/>
                <w:lang w:val="en-US" w:eastAsia="zh-CN"/>
              </w:rPr>
              <w:t>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pPr>
            <w:r>
              <w:t>1、房屋（平方米）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pPr>
            <w:r>
              <w:t>　　其中：办公用房（平方米）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pPr>
            <w:r>
              <w:t>2、车辆（台、辆）</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pPr>
            <w:r>
              <w:t>3、单价在20万元以上的设备</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pPr>
            <w:r>
              <w:t>4、其他固定资产</w:t>
            </w:r>
          </w:p>
        </w:tc>
        <w:tc>
          <w:tcPr>
            <w:tcW w:w="4933" w:type="dxa"/>
            <w:vAlign w:val="top"/>
          </w:tcPr>
          <w:p>
            <w:pPr>
              <w:pStyle w:val="17"/>
              <w:ind w:firstLine="0" w:firstLineChars="0"/>
            </w:pPr>
            <w:r>
              <w:rPr>
                <w:rFonts w:hint="eastAsia"/>
                <w:lang w:val="en-US" w:eastAsia="zh-CN"/>
              </w:rPr>
              <w:t>91</w:t>
            </w:r>
          </w:p>
        </w:tc>
        <w:tc>
          <w:tcPr>
            <w:tcW w:w="4933" w:type="dxa"/>
            <w:vAlign w:val="top"/>
          </w:tcPr>
          <w:p>
            <w:pPr>
              <w:pStyle w:val="15"/>
              <w:ind w:firstLine="0" w:firstLineChars="0"/>
            </w:pPr>
            <w:r>
              <w:rPr>
                <w:rFonts w:hint="eastAsia"/>
                <w:lang w:val="en-US" w:eastAsia="zh-CN"/>
              </w:rPr>
              <w:t>39.48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2049" o:spid="_x0000_s2049" o:spt="202" type="#_x0000_t202" style="position:absolute;left:0pt;margin-top:0pt;height:144pt;width:144pt;mso-position-horizontal:right;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2050" o:spid="_x0000_s2050"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51" o:spid="_x0000_s2051"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2052" o:spid="_x0000_s2052"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rsids>
    <w:rsidRoot w:val="00000000"/>
    <w:rsid w:val="00B17255"/>
    <w:rsid w:val="0D5D0813"/>
    <w:rsid w:val="1096211F"/>
    <w:rsid w:val="12B0526C"/>
    <w:rsid w:val="1B5B59E4"/>
    <w:rsid w:val="1E5D3499"/>
    <w:rsid w:val="215419BD"/>
    <w:rsid w:val="23AD259E"/>
    <w:rsid w:val="40B029AE"/>
    <w:rsid w:val="42CC1129"/>
    <w:rsid w:val="44D5305F"/>
    <w:rsid w:val="6C2471FE"/>
    <w:rsid w:val="7E4D500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Normal_57934d1d-82ee-4ab9-b920-7e081185ebe0"/>
    <w:qFormat/>
    <w:uiPriority w:val="0"/>
    <w:rPr>
      <w:rFonts w:ascii="Times New Roman" w:hAnsi="Times New Roman" w:eastAsia="Times New Roman" w:cstheme="minorBidi"/>
      <w:sz w:val="24"/>
      <w:szCs w:val="24"/>
      <w:lang w:val="en-US" w:eastAsia="uk-UA" w:bidi="ar-SA"/>
    </w:rPr>
  </w:style>
  <w:style w:type="paragraph" w:customStyle="1" w:styleId="29">
    <w:name w:val="单元格样式1_71bb1389-24cc-4e8c-b3fa-5a78c07e1c7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0">
    <w:name w:val="单元格样式2_816b5a1a-f065-450f-aded-1247234ee7c6"/>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1">
    <w:name w:val="单元格样式3_c83d86f2-1a83-49e2-94f0-0cf5801d618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049" textRotate="1"/>
    <customShpInfo spid="_x0000_s2050" textRotate="1"/>
    <customShpInfo spid="_x0000_s2051" textRotate="1"/>
    <customShpInfo spid="_x0000_s2052" textRotate="1"/>
  </customShpExt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2022-02-14T17:25:29Z</dcterms:created>
  <dcterms:modified xsi:type="dcterms:W3CDTF">2022-02-14T09:25:29Z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2022-02-14T17:25:21Z</dcterms:created>
  <dcterms:modified xsi:type="dcterms:W3CDTF">2022-02-14T09:25:21Z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2022-02-14T17:25:23Z</dcterms:created>
  <dcterms:modified xsi:type="dcterms:W3CDTF">2022-02-14T09:25:23Z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2022-02-14T17:25:28Z</dcterms:created>
  <dcterms:modified xsi:type="dcterms:W3CDTF">2022-02-14T09:25:28Z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3dde56-426d-4868-9c8f-7dc21d2da796}">
  <ds:schemaRefs/>
</ds:datastoreItem>
</file>

<file path=customXml/itemProps3.xml><?xml version="1.0" encoding="utf-8"?>
<ds:datastoreItem xmlns:ds="http://schemas.openxmlformats.org/officeDocument/2006/customXml" ds:itemID="{ca8c4406-dbd0-40a3-914a-1aa9c3345c75}">
  <ds:schemaRefs/>
</ds:datastoreItem>
</file>

<file path=customXml/itemProps4.xml><?xml version="1.0" encoding="utf-8"?>
<ds:datastoreItem xmlns:ds="http://schemas.openxmlformats.org/officeDocument/2006/customXml" ds:itemID="{838e5cb7-87f9-475a-99ac-2666b4c1778c}">
  <ds:schemaRefs/>
</ds:datastoreItem>
</file>

<file path=customXml/itemProps5.xml><?xml version="1.0" encoding="utf-8"?>
<ds:datastoreItem xmlns:ds="http://schemas.openxmlformats.org/officeDocument/2006/customXml" ds:itemID="{262933b1-3b1b-472a-ac0a-b8323d543649}">
  <ds:schemaRefs/>
</ds:datastoreItem>
</file>

<file path=customXml/itemProps6.xml><?xml version="1.0" encoding="utf-8"?>
<ds:datastoreItem xmlns:ds="http://schemas.openxmlformats.org/officeDocument/2006/customXml" ds:itemID="{486fcc43-e919-4a09-8104-284092bfe47b}">
  <ds:schemaRefs/>
</ds:datastoreItem>
</file>

<file path=customXml/itemProps7.xml><?xml version="1.0" encoding="utf-8"?>
<ds:datastoreItem xmlns:ds="http://schemas.openxmlformats.org/officeDocument/2006/customXml" ds:itemID="{c26aea3c-8b35-41fa-9018-33c402d37523}">
  <ds:schemaRefs/>
</ds:datastoreItem>
</file>

<file path=customXml/itemProps8.xml><?xml version="1.0" encoding="utf-8"?>
<ds:datastoreItem xmlns:ds="http://schemas.openxmlformats.org/officeDocument/2006/customXml" ds:itemID="{aa45561b-f8e2-4e10-9ee6-a4d5c2316776}">
  <ds:schemaRefs/>
</ds:datastoreItem>
</file>

<file path=customXml/itemProps9.xml><?xml version="1.0" encoding="utf-8"?>
<ds:datastoreItem xmlns:ds="http://schemas.openxmlformats.org/officeDocument/2006/customXml" ds:itemID="{963db051-7836-4d9b-8ff5-e7ee9511390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2022-02-14T17:25:00Z</dcterms:created>
  <dc:creator>Administrator</dc:creator>
  <cp:lastModifiedBy>Administrator</cp:lastModifiedBy>
  <dcterms:modified xsi:type="dcterms:W3CDTF">2023-09-04T08:59:45Z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