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sz w:val="44"/>
        </w:rPr>
        <w:t>2022年部门预算信息公开目录</w:t>
      </w:r>
    </w:p>
    <w:p>
      <w:pPr>
        <w:jc w:val="center"/>
      </w:pPr>
      <w:r>
        <w:rPr>
          <w:rFonts w:ascii="黑体" w:eastAsia="黑体" w:cs="黑体" w:hAnsi="黑体"/>
          <w:b/>
          <w:sz w:val="30"/>
        </w:rPr>
        <w:t xml:space="preserve"> </w:t>
      </w:r>
    </w:p>
    <w:p>
      <w:pPr>
        <w:jc w:val="center"/>
      </w:pPr>
      <w:r>
        <w:rPr>
          <w:rFonts w:ascii="黑体" w:eastAsia="黑体" w:cs="黑体" w:hAnsi="黑体"/>
          <w:b/>
          <w:sz w:val="30"/>
        </w:rPr>
        <w:t>第一部分  部门预算</w:t>
      </w:r>
    </w:p>
    <w:p>
      <w:r>
        <w:rPr>
          <w:rFonts w:ascii="方正楷体_GBK" w:eastAsia="方正楷体_GBK" w:cs="方正楷体_GBK" w:hAnsi="方正楷体_GBK"/>
          <w:b/>
          <w:sz w:val="28"/>
        </w:rPr>
        <w:t>部门预算公开表</w:t>
      </w:r>
    </w:p>
    <w:p>
      <w:pPr>
        <w:pStyle w:val="44"/>
        <w:tabs>
          <w:tab w:val="right" w:leader="dot" w:pos="14562"/>
        </w:tabs>
        <w:rPr>
          <w:color w:val="auto"/>
        </w:rPr>
      </w:pPr>
      <w:r>
        <w:rPr>
          <w:color w:val="auto"/>
        </w:rPr>
        <w:fldChar w:fldCharType="begin"/>
      </w:r>
      <w:r>
        <w:rPr>
          <w:color w:val="auto"/>
        </w:rPr>
        <w:instrText xml:space="preserve">TOC \o "2-2" \h \z \u </w:instrText>
      </w:r>
      <w:r>
        <w:rPr>
          <w:color w:val="auto"/>
        </w:rPr>
        <w:fldChar w:fldCharType="separate"/>
      </w:r>
      <w:r>
        <w:fldChar w:fldCharType="begin"/>
      </w:r>
      <w:r>
        <w:instrText>Hyperlink \l "_Toc_2_2_0000000001"</w:instrText>
      </w:r>
      <w:r>
        <w:fldChar w:fldCharType="separate"/>
      </w:r>
      <w:r>
        <w:rPr>
          <w:color w:val="auto"/>
        </w:rPr>
        <w:t>部门预算收支总表</w:t>
        <w:tab/>
      </w:r>
      <w:r>
        <w:rPr>
          <w:color w:val="auto"/>
        </w:rPr>
        <w:fldChar w:fldCharType="begin"/>
      </w:r>
      <w:r>
        <w:rPr>
          <w:color w:val="auto"/>
        </w:rPr>
        <w:instrText>PAGEREF _Toc_2_2_0000000001 \h</w:instrText>
      </w:r>
      <w:r>
        <w:rPr>
          <w:color w:val="auto"/>
        </w:rPr>
        <w:fldChar w:fldCharType="separate"/>
      </w:r>
      <w:r>
        <w:rPr>
          <w:color w:val="auto"/>
        </w:rPr>
        <w:t>2</w:t>
      </w:r>
      <w:r>
        <w:rPr>
          <w:color w:val="auto"/>
        </w:rPr>
        <w:fldChar w:fldCharType="end"/>
      </w:r>
      <w:r>
        <w:fldChar w:fldCharType="end"/>
      </w:r>
    </w:p>
    <w:p>
      <w:pPr>
        <w:pStyle w:val="44"/>
        <w:tabs>
          <w:tab w:val="right" w:leader="dot" w:pos="14562"/>
        </w:tabs>
        <w:rPr>
          <w:color w:val="auto"/>
        </w:rPr>
      </w:pPr>
      <w:r>
        <w:fldChar w:fldCharType="begin"/>
      </w:r>
      <w:r>
        <w:instrText>Hyperlink \l "_Toc_2_2_0000000002"</w:instrText>
      </w:r>
      <w:r>
        <w:fldChar w:fldCharType="separate"/>
      </w:r>
      <w:r>
        <w:rPr>
          <w:color w:val="auto"/>
        </w:rPr>
        <w:t>部门预算收入总表</w:t>
        <w:tab/>
      </w:r>
      <w:r>
        <w:rPr>
          <w:color w:val="auto"/>
        </w:rPr>
        <w:fldChar w:fldCharType="begin"/>
      </w:r>
      <w:r>
        <w:rPr>
          <w:color w:val="auto"/>
        </w:rPr>
        <w:instrText>PAGEREF _Toc_2_2_0000000002 \h</w:instrText>
      </w:r>
      <w:r>
        <w:rPr>
          <w:color w:val="auto"/>
        </w:rPr>
        <w:fldChar w:fldCharType="separate"/>
      </w:r>
      <w:r>
        <w:rPr>
          <w:color w:val="auto"/>
        </w:rPr>
        <w:t>4</w:t>
      </w:r>
      <w:r>
        <w:rPr>
          <w:color w:val="auto"/>
        </w:rPr>
        <w:fldChar w:fldCharType="end"/>
      </w:r>
      <w:r>
        <w:fldChar w:fldCharType="end"/>
      </w:r>
    </w:p>
    <w:p>
      <w:pPr>
        <w:pStyle w:val="44"/>
        <w:tabs>
          <w:tab w:val="right" w:leader="dot" w:pos="14562"/>
        </w:tabs>
        <w:rPr>
          <w:color w:val="auto"/>
        </w:rPr>
      </w:pPr>
      <w:r>
        <w:fldChar w:fldCharType="begin"/>
      </w:r>
      <w:r>
        <w:instrText>Hyperlink \l "_Toc_2_2_0000000003"</w:instrText>
      </w:r>
      <w:r>
        <w:fldChar w:fldCharType="separate"/>
      </w:r>
      <w:r>
        <w:rPr>
          <w:color w:val="auto"/>
        </w:rPr>
        <w:t>部门预算支出总表</w:t>
        <w:tab/>
      </w:r>
      <w:r>
        <w:rPr>
          <w:color w:val="auto"/>
        </w:rPr>
        <w:fldChar w:fldCharType="begin"/>
      </w:r>
      <w:r>
        <w:rPr>
          <w:color w:val="auto"/>
        </w:rPr>
        <w:instrText>PAGEREF _Toc_2_2_0000000003 \h</w:instrText>
      </w:r>
      <w:r>
        <w:rPr>
          <w:color w:val="auto"/>
        </w:rPr>
        <w:fldChar w:fldCharType="separate"/>
      </w:r>
      <w:r>
        <w:rPr>
          <w:color w:val="auto"/>
        </w:rPr>
        <w:t>5</w:t>
      </w:r>
      <w:r>
        <w:rPr>
          <w:color w:val="auto"/>
        </w:rPr>
        <w:fldChar w:fldCharType="end"/>
      </w:r>
      <w:r>
        <w:fldChar w:fldCharType="end"/>
      </w:r>
    </w:p>
    <w:p>
      <w:pPr>
        <w:pStyle w:val="44"/>
        <w:tabs>
          <w:tab w:val="right" w:leader="dot" w:pos="14562"/>
        </w:tabs>
        <w:rPr>
          <w:color w:val="auto"/>
        </w:rPr>
      </w:pPr>
      <w:r>
        <w:fldChar w:fldCharType="begin"/>
      </w:r>
      <w:r>
        <w:instrText>Hyperlink \l "_Toc_2_2_0000000004"</w:instrText>
      </w:r>
      <w:r>
        <w:fldChar w:fldCharType="separate"/>
      </w:r>
      <w:r>
        <w:rPr>
          <w:color w:val="auto"/>
        </w:rPr>
        <w:t>部门预算财政拨款收支总表</w:t>
        <w:tab/>
      </w:r>
      <w:r>
        <w:rPr>
          <w:color w:val="auto"/>
        </w:rPr>
        <w:fldChar w:fldCharType="begin"/>
      </w:r>
      <w:r>
        <w:rPr>
          <w:color w:val="auto"/>
        </w:rPr>
        <w:instrText>PAGEREF _Toc_2_2_0000000004 \h</w:instrText>
      </w:r>
      <w:r>
        <w:rPr>
          <w:color w:val="auto"/>
        </w:rPr>
        <w:fldChar w:fldCharType="separate"/>
      </w:r>
      <w:r>
        <w:rPr>
          <w:color w:val="auto"/>
        </w:rPr>
        <w:t>6</w:t>
      </w:r>
      <w:r>
        <w:rPr>
          <w:color w:val="auto"/>
        </w:rPr>
        <w:fldChar w:fldCharType="end"/>
      </w:r>
      <w:r>
        <w:fldChar w:fldCharType="end"/>
      </w:r>
    </w:p>
    <w:p>
      <w:pPr>
        <w:pStyle w:val="44"/>
        <w:tabs>
          <w:tab w:val="right" w:leader="dot" w:pos="14562"/>
        </w:tabs>
        <w:rPr>
          <w:color w:val="auto"/>
        </w:rPr>
      </w:pPr>
      <w:r>
        <w:fldChar w:fldCharType="begin"/>
      </w:r>
      <w:r>
        <w:instrText>Hyperlink \l "_Toc_2_2_0000000005"</w:instrText>
      </w:r>
      <w:r>
        <w:fldChar w:fldCharType="separate"/>
      </w:r>
      <w:r>
        <w:rPr>
          <w:color w:val="auto"/>
        </w:rPr>
        <w:t>部门预算一般公共预算财政拨款支出表</w:t>
        <w:tab/>
      </w:r>
      <w:r>
        <w:rPr>
          <w:color w:val="auto"/>
        </w:rPr>
        <w:fldChar w:fldCharType="begin"/>
      </w:r>
      <w:r>
        <w:rPr>
          <w:color w:val="auto"/>
        </w:rPr>
        <w:instrText>PAGEREF _Toc_2_2_0000000005 \h</w:instrText>
      </w:r>
      <w:r>
        <w:rPr>
          <w:color w:val="auto"/>
        </w:rPr>
        <w:fldChar w:fldCharType="separate"/>
      </w:r>
      <w:r>
        <w:rPr>
          <w:color w:val="auto"/>
        </w:rPr>
        <w:t>8</w:t>
      </w:r>
      <w:r>
        <w:rPr>
          <w:color w:val="auto"/>
        </w:rPr>
        <w:fldChar w:fldCharType="end"/>
      </w:r>
      <w:r>
        <w:fldChar w:fldCharType="end"/>
      </w:r>
    </w:p>
    <w:p>
      <w:pPr>
        <w:pStyle w:val="44"/>
        <w:tabs>
          <w:tab w:val="right" w:leader="dot" w:pos="14562"/>
        </w:tabs>
        <w:rPr>
          <w:color w:val="auto"/>
        </w:rPr>
      </w:pPr>
      <w:r>
        <w:fldChar w:fldCharType="begin"/>
      </w:r>
      <w:r>
        <w:instrText>Hyperlink \l "_Toc_2_2_0000000006"</w:instrText>
      </w:r>
      <w:r>
        <w:fldChar w:fldCharType="separate"/>
      </w:r>
      <w:r>
        <w:rPr>
          <w:color w:val="auto"/>
        </w:rPr>
        <w:t>部门预算一般公共预算财政拨款基本支出表</w:t>
        <w:tab/>
      </w:r>
      <w:r>
        <w:rPr>
          <w:color w:val="auto"/>
        </w:rPr>
        <w:fldChar w:fldCharType="begin"/>
      </w:r>
      <w:r>
        <w:rPr>
          <w:color w:val="auto"/>
        </w:rPr>
        <w:instrText>PAGEREF _Toc_2_2_0000000006 \h</w:instrText>
      </w:r>
      <w:r>
        <w:rPr>
          <w:color w:val="auto"/>
        </w:rPr>
        <w:fldChar w:fldCharType="separate"/>
      </w:r>
      <w:r>
        <w:rPr>
          <w:color w:val="auto"/>
        </w:rPr>
        <w:t>9</w:t>
      </w:r>
      <w:r>
        <w:rPr>
          <w:color w:val="auto"/>
        </w:rPr>
        <w:fldChar w:fldCharType="end"/>
      </w:r>
      <w:r>
        <w:fldChar w:fldCharType="end"/>
      </w:r>
    </w:p>
    <w:p>
      <w:pPr>
        <w:pStyle w:val="44"/>
        <w:tabs>
          <w:tab w:val="right" w:leader="dot" w:pos="14562"/>
        </w:tabs>
        <w:rPr>
          <w:color w:val="auto"/>
        </w:rPr>
      </w:pPr>
      <w:r>
        <w:fldChar w:fldCharType="begin"/>
      </w:r>
      <w:r>
        <w:instrText>Hyperlink \l "_Toc_2_2_0000000007"</w:instrText>
      </w:r>
      <w:r>
        <w:fldChar w:fldCharType="separate"/>
      </w:r>
      <w:r>
        <w:rPr>
          <w:color w:val="auto"/>
        </w:rPr>
        <w:t>部门预算政府基金预算财政拨款支出表</w:t>
        <w:tab/>
      </w:r>
      <w:r>
        <w:rPr>
          <w:color w:val="auto"/>
        </w:rPr>
        <w:fldChar w:fldCharType="begin"/>
      </w:r>
      <w:r>
        <w:rPr>
          <w:color w:val="auto"/>
        </w:rPr>
        <w:instrText>PAGEREF _Toc_2_2_0000000007 \h</w:instrText>
      </w:r>
      <w:r>
        <w:rPr>
          <w:color w:val="auto"/>
        </w:rPr>
        <w:fldChar w:fldCharType="separate"/>
      </w:r>
      <w:r>
        <w:rPr>
          <w:color w:val="auto"/>
        </w:rPr>
        <w:t>10</w:t>
      </w:r>
      <w:r>
        <w:rPr>
          <w:color w:val="auto"/>
        </w:rPr>
        <w:fldChar w:fldCharType="end"/>
      </w:r>
      <w:r>
        <w:fldChar w:fldCharType="end"/>
      </w:r>
    </w:p>
    <w:p>
      <w:pPr>
        <w:pStyle w:val="44"/>
        <w:tabs>
          <w:tab w:val="right" w:leader="dot" w:pos="14562"/>
        </w:tabs>
        <w:rPr>
          <w:color w:val="auto"/>
        </w:rPr>
      </w:pPr>
      <w:r>
        <w:fldChar w:fldCharType="begin"/>
      </w:r>
      <w:r>
        <w:instrText>Hyperlink \l "_Toc_2_2_0000000008"</w:instrText>
      </w:r>
      <w:r>
        <w:fldChar w:fldCharType="separate"/>
      </w:r>
      <w:r>
        <w:rPr>
          <w:color w:val="auto"/>
        </w:rPr>
        <w:t>部门预算国有资本经营预算财政拨款支出表</w:t>
        <w:tab/>
      </w:r>
      <w:r>
        <w:rPr>
          <w:color w:val="auto"/>
        </w:rPr>
        <w:fldChar w:fldCharType="begin"/>
      </w:r>
      <w:r>
        <w:rPr>
          <w:color w:val="auto"/>
        </w:rPr>
        <w:instrText>PAGEREF _Toc_2_2_0000000008 \h</w:instrText>
      </w:r>
      <w:r>
        <w:rPr>
          <w:color w:val="auto"/>
        </w:rPr>
        <w:fldChar w:fldCharType="separate"/>
      </w:r>
      <w:r>
        <w:rPr>
          <w:color w:val="auto"/>
        </w:rPr>
        <w:t>11</w:t>
      </w:r>
      <w:r>
        <w:rPr>
          <w:color w:val="auto"/>
        </w:rPr>
        <w:fldChar w:fldCharType="end"/>
      </w:r>
      <w:r>
        <w:fldChar w:fldCharType="end"/>
      </w:r>
    </w:p>
    <w:p>
      <w:pPr>
        <w:pStyle w:val="44"/>
        <w:tabs>
          <w:tab w:val="right" w:leader="dot" w:pos="14562"/>
        </w:tabs>
        <w:rPr>
          <w:color w:val="auto"/>
        </w:rPr>
      </w:pPr>
      <w:r>
        <w:fldChar w:fldCharType="begin"/>
      </w:r>
      <w:r>
        <w:instrText>Hyperlink \l "_Toc_2_2_0000000009"</w:instrText>
      </w:r>
      <w:r>
        <w:fldChar w:fldCharType="separate"/>
      </w:r>
      <w:r>
        <w:rPr>
          <w:color w:val="auto"/>
        </w:rPr>
        <w:t>部门预算财政拨款“三公”经费支出表</w:t>
        <w:tab/>
      </w:r>
      <w:r>
        <w:rPr>
          <w:color w:val="auto"/>
        </w:rPr>
        <w:fldChar w:fldCharType="begin"/>
      </w:r>
      <w:r>
        <w:rPr>
          <w:color w:val="auto"/>
        </w:rPr>
        <w:instrText>PAGEREF _Toc_2_2_0000000009 \h</w:instrText>
      </w:r>
      <w:r>
        <w:rPr>
          <w:color w:val="auto"/>
        </w:rPr>
        <w:fldChar w:fldCharType="separate"/>
      </w:r>
      <w:r>
        <w:rPr>
          <w:color w:val="auto"/>
        </w:rPr>
        <w:t>12</w:t>
      </w:r>
      <w:r>
        <w:rPr>
          <w:color w:val="auto"/>
        </w:rPr>
        <w:fldChar w:fldCharType="end"/>
      </w:r>
      <w:r>
        <w:fldChar w:fldCharType="end"/>
      </w:r>
    </w:p>
    <w:p>
      <w:r>
        <w:fldChar w:fldCharType="end"/>
      </w:r>
    </w:p>
    <w:p>
      <w:r>
        <w:rPr>
          <w:rFonts w:ascii="方正楷体_GBK" w:eastAsia="方正楷体_GBK" w:cs="方正楷体_GBK" w:hAnsi="方正楷体_GBK"/>
          <w:b/>
          <w:sz w:val="28"/>
        </w:rPr>
        <w:t>部门预算信息公开情况说明</w:t>
      </w:r>
    </w:p>
    <w:p>
      <w:pPr>
        <w:pStyle w:val="44"/>
        <w:tabs>
          <w:tab w:val="right" w:leader="dot" w:pos="14562"/>
        </w:tabs>
        <w:rPr>
          <w:color w:val="auto"/>
        </w:rPr>
      </w:pPr>
      <w:r>
        <w:rPr>
          <w:color w:val="auto"/>
        </w:rPr>
        <w:fldChar w:fldCharType="begin"/>
      </w:r>
      <w:r>
        <w:rPr>
          <w:color w:val="auto"/>
        </w:rPr>
        <w:instrText xml:space="preserve">TOC \o "3-3" \h \z \u </w:instrText>
      </w:r>
      <w:r>
        <w:rPr>
          <w:color w:val="auto"/>
        </w:rPr>
        <w:fldChar w:fldCharType="separate"/>
      </w:r>
      <w:r>
        <w:fldChar w:fldCharType="begin"/>
      </w:r>
      <w:r>
        <w:instrText>Hyperlink \l "_Toc_3_3_0000000010"</w:instrText>
      </w:r>
      <w:r>
        <w:fldChar w:fldCharType="separate"/>
      </w:r>
      <w:r>
        <w:rPr>
          <w:color w:val="auto"/>
        </w:rPr>
        <w:t>一、部门职责及机构设置情况</w:t>
        <w:tab/>
      </w:r>
      <w:r>
        <w:rPr>
          <w:color w:val="auto"/>
        </w:rPr>
        <w:fldChar w:fldCharType="begin"/>
      </w:r>
      <w:r>
        <w:rPr>
          <w:color w:val="auto"/>
        </w:rPr>
        <w:instrText>PAGEREF _Toc_3_3_0000000010 \h</w:instrText>
      </w:r>
      <w:r>
        <w:rPr>
          <w:color w:val="auto"/>
        </w:rPr>
        <w:fldChar w:fldCharType="separate"/>
      </w:r>
      <w:r>
        <w:rPr>
          <w:color w:val="auto"/>
        </w:rPr>
        <w:t>13</w:t>
      </w:r>
      <w:r>
        <w:rPr>
          <w:color w:val="auto"/>
        </w:rPr>
        <w:fldChar w:fldCharType="end"/>
      </w:r>
      <w:r>
        <w:fldChar w:fldCharType="end"/>
      </w:r>
    </w:p>
    <w:p>
      <w:pPr>
        <w:pStyle w:val="44"/>
        <w:tabs>
          <w:tab w:val="right" w:leader="dot" w:pos="14562"/>
        </w:tabs>
        <w:rPr>
          <w:color w:val="auto"/>
        </w:rPr>
      </w:pPr>
      <w:r>
        <w:fldChar w:fldCharType="begin"/>
      </w:r>
      <w:r>
        <w:instrText>Hyperlink \l "_Toc_3_3_0000000011"</w:instrText>
      </w:r>
      <w:r>
        <w:fldChar w:fldCharType="separate"/>
      </w:r>
      <w:r>
        <w:rPr>
          <w:color w:val="auto"/>
        </w:rPr>
        <w:t>二、部门预算安排的总体情况</w:t>
        <w:tab/>
      </w:r>
      <w:r>
        <w:rPr>
          <w:color w:val="auto"/>
        </w:rPr>
        <w:fldChar w:fldCharType="begin"/>
      </w:r>
      <w:r>
        <w:rPr>
          <w:color w:val="auto"/>
        </w:rPr>
        <w:instrText>PAGEREF _Toc_3_3_0000000011 \h</w:instrText>
      </w:r>
      <w:r>
        <w:rPr>
          <w:color w:val="auto"/>
        </w:rPr>
        <w:fldChar w:fldCharType="separate"/>
      </w:r>
      <w:r>
        <w:rPr>
          <w:color w:val="auto"/>
        </w:rPr>
        <w:t>14</w:t>
      </w:r>
      <w:r>
        <w:rPr>
          <w:color w:val="auto"/>
        </w:rPr>
        <w:fldChar w:fldCharType="end"/>
      </w:r>
      <w:r>
        <w:fldChar w:fldCharType="end"/>
      </w:r>
    </w:p>
    <w:p>
      <w:pPr>
        <w:pStyle w:val="44"/>
        <w:tabs>
          <w:tab w:val="right" w:leader="dot" w:pos="14562"/>
        </w:tabs>
        <w:rPr>
          <w:color w:val="auto"/>
        </w:rPr>
      </w:pPr>
      <w:r>
        <w:fldChar w:fldCharType="begin"/>
      </w:r>
      <w:r>
        <w:instrText>Hyperlink \l "_Toc_3_3_0000000012"</w:instrText>
      </w:r>
      <w:r>
        <w:fldChar w:fldCharType="separate"/>
      </w:r>
      <w:r>
        <w:rPr>
          <w:color w:val="auto"/>
        </w:rPr>
        <w:t>三、机关运行经费安排情况</w:t>
        <w:tab/>
      </w:r>
      <w:r>
        <w:rPr>
          <w:color w:val="auto"/>
        </w:rPr>
        <w:fldChar w:fldCharType="begin"/>
      </w:r>
      <w:r>
        <w:rPr>
          <w:color w:val="auto"/>
        </w:rPr>
        <w:instrText>PAGEREF _Toc_3_3_0000000012 \h</w:instrText>
      </w:r>
      <w:r>
        <w:rPr>
          <w:color w:val="auto"/>
        </w:rPr>
        <w:fldChar w:fldCharType="separate"/>
      </w:r>
      <w:r>
        <w:rPr>
          <w:color w:val="auto"/>
        </w:rPr>
        <w:t>15</w:t>
      </w:r>
      <w:r>
        <w:rPr>
          <w:color w:val="auto"/>
        </w:rPr>
        <w:fldChar w:fldCharType="end"/>
      </w:r>
      <w:r>
        <w:fldChar w:fldCharType="end"/>
      </w:r>
    </w:p>
    <w:p>
      <w:pPr>
        <w:pStyle w:val="44"/>
        <w:tabs>
          <w:tab w:val="right" w:leader="dot" w:pos="14562"/>
        </w:tabs>
        <w:rPr>
          <w:color w:val="auto"/>
        </w:rPr>
      </w:pPr>
      <w:r>
        <w:fldChar w:fldCharType="begin"/>
      </w:r>
      <w:r>
        <w:instrText>Hyperlink \l "_Toc_3_3_0000000013"</w:instrText>
      </w:r>
      <w:r>
        <w:fldChar w:fldCharType="separate"/>
      </w:r>
      <w:r>
        <w:rPr>
          <w:color w:val="auto"/>
        </w:rPr>
        <w:t>四、财政拨款“三公”经费预算情况及增减变化原因</w:t>
        <w:tab/>
      </w:r>
      <w:r>
        <w:rPr>
          <w:color w:val="auto"/>
        </w:rPr>
        <w:fldChar w:fldCharType="begin"/>
      </w:r>
      <w:r>
        <w:rPr>
          <w:color w:val="auto"/>
        </w:rPr>
        <w:instrText>PAGEREF _Toc_3_3_0000000013 \h</w:instrText>
      </w:r>
      <w:r>
        <w:rPr>
          <w:color w:val="auto"/>
        </w:rPr>
        <w:fldChar w:fldCharType="separate"/>
      </w:r>
      <w:r>
        <w:rPr>
          <w:color w:val="auto"/>
        </w:rPr>
        <w:t>15</w:t>
      </w:r>
      <w:r>
        <w:rPr>
          <w:color w:val="auto"/>
        </w:rPr>
        <w:fldChar w:fldCharType="end"/>
      </w:r>
      <w:r>
        <w:fldChar w:fldCharType="end"/>
      </w:r>
    </w:p>
    <w:p>
      <w:pPr>
        <w:pStyle w:val="44"/>
        <w:tabs>
          <w:tab w:val="right" w:leader="dot" w:pos="14562"/>
        </w:tabs>
        <w:rPr>
          <w:color w:val="auto"/>
        </w:rPr>
      </w:pPr>
      <w:r>
        <w:fldChar w:fldCharType="begin"/>
      </w:r>
      <w:r>
        <w:instrText>Hyperlink \l "_Toc_3_3_0000000014"</w:instrText>
      </w:r>
      <w:r>
        <w:fldChar w:fldCharType="separate"/>
      </w:r>
      <w:r>
        <w:rPr>
          <w:color w:val="auto"/>
        </w:rPr>
        <w:t>五、预算绩效信息</w:t>
        <w:tab/>
      </w:r>
      <w:r>
        <w:rPr>
          <w:color w:val="auto"/>
        </w:rPr>
        <w:fldChar w:fldCharType="begin"/>
      </w:r>
      <w:r>
        <w:rPr>
          <w:color w:val="auto"/>
        </w:rPr>
        <w:instrText>PAGEREF _Toc_3_3_0000000014 \h</w:instrText>
      </w:r>
      <w:r>
        <w:rPr>
          <w:color w:val="auto"/>
        </w:rPr>
        <w:fldChar w:fldCharType="separate"/>
      </w:r>
      <w:r>
        <w:rPr>
          <w:color w:val="auto"/>
        </w:rPr>
        <w:t>15</w:t>
      </w:r>
      <w:r>
        <w:rPr>
          <w:color w:val="auto"/>
        </w:rPr>
        <w:fldChar w:fldCharType="end"/>
      </w:r>
      <w:r>
        <w:fldChar w:fldCharType="end"/>
      </w:r>
    </w:p>
    <w:p>
      <w:pPr>
        <w:pStyle w:val="44"/>
        <w:tabs>
          <w:tab w:val="right" w:leader="dot" w:pos="14562"/>
        </w:tabs>
        <w:rPr>
          <w:color w:val="auto"/>
        </w:rPr>
      </w:pPr>
      <w:r>
        <w:fldChar w:fldCharType="begin"/>
      </w:r>
      <w:r>
        <w:instrText>Hyperlink \l "_Toc_3_3_0000000015"</w:instrText>
      </w:r>
      <w:r>
        <w:fldChar w:fldCharType="separate"/>
      </w:r>
      <w:r>
        <w:rPr>
          <w:color w:val="auto"/>
        </w:rPr>
        <w:t>六、政府采购预算情况</w:t>
        <w:tab/>
      </w:r>
      <w:r>
        <w:rPr>
          <w:color w:val="auto"/>
        </w:rPr>
        <w:fldChar w:fldCharType="begin"/>
      </w:r>
      <w:r>
        <w:rPr>
          <w:color w:val="auto"/>
        </w:rPr>
        <w:instrText>PAGEREF _Toc_3_3_0000000015 \h</w:instrText>
      </w:r>
      <w:r>
        <w:rPr>
          <w:color w:val="auto"/>
        </w:rPr>
        <w:fldChar w:fldCharType="separate"/>
      </w:r>
      <w:r>
        <w:rPr>
          <w:color w:val="auto"/>
        </w:rPr>
        <w:t>21</w:t>
      </w:r>
      <w:r>
        <w:rPr>
          <w:color w:val="auto"/>
        </w:rPr>
        <w:fldChar w:fldCharType="end"/>
      </w:r>
      <w:r>
        <w:fldChar w:fldCharType="end"/>
      </w:r>
    </w:p>
    <w:p>
      <w:pPr>
        <w:pStyle w:val="44"/>
        <w:tabs>
          <w:tab w:val="right" w:leader="dot" w:pos="14562"/>
        </w:tabs>
        <w:rPr>
          <w:color w:val="auto"/>
        </w:rPr>
      </w:pPr>
      <w:r>
        <w:fldChar w:fldCharType="begin"/>
      </w:r>
      <w:r>
        <w:instrText>Hyperlink \l "_Toc_3_3_0000000016"</w:instrText>
      </w:r>
      <w:r>
        <w:fldChar w:fldCharType="separate"/>
      </w:r>
      <w:r>
        <w:rPr>
          <w:color w:val="auto"/>
        </w:rPr>
        <w:t>七、国有资产信息</w:t>
        <w:tab/>
      </w:r>
      <w:r>
        <w:rPr>
          <w:color w:val="auto"/>
        </w:rPr>
        <w:fldChar w:fldCharType="begin"/>
      </w:r>
      <w:r>
        <w:rPr>
          <w:color w:val="auto"/>
        </w:rPr>
        <w:instrText>PAGEREF _Toc_3_3_0000000016 \h</w:instrText>
      </w:r>
      <w:r>
        <w:rPr>
          <w:color w:val="auto"/>
        </w:rPr>
        <w:fldChar w:fldCharType="separate"/>
      </w:r>
      <w:r>
        <w:rPr>
          <w:color w:val="auto"/>
        </w:rPr>
        <w:t>21</w:t>
      </w:r>
      <w:r>
        <w:rPr>
          <w:color w:val="auto"/>
        </w:rPr>
        <w:fldChar w:fldCharType="end"/>
      </w:r>
      <w:r>
        <w:fldChar w:fldCharType="end"/>
      </w:r>
    </w:p>
    <w:p>
      <w:pPr>
        <w:pStyle w:val="44"/>
        <w:tabs>
          <w:tab w:val="right" w:leader="dot" w:pos="14562"/>
        </w:tabs>
        <w:rPr>
          <w:color w:val="auto"/>
        </w:rPr>
      </w:pPr>
      <w:r>
        <w:fldChar w:fldCharType="begin"/>
      </w:r>
      <w:r>
        <w:instrText>Hyperlink \l "_Toc_3_3_0000000017"</w:instrText>
      </w:r>
      <w:r>
        <w:fldChar w:fldCharType="separate"/>
      </w:r>
      <w:r>
        <w:rPr>
          <w:color w:val="auto"/>
        </w:rPr>
        <w:t>八、名词解释</w:t>
        <w:tab/>
      </w:r>
      <w:r>
        <w:rPr>
          <w:color w:val="auto"/>
        </w:rPr>
        <w:fldChar w:fldCharType="begin"/>
      </w:r>
      <w:r>
        <w:rPr>
          <w:color w:val="auto"/>
        </w:rPr>
        <w:instrText>PAGEREF _Toc_3_3_0000000017 \h</w:instrText>
      </w:r>
      <w:r>
        <w:rPr>
          <w:color w:val="auto"/>
        </w:rPr>
        <w:fldChar w:fldCharType="separate"/>
      </w:r>
      <w:r>
        <w:rPr>
          <w:color w:val="auto"/>
        </w:rPr>
        <w:t>22</w:t>
      </w:r>
      <w:r>
        <w:rPr>
          <w:color w:val="auto"/>
        </w:rPr>
        <w:fldChar w:fldCharType="end"/>
      </w:r>
      <w:r>
        <w:fldChar w:fldCharType="end"/>
      </w:r>
    </w:p>
    <w:p>
      <w:pPr>
        <w:pStyle w:val="44"/>
        <w:tabs>
          <w:tab w:val="right" w:leader="dot" w:pos="14562"/>
        </w:tabs>
        <w:rPr>
          <w:color w:val="auto"/>
        </w:rPr>
      </w:pPr>
      <w:r>
        <w:fldChar w:fldCharType="begin"/>
      </w:r>
      <w:r>
        <w:instrText>Hyperlink \l "_Toc_3_3_0000000018"</w:instrText>
      </w:r>
      <w:r>
        <w:fldChar w:fldCharType="separate"/>
      </w:r>
      <w:r>
        <w:rPr>
          <w:color w:val="auto"/>
        </w:rPr>
        <w:t>九、其他需要说明的事项</w:t>
        <w:tab/>
      </w:r>
      <w:r>
        <w:rPr>
          <w:color w:val="auto"/>
        </w:rPr>
        <w:fldChar w:fldCharType="begin"/>
      </w:r>
      <w:r>
        <w:rPr>
          <w:color w:val="auto"/>
        </w:rPr>
        <w:instrText>PAGEREF _Toc_3_3_0000000018 \h</w:instrText>
      </w:r>
      <w:r>
        <w:rPr>
          <w:color w:val="auto"/>
        </w:rPr>
        <w:fldChar w:fldCharType="separate"/>
      </w:r>
      <w:r>
        <w:rPr>
          <w:color w:val="auto"/>
        </w:rPr>
        <w:t>22</w:t>
      </w:r>
      <w:r>
        <w:rPr>
          <w:color w:val="auto"/>
        </w:rPr>
        <w:fldChar w:fldCharType="end"/>
      </w:r>
      <w:r>
        <w:fldChar w:fldCharType="end"/>
      </w:r>
    </w:p>
    <w:p>
      <w:r>
        <w:fldChar w:fldCharType="end"/>
      </w:r>
    </w:p>
    <w:p>
      <w:pPr>
        <w:jc w:val="center"/>
      </w:pPr>
      <w:r>
        <w:rPr>
          <w:rFonts w:ascii="黑体" w:eastAsia="黑体" w:cs="黑体" w:hAnsi="黑体"/>
          <w:b/>
          <w:sz w:val="30"/>
        </w:rPr>
        <w:t>第二部分  部门所属单位预算</w:t>
      </w:r>
    </w:p>
    <w:p>
      <w:pPr>
        <w:pStyle w:val="44"/>
        <w:tabs>
          <w:tab w:val="right" w:leader="dot" w:pos="14562"/>
        </w:tabs>
        <w:rPr>
          <w:color w:val="auto"/>
        </w:rPr>
      </w:pPr>
      <w:r>
        <w:rPr>
          <w:color w:val="auto"/>
        </w:rPr>
        <w:fldChar w:fldCharType="begin"/>
      </w:r>
      <w:r>
        <w:rPr>
          <w:color w:val="auto"/>
        </w:rPr>
        <w:instrText xml:space="preserve">TOC \o "4-4" \h \z \u </w:instrText>
      </w:r>
      <w:r>
        <w:rPr>
          <w:color w:val="auto"/>
        </w:rPr>
        <w:fldChar w:fldCharType="separate"/>
      </w:r>
      <w:r>
        <w:fldChar w:fldCharType="begin"/>
      </w:r>
      <w:r>
        <w:instrText>Hyperlink \l "_Toc_4_4_0000000019"</w:instrText>
      </w:r>
      <w:r>
        <w:fldChar w:fldCharType="separate"/>
      </w:r>
      <w:r>
        <w:rPr>
          <w:color w:val="auto"/>
        </w:rPr>
        <w:t>一、石家庄市藁城区信访局本级收支预算</w:t>
        <w:tab/>
      </w:r>
      <w:r>
        <w:rPr>
          <w:color w:val="auto"/>
        </w:rPr>
        <w:fldChar w:fldCharType="begin"/>
      </w:r>
      <w:r>
        <w:rPr>
          <w:color w:val="auto"/>
        </w:rPr>
        <w:instrText>PAGEREF _Toc_4_4_0000000019 \h</w:instrText>
      </w:r>
      <w:r>
        <w:rPr>
          <w:color w:val="auto"/>
        </w:rPr>
        <w:fldChar w:fldCharType="separate"/>
      </w:r>
      <w:r>
        <w:rPr>
          <w:color w:val="auto"/>
        </w:rPr>
        <w:t>24</w:t>
      </w:r>
      <w:r>
        <w:rPr>
          <w:color w:val="auto"/>
        </w:rP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outlineLvl w:val="0"/>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r>
        <w:rPr>
          <w:rFonts w:ascii="方正小标宋_GBK" w:eastAsia="方正小标宋_GBK" w:cs="方正小标宋_GBK" w:hAnsi="方正小标宋_GBK"/>
          <w:sz w:val="72"/>
        </w:rPr>
        <w:t>第一部分  部门预算</w:t>
      </w:r>
    </w:p>
    <w:p>
      <w:pPr>
        <w:jc w:val="center"/>
        <w:outlineLvl w:val="1"/>
      </w:pPr>
      <w:bookmarkStart w:id="0" w:name="_Toc_2_2_0000000001"/>
      <w:r>
        <w:rPr>
          <w:rFonts w:ascii="方正小标宋_GBK" w:eastAsia="方正小标宋_GBK" w:cs="方正小标宋_GBK" w:hAnsi="方正小标宋_GBK"/>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542石家庄市藁城区信访局</w:t>
            </w:r>
          </w:p>
        </w:tc>
        <w:tc>
          <w:tcPr>
            <w:tcW w:w="2126" w:type="dxa"/>
            <w:tcBorders>
              <w:top w:val="single" w:sz="6" w:space="0" w:color="FFFFFF"/>
              <w:left w:val="single" w:sz="6" w:space="0" w:color="FFFFFF"/>
              <w:right w:val="single" w:sz="6" w:space="0" w:color="FFFFFF"/>
            </w:tcBorders>
            <w:vAlign w:val="center"/>
          </w:tcPr>
          <w:p>
            <w:pPr>
              <w:pStyle w:val="16"/>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19"/>
            </w:pPr>
            <w:r>
              <w:t>364.07</w:t>
            </w:r>
          </w:p>
        </w:tc>
        <w:tc>
          <w:tcPr>
            <w:tcW w:w="4535" w:type="dxa"/>
            <w:tcBorders>
              <w:top w:val="single" w:sz="6" w:space="0" w:color="000000"/>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443.47</w:t>
            </w:r>
          </w:p>
        </w:tc>
      </w:tr>
      <w:tr>
        <w:trPr>
          <w:trHeight w:val="369"/>
        </w:trPr>
        <w:tc>
          <w:tcPr>
            <w:tcW w:w="850" w:type="dxa"/>
            <w:vAlign w:val="center"/>
          </w:tcPr>
          <w:p>
            <w:pPr>
              <w:pStyle w:val="21"/>
            </w:pPr>
            <w:r>
              <w:t>2</w:t>
            </w:r>
          </w:p>
        </w:tc>
        <w:tc>
          <w:tcPr>
            <w:tcW w:w="4535" w:type="dxa"/>
            <w:tcBorders>
              <w:top w:val="single" w:sz="6" w:space="0" w:color="000000"/>
              <w:left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right w:val="single" w:sz="6" w:space="0" w:color="000000"/>
            </w:tcBorders>
            <w:vAlign w:val="center"/>
          </w:tcPr>
          <w:p>
            <w:pPr>
              <w:pStyle w:val="20"/>
            </w:pPr>
            <w:r>
              <w:t>五、事业收入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right w:val="single" w:sz="6" w:space="0" w:color="000000"/>
            </w:tcBorders>
            <w:vAlign w:val="center"/>
          </w:tcPr>
          <w:p>
            <w:pPr>
              <w:pStyle w:val="20"/>
            </w:pPr>
            <w:r>
              <w:t>六、事业单位经营收入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right w:val="single" w:sz="6" w:space="0" w:color="000000"/>
            </w:tcBorders>
            <w:vAlign w:val="center"/>
          </w:tcPr>
          <w:p>
            <w:pPr>
              <w:pStyle w:val="20"/>
            </w:pPr>
            <w:r>
              <w:t>七、上级补助收入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right w:val="single" w:sz="6" w:space="0" w:color="000000"/>
            </w:tcBorders>
            <w:vAlign w:val="center"/>
          </w:tcPr>
          <w:p>
            <w:pPr>
              <w:pStyle w:val="20"/>
            </w:pPr>
            <w:r>
              <w:t>八、附属单位上缴收入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top w:val="single" w:sz="6" w:space="0" w:color="000000"/>
              <w:left w:val="single" w:sz="6" w:space="0" w:color="000000"/>
              <w:right w:val="single" w:sz="6" w:space="0" w:color="000000"/>
            </w:tcBorders>
            <w:vAlign w:val="center"/>
          </w:tcPr>
          <w:p>
            <w:pPr>
              <w:pStyle w:val="20"/>
            </w:pPr>
            <w:r>
              <w:t>九、其他收入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right w:val="single" w:sz="6" w:space="0" w:color="000000"/>
            </w:tcBorders>
            <w:vAlign w:val="center"/>
          </w:tcPr>
          <w:p>
            <w:pPr>
              <w:pStyle w:val="23"/>
            </w:pPr>
            <w:r>
              <w:t>364.07</w:t>
            </w:r>
          </w:p>
        </w:tc>
        <w:tc>
          <w:tcPr>
            <w:tcW w:w="4535" w:type="dxa"/>
            <w:tcBorders>
              <w:top w:val="single" w:sz="6" w:space="0" w:color="000000"/>
              <w:left w:val="single" w:sz="6" w:space="0" w:color="000000"/>
              <w:right w:val="single" w:sz="6" w:space="0" w:color="000000"/>
            </w:tcBorders>
            <w:vAlign w:val="center"/>
          </w:tcPr>
          <w:p>
            <w:pPr>
              <w:pStyle w:val="22"/>
            </w:pPr>
            <w:r>
              <w:t>本年支出合计</w:t>
            </w:r>
          </w:p>
        </w:tc>
        <w:tc>
          <w:tcPr>
            <w:tcW w:w="2126" w:type="dxa"/>
            <w:vAlign w:val="center"/>
          </w:tcPr>
          <w:p>
            <w:pPr>
              <w:pStyle w:val="23"/>
            </w:pPr>
            <w:r>
              <w:t>443.47</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right w:val="single" w:sz="6" w:space="0" w:color="000000"/>
            </w:tcBorders>
            <w:vAlign w:val="center"/>
          </w:tcPr>
          <w:p>
            <w:pPr>
              <w:pStyle w:val="19"/>
            </w:pPr>
            <w:r>
              <w:t>79.40</w:t>
            </w:r>
          </w:p>
        </w:tc>
        <w:tc>
          <w:tcPr>
            <w:tcW w:w="4535" w:type="dxa"/>
            <w:tcBorders>
              <w:top w:val="single" w:sz="6" w:space="0" w:color="000000"/>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right w:val="single" w:sz="6" w:space="0" w:color="000000"/>
            </w:tcBorders>
            <w:vAlign w:val="center"/>
          </w:tcPr>
          <w:p>
            <w:pPr>
              <w:pStyle w:val="23"/>
            </w:pPr>
            <w:r>
              <w:t>443.47</w:t>
            </w:r>
          </w:p>
        </w:tc>
        <w:tc>
          <w:tcPr>
            <w:tcW w:w="4535" w:type="dxa"/>
            <w:tcBorders>
              <w:top w:val="single" w:sz="6" w:space="0" w:color="000000"/>
              <w:left w:val="single" w:sz="6" w:space="0" w:color="000000"/>
              <w:right w:val="single" w:sz="6" w:space="0" w:color="000000"/>
            </w:tcBorders>
            <w:vAlign w:val="center"/>
          </w:tcPr>
          <w:p>
            <w:pPr>
              <w:pStyle w:val="22"/>
            </w:pPr>
            <w:r>
              <w:t>支出总计</w:t>
            </w:r>
          </w:p>
        </w:tc>
        <w:tc>
          <w:tcPr>
            <w:tcW w:w="2126" w:type="dxa"/>
            <w:vAlign w:val="center"/>
          </w:tcPr>
          <w:p>
            <w:pPr>
              <w:pStyle w:val="23"/>
            </w:pPr>
            <w:r>
              <w:t>443.47</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1" w:name="_Toc_2_2_0000000002"/>
      <w:r>
        <w:rPr>
          <w:rFonts w:ascii="方正小标宋_GBK" w:eastAsia="方正小标宋_GBK" w:cs="方正小标宋_GBK" w:hAnsi="方正小标宋_GBK"/>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542石家庄市藁城区信访局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18"/>
            </w:pPr>
            <w:r>
              <w:t>合计</w:t>
            </w:r>
          </w:p>
        </w:tc>
        <w:tc>
          <w:tcPr>
            <w:tcW w:w="9071" w:type="dxa"/>
            <w:gridSpan w:val="8"/>
            <w:tcBorders>
              <w:top w:val="single" w:sz="6" w:space="0" w:color="000000"/>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right w:val="single" w:sz="6" w:space="0" w:color="000000"/>
            </w:tcBorders>
            <w:vAlign w:val="center"/>
          </w:tcPr>
          <w:p>
            <w:pPr>
              <w:pStyle w:val="23"/>
            </w:pPr>
            <w:r>
              <w:t>443.47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vAlign w:val="center"/>
          </w:tcPr>
          <w:p>
            <w:pPr>
              <w:pStyle w:val="23"/>
            </w:pPr>
            <w:r>
              <w:t>79.40</w:t>
            </w:r>
          </w:p>
        </w:tc>
      </w:tr>
      <w:tr>
        <w:trPr>
          <w:trHeight w:val="369"/>
        </w:trPr>
        <w:tc>
          <w:tcPr>
            <w:tcW w:w="68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1559"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1559" w:type="dxa"/>
            <w:tcBorders>
              <w:top w:val="single" w:sz="6" w:space="0" w:color="000000"/>
              <w:left w:val="single" w:sz="6" w:space="0" w:color="000000"/>
              <w:right w:val="single" w:sz="6" w:space="0" w:color="000000"/>
            </w:tcBorders>
            <w:vAlign w:val="center"/>
          </w:tcPr>
          <w:p>
            <w:pPr>
              <w:pStyle w:val="20"/>
            </w:pPr>
            <w:r>
              <w:t>信访事务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2" w:name="_Toc_2_2_0000000003"/>
      <w:r>
        <w:rPr>
          <w:rFonts w:ascii="方正小标宋_GBK" w:eastAsia="方正小标宋_GBK" w:cs="方正小标宋_GBK" w:hAnsi="方正小标宋_GBK"/>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right w:val="single" w:sz="6" w:space="0" w:color="000000"/>
            </w:tcBorders>
            <w:vAlign w:val="center"/>
          </w:tcPr>
          <w:p>
            <w:pPr>
              <w:pStyle w:val="23"/>
            </w:pPr>
            <w:r>
              <w:t>443.47</w:t>
            </w:r>
          </w:p>
        </w:tc>
        <w:tc>
          <w:tcPr>
            <w:tcW w:w="1361" w:type="dxa"/>
            <w:tcBorders>
              <w:top w:val="single" w:sz="6" w:space="0" w:color="000000"/>
              <w:left w:val="single" w:sz="6" w:space="0" w:color="000000"/>
              <w:right w:val="single" w:sz="6" w:space="0" w:color="000000"/>
            </w:tcBorders>
            <w:vAlign w:val="center"/>
          </w:tcPr>
          <w:p>
            <w:pPr>
              <w:pStyle w:val="23"/>
            </w:pPr>
            <w:r>
              <w:t>283.47</w:t>
            </w:r>
          </w:p>
        </w:tc>
        <w:tc>
          <w:tcPr>
            <w:tcW w:w="1361" w:type="dxa"/>
            <w:tcBorders>
              <w:top w:val="single" w:sz="6" w:space="0" w:color="000000"/>
              <w:left w:val="single" w:sz="6" w:space="0" w:color="000000"/>
              <w:right w:val="single" w:sz="6" w:space="0" w:color="000000"/>
            </w:tcBorders>
            <w:vAlign w:val="center"/>
          </w:tcPr>
          <w:p>
            <w:pPr>
              <w:pStyle w:val="23"/>
            </w:pPr>
            <w:r>
              <w:t>160.00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3" w:name="_Toc_2_2_0000000004"/>
      <w:r>
        <w:rPr>
          <w:rFonts w:ascii="方正小标宋_GBK" w:eastAsia="方正小标宋_GBK" w:cs="方正小标宋_GBK" w:hAnsi="方正小标宋_GBK"/>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3402" w:type="dxa"/>
            <w:tcBorders>
              <w:top w:val="single" w:sz="6" w:space="0" w:color="FFFFFF"/>
              <w:left w:val="single" w:sz="6" w:space="0" w:color="FFFFFF"/>
              <w:right w:val="single" w:sz="6" w:space="0" w:color="FFFFFF"/>
            </w:tcBorders>
            <w:vAlign w:val="center"/>
          </w:tcPr>
          <w:p>
            <w:pPr>
              <w:pStyle w:val="16"/>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364.07</w:t>
            </w:r>
          </w:p>
        </w:tc>
        <w:tc>
          <w:tcPr>
            <w:tcW w:w="3402" w:type="dxa"/>
            <w:tcBorders>
              <w:top w:val="single" w:sz="6" w:space="0" w:color="000000"/>
              <w:left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right w:val="single" w:sz="6" w:space="0" w:color="000000"/>
            </w:tcBorders>
            <w:vAlign w:val="center"/>
          </w:tcPr>
          <w:p>
            <w:pPr>
              <w:pStyle w:val="23"/>
            </w:pPr>
            <w:r>
              <w:t>364.07</w:t>
            </w:r>
          </w:p>
        </w:tc>
        <w:tc>
          <w:tcPr>
            <w:tcW w:w="3402" w:type="dxa"/>
            <w:tcBorders>
              <w:top w:val="single" w:sz="6" w:space="0" w:color="000000"/>
              <w:left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3402" w:type="dxa"/>
            <w:tcBorders>
              <w:top w:val="single" w:sz="6" w:space="0" w:color="000000"/>
              <w:left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5"/>
      <w:r>
        <w:rPr>
          <w:rFonts w:ascii="方正小标宋_GBK" w:eastAsia="方正小标宋_GBK" w:cs="方正小标宋_GBK" w:hAnsi="方正小标宋_GBK"/>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443.47</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vAlign w:val="center"/>
          </w:tcPr>
          <w:p>
            <w:pPr>
              <w:pStyle w:val="23"/>
            </w:pPr>
            <w:r>
              <w:t>160.00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6"/>
      <w:r>
        <w:rPr>
          <w:rFonts w:ascii="方正小标宋_GBK" w:eastAsia="方正小标宋_GBK" w:cs="方正小标宋_GBK" w:hAnsi="方正小标宋_GBK"/>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支出部门经济分类科目</w:t>
            </w:r>
          </w:p>
        </w:tc>
        <w:tc>
          <w:tcPr>
            <w:tcW w:w="7654"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tcBorders>
              <w:top w:val="single" w:sz="6" w:space="0" w:color="000000"/>
              <w:left w:val="single" w:sz="6" w:space="0" w:color="000000"/>
              <w:right w:val="single" w:sz="6" w:space="0" w:color="000000"/>
            </w:tcBorders>
            <w:vAlign w:val="center"/>
          </w:tcPr>
          <w:p>
            <w:pPr>
              <w:pStyle w:val="23"/>
            </w:pPr>
            <w:r>
              <w:t>256.65</w:t>
            </w:r>
          </w:p>
        </w:tc>
        <w:tc>
          <w:tcPr>
            <w:tcW w:w="2551" w:type="dxa"/>
            <w:vAlign w:val="center"/>
          </w:tcPr>
          <w:p>
            <w:pPr>
              <w:pStyle w:val="23"/>
            </w:pPr>
            <w:r>
              <w:t>26.83</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right w:val="single" w:sz="6" w:space="0" w:color="000000"/>
            </w:tcBorders>
            <w:vAlign w:val="center"/>
          </w:tcPr>
          <w:p>
            <w:pPr>
              <w:pStyle w:val="20"/>
            </w:pPr>
            <w:r>
              <w:t>30111</w:t>
            </w:r>
          </w:p>
        </w:tc>
        <w:tc>
          <w:tcPr>
            <w:tcW w:w="4535" w:type="dxa"/>
            <w:tcBorders>
              <w:top w:val="single" w:sz="6" w:space="0" w:color="000000"/>
              <w:left w:val="single" w:sz="6" w:space="0" w:color="000000"/>
              <w:right w:val="single" w:sz="6" w:space="0" w:color="000000"/>
            </w:tcBorders>
            <w:vAlign w:val="center"/>
          </w:tcPr>
          <w:p>
            <w:pPr>
              <w:pStyle w:val="20"/>
            </w:pPr>
            <w:r>
              <w:t>公务员医疗补助缴费</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right w:val="single" w:sz="6" w:space="0" w:color="000000"/>
            </w:tcBorders>
            <w:vAlign w:val="center"/>
          </w:tcPr>
          <w:p>
            <w:pPr>
              <w:pStyle w:val="19"/>
            </w:pPr>
            <w:r>
              <w:t>26.83</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26.83</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right w:val="single" w:sz="6" w:space="0" w:color="000000"/>
            </w:tcBorders>
            <w:vAlign w:val="center"/>
          </w:tcPr>
          <w:p>
            <w:pPr>
              <w:pStyle w:val="19"/>
            </w:pPr>
            <w:r>
              <w:t>6.00</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right w:val="single" w:sz="6" w:space="0" w:color="000000"/>
            </w:tcBorders>
            <w:vAlign w:val="center"/>
          </w:tcPr>
          <w:p>
            <w:pPr>
              <w:pStyle w:val="19"/>
            </w:pPr>
            <w:r>
              <w:t>7.68</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7.68</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right w:val="single" w:sz="6" w:space="0" w:color="000000"/>
            </w:tcBorders>
            <w:vAlign w:val="center"/>
          </w:tcPr>
          <w:p>
            <w:pPr>
              <w:pStyle w:val="20"/>
            </w:pPr>
            <w:r>
              <w:t>30228</w:t>
            </w:r>
          </w:p>
        </w:tc>
        <w:tc>
          <w:tcPr>
            <w:tcW w:w="4535" w:type="dxa"/>
            <w:tcBorders>
              <w:top w:val="single" w:sz="6" w:space="0" w:color="000000"/>
              <w:left w:val="single" w:sz="6" w:space="0" w:color="000000"/>
              <w:right w:val="single" w:sz="6" w:space="0" w:color="000000"/>
            </w:tcBorders>
            <w:vAlign w:val="center"/>
          </w:tcPr>
          <w:p>
            <w:pPr>
              <w:pStyle w:val="20"/>
            </w:pPr>
            <w:r>
              <w:t>工会经费</w:t>
            </w:r>
          </w:p>
        </w:tc>
        <w:tc>
          <w:tcPr>
            <w:tcW w:w="2551" w:type="dxa"/>
            <w:tcBorders>
              <w:top w:val="single" w:sz="6" w:space="0" w:color="000000"/>
              <w:left w:val="single" w:sz="6" w:space="0" w:color="000000"/>
              <w:right w:val="single" w:sz="6" w:space="0" w:color="000000"/>
            </w:tcBorders>
            <w:vAlign w:val="center"/>
          </w:tcPr>
          <w:p>
            <w:pPr>
              <w:pStyle w:val="19"/>
            </w:pPr>
            <w:r>
              <w:t>1.30</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1.30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right w:val="single" w:sz="6" w:space="0" w:color="000000"/>
            </w:tcBorders>
            <w:vAlign w:val="center"/>
          </w:tcPr>
          <w:p>
            <w:pPr>
              <w:pStyle w:val="20"/>
            </w:pPr>
            <w:r>
              <w:t>30229</w:t>
            </w:r>
          </w:p>
        </w:tc>
        <w:tc>
          <w:tcPr>
            <w:tcW w:w="4535" w:type="dxa"/>
            <w:tcBorders>
              <w:top w:val="single" w:sz="6" w:space="0" w:color="000000"/>
              <w:left w:val="single" w:sz="6" w:space="0" w:color="000000"/>
              <w:right w:val="single" w:sz="6" w:space="0" w:color="000000"/>
            </w:tcBorders>
            <w:vAlign w:val="center"/>
          </w:tcPr>
          <w:p>
            <w:pPr>
              <w:pStyle w:val="20"/>
            </w:pPr>
            <w:r>
              <w:t>福利费</w:t>
            </w:r>
          </w:p>
        </w:tc>
        <w:tc>
          <w:tcPr>
            <w:tcW w:w="2551" w:type="dxa"/>
            <w:tcBorders>
              <w:top w:val="single" w:sz="6" w:space="0" w:color="000000"/>
              <w:left w:val="single" w:sz="6" w:space="0" w:color="000000"/>
              <w:right w:val="single" w:sz="6" w:space="0" w:color="000000"/>
            </w:tcBorders>
            <w:vAlign w:val="center"/>
          </w:tcPr>
          <w:p>
            <w:pPr>
              <w:pStyle w:val="19"/>
            </w:pPr>
            <w:r>
              <w:t>1.51</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1.51</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right w:val="single" w:sz="6" w:space="0" w:color="000000"/>
            </w:tcBorders>
            <w:vAlign w:val="center"/>
          </w:tcPr>
          <w:p>
            <w:pPr>
              <w:pStyle w:val="19"/>
            </w:pPr>
            <w:r>
              <w:t>9.66</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9.66</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right w:val="single" w:sz="6" w:space="0" w:color="000000"/>
            </w:tcBorders>
            <w:vAlign w:val="center"/>
          </w:tcPr>
          <w:p>
            <w:pPr>
              <w:pStyle w:val="19"/>
            </w:pPr>
            <w:r>
              <w:t>0.68</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0.68</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7"/>
      <w:r>
        <w:rPr>
          <w:rFonts w:ascii="方正小标宋_GBK" w:eastAsia="方正小标宋_GBK" w:cs="方正小标宋_GBK" w:hAnsi="方正小标宋_GBK"/>
          <w:sz w:val="36"/>
        </w:rPr>
        <w:t>部门预算政府基金预算财政拨款支出表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注：无政府基金预算财政拨款预算，空表列示。</w:t>
      </w:r>
    </w:p>
    <w:p>
      <w:pPr>
        <w:jc w:val="center"/>
        <w:outlineLvl w:val="1"/>
      </w:pPr>
      <w:bookmarkStart w:id="7" w:name="_Toc_2_2_0000000008"/>
      <w:r>
        <w:rPr>
          <w:rFonts w:ascii="方正小标宋_GBK" w:eastAsia="方正小标宋_GBK" w:cs="方正小标宋_GBK" w:hAnsi="方正小标宋_GBK"/>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542石家庄市藁城区信访局</w:t>
            </w:r>
          </w:p>
        </w:tc>
        <w:tc>
          <w:tcPr>
            <w:tcW w:w="2381" w:type="dxa"/>
            <w:tcBorders>
              <w:top w:val="single" w:sz="6" w:space="0" w:color="FFFFFF"/>
              <w:left w:val="single" w:sz="6" w:space="0" w:color="FFFFFF"/>
              <w:right w:val="single" w:sz="6" w:space="0" w:color="FFFFFF"/>
            </w:tcBorders>
            <w:vAlign w:val="center"/>
          </w:tcPr>
          <w:p>
            <w:pPr>
              <w:pStyle w:val="16"/>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pPr>
      <w:r>
        <w:rPr>
          <w:rFonts w:ascii="方正书宋_GBK" w:eastAsia="方正书宋_GBK" w:cs="方正书宋_GBK" w:hAnsi="方正书宋_GBK"/>
          <w:sz w:val="21"/>
        </w:rPr>
        <w:t>注：无财政拨款“三公”经费支出表预算，空表列示。</w:t>
      </w:r>
    </w:p>
    <w:p>
      <w:pPr>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sz w:val="21"/>
        </w:rPr>
        <w:t>第一部分  石家庄市藁城区信访局2022年部门预算信息公开情况说明</w:t>
      </w:r>
    </w:p>
    <w:p>
      <w:pPr>
        <w:jc w:val="center"/>
      </w:pPr>
      <w:r>
        <w:rPr>
          <w:rFonts w:ascii="方正小标宋_GBK" w:eastAsia="方正小标宋_GBK" w:cs="方正小标宋_GBK" w:hAnsi="方正小标宋_GBK"/>
          <w:sz w:val="44"/>
        </w:rPr>
        <w:t>石家庄市藁城区信访局2022年部门预算信息公开情况说明</w:t>
      </w:r>
    </w:p>
    <w:p>
      <w:pPr>
        <w:spacing w:line="500" w:lineRule="exact"/>
        <w:ind w:firstLine="560"/>
      </w:pPr>
      <w:r>
        <w:rPr>
          <w:rFonts w:eastAsia="方正仿宋_GBK"/>
          <w:sz w:val="28"/>
        </w:rPr>
        <w:t>按照《中华人民共和国预算法》、《地方预决算公开操作规程》和《关于进一步推进预算公开工作的实施意见》规定，现将石家庄市藁城区信访局2022年部门预算公开如下：</w:t>
      </w:r>
    </w:p>
    <w:p>
      <w:pPr>
        <w:spacing w:before="10" w:after="10" w:line="360" w:lineRule="auto"/>
        <w:ind w:firstLine="640"/>
        <w:outlineLvl w:val="2"/>
      </w:pPr>
      <w:bookmarkStart w:id="9" w:name="_Toc_3_3_0000000010"/>
      <w:r>
        <w:rPr>
          <w:rFonts w:ascii="黑体" w:eastAsia="黑体" w:cs="黑体" w:hAnsi="黑体"/>
          <w:sz w:val="32"/>
        </w:rPr>
        <w:t>一、部门职责及机构设置情况</w:t>
      </w:r>
      <w:bookmarkEnd w:id="9"/>
    </w:p>
    <w:p>
      <w:pPr>
        <w:ind w:firstLine="640"/>
      </w:pPr>
      <w:r>
        <w:rPr>
          <w:rFonts w:ascii="方正楷体_GBK" w:eastAsia="方正楷体_GBK" w:cs="方正楷体_GBK" w:hAnsi="方正楷体_GBK"/>
          <w:b/>
          <w:sz w:val="32"/>
        </w:rPr>
        <w:t>部门职责：</w:t>
      </w:r>
    </w:p>
    <w:p>
      <w:pPr>
        <w:pStyle w:val="25"/>
      </w:pPr>
      <w:r>
        <w:t>(一)研究提出全区信访工作思路，贯彻落实关于信访稳定工作的法律法规和规章。</w:t>
      </w:r>
    </w:p>
    <w:p>
      <w:pPr>
        <w:pStyle w:val="25"/>
      </w:pPr>
      <w:r>
        <w:t>(二)办理人民群众来信，接待群众来访，受理群众网上投诉，查办信访案件，负责人民群众建议征集工作。</w:t>
      </w:r>
    </w:p>
    <w:p>
      <w:pPr>
        <w:pStyle w:val="25"/>
      </w:pPr>
      <w:r>
        <w:t>(三)调查研究和综合分析全区信访形势及信访工作状况，总结推广各乡镇、石家庄经济技术开发区、藁城经济开发区和区直各部门信访工作经验，提出改进和加强信访工作的意见和建议。</w:t>
      </w:r>
    </w:p>
    <w:p>
      <w:pPr>
        <w:pStyle w:val="25"/>
      </w:pPr>
      <w:r>
        <w:t>(四)参与组织、协调、指导全区社会治安综合治理和维护社会政治稳定工作，协助保障国家、省、市、区重大政治活动顺利进行，参与处理影响社会政治稳定的突发性、群体性事件。</w:t>
      </w:r>
    </w:p>
    <w:p>
      <w:pPr>
        <w:pStyle w:val="25"/>
      </w:pPr>
      <w: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pStyle w:val="25"/>
      </w:pPr>
      <w:r>
        <w:t>(六)协助上级处理藁城区群众进京上访工作，综合协调处理跨地区、跨部门、跨行业的重要信访问题，协助公安机关维护区委、区政府机关正常工作秩序。</w:t>
      </w:r>
    </w:p>
    <w:p>
      <w:pPr>
        <w:pStyle w:val="25"/>
      </w:pPr>
      <w:r>
        <w:t>(七)负责省、市、区领导及省直、市直部门领导公开接访和包联案件的组织协调工作。</w:t>
      </w:r>
    </w:p>
    <w:p>
      <w:pPr>
        <w:pStyle w:val="25"/>
      </w:pPr>
      <w:r>
        <w:t>(八)承担藁城区信访工作联席会议的日常工作，督促落实联席会议决定的事项。</w:t>
      </w:r>
    </w:p>
    <w:p>
      <w:pPr>
        <w:pStyle w:val="25"/>
      </w:pPr>
      <w:r>
        <w:t>(九)完成区委、区政府以及上级交办的其他任务。</w:t>
      </w:r>
    </w:p>
    <w:p>
      <w:pPr>
        <w:ind w:firstLine="640"/>
      </w:pPr>
      <w:r>
        <w:rPr>
          <w:rFonts w:ascii="方正楷体_GBK" w:eastAsia="方正楷体_GBK" w:cs="方正楷体_GBK" w:hAnsi="方正楷体_GBK"/>
          <w:b/>
          <w:sz w:val="32"/>
        </w:rPr>
        <w:t>机构设置：</w:t>
      </w:r>
    </w:p>
    <w:p>
      <w:pPr>
        <w:jc w:val="center"/>
      </w:pPr>
      <w:r>
        <w:rPr>
          <w:rFonts w:ascii="方正小标宋_GBK" w:eastAsia="方正小标宋_GBK" w:cs="方正小标宋_GBK" w:hAnsi="方正小标宋_GBK"/>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石家庄市藁城区信访局本级</w:t>
            </w:r>
          </w:p>
        </w:tc>
        <w:tc>
          <w:tcPr>
            <w:tcW w:w="1843" w:type="dxa"/>
            <w:tcBorders>
              <w:top w:val="single" w:sz="6" w:space="0" w:color="000000"/>
              <w:left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pPr>
      <w:bookmarkStart w:id="10" w:name="_Toc_3_3_0000000011"/>
      <w:r>
        <w:rPr>
          <w:rFonts w:ascii="黑体" w:eastAsia="黑体" w:cs="黑体" w:hAnsi="黑体"/>
          <w:sz w:val="32"/>
        </w:rPr>
        <w:t>二、部门预算安排的总体情况</w:t>
      </w:r>
      <w:bookmarkEnd w:id="10"/>
    </w:p>
    <w:p>
      <w:pPr>
        <w:spacing w:line="500" w:lineRule="exact"/>
        <w:ind w:firstLine="560"/>
        <w:rPr>
          <w:rFonts w:eastAsia="宋体"/>
          <w:lang w:eastAsia="zh-CN"/>
        </w:rPr>
      </w:pPr>
      <w:r>
        <w:rPr>
          <w:rFonts w:eastAsia="方正仿宋_GBK"/>
          <w:sz w:val="28"/>
        </w:rPr>
        <w:t>按照预算管理有关规定，目前我省部门预算的编制实行综合预算管理，即全部收入和支出都反映在预算中。石家庄市藁城区信访局机关及所属事业单位的收支包含在部门预算中。</w:t>
      </w:r>
    </w:p>
    <w:p>
      <w:pPr>
        <w:spacing w:line="500" w:lineRule="exact"/>
        <w:ind w:firstLine="560"/>
        <w:rPr>
          <w:rFonts w:eastAsia="方正仿宋_GBK"/>
          <w:sz w:val="28"/>
          <w:lang w:eastAsia="zh-CN"/>
        </w:rPr>
      </w:pPr>
      <w:r>
        <w:rPr>
          <w:rFonts w:eastAsia="方正仿宋_GBK" w:hint="eastAsia"/>
          <w:sz w:val="28"/>
        </w:rPr>
        <w:t>1、收入说明</w:t>
      </w:r>
    </w:p>
    <w:p>
      <w:pPr>
        <w:spacing w:line="500" w:lineRule="exact"/>
        <w:ind w:firstLine="560"/>
        <w:rPr>
          <w:rFonts w:eastAsia="方正仿宋_GBK"/>
          <w:sz w:val="28"/>
        </w:rPr>
      </w:pPr>
      <w:r>
        <w:rPr>
          <w:rFonts w:eastAsia="方正仿宋_GBK" w:hint="eastAsia"/>
          <w:sz w:val="28"/>
        </w:rPr>
        <w:t>反映本部门当年全部收入。2022年预算收入</w:t>
      </w:r>
      <w:r>
        <w:rPr>
          <w:rFonts w:eastAsia="方正仿宋_GBK" w:hint="eastAsia"/>
          <w:sz w:val="28"/>
          <w:lang w:eastAsia="zh-CN"/>
        </w:rPr>
        <w:t>443.47</w:t>
      </w:r>
      <w:r>
        <w:rPr>
          <w:rFonts w:eastAsia="方正仿宋_GBK" w:hint="eastAsia"/>
          <w:sz w:val="28"/>
        </w:rPr>
        <w:t>万元，其中：一般公共预算收入</w:t>
      </w:r>
      <w:r>
        <w:rPr>
          <w:rFonts w:eastAsia="方正仿宋_GBK" w:hint="eastAsia"/>
          <w:sz w:val="28"/>
          <w:lang w:eastAsia="zh-CN"/>
        </w:rPr>
        <w:t>364.07</w:t>
      </w:r>
      <w:r>
        <w:rPr>
          <w:rFonts w:eastAsia="方正仿宋_GBK" w:hint="eastAsia"/>
          <w:sz w:val="28"/>
        </w:rPr>
        <w:t>万元，基金预算收入0万元，财政专户核拨收入0万元，其他来源收入</w:t>
      </w:r>
      <w:r>
        <w:rPr>
          <w:rFonts w:eastAsia="方正仿宋_GBK" w:hint="eastAsia"/>
          <w:sz w:val="28"/>
          <w:lang w:eastAsia="zh-CN"/>
        </w:rPr>
        <w:t>79.4</w:t>
      </w:r>
      <w:r>
        <w:rPr>
          <w:rFonts w:eastAsia="方正仿宋_GBK" w:hint="eastAsia"/>
          <w:sz w:val="28"/>
        </w:rPr>
        <w:t>万元。</w:t>
      </w:r>
    </w:p>
    <w:p>
      <w:pPr>
        <w:spacing w:line="500" w:lineRule="exact"/>
        <w:ind w:firstLine="560"/>
        <w:rPr>
          <w:rFonts w:eastAsia="方正仿宋_GBK"/>
          <w:sz w:val="28"/>
          <w:lang w:eastAsia="zh-CN"/>
        </w:rPr>
      </w:pPr>
      <w:r>
        <w:rPr>
          <w:rFonts w:eastAsia="方正仿宋_GBK" w:hint="eastAsia"/>
          <w:sz w:val="28"/>
        </w:rPr>
        <w:t>2、</w:t>
      </w:r>
      <w:r>
        <w:rPr>
          <w:rFonts w:eastAsia="方正仿宋_GBK"/>
          <w:sz w:val="28"/>
        </w:rPr>
        <w:t>支出说明</w:t>
      </w:r>
    </w:p>
    <w:p>
      <w:pPr>
        <w:spacing w:line="500" w:lineRule="exact"/>
        <w:ind w:firstLine="560"/>
        <w:rPr>
          <w:rFonts w:eastAsia="方正仿宋_GBK"/>
          <w:sz w:val="28"/>
        </w:rPr>
      </w:pPr>
      <w:r>
        <w:rPr>
          <w:rFonts w:eastAsia="方正仿宋_GBK" w:hint="eastAsia"/>
          <w:sz w:val="28"/>
        </w:rPr>
        <w:t>收支预算总表支出栏、基本支出表、项目支出表按经济分类和支出功能分类科目编制，反映本部门预算中支出预算的总体情况。2022年部门支出预算为</w:t>
      </w:r>
      <w:r>
        <w:rPr>
          <w:rFonts w:eastAsia="方正仿宋_GBK" w:hint="eastAsia"/>
          <w:sz w:val="28"/>
          <w:lang w:eastAsia="zh-CN"/>
        </w:rPr>
        <w:t>443.47</w:t>
      </w:r>
      <w:r>
        <w:rPr>
          <w:rFonts w:eastAsia="方正仿宋_GBK" w:hint="eastAsia"/>
          <w:sz w:val="28"/>
        </w:rPr>
        <w:t>万元，其中基本支出</w:t>
      </w:r>
      <w:r>
        <w:rPr>
          <w:rFonts w:eastAsia="方正仿宋_GBK" w:hint="eastAsia"/>
          <w:sz w:val="28"/>
          <w:lang w:eastAsia="zh-CN"/>
        </w:rPr>
        <w:t>283.47</w:t>
      </w:r>
      <w:r>
        <w:rPr>
          <w:rFonts w:eastAsia="方正仿宋_GBK" w:hint="eastAsia"/>
          <w:sz w:val="28"/>
        </w:rPr>
        <w:t>万元，包括人员经费</w:t>
      </w:r>
      <w:r>
        <w:rPr>
          <w:rFonts w:eastAsia="方正仿宋_GBK" w:hint="eastAsia"/>
          <w:sz w:val="28"/>
          <w:lang w:eastAsia="zh-CN"/>
        </w:rPr>
        <w:t>256.65</w:t>
      </w:r>
      <w:r>
        <w:rPr>
          <w:rFonts w:eastAsia="方正仿宋_GBK" w:hint="eastAsia"/>
          <w:sz w:val="28"/>
        </w:rPr>
        <w:t>万元和日常公用经费</w:t>
      </w:r>
      <w:r>
        <w:rPr>
          <w:rFonts w:eastAsia="方正仿宋_GBK" w:hint="eastAsia"/>
          <w:sz w:val="28"/>
          <w:lang w:eastAsia="zh-CN"/>
        </w:rPr>
        <w:t>26.83</w:t>
      </w:r>
      <w:r>
        <w:rPr>
          <w:rFonts w:eastAsia="方正仿宋_GBK" w:hint="eastAsia"/>
          <w:sz w:val="28"/>
        </w:rPr>
        <w:t>万元；项目支出</w:t>
      </w:r>
      <w:r>
        <w:rPr>
          <w:rFonts w:eastAsia="方正仿宋_GBK" w:hint="eastAsia"/>
          <w:sz w:val="28"/>
          <w:lang w:eastAsia="zh-CN"/>
        </w:rPr>
        <w:t>160</w:t>
      </w:r>
      <w:r>
        <w:rPr>
          <w:rFonts w:eastAsia="方正仿宋_GBK" w:hint="eastAsia"/>
          <w:sz w:val="28"/>
        </w:rPr>
        <w:t>万元，主要为</w:t>
      </w:r>
      <w:r>
        <w:rPr>
          <w:rFonts w:eastAsia="方正仿宋_GBK" w:hint="eastAsia"/>
          <w:sz w:val="28"/>
          <w:lang w:eastAsia="zh-CN"/>
        </w:rPr>
        <w:t>特殊疑难信访问题中央补助资金支出47</w:t>
      </w:r>
      <w:r>
        <w:rPr>
          <w:rFonts w:eastAsia="方正仿宋_GBK" w:hint="eastAsia"/>
          <w:sz w:val="28"/>
        </w:rPr>
        <w:t>万元，</w:t>
      </w:r>
      <w:r>
        <w:rPr>
          <w:rFonts w:eastAsia="方正仿宋_GBK" w:hint="eastAsia"/>
          <w:sz w:val="28"/>
          <w:lang w:eastAsia="zh-CN"/>
        </w:rPr>
        <w:t>解决特殊疑难信访问题专项补助资金支出32.4</w:t>
      </w:r>
      <w:r>
        <w:rPr>
          <w:rFonts w:eastAsia="方正仿宋_GBK" w:hint="eastAsia"/>
          <w:sz w:val="28"/>
        </w:rPr>
        <w:t>万元，</w:t>
      </w:r>
      <w:r>
        <w:rPr>
          <w:rFonts w:eastAsia="方正仿宋_GBK" w:hint="eastAsia"/>
          <w:sz w:val="28"/>
          <w:lang w:eastAsia="zh-CN"/>
        </w:rPr>
        <w:t>信访工作经费</w:t>
      </w:r>
      <w:r>
        <w:rPr>
          <w:rFonts w:eastAsia="方正仿宋_GBK" w:hint="eastAsia"/>
          <w:sz w:val="28"/>
        </w:rPr>
        <w:t>支出</w:t>
      </w:r>
      <w:r>
        <w:rPr>
          <w:rFonts w:eastAsia="方正仿宋_GBK" w:hint="eastAsia"/>
          <w:sz w:val="28"/>
          <w:lang w:eastAsia="zh-CN"/>
        </w:rPr>
        <w:t>50</w:t>
      </w:r>
      <w:r>
        <w:rPr>
          <w:rFonts w:eastAsia="方正仿宋_GBK" w:hint="eastAsia"/>
          <w:sz w:val="28"/>
        </w:rPr>
        <w:t>万元，</w:t>
      </w:r>
      <w:r>
        <w:rPr>
          <w:rFonts w:eastAsia="方正仿宋_GBK" w:hint="eastAsia"/>
          <w:sz w:val="28"/>
          <w:lang w:eastAsia="zh-CN"/>
        </w:rPr>
        <w:t>综治中心公车平台综合办公楼</w:t>
      </w:r>
      <w:r>
        <w:rPr>
          <w:rFonts w:eastAsia="方正仿宋_GBK" w:hint="eastAsia"/>
          <w:sz w:val="28"/>
        </w:rPr>
        <w:t>支出</w:t>
      </w:r>
      <w:r>
        <w:rPr>
          <w:rFonts w:eastAsia="方正仿宋_GBK" w:hint="eastAsia"/>
          <w:sz w:val="28"/>
          <w:lang w:eastAsia="zh-CN"/>
        </w:rPr>
        <w:t>27</w:t>
      </w:r>
      <w:r>
        <w:rPr>
          <w:rFonts w:eastAsia="方正仿宋_GBK" w:hint="eastAsia"/>
          <w:sz w:val="28"/>
        </w:rPr>
        <w:t>万元，</w:t>
      </w:r>
      <w:r>
        <w:rPr>
          <w:rFonts w:eastAsia="方正仿宋_GBK" w:hint="eastAsia"/>
          <w:sz w:val="28"/>
          <w:lang w:eastAsia="zh-CN"/>
        </w:rPr>
        <w:t>信访信息运行与维护3.6</w:t>
      </w:r>
      <w:r>
        <w:rPr>
          <w:rFonts w:eastAsia="方正仿宋_GBK" w:hint="eastAsia"/>
          <w:sz w:val="28"/>
        </w:rPr>
        <w:t>万元；其他支出0万元。</w:t>
      </w:r>
    </w:p>
    <w:p>
      <w:pPr>
        <w:spacing w:line="500" w:lineRule="exact"/>
        <w:ind w:firstLine="560"/>
        <w:rPr>
          <w:rFonts w:eastAsia="方正仿宋_GBK"/>
          <w:sz w:val="28"/>
          <w:lang w:eastAsia="zh-CN"/>
        </w:rPr>
      </w:pPr>
      <w:r>
        <w:rPr>
          <w:rFonts w:eastAsia="方正仿宋_GBK" w:hint="eastAsia"/>
          <w:sz w:val="28"/>
        </w:rPr>
        <w:t>3、比上年增减情况</w:t>
      </w:r>
    </w:p>
    <w:p>
      <w:pPr>
        <w:spacing w:line="500" w:lineRule="exact"/>
        <w:ind w:firstLine="560"/>
        <w:rPr>
          <w:rFonts w:eastAsia="方正仿宋_GBK"/>
          <w:sz w:val="28"/>
        </w:rPr>
      </w:pPr>
      <w:r>
        <w:rPr>
          <w:rFonts w:eastAsia="方正仿宋_GBK" w:hint="eastAsia"/>
          <w:sz w:val="28"/>
        </w:rPr>
        <w:t>2022年部门预算收支安排</w:t>
      </w:r>
      <w:r>
        <w:rPr>
          <w:rFonts w:eastAsia="方正仿宋_GBK" w:hint="eastAsia"/>
          <w:sz w:val="28"/>
          <w:lang w:eastAsia="zh-CN"/>
        </w:rPr>
        <w:t>443.4</w:t>
      </w:r>
      <w:r>
        <w:rPr>
          <w:rFonts w:eastAsia="方正仿宋_GBK" w:hint="eastAsia"/>
          <w:sz w:val="28"/>
        </w:rPr>
        <w:t>万元，较2021年增加</w:t>
      </w:r>
      <w:r>
        <w:rPr>
          <w:rFonts w:eastAsia="方正仿宋_GBK" w:hint="eastAsia"/>
          <w:sz w:val="28"/>
          <w:lang w:eastAsia="zh-CN"/>
        </w:rPr>
        <w:t>105.27</w:t>
      </w:r>
      <w:r>
        <w:rPr>
          <w:rFonts w:eastAsia="方正仿宋_GBK" w:hint="eastAsia"/>
          <w:sz w:val="28"/>
        </w:rPr>
        <w:t>万元，其中：基本支出</w:t>
      </w:r>
      <w:r>
        <w:rPr>
          <w:rFonts w:eastAsia="方正仿宋_GBK" w:hint="eastAsia"/>
          <w:sz w:val="28"/>
          <w:lang w:eastAsia="zh-CN"/>
        </w:rPr>
        <w:t>增加25.77</w:t>
      </w:r>
      <w:r>
        <w:rPr>
          <w:rFonts w:eastAsia="方正仿宋_GBK" w:hint="eastAsia"/>
          <w:sz w:val="28"/>
        </w:rPr>
        <w:t>万元，主要是人员经费</w:t>
      </w:r>
      <w:r>
        <w:rPr>
          <w:rFonts w:eastAsia="方正仿宋_GBK" w:hint="eastAsia"/>
          <w:sz w:val="28"/>
          <w:lang w:eastAsia="zh-CN"/>
        </w:rPr>
        <w:t>增加</w:t>
      </w:r>
      <w:r>
        <w:rPr>
          <w:rFonts w:eastAsia="方正仿宋_GBK" w:hint="eastAsia"/>
          <w:sz w:val="28"/>
        </w:rPr>
        <w:t>；项目支出增加</w:t>
      </w:r>
      <w:r>
        <w:rPr>
          <w:rFonts w:eastAsia="方正仿宋_GBK" w:hint="eastAsia"/>
          <w:sz w:val="28"/>
          <w:lang w:eastAsia="zh-CN"/>
        </w:rPr>
        <w:t>79.4</w:t>
      </w:r>
      <w:r>
        <w:rPr>
          <w:rFonts w:eastAsia="方正仿宋_GBK" w:hint="eastAsia"/>
          <w:sz w:val="28"/>
        </w:rPr>
        <w:t>万元，主要是增加</w:t>
      </w:r>
      <w:r>
        <w:rPr>
          <w:rFonts w:eastAsia="方正仿宋_GBK" w:hint="eastAsia"/>
          <w:sz w:val="28"/>
          <w:lang w:eastAsia="zh-CN"/>
        </w:rPr>
        <w:t>上级补助资金</w:t>
      </w:r>
      <w:r>
        <w:rPr>
          <w:rFonts w:eastAsia="方正仿宋_GBK" w:hint="eastAsia"/>
          <w:sz w:val="28"/>
        </w:rPr>
        <w:t>；其他支出无增减变化。</w:t>
      </w:r>
    </w:p>
    <w:p>
      <w:pPr>
        <w:spacing w:before="10" w:after="10" w:line="360" w:lineRule="auto"/>
        <w:ind w:firstLine="640"/>
        <w:outlineLvl w:val="2"/>
        <w:rPr>
          <w:rFonts w:eastAsia="宋体"/>
          <w:lang w:eastAsia="zh-CN"/>
        </w:rPr>
      </w:pPr>
      <w:bookmarkStart w:id="11" w:name="_Toc_3_3_0000000012"/>
      <w:r>
        <w:rPr>
          <w:rFonts w:ascii="黑体" w:eastAsia="黑体" w:cs="黑体" w:hAnsi="黑体"/>
          <w:sz w:val="32"/>
        </w:rPr>
        <w:t>三、机关运行经费安排情况</w:t>
      </w:r>
      <w:bookmarkEnd w:id="11"/>
    </w:p>
    <w:p>
      <w:pPr>
        <w:spacing w:line="500" w:lineRule="exact"/>
        <w:ind w:firstLine="560"/>
        <w:rPr>
          <w:rFonts w:eastAsia="方正仿宋_GBK"/>
          <w:sz w:val="28"/>
        </w:rPr>
      </w:pPr>
      <w:r>
        <w:rPr>
          <w:rFonts w:eastAsia="方正仿宋_GBK" w:hint="eastAsia"/>
          <w:sz w:val="28"/>
        </w:rPr>
        <w:t>2022年，我部门机关运行经费共计安排</w:t>
      </w:r>
      <w:r>
        <w:rPr>
          <w:rFonts w:eastAsia="方正仿宋_GBK" w:hint="eastAsia"/>
          <w:sz w:val="28"/>
          <w:lang w:eastAsia="zh-CN"/>
        </w:rPr>
        <w:t>26.83</w:t>
      </w:r>
      <w:r>
        <w:rPr>
          <w:rFonts w:eastAsia="方正仿宋_GBK" w:hint="eastAsia"/>
          <w:sz w:val="28"/>
        </w:rPr>
        <w:t>万元，主要用于保证机关正常运转的办公及印刷费、邮电费、差旅费、会议费、福利费及一般设备购置费、办公用房水电费、日常维修费等支出。</w:t>
      </w:r>
    </w:p>
    <w:p>
      <w:pPr>
        <w:spacing w:before="10" w:after="10" w:line="360" w:lineRule="auto"/>
        <w:ind w:firstLine="640"/>
        <w:outlineLvl w:val="2"/>
      </w:pPr>
      <w:bookmarkStart w:id="12" w:name="_Toc_3_3_0000000013"/>
      <w:r>
        <w:rPr>
          <w:rFonts w:ascii="黑体" w:eastAsia="黑体" w:cs="黑体" w:hAnsi="黑体"/>
          <w:sz w:val="32"/>
        </w:rPr>
        <w:t>四、财政拨款“三公”经费预算情况及增减变化原因</w:t>
      </w:r>
      <w:bookmarkEnd w:id="12"/>
    </w:p>
    <w:p>
      <w:pPr>
        <w:spacing w:line="500" w:lineRule="exact"/>
        <w:ind w:firstLine="560"/>
        <w:rPr>
          <w:rFonts w:eastAsia="方正仿宋_GBK"/>
          <w:sz w:val="28"/>
          <w:lang w:eastAsia="zh-CN"/>
        </w:rPr>
      </w:pPr>
      <w:r>
        <w:rPr>
          <w:rFonts w:eastAsia="方正仿宋_GBK" w:hint="eastAsia"/>
          <w:sz w:val="28"/>
        </w:rPr>
        <w:t>2022年，我部门财政拨款“三公”经费预算安排</w:t>
      </w:r>
      <w:r>
        <w:rPr>
          <w:rFonts w:eastAsia="方正仿宋_GBK" w:hint="eastAsia"/>
          <w:sz w:val="28"/>
          <w:lang w:eastAsia="zh-CN"/>
        </w:rPr>
        <w:t>0</w:t>
      </w:r>
      <w:r>
        <w:rPr>
          <w:rFonts w:eastAsia="方正仿宋_GBK" w:hint="eastAsia"/>
          <w:sz w:val="28"/>
        </w:rPr>
        <w:t>万元，其中：因公出国（境）费</w:t>
      </w:r>
      <w:r>
        <w:rPr>
          <w:rFonts w:eastAsia="方正仿宋_GBK" w:hint="eastAsia"/>
          <w:sz w:val="28"/>
          <w:lang w:eastAsia="zh-CN"/>
        </w:rPr>
        <w:t>0</w:t>
      </w:r>
      <w:r>
        <w:rPr>
          <w:rFonts w:eastAsia="方正仿宋_GBK" w:hint="eastAsia"/>
          <w:sz w:val="28"/>
        </w:rPr>
        <w:t>万元；公务用车购置及运维费</w:t>
      </w:r>
      <w:r>
        <w:rPr>
          <w:rFonts w:eastAsia="方正仿宋_GBK" w:hint="eastAsia"/>
          <w:sz w:val="28"/>
          <w:lang w:eastAsia="zh-CN"/>
        </w:rPr>
        <w:t>0</w:t>
      </w:r>
      <w:r>
        <w:rPr>
          <w:rFonts w:eastAsia="方正仿宋_GBK" w:hint="eastAsia"/>
          <w:sz w:val="28"/>
        </w:rPr>
        <w:t>万元（其中：公务用车购置费0万元，公务用车运行维护费</w:t>
      </w:r>
      <w:r>
        <w:rPr>
          <w:rFonts w:eastAsia="方正仿宋_GBK" w:hint="eastAsia"/>
          <w:sz w:val="28"/>
          <w:lang w:eastAsia="zh-CN"/>
        </w:rPr>
        <w:t>0</w:t>
      </w:r>
      <w:r>
        <w:rPr>
          <w:rFonts w:eastAsia="方正仿宋_GBK" w:hint="eastAsia"/>
          <w:sz w:val="28"/>
        </w:rPr>
        <w:t>万元)；公务接待费</w:t>
      </w:r>
      <w:r>
        <w:rPr>
          <w:rFonts w:eastAsia="方正仿宋_GBK" w:hint="eastAsia"/>
          <w:sz w:val="28"/>
          <w:lang w:eastAsia="zh-CN"/>
        </w:rPr>
        <w:t>0</w:t>
      </w:r>
      <w:r>
        <w:rPr>
          <w:rFonts w:eastAsia="方正仿宋_GBK" w:hint="eastAsia"/>
          <w:sz w:val="28"/>
        </w:rPr>
        <w:t>万元。“三公”经费与上年持平，无增减变化。</w:t>
      </w:r>
    </w:p>
    <w:p>
      <w:pPr>
        <w:spacing w:before="10" w:after="10" w:line="360" w:lineRule="auto"/>
        <w:ind w:firstLine="640"/>
        <w:outlineLvl w:val="2"/>
      </w:pPr>
      <w:bookmarkStart w:id="13" w:name="_Toc_3_3_0000000014"/>
      <w:r>
        <w:rPr>
          <w:rFonts w:ascii="黑体" w:eastAsia="黑体" w:cs="黑体" w:hAnsi="黑体"/>
          <w:sz w:val="32"/>
        </w:rPr>
        <w:t>五、预算绩效信息</w:t>
      </w:r>
      <w:bookmarkEnd w:id="13"/>
    </w:p>
    <w:p>
      <w:pPr>
        <w:ind w:firstLine="640"/>
      </w:pPr>
      <w:r>
        <w:rPr>
          <w:rFonts w:ascii="方正楷体_GBK" w:eastAsia="方正楷体_GBK" w:cs="方正楷体_GBK" w:hAnsi="方正楷体_GBK"/>
          <w:b/>
          <w:sz w:val="32"/>
        </w:rPr>
        <w:t>第一部分 部门整体绩效目标</w:t>
      </w:r>
    </w:p>
    <w:p>
      <w:pPr>
        <w:spacing w:line="500" w:lineRule="exact"/>
        <w:ind w:firstLine="560"/>
      </w:pPr>
      <w:r>
        <w:rPr>
          <w:rFonts w:eastAsia="方正仿宋_GBK"/>
          <w:sz w:val="28"/>
        </w:rPr>
        <w:t>（一）总体绩效目标</w:t>
      </w:r>
    </w:p>
    <w:p>
      <w:pPr>
        <w:pStyle w:val="29"/>
      </w:pPr>
      <w: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2022年，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pPr>
        <w:spacing w:line="500" w:lineRule="exact"/>
        <w:ind w:firstLine="560"/>
      </w:pPr>
      <w:r>
        <w:rPr>
          <w:rFonts w:eastAsia="方正仿宋_GBK"/>
          <w:sz w:val="28"/>
        </w:rPr>
        <w:t>（二）分项绩效目标</w:t>
      </w:r>
    </w:p>
    <w:p>
      <w:pPr>
        <w:pStyle w:val="30"/>
      </w:pPr>
      <w:r>
        <w:t>1、全区重复信访占比持续下降</w:t>
      </w:r>
    </w:p>
    <w:p>
      <w:pPr>
        <w:pStyle w:val="30"/>
      </w:pPr>
      <w:r>
        <w:t>绩效目标：贯彻落实区委、区政府关于信访工作的决策部署，督促检查和指导乡镇区和区直部门的信访工作。及时受理群众来信、来访和网上投诉，以“事要解决”为立足点，认真解决信访群众合理诉求，推动全区信访形势持续向好，充分发挥首都政治“护城河”作用。</w:t>
      </w:r>
    </w:p>
    <w:p>
      <w:pPr>
        <w:pStyle w:val="30"/>
      </w:pPr>
      <w:r>
        <w:t>绩效指标：全区重复信访与去年同期相比下降3%。</w:t>
      </w:r>
    </w:p>
    <w:p>
      <w:pPr>
        <w:pStyle w:val="30"/>
      </w:pPr>
      <w:r>
        <w:t>2、维护敏感时期信访秩序</w:t>
      </w:r>
    </w:p>
    <w:p>
      <w:pPr>
        <w:pStyle w:val="30"/>
      </w:pPr>
      <w:r>
        <w:t>绩效目标：进一步提高政治站位，紧紧围绕区委、区政府关于做好信访稳定的工作要求，坚持“一盘棋”思维，有效发挥区信访工作联席会议办公室工作职能，统筹力量做好重大政治活动期间和重要敏感节点信访保障工作，协助保障国家和省、市、区重大政治活动顺利进行。</w:t>
      </w:r>
    </w:p>
    <w:p>
      <w:pPr>
        <w:pStyle w:val="30"/>
      </w:pPr>
      <w:r>
        <w:t>绩效指标：在重大政治活动和重要敏感节点期间，不发生大规模聚集上访、个人极端上访行为、因信访工作处置不当引发的负面炒作。</w:t>
      </w:r>
    </w:p>
    <w:p>
      <w:pPr>
        <w:pStyle w:val="30"/>
      </w:pPr>
      <w:r>
        <w:t>3、扎实推动信访积案化解工作</w:t>
      </w:r>
    </w:p>
    <w:p>
      <w:pPr>
        <w:pStyle w:val="30"/>
      </w:pPr>
      <w:r>
        <w:t>绩效目标：深入开展信访矛盾纠纷排查，把问题隐患发现在初始、解决在当地，从源头上遏制信访增量。抓实领导干部包联信访事项和县级领导干部信访接待日制度，深入推动信访积案攻坚化解，确保实现两个“百分之百”工作目标。</w:t>
      </w:r>
    </w:p>
    <w:p>
      <w:pPr>
        <w:pStyle w:val="30"/>
      </w:pPr>
      <w:r>
        <w:t>绩效指标：国家信访局和省、市交办积案化解率均达到100%。</w:t>
      </w:r>
    </w:p>
    <w:p>
      <w:pPr>
        <w:pStyle w:val="30"/>
      </w:pPr>
    </w:p>
    <w:p>
      <w:pPr>
        <w:spacing w:line="500" w:lineRule="exact"/>
        <w:ind w:firstLine="560"/>
      </w:pPr>
      <w:r>
        <w:rPr>
          <w:rFonts w:eastAsia="方正仿宋_GBK"/>
          <w:sz w:val="28"/>
        </w:rPr>
        <w:t>（三）工作保障措施</w:t>
      </w:r>
    </w:p>
    <w:p>
      <w:pPr>
        <w:pStyle w:val="31"/>
      </w:pPr>
      <w:r>
        <w:t>1、强化组织推动。成立由局主要领导任组长的预算绩效工作领导小组，下设预算绩效工作领导小组办公室，围绕年度总体绩效目标和分类绩效目标，统筹推进年度绩效工作，加强绩效运行监控，确保绩效目标如期高标准完成。</w:t>
      </w:r>
    </w:p>
    <w:p>
      <w:pPr>
        <w:pStyle w:val="31"/>
      </w:pPr>
      <w:r>
        <w:t>2、完善制度建设。完善区信访局预算绩效管理制度、资金管理办法等，强化制度执行落实，为预算绩效目标的实现提供坚实的制度保障。</w:t>
      </w:r>
    </w:p>
    <w:p>
      <w:pPr>
        <w:pStyle w:val="31"/>
      </w:pPr>
      <w:r>
        <w:t>3、规范财务管理。出台区信访局《财务管理规定》、《固定资产管理办法（试行）》、《办公用品管理规定（试行）》，严格审批程序，加强固定资产登记、使用和报废处置管理，加强财务人员的业务培训，提高业务素质，确保财政资金使用合法合规。</w:t>
      </w:r>
    </w:p>
    <w:p>
      <w:pPr>
        <w:pStyle w:val="31"/>
      </w:pPr>
      <w:r>
        <w:t>4、加强支出管理。协调各业务科室制定详细支出计划，及时支付资金，确保每月支出进度达标。不断提升政府采购效率，在预算批复后提早进入政府采购程序。</w:t>
      </w:r>
    </w:p>
    <w:p>
      <w:pPr>
        <w:pStyle w:val="31"/>
      </w:pPr>
      <w:r>
        <w:t>5、压实工作责任。按照“谁花钱、谁负责，谁牵头、谁主责”的原则，明确各科室预算绩效管理职责，压实其主要负责人“第一责任人”的责任，按照领导小组指示要求，配合领导小组办公室开展分管项目及内容的预算绩效管理工作。</w:t>
      </w:r>
    </w:p>
    <w:p>
      <w:pPr>
        <w:pStyle w:val="31"/>
      </w:pPr>
      <w:r>
        <w:t>6、强化过程跟踪。加大协调力度和督促指导，及时跟进各科室绩效工作进度，破解工作中的难题，力促预算绩效工作取得扎实成效。</w:t>
      </w:r>
    </w:p>
    <w:p>
      <w:pPr>
        <w:pStyle w:val="31"/>
      </w:pPr>
    </w:p>
    <w:p>
      <w:pPr>
        <w:ind w:firstLine="640"/>
      </w:pPr>
      <w:r>
        <w:rPr>
          <w:rFonts w:ascii="方正楷体_GBK" w:eastAsia="方正楷体_GBK" w:cs="方正楷体_GBK" w:hAnsi="方正楷体_GBK"/>
          <w:b/>
          <w:sz w:val="32"/>
        </w:rPr>
        <w:t>第二部分  预算项目绩效目标</w:t>
      </w:r>
    </w:p>
    <w:p>
      <w:pPr>
        <w:pStyle w:val="32"/>
        <w:ind w:firstLine="560"/>
      </w:pPr>
      <w:r>
        <w:rPr>
          <w:rFonts w:ascii="方正仿宋_GBK" w:eastAsia="方正仿宋_GBK" w:cs="方正仿宋_GBK" w:hAnsi="方正仿宋_GBK"/>
          <w:b/>
          <w:sz w:val="28"/>
        </w:rPr>
        <w:t>1、信访工作经费绩效目标表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1.集中工作力量，开展驻京省市信访值班；按照上级工作部署开展专项活动</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越级访下降</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圆满上级既定工作任务</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及时妥善解决群众信访问题</w:t>
            </w:r>
          </w:p>
        </w:tc>
        <w:tc>
          <w:tcPr>
            <w:tcW w:w="2835" w:type="dxa"/>
            <w:tcBorders>
              <w:top w:val="single" w:sz="6" w:space="0" w:color="000000"/>
              <w:left w:val="single" w:sz="6" w:space="0" w:color="000000"/>
              <w:right w:val="single" w:sz="6" w:space="0" w:color="000000"/>
            </w:tcBorders>
            <w:vAlign w:val="center"/>
          </w:tcPr>
          <w:p>
            <w:pPr>
              <w:pStyle w:val="34"/>
            </w:pPr>
            <w:r>
              <w:t>按期办结信访事项</w:t>
            </w:r>
          </w:p>
        </w:tc>
        <w:tc>
          <w:tcPr>
            <w:tcW w:w="2551" w:type="dxa"/>
            <w:tcBorders>
              <w:top w:val="single" w:sz="6" w:space="0" w:color="000000"/>
              <w:left w:val="single" w:sz="6" w:space="0" w:color="000000"/>
              <w:right w:val="single" w:sz="6" w:space="0" w:color="000000"/>
            </w:tcBorders>
            <w:vAlign w:val="center"/>
          </w:tcPr>
          <w:p>
            <w:pPr>
              <w:pStyle w:val="34"/>
            </w:pPr>
            <w:r>
              <w:t>≥95%</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差旅费、办公费</w:t>
            </w:r>
          </w:p>
        </w:tc>
        <w:tc>
          <w:tcPr>
            <w:tcW w:w="2835" w:type="dxa"/>
            <w:tcBorders>
              <w:top w:val="single" w:sz="6" w:space="0" w:color="000000"/>
              <w:left w:val="single" w:sz="6" w:space="0" w:color="000000"/>
              <w:right w:val="single" w:sz="6" w:space="0" w:color="000000"/>
            </w:tcBorders>
            <w:vAlign w:val="center"/>
          </w:tcPr>
          <w:p>
            <w:pPr>
              <w:pStyle w:val="34"/>
            </w:pPr>
            <w:r>
              <w:t>值班费用办公费用</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上级文件</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完成上级任务目标</w:t>
            </w:r>
          </w:p>
        </w:tc>
        <w:tc>
          <w:tcPr>
            <w:tcW w:w="2835" w:type="dxa"/>
            <w:tcBorders>
              <w:top w:val="single" w:sz="6" w:space="0" w:color="000000"/>
              <w:left w:val="single" w:sz="6" w:space="0" w:color="000000"/>
              <w:right w:val="single" w:sz="6" w:space="0" w:color="000000"/>
            </w:tcBorders>
            <w:vAlign w:val="center"/>
          </w:tcPr>
          <w:p>
            <w:pPr>
              <w:pStyle w:val="34"/>
            </w:pPr>
            <w:r>
              <w:t>上级任务目标</w:t>
            </w:r>
          </w:p>
        </w:tc>
        <w:tc>
          <w:tcPr>
            <w:tcW w:w="2551" w:type="dxa"/>
            <w:tcBorders>
              <w:top w:val="single" w:sz="6" w:space="0" w:color="000000"/>
              <w:left w:val="single" w:sz="6" w:space="0" w:color="000000"/>
              <w:right w:val="single" w:sz="6" w:space="0" w:color="000000"/>
            </w:tcBorders>
            <w:vAlign w:val="center"/>
          </w:tcPr>
          <w:p>
            <w:pPr>
              <w:pStyle w:val="34"/>
            </w:pPr>
            <w:r>
              <w:t>100完成率</w:t>
            </w:r>
          </w:p>
        </w:tc>
        <w:tc>
          <w:tcPr>
            <w:tcW w:w="2268" w:type="dxa"/>
            <w:vAlign w:val="center"/>
          </w:tcPr>
          <w:p>
            <w:pPr>
              <w:pStyle w:val="34"/>
            </w:pPr>
            <w:r>
              <w:t>上级文件</w:t>
            </w:r>
          </w:p>
        </w:tc>
      </w:tr>
    </w:tbl>
    <w:p>
      <w:pPr>
        <w:pStyle w:val="32"/>
      </w:pPr>
    </w:p>
    <w:p>
      <w:pPr>
        <w:pStyle w:val="32"/>
        <w:ind w:firstLine="560"/>
      </w:pPr>
      <w:r>
        <w:rPr>
          <w:rFonts w:ascii="方正仿宋_GBK" w:eastAsia="方正仿宋_GBK" w:cs="方正仿宋_GBK" w:hAnsi="方正仿宋_GBK"/>
          <w:b/>
          <w:sz w:val="28"/>
        </w:rPr>
        <w:t>2、信访局综治中心公车平台综合办公楼运行绩效目标表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1.保障办公楼正常运行</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保障机关正常执行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来访群众满意</w:t>
            </w:r>
          </w:p>
        </w:tc>
        <w:tc>
          <w:tcPr>
            <w:tcW w:w="2835" w:type="dxa"/>
            <w:tcBorders>
              <w:top w:val="single" w:sz="6" w:space="0" w:color="000000"/>
              <w:left w:val="single" w:sz="6" w:space="0" w:color="000000"/>
              <w:right w:val="single" w:sz="6" w:space="0" w:color="000000"/>
            </w:tcBorders>
            <w:vAlign w:val="center"/>
          </w:tcPr>
          <w:p>
            <w:pPr>
              <w:pStyle w:val="34"/>
            </w:pPr>
            <w:r>
              <w:t>群众满意</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bl>
    <w:p>
      <w:pPr>
        <w:pStyle w:val="32"/>
      </w:pPr>
    </w:p>
    <w:p>
      <w:pPr>
        <w:pStyle w:val="32"/>
        <w:ind w:firstLine="560"/>
      </w:pPr>
      <w:r>
        <w:rPr>
          <w:rFonts w:ascii="方正仿宋_GBK" w:eastAsia="方正仿宋_GBK" w:cs="方正仿宋_GBK" w:hAnsi="方正仿宋_GBK"/>
          <w:b/>
          <w:sz w:val="28"/>
        </w:rPr>
        <w:t>3、信访信息系统运行与维护绩效目标表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1.深入推进河北省阳光信访平台互联互通和深度应用，提高信访信息化智能化水平</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河北信访系统、视频接访系统</w:t>
            </w:r>
          </w:p>
        </w:tc>
        <w:tc>
          <w:tcPr>
            <w:tcW w:w="2835" w:type="dxa"/>
            <w:tcBorders>
              <w:top w:val="single" w:sz="6" w:space="0" w:color="000000"/>
              <w:left w:val="single" w:sz="6" w:space="0" w:color="000000"/>
              <w:right w:val="single" w:sz="6" w:space="0" w:color="000000"/>
            </w:tcBorders>
            <w:vAlign w:val="center"/>
          </w:tcPr>
          <w:p>
            <w:pPr>
              <w:pStyle w:val="34"/>
            </w:pPr>
            <w:r>
              <w:t>河北省信访信息系统、视频接访系统</w:t>
            </w:r>
          </w:p>
        </w:tc>
        <w:tc>
          <w:tcPr>
            <w:tcW w:w="2551" w:type="dxa"/>
            <w:tcBorders>
              <w:top w:val="single" w:sz="6" w:space="0" w:color="000000"/>
              <w:left w:val="single" w:sz="6" w:space="0" w:color="000000"/>
              <w:right w:val="single" w:sz="6" w:space="0" w:color="000000"/>
            </w:tcBorders>
            <w:vAlign w:val="center"/>
          </w:tcPr>
          <w:p>
            <w:pPr>
              <w:pStyle w:val="34"/>
            </w:pPr>
            <w:r>
              <w:t>2保证线路畅通</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4"/>
            </w:pPr>
            <w:r>
              <w:t>100提高网上信访工作质量和水平</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551" w:type="dxa"/>
            <w:tcBorders>
              <w:top w:val="single" w:sz="6" w:space="0" w:color="000000"/>
              <w:left w:val="single" w:sz="6" w:space="0" w:color="000000"/>
              <w:right w:val="single" w:sz="6" w:space="0" w:color="000000"/>
            </w:tcBorders>
            <w:vAlign w:val="center"/>
          </w:tcPr>
          <w:p>
            <w:pPr>
              <w:pStyle w:val="34"/>
            </w:pPr>
            <w:r>
              <w:t>100及时有效解决信访问题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551" w:type="dxa"/>
            <w:tcBorders>
              <w:top w:val="single" w:sz="6" w:space="0" w:color="000000"/>
              <w:left w:val="single" w:sz="6" w:space="0" w:color="000000"/>
              <w:right w:val="single" w:sz="6" w:space="0" w:color="000000"/>
            </w:tcBorders>
            <w:vAlign w:val="center"/>
          </w:tcPr>
          <w:p>
            <w:pPr>
              <w:pStyle w:val="34"/>
            </w:pPr>
            <w:r>
              <w:t>≥100保持网络畅通</w:t>
            </w:r>
          </w:p>
        </w:tc>
        <w:tc>
          <w:tcPr>
            <w:tcW w:w="2268" w:type="dxa"/>
            <w:vAlign w:val="center"/>
          </w:tcPr>
          <w:p>
            <w:pPr>
              <w:pStyle w:val="34"/>
            </w:pPr>
            <w:r>
              <w:t>上级文件规定</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551" w:type="dxa"/>
            <w:tcBorders>
              <w:top w:val="single" w:sz="6" w:space="0" w:color="000000"/>
              <w:left w:val="single" w:sz="6" w:space="0" w:color="000000"/>
              <w:right w:val="single" w:sz="6" w:space="0" w:color="000000"/>
            </w:tcBorders>
            <w:vAlign w:val="center"/>
          </w:tcPr>
          <w:p>
            <w:pPr>
              <w:pStyle w:val="34"/>
            </w:pPr>
            <w:r>
              <w:t>≥90及时有效解决问题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社会稳定水平</w:t>
            </w:r>
          </w:p>
        </w:tc>
        <w:tc>
          <w:tcPr>
            <w:tcW w:w="2835" w:type="dxa"/>
            <w:tcBorders>
              <w:top w:val="single" w:sz="6" w:space="0" w:color="000000"/>
              <w:left w:val="single" w:sz="6" w:space="0" w:color="000000"/>
              <w:right w:val="single" w:sz="6" w:space="0" w:color="000000"/>
            </w:tcBorders>
            <w:vAlign w:val="center"/>
          </w:tcPr>
          <w:p>
            <w:pPr>
              <w:pStyle w:val="34"/>
            </w:pPr>
            <w:r>
              <w:t>促进社会和谐稳定</w:t>
            </w:r>
          </w:p>
        </w:tc>
        <w:tc>
          <w:tcPr>
            <w:tcW w:w="2551" w:type="dxa"/>
            <w:tcBorders>
              <w:top w:val="single" w:sz="6" w:space="0" w:color="000000"/>
              <w:left w:val="single" w:sz="6" w:space="0" w:color="000000"/>
              <w:right w:val="single" w:sz="6" w:space="0" w:color="000000"/>
            </w:tcBorders>
            <w:vAlign w:val="center"/>
          </w:tcPr>
          <w:p>
            <w:pPr>
              <w:pStyle w:val="34"/>
            </w:pPr>
            <w:r>
              <w:t>95解决问题</w:t>
            </w:r>
          </w:p>
        </w:tc>
        <w:tc>
          <w:tcPr>
            <w:tcW w:w="2268" w:type="dxa"/>
            <w:vAlign w:val="center"/>
          </w:tcPr>
          <w:p>
            <w:pPr>
              <w:pStyle w:val="34"/>
            </w:pPr>
            <w:r>
              <w:t>上级文件规定</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上级文件规定</w:t>
            </w:r>
          </w:p>
        </w:tc>
      </w:tr>
    </w:tbl>
    <w:p>
      <w:pPr>
        <w:pStyle w:val="32"/>
      </w:pPr>
    </w:p>
    <w:p>
      <w:pPr>
        <w:pStyle w:val="32"/>
        <w:ind w:firstLine="560"/>
      </w:pPr>
      <w:r>
        <w:rPr>
          <w:rFonts w:ascii="方正仿宋_GBK" w:eastAsia="方正仿宋_GBK" w:cs="方正仿宋_GBK" w:hAnsi="方正仿宋_GBK"/>
          <w:b/>
          <w:sz w:val="28"/>
        </w:rPr>
        <w:t>4、石财行[2021]42号关于下达2021年第二批解决特殊疑难信访问题中央补助资金的通知绩效目标表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pPr>
    </w:p>
    <w:p>
      <w:pPr>
        <w:pStyle w:val="32"/>
        <w:ind w:firstLine="560"/>
      </w:pPr>
      <w:r>
        <w:rPr>
          <w:rFonts w:ascii="方正仿宋_GBK" w:eastAsia="方正仿宋_GBK" w:cs="方正仿宋_GBK" w:hAnsi="方正仿宋_GBK"/>
          <w:b/>
          <w:sz w:val="28"/>
        </w:rPr>
        <w:t>5、石财行[2021]44号关于下达2021年第二批实际解决特殊疑难信访问题专项补助资金的通知绩效目标表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100使用特疑资金及时利率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sectPr>
          <w:pgSz w:w="16840" w:h="11900" w:orient="landscape"/>
          <w:pgMar w:top="1361" w:right="1020" w:bottom="1361" w:left="1020" w:header="720" w:footer="720" w:gutter="0"/>
          <w:cols w:num="1" w:space="720"/>
          <w:docGrid w:linePitch="326" w:charSpace="0"/>
        </w:sectPr>
      </w:pPr>
    </w:p>
    <w:p>
      <w:pPr>
        <w:spacing w:before="10" w:after="10"/>
        <w:ind w:firstLine="640"/>
        <w:outlineLvl w:val="2"/>
      </w:pPr>
      <w:bookmarkStart w:id="14" w:name="_Toc_3_3_0000000015"/>
      <w:r>
        <w:rPr>
          <w:rFonts w:ascii="黑体" w:eastAsia="黑体" w:cs="黑体" w:hAnsi="黑体"/>
          <w:sz w:val="32"/>
        </w:rPr>
        <w:t>六、政府采购预算情况</w:t>
      </w:r>
      <w:bookmarkEnd w:id="14"/>
    </w:p>
    <w:p>
      <w:pPr>
        <w:spacing w:line="500" w:lineRule="exact"/>
        <w:ind w:firstLine="560"/>
      </w:pPr>
      <w:r>
        <w:rPr>
          <w:rFonts w:eastAsia="方正仿宋_GBK"/>
          <w:sz w:val="28"/>
        </w:rPr>
        <w:t>2022年，石家庄市藁城区信访局安排政府采购预算0.00万元。具体内容见下表。</w:t>
      </w:r>
    </w:p>
    <w:p>
      <w:pPr>
        <w:jc w:val="center"/>
      </w:pPr>
      <w:r>
        <w:rPr>
          <w:rFonts w:ascii="方正小标宋_GBK" w:eastAsia="方正小标宋_GBK" w:cs="方正小标宋_GBK" w:hAnsi="方正小标宋_GBK"/>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542石家庄市藁城区信访局</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right w:val="single" w:sz="6" w:space="0" w:color="000000"/>
            </w:tcBorders>
            <w:vAlign w:val="center"/>
          </w:tcPr>
          <w:p>
            <w:pPr>
              <w:pStyle w:val="18"/>
            </w:pPr>
            <w:r>
              <w:t>单价</w:t>
            </w:r>
          </w:p>
        </w:tc>
        <w:tc>
          <w:tcPr>
            <w:tcW w:w="7710" w:type="dxa"/>
            <w:gridSpan w:val="8"/>
            <w:tcBorders>
              <w:top w:val="single" w:sz="6" w:space="0" w:color="000000"/>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2022年  预留中  小微企  业份额</w:t>
            </w:r>
          </w:p>
        </w:tc>
      </w:tr>
      <w:tr>
        <w:trPr>
          <w:cantSplit/>
          <w:tblHeader/>
        </w:trPr>
        <w:tc>
          <w:tcPr>
            <w:tcW w:w="1701" w:type="dxa"/>
            <w:vAlign w:val="center"/>
          </w:tcPr>
          <w:p>
            <w:pPr>
              <w:pStyle w:val="18"/>
            </w:pPr>
            <w:r>
              <w:t>项目名称</w:t>
            </w:r>
          </w:p>
        </w:tc>
        <w:tc>
          <w:tcPr>
            <w:tcW w:w="964" w:type="dxa"/>
            <w:tcBorders>
              <w:top w:val="single" w:sz="6" w:space="0" w:color="000000"/>
              <w:left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right w:val="single" w:sz="6" w:space="0" w:color="000000"/>
            </w:tcBorders>
            <w:vAlign w:val="center"/>
          </w:tcPr>
          <w:p>
            <w:pPr>
              <w:pStyle w:val="18"/>
            </w:pPr>
            <w:r>
              <w:t>财政拨    款结转</w:t>
            </w:r>
          </w:p>
        </w:tc>
        <w:tc>
          <w:tcPr>
            <w:tcW w:w="964" w:type="dxa"/>
            <w:tcBorders>
              <w:top w:val="single" w:sz="6" w:space="0" w:color="000000"/>
              <w:left w:val="single" w:sz="6" w:space="0" w:color="000000"/>
              <w:right w:val="single" w:sz="6" w:space="0" w:color="000000"/>
            </w:tcBorders>
            <w:vAlign w:val="center"/>
          </w:tcPr>
          <w:p>
            <w:pPr>
              <w:pStyle w:val="18"/>
            </w:pPr>
            <w:r>
              <w:t>非财政    拨款结    转结余</w:t>
            </w:r>
          </w:p>
        </w:tc>
        <w:tc>
          <w:tcPr>
            <w:tcW w:w="964" w:type="dxa"/>
            <w:vMerge/>
          </w:tcPr>
          <w:p/>
        </w:tc>
      </w:tr>
      <w:tr>
        <w:trPr>
          <w:cantSplit/>
        </w:trPr>
        <w:tc>
          <w:tcPr>
            <w:tcW w:w="1701" w:type="dxa"/>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vAlign w:val="center"/>
          </w:tcPr>
          <w:p>
            <w:pPr>
              <w:pStyle w:val="19"/>
            </w:pPr>
          </w:p>
        </w:tc>
      </w:tr>
    </w:tbl>
    <w:p>
      <w:pPr>
        <w:spacing w:line="500" w:lineRule="exact"/>
        <w:ind w:firstLine="420"/>
      </w:pPr>
      <w:r>
        <w:rPr>
          <w:rFonts w:ascii="方正书宋_GBK" w:eastAsia="方正书宋_GBK" w:cs="方正书宋_GBK" w:hAnsi="方正书宋_GBK"/>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sz w:val="21"/>
        </w:rPr>
        <w:t>注：无政府采购预算，空表列示。</w:t>
      </w:r>
    </w:p>
    <w:p>
      <w:pPr>
        <w:ind w:firstLine="640"/>
      </w:pPr>
      <w:r>
        <w:rPr>
          <w:rFonts w:eastAsia="方正仿宋_GBK"/>
          <w:sz w:val="32"/>
        </w:rPr>
        <w:t xml:space="preserve"> </w:t>
      </w:r>
    </w:p>
    <w:p>
      <w:pPr>
        <w:spacing w:before="10" w:after="10"/>
        <w:ind w:firstLine="640"/>
        <w:outlineLvl w:val="2"/>
      </w:pPr>
      <w:bookmarkStart w:id="15" w:name="_Toc_3_3_0000000016"/>
      <w:r>
        <w:rPr>
          <w:rFonts w:ascii="黑体" w:eastAsia="黑体" w:cs="黑体" w:hAnsi="黑体"/>
          <w:sz w:val="32"/>
        </w:rPr>
        <w:t>七、国有资产信息</w:t>
      </w:r>
      <w:bookmarkEnd w:id="15"/>
    </w:p>
    <w:p>
      <w:pPr>
        <w:spacing w:line="500" w:lineRule="exact"/>
        <w:ind w:firstLine="560"/>
      </w:pPr>
      <w:r>
        <w:rPr>
          <w:rFonts w:eastAsia="方正仿宋_GBK"/>
          <w:sz w:val="28"/>
        </w:rPr>
        <w:t>石家庄市藁城区信访局（含所属单位）上年末固定资产金额为50.35万元（详见下表）。本年度拟购置固定资产总额为0.00万元，已按要求列入政府采购预算，详见政府采购预算表。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542石家庄市藁城区信访局</w:t>
            </w:r>
          </w:p>
        </w:tc>
        <w:tc>
          <w:tcPr>
            <w:tcW w:w="5669" w:type="dxa"/>
            <w:gridSpan w:val="2"/>
            <w:tcBorders>
              <w:top w:val="single" w:sz="6" w:space="0" w:color="FFFFFF"/>
              <w:left w:val="single" w:sz="6" w:space="0" w:color="FFFFFF"/>
              <w:right w:val="single" w:sz="6" w:space="0" w:color="FFFFFF"/>
            </w:tcBorders>
            <w:vAlign w:val="center"/>
          </w:tcPr>
          <w:p>
            <w:pPr>
              <w:pStyle w:val="15"/>
            </w:pPr>
            <w:r>
              <w:t>截止时间：2021-12-31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r>
        <w:tc>
          <w:tcPr>
            <w:tcW w:w="7370" w:type="dxa"/>
            <w:vAlign w:val="center"/>
          </w:tcPr>
          <w:p>
            <w:pPr>
              <w:pStyle w:val="20"/>
            </w:pPr>
            <w:r>
              <w:t>1、房屋（平方米）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bl>
    <w:p>
      <w:pPr>
        <w:ind w:firstLine="640"/>
      </w:pPr>
      <w:r>
        <w:rPr>
          <w:rFonts w:eastAsia="方正仿宋_GBK"/>
          <w:sz w:val="32"/>
        </w:rPr>
        <w:t xml:space="preserve"> </w:t>
      </w:r>
    </w:p>
    <w:p>
      <w:pPr>
        <w:spacing w:before="10" w:after="10"/>
        <w:ind w:firstLine="640"/>
        <w:outlineLvl w:val="2"/>
      </w:pPr>
      <w:bookmarkStart w:id="16" w:name="_Toc_3_3_0000000017"/>
      <w:r>
        <w:rPr>
          <w:rFonts w:ascii="黑体" w:eastAsia="黑体" w:cs="黑体" w:hAnsi="黑体"/>
          <w:sz w:val="32"/>
        </w:rPr>
        <w:t>八、名词解释</w:t>
      </w:r>
      <w:bookmarkEnd w:id="16"/>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w:t>
      </w:r>
      <w:r>
        <w:rPr>
          <w:rFonts w:eastAsia="方正仿宋_GBK" w:hint="eastAsia"/>
          <w:sz w:val="28"/>
          <w:lang w:eastAsia="zh-CN"/>
        </w:rPr>
        <w:t>区县</w:t>
      </w:r>
      <w:r>
        <w:rPr>
          <w:rFonts w:eastAsia="方正仿宋_GBK"/>
          <w:sz w:val="28"/>
        </w:rPr>
        <w:t>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eastAsia="方正仿宋_GBK" w:hint="eastAsia"/>
          <w:sz w:val="28"/>
          <w:lang w:eastAsia="zh-CN"/>
        </w:rPr>
        <w:t>区县</w:t>
      </w:r>
      <w:r>
        <w:rPr>
          <w:rFonts w:eastAsia="方正仿宋_GBK"/>
          <w:sz w:val="28"/>
        </w:rPr>
        <w:t>级财政预算管理的“三公”经费，是指</w:t>
      </w:r>
      <w:r>
        <w:rPr>
          <w:rFonts w:eastAsia="方正仿宋_GBK" w:hint="eastAsia"/>
          <w:sz w:val="28"/>
          <w:lang w:eastAsia="zh-CN"/>
        </w:rPr>
        <w:t>区县</w:t>
      </w:r>
      <w:r>
        <w:rPr>
          <w:rFonts w:eastAsia="方正仿宋_GBK"/>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eastAsia="黑体" w:cs="黑体" w:hAnsi="黑体"/>
          <w:sz w:val="32"/>
        </w:rPr>
        <w:t>九、其他需要说明的事项</w:t>
      </w:r>
      <w:bookmarkEnd w:id="17"/>
    </w:p>
    <w:p>
      <w:pPr>
        <w:spacing w:line="500" w:lineRule="exact"/>
        <w:ind w:firstLine="560"/>
        <w:sectPr>
          <w:pgSz w:w="16840" w:h="11900" w:orient="landscape"/>
          <w:pgMar w:top="1361" w:right="1020" w:bottom="1134" w:left="1020" w:header="720" w:footer="720" w:gutter="0"/>
          <w:cols w:num="1" w:space="720"/>
          <w:docGrid w:linePitch="326" w:charSpace="0"/>
        </w:sectPr>
      </w:pPr>
      <w:r>
        <w:rPr>
          <w:rFonts w:eastAsia="方正仿宋_GBK"/>
          <w:sz w:val="28"/>
        </w:rPr>
        <w:t>我部门无其他需要说明的事项。</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pPr>
      <w:r>
        <w:rPr>
          <w:rFonts w:ascii="方正小标宋_GBK" w:eastAsia="方正小标宋_GBK" w:cs="方正小标宋_GBK" w:hAnsi="方正小标宋_GBK"/>
          <w:sz w:val="44"/>
        </w:rPr>
        <w:t xml:space="preserve"> </w:t>
      </w:r>
    </w:p>
    <w:p>
      <w:pPr>
        <w:jc w:val="center"/>
        <w:outlineLvl w:val="0"/>
        <w:sectPr>
          <w:pgSz w:w="16840" w:h="11900" w:orient="landscape"/>
          <w:pgMar w:top="1361" w:right="1020" w:bottom="1134" w:left="1020" w:header="720" w:footer="720" w:gutter="0"/>
          <w:cols w:num="1" w:space="720"/>
          <w:docGrid w:linePitch="326" w:charSpace="0"/>
        </w:sectPr>
      </w:pPr>
      <w:r>
        <w:rPr>
          <w:rFonts w:ascii="方正小标宋_GBK" w:eastAsia="方正小标宋_GBK" w:cs="方正小标宋_GBK" w:hAnsi="方正小标宋_GBK"/>
          <w:sz w:val="72"/>
        </w:rPr>
        <w:t>第二部分  部门所属单位预算</w:t>
      </w:r>
    </w:p>
    <w:p>
      <w:pPr>
        <w:jc w:val="center"/>
        <w:outlineLvl w:val="3"/>
      </w:pPr>
      <w:bookmarkStart w:id="18" w:name="_Toc_4_4_0000000019"/>
      <w:r>
        <w:rPr>
          <w:rFonts w:ascii="方正小标宋_GBK" w:eastAsia="方正小标宋_GBK" w:cs="方正小标宋_GBK" w:hAnsi="方正小标宋_GBK"/>
          <w:sz w:val="44"/>
        </w:rPr>
        <w:t>一、石家庄市藁城区信访局本级收支预算</w:t>
      </w:r>
      <w:bookmarkEnd w:id="18"/>
    </w:p>
    <w:p>
      <w:pPr>
        <w:jc w:val="center"/>
        <w:outlineLvl w:val="4"/>
      </w:pPr>
      <w:r>
        <w:rPr>
          <w:rFonts w:ascii="方正小标宋_GBK" w:eastAsia="方正小标宋_GBK" w:cs="方正小标宋_GBK" w:hAnsi="方正小标宋_GBK"/>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126" w:type="dxa"/>
            <w:tcBorders>
              <w:top w:val="single" w:sz="6" w:space="0" w:color="FFFFFF"/>
              <w:left w:val="single" w:sz="6" w:space="0" w:color="FFFFFF"/>
              <w:right w:val="single" w:sz="6" w:space="0" w:color="FFFFFF"/>
            </w:tcBorders>
            <w:vAlign w:val="center"/>
          </w:tcPr>
          <w:p>
            <w:pPr>
              <w:pStyle w:val="16"/>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19"/>
            </w:pPr>
            <w:r>
              <w:t>364.07</w:t>
            </w:r>
          </w:p>
        </w:tc>
        <w:tc>
          <w:tcPr>
            <w:tcW w:w="4535" w:type="dxa"/>
            <w:tcBorders>
              <w:top w:val="single" w:sz="6" w:space="0" w:color="000000"/>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443.47</w:t>
            </w:r>
          </w:p>
        </w:tc>
      </w:tr>
      <w:tr>
        <w:trPr>
          <w:trHeight w:val="369"/>
        </w:trPr>
        <w:tc>
          <w:tcPr>
            <w:tcW w:w="850" w:type="dxa"/>
            <w:vAlign w:val="center"/>
          </w:tcPr>
          <w:p>
            <w:pPr>
              <w:pStyle w:val="21"/>
            </w:pPr>
            <w:r>
              <w:t>2</w:t>
            </w:r>
          </w:p>
        </w:tc>
        <w:tc>
          <w:tcPr>
            <w:tcW w:w="4535" w:type="dxa"/>
            <w:tcBorders>
              <w:top w:val="single" w:sz="6" w:space="0" w:color="000000"/>
              <w:left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right w:val="single" w:sz="6" w:space="0" w:color="000000"/>
            </w:tcBorders>
            <w:vAlign w:val="center"/>
          </w:tcPr>
          <w:p>
            <w:pPr>
              <w:pStyle w:val="20"/>
            </w:pPr>
            <w:r>
              <w:t>五、事业收入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right w:val="single" w:sz="6" w:space="0" w:color="000000"/>
            </w:tcBorders>
            <w:vAlign w:val="center"/>
          </w:tcPr>
          <w:p>
            <w:pPr>
              <w:pStyle w:val="20"/>
            </w:pPr>
            <w:r>
              <w:t>六、事业单位经营收入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right w:val="single" w:sz="6" w:space="0" w:color="000000"/>
            </w:tcBorders>
            <w:vAlign w:val="center"/>
          </w:tcPr>
          <w:p>
            <w:pPr>
              <w:pStyle w:val="20"/>
            </w:pPr>
            <w:r>
              <w:t>七、上级补助收入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right w:val="single" w:sz="6" w:space="0" w:color="000000"/>
            </w:tcBorders>
            <w:vAlign w:val="center"/>
          </w:tcPr>
          <w:p>
            <w:pPr>
              <w:pStyle w:val="20"/>
            </w:pPr>
            <w:r>
              <w:t>八、附属单位上缴收入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top w:val="single" w:sz="6" w:space="0" w:color="000000"/>
              <w:left w:val="single" w:sz="6" w:space="0" w:color="000000"/>
              <w:right w:val="single" w:sz="6" w:space="0" w:color="000000"/>
            </w:tcBorders>
            <w:vAlign w:val="center"/>
          </w:tcPr>
          <w:p>
            <w:pPr>
              <w:pStyle w:val="20"/>
            </w:pPr>
            <w:r>
              <w:t>九、其他收入</w:t>
            </w: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right w:val="single" w:sz="6" w:space="0" w:color="000000"/>
            </w:tcBorders>
            <w:vAlign w:val="center"/>
          </w:tcPr>
          <w:p>
            <w:pPr>
              <w:pStyle w:val="23"/>
            </w:pPr>
            <w:r>
              <w:t>364.07</w:t>
            </w:r>
          </w:p>
        </w:tc>
        <w:tc>
          <w:tcPr>
            <w:tcW w:w="4535" w:type="dxa"/>
            <w:tcBorders>
              <w:top w:val="single" w:sz="6" w:space="0" w:color="000000"/>
              <w:left w:val="single" w:sz="6" w:space="0" w:color="000000"/>
              <w:right w:val="single" w:sz="6" w:space="0" w:color="000000"/>
            </w:tcBorders>
            <w:vAlign w:val="center"/>
          </w:tcPr>
          <w:p>
            <w:pPr>
              <w:pStyle w:val="22"/>
            </w:pPr>
            <w:r>
              <w:t>本年支出合计</w:t>
            </w:r>
          </w:p>
        </w:tc>
        <w:tc>
          <w:tcPr>
            <w:tcW w:w="2126" w:type="dxa"/>
            <w:vAlign w:val="center"/>
          </w:tcPr>
          <w:p>
            <w:pPr>
              <w:pStyle w:val="23"/>
            </w:pPr>
            <w:r>
              <w:t>443.47</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right w:val="single" w:sz="6" w:space="0" w:color="000000"/>
            </w:tcBorders>
            <w:vAlign w:val="center"/>
          </w:tcPr>
          <w:p>
            <w:pPr>
              <w:pStyle w:val="19"/>
            </w:pPr>
            <w:r>
              <w:t>79.40</w:t>
            </w:r>
          </w:p>
        </w:tc>
        <w:tc>
          <w:tcPr>
            <w:tcW w:w="4535" w:type="dxa"/>
            <w:tcBorders>
              <w:top w:val="single" w:sz="6" w:space="0" w:color="000000"/>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right w:val="single" w:sz="6" w:space="0" w:color="000000"/>
            </w:tcBorders>
            <w:vAlign w:val="center"/>
          </w:tcPr>
          <w:p>
            <w:pPr>
              <w:pStyle w:val="23"/>
            </w:pPr>
            <w:r>
              <w:t>443.47</w:t>
            </w:r>
          </w:p>
        </w:tc>
        <w:tc>
          <w:tcPr>
            <w:tcW w:w="4535" w:type="dxa"/>
            <w:tcBorders>
              <w:top w:val="single" w:sz="6" w:space="0" w:color="000000"/>
              <w:left w:val="single" w:sz="6" w:space="0" w:color="000000"/>
              <w:right w:val="single" w:sz="6" w:space="0" w:color="000000"/>
            </w:tcBorders>
            <w:vAlign w:val="center"/>
          </w:tcPr>
          <w:p>
            <w:pPr>
              <w:pStyle w:val="22"/>
            </w:pPr>
            <w:r>
              <w:t>支出总计</w:t>
            </w:r>
          </w:p>
        </w:tc>
        <w:tc>
          <w:tcPr>
            <w:tcW w:w="2126" w:type="dxa"/>
            <w:vAlign w:val="center"/>
          </w:tcPr>
          <w:p>
            <w:pPr>
              <w:pStyle w:val="23"/>
            </w:pPr>
            <w:r>
              <w:t>443.47</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18"/>
            </w:pPr>
            <w:r>
              <w:t>合计</w:t>
            </w:r>
          </w:p>
        </w:tc>
        <w:tc>
          <w:tcPr>
            <w:tcW w:w="9071" w:type="dxa"/>
            <w:gridSpan w:val="8"/>
            <w:tcBorders>
              <w:top w:val="single" w:sz="6" w:space="0" w:color="000000"/>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right w:val="single" w:sz="6" w:space="0" w:color="000000"/>
            </w:tcBorders>
            <w:vAlign w:val="center"/>
          </w:tcPr>
          <w:p>
            <w:pPr>
              <w:pStyle w:val="23"/>
            </w:pPr>
            <w:r>
              <w:t>443.47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r>
              <w:t>364.07</w:t>
            </w: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p>
        </w:tc>
        <w:tc>
          <w:tcPr>
            <w:tcW w:w="1134" w:type="dxa"/>
            <w:vAlign w:val="center"/>
          </w:tcPr>
          <w:p>
            <w:pPr>
              <w:pStyle w:val="23"/>
            </w:pPr>
            <w:r>
              <w:t>79.40</w:t>
            </w:r>
          </w:p>
        </w:tc>
      </w:tr>
      <w:tr>
        <w:trPr>
          <w:trHeight w:val="369"/>
        </w:trPr>
        <w:tc>
          <w:tcPr>
            <w:tcW w:w="68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1559"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r>
        <w:trPr>
          <w:trHeight w:val="369"/>
        </w:trPr>
        <w:tc>
          <w:tcPr>
            <w:tcW w:w="68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1559" w:type="dxa"/>
            <w:tcBorders>
              <w:top w:val="single" w:sz="6" w:space="0" w:color="000000"/>
              <w:left w:val="single" w:sz="6" w:space="0" w:color="000000"/>
              <w:right w:val="single" w:sz="6" w:space="0" w:color="000000"/>
            </w:tcBorders>
            <w:vAlign w:val="center"/>
          </w:tcPr>
          <w:p>
            <w:pPr>
              <w:pStyle w:val="20"/>
            </w:pPr>
            <w:r>
              <w:t>信访事务</w:t>
            </w:r>
          </w:p>
        </w:tc>
        <w:tc>
          <w:tcPr>
            <w:tcW w:w="1134" w:type="dxa"/>
            <w:tcBorders>
              <w:top w:val="single" w:sz="6" w:space="0" w:color="000000"/>
              <w:left w:val="single" w:sz="6" w:space="0" w:color="000000"/>
              <w:right w:val="single" w:sz="6" w:space="0" w:color="000000"/>
            </w:tcBorders>
            <w:vAlign w:val="center"/>
          </w:tcPr>
          <w:p>
            <w:pPr>
              <w:pStyle w:val="19"/>
            </w:pPr>
            <w:r>
              <w:t>443.47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r>
              <w:t>364.07</w:t>
            </w: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c>
          <w:tcPr>
            <w:tcW w:w="1134" w:type="dxa"/>
            <w:vAlign w:val="center"/>
          </w:tcPr>
          <w:p>
            <w:pPr>
              <w:pStyle w:val="19"/>
            </w:pPr>
            <w:r>
              <w:t>79.40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right w:val="single" w:sz="6" w:space="0" w:color="000000"/>
            </w:tcBorders>
            <w:vAlign w:val="center"/>
          </w:tcPr>
          <w:p>
            <w:pPr>
              <w:pStyle w:val="23"/>
            </w:pPr>
            <w:r>
              <w:t>443.47</w:t>
            </w:r>
          </w:p>
        </w:tc>
        <w:tc>
          <w:tcPr>
            <w:tcW w:w="1361" w:type="dxa"/>
            <w:tcBorders>
              <w:top w:val="single" w:sz="6" w:space="0" w:color="000000"/>
              <w:left w:val="single" w:sz="6" w:space="0" w:color="000000"/>
              <w:right w:val="single" w:sz="6" w:space="0" w:color="000000"/>
            </w:tcBorders>
            <w:vAlign w:val="center"/>
          </w:tcPr>
          <w:p>
            <w:pPr>
              <w:pStyle w:val="23"/>
            </w:pPr>
            <w:r>
              <w:t>283.47</w:t>
            </w:r>
          </w:p>
        </w:tc>
        <w:tc>
          <w:tcPr>
            <w:tcW w:w="1361" w:type="dxa"/>
            <w:tcBorders>
              <w:top w:val="single" w:sz="6" w:space="0" w:color="000000"/>
              <w:left w:val="single" w:sz="6" w:space="0" w:color="000000"/>
              <w:right w:val="single" w:sz="6" w:space="0" w:color="000000"/>
            </w:tcBorders>
            <w:vAlign w:val="center"/>
          </w:tcPr>
          <w:p>
            <w:pPr>
              <w:pStyle w:val="23"/>
            </w:pPr>
            <w:r>
              <w:t>160.00</w:t>
            </w: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1361" w:type="dxa"/>
            <w:tcBorders>
              <w:top w:val="single" w:sz="6" w:space="0" w:color="000000"/>
              <w:left w:val="single" w:sz="6" w:space="0" w:color="000000"/>
              <w:right w:val="single" w:sz="6" w:space="0" w:color="000000"/>
            </w:tcBorders>
            <w:vAlign w:val="center"/>
          </w:tcPr>
          <w:p>
            <w:pPr>
              <w:pStyle w:val="19"/>
            </w:pPr>
            <w:r>
              <w:t>443.47</w:t>
            </w:r>
          </w:p>
        </w:tc>
        <w:tc>
          <w:tcPr>
            <w:tcW w:w="1361" w:type="dxa"/>
            <w:tcBorders>
              <w:top w:val="single" w:sz="6" w:space="0" w:color="000000"/>
              <w:left w:val="single" w:sz="6" w:space="0" w:color="000000"/>
              <w:right w:val="single" w:sz="6" w:space="0" w:color="000000"/>
            </w:tcBorders>
            <w:vAlign w:val="center"/>
          </w:tcPr>
          <w:p>
            <w:pPr>
              <w:pStyle w:val="19"/>
            </w:pPr>
            <w:r>
              <w:t>283.47</w:t>
            </w:r>
          </w:p>
        </w:tc>
        <w:tc>
          <w:tcPr>
            <w:tcW w:w="1361" w:type="dxa"/>
            <w:tcBorders>
              <w:top w:val="single" w:sz="6" w:space="0" w:color="000000"/>
              <w:left w:val="single" w:sz="6" w:space="0" w:color="000000"/>
              <w:right w:val="single" w:sz="6" w:space="0" w:color="000000"/>
            </w:tcBorders>
            <w:vAlign w:val="center"/>
          </w:tcPr>
          <w:p>
            <w:pPr>
              <w:pStyle w:val="19"/>
            </w:pPr>
            <w:r>
              <w:t>160.00</w:t>
            </w: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3402" w:type="dxa"/>
            <w:tcBorders>
              <w:top w:val="single" w:sz="6" w:space="0" w:color="FFFFFF"/>
              <w:left w:val="single" w:sz="6" w:space="0" w:color="FFFFFF"/>
              <w:right w:val="single" w:sz="6" w:space="0" w:color="FFFFFF"/>
            </w:tcBorders>
            <w:vAlign w:val="center"/>
          </w:tcPr>
          <w:p>
            <w:pPr>
              <w:pStyle w:val="16"/>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364.07</w:t>
            </w:r>
          </w:p>
        </w:tc>
        <w:tc>
          <w:tcPr>
            <w:tcW w:w="3402" w:type="dxa"/>
            <w:tcBorders>
              <w:top w:val="single" w:sz="6" w:space="0" w:color="000000"/>
              <w:left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r>
              <w:t>443.47</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right w:val="single" w:sz="6" w:space="0" w:color="000000"/>
            </w:tcBorders>
            <w:vAlign w:val="center"/>
          </w:tcPr>
          <w:p>
            <w:pPr>
              <w:pStyle w:val="23"/>
            </w:pPr>
            <w:r>
              <w:t>364.07</w:t>
            </w:r>
          </w:p>
        </w:tc>
        <w:tc>
          <w:tcPr>
            <w:tcW w:w="3402" w:type="dxa"/>
            <w:tcBorders>
              <w:top w:val="single" w:sz="6" w:space="0" w:color="000000"/>
              <w:left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right w:val="single" w:sz="6" w:space="0" w:color="000000"/>
            </w:tcBorders>
            <w:vAlign w:val="center"/>
          </w:tcPr>
          <w:p>
            <w:pPr>
              <w:pStyle w:val="19"/>
            </w:pPr>
            <w:r>
              <w:t>79.40</w:t>
            </w: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3402" w:type="dxa"/>
            <w:tcBorders>
              <w:top w:val="single" w:sz="6" w:space="0" w:color="000000"/>
              <w:left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r>
              <w:t>443.47</w:t>
            </w:r>
          </w:p>
        </w:tc>
        <w:tc>
          <w:tcPr>
            <w:tcW w:w="1474" w:type="dxa"/>
            <w:tcBorders>
              <w:top w:val="single" w:sz="6" w:space="0" w:color="000000"/>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443.47</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vAlign w:val="center"/>
          </w:tcPr>
          <w:p>
            <w:pPr>
              <w:pStyle w:val="23"/>
            </w:pPr>
            <w:r>
              <w:t>160.00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20103</w:t>
            </w:r>
          </w:p>
        </w:tc>
        <w:tc>
          <w:tcPr>
            <w:tcW w:w="4535" w:type="dxa"/>
            <w:tcBorders>
              <w:top w:val="single" w:sz="6" w:space="0" w:color="000000"/>
              <w:left w:val="single" w:sz="6" w:space="0" w:color="000000"/>
              <w:right w:val="single" w:sz="6" w:space="0" w:color="000000"/>
            </w:tcBorders>
            <w:vAlign w:val="center"/>
          </w:tcPr>
          <w:p>
            <w:pPr>
              <w:pStyle w:val="20"/>
            </w:pPr>
            <w: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2010308</w:t>
            </w:r>
          </w:p>
        </w:tc>
        <w:tc>
          <w:tcPr>
            <w:tcW w:w="4535" w:type="dxa"/>
            <w:tcBorders>
              <w:top w:val="single" w:sz="6" w:space="0" w:color="000000"/>
              <w:left w:val="single" w:sz="6" w:space="0" w:color="000000"/>
              <w:right w:val="single" w:sz="6" w:space="0" w:color="000000"/>
            </w:tcBorders>
            <w:vAlign w:val="center"/>
          </w:tcPr>
          <w:p>
            <w:pPr>
              <w:pStyle w:val="20"/>
            </w:pPr>
            <w:r>
              <w:t>信访事务</w:t>
            </w:r>
          </w:p>
        </w:tc>
        <w:tc>
          <w:tcPr>
            <w:tcW w:w="2551" w:type="dxa"/>
            <w:tcBorders>
              <w:top w:val="single" w:sz="6" w:space="0" w:color="000000"/>
              <w:left w:val="single" w:sz="6" w:space="0" w:color="000000"/>
              <w:right w:val="single" w:sz="6" w:space="0" w:color="000000"/>
            </w:tcBorders>
            <w:vAlign w:val="center"/>
          </w:tcPr>
          <w:p>
            <w:pPr>
              <w:pStyle w:val="19"/>
            </w:pPr>
            <w:r>
              <w:t>443.47</w:t>
            </w:r>
          </w:p>
        </w:tc>
        <w:tc>
          <w:tcPr>
            <w:tcW w:w="2551" w:type="dxa"/>
            <w:tcBorders>
              <w:top w:val="single" w:sz="6" w:space="0" w:color="000000"/>
              <w:left w:val="single" w:sz="6" w:space="0" w:color="000000"/>
              <w:right w:val="single" w:sz="6" w:space="0" w:color="000000"/>
            </w:tcBorders>
            <w:vAlign w:val="center"/>
          </w:tcPr>
          <w:p>
            <w:pPr>
              <w:pStyle w:val="19"/>
            </w:pPr>
            <w:r>
              <w:t>283.47</w:t>
            </w:r>
          </w:p>
        </w:tc>
        <w:tc>
          <w:tcPr>
            <w:tcW w:w="2551" w:type="dxa"/>
            <w:vAlign w:val="center"/>
          </w:tcPr>
          <w:p>
            <w:pPr>
              <w:pStyle w:val="19"/>
            </w:pPr>
            <w:r>
              <w:t>160.00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支出部门经济分类科目</w:t>
            </w:r>
          </w:p>
        </w:tc>
        <w:tc>
          <w:tcPr>
            <w:tcW w:w="7654"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right w:val="single" w:sz="6" w:space="0" w:color="000000"/>
            </w:tcBorders>
            <w:vAlign w:val="center"/>
          </w:tcPr>
          <w:p>
            <w:pPr>
              <w:pStyle w:val="23"/>
            </w:pPr>
            <w:r>
              <w:t>283.47</w:t>
            </w:r>
          </w:p>
        </w:tc>
        <w:tc>
          <w:tcPr>
            <w:tcW w:w="2551" w:type="dxa"/>
            <w:tcBorders>
              <w:top w:val="single" w:sz="6" w:space="0" w:color="000000"/>
              <w:left w:val="single" w:sz="6" w:space="0" w:color="000000"/>
              <w:right w:val="single" w:sz="6" w:space="0" w:color="000000"/>
            </w:tcBorders>
            <w:vAlign w:val="center"/>
          </w:tcPr>
          <w:p>
            <w:pPr>
              <w:pStyle w:val="23"/>
            </w:pPr>
            <w:r>
              <w:t>256.65</w:t>
            </w:r>
          </w:p>
        </w:tc>
        <w:tc>
          <w:tcPr>
            <w:tcW w:w="2551" w:type="dxa"/>
            <w:vAlign w:val="center"/>
          </w:tcPr>
          <w:p>
            <w:pPr>
              <w:pStyle w:val="23"/>
            </w:pPr>
            <w:r>
              <w:t>26.83</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tcBorders>
              <w:top w:val="single" w:sz="6" w:space="0" w:color="000000"/>
              <w:left w:val="single" w:sz="6" w:space="0" w:color="000000"/>
              <w:right w:val="single" w:sz="6" w:space="0" w:color="000000"/>
            </w:tcBorders>
            <w:vAlign w:val="center"/>
          </w:tcPr>
          <w:p>
            <w:pPr>
              <w:pStyle w:val="19"/>
            </w:pPr>
            <w:r>
              <w:t>256.65</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tcBorders>
              <w:top w:val="single" w:sz="6" w:space="0" w:color="000000"/>
              <w:left w:val="single" w:sz="6" w:space="0" w:color="000000"/>
              <w:right w:val="single" w:sz="6" w:space="0" w:color="000000"/>
            </w:tcBorders>
            <w:vAlign w:val="center"/>
          </w:tcPr>
          <w:p>
            <w:pPr>
              <w:pStyle w:val="19"/>
            </w:pPr>
            <w:r>
              <w:t>60.38</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tcBorders>
              <w:top w:val="single" w:sz="6" w:space="0" w:color="000000"/>
              <w:left w:val="single" w:sz="6" w:space="0" w:color="000000"/>
              <w:right w:val="single" w:sz="6" w:space="0" w:color="000000"/>
            </w:tcBorders>
            <w:vAlign w:val="center"/>
          </w:tcPr>
          <w:p>
            <w:pPr>
              <w:pStyle w:val="19"/>
            </w:pPr>
            <w:r>
              <w:t>108.29</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tcBorders>
              <w:top w:val="single" w:sz="6" w:space="0" w:color="000000"/>
              <w:left w:val="single" w:sz="6" w:space="0" w:color="000000"/>
              <w:right w:val="single" w:sz="6" w:space="0" w:color="000000"/>
            </w:tcBorders>
            <w:vAlign w:val="center"/>
          </w:tcPr>
          <w:p>
            <w:pPr>
              <w:pStyle w:val="19"/>
            </w:pPr>
            <w:r>
              <w:t>5.03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tcBorders>
              <w:top w:val="single" w:sz="6" w:space="0" w:color="000000"/>
              <w:left w:val="single" w:sz="6" w:space="0" w:color="000000"/>
              <w:right w:val="single" w:sz="6" w:space="0" w:color="000000"/>
            </w:tcBorders>
            <w:vAlign w:val="center"/>
          </w:tcPr>
          <w:p>
            <w:pPr>
              <w:pStyle w:val="19"/>
            </w:pPr>
            <w:r>
              <w:t>22.91</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tcBorders>
              <w:top w:val="single" w:sz="6" w:space="0" w:color="000000"/>
              <w:left w:val="single" w:sz="6" w:space="0" w:color="000000"/>
              <w:right w:val="single" w:sz="6" w:space="0" w:color="000000"/>
            </w:tcBorders>
            <w:vAlign w:val="center"/>
          </w:tcPr>
          <w:p>
            <w:pPr>
              <w:pStyle w:val="19"/>
            </w:pPr>
            <w:r>
              <w:t>12.03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right w:val="single" w:sz="6" w:space="0" w:color="000000"/>
            </w:tcBorders>
            <w:vAlign w:val="center"/>
          </w:tcPr>
          <w:p>
            <w:pPr>
              <w:pStyle w:val="20"/>
            </w:pPr>
            <w:r>
              <w:t>30111</w:t>
            </w:r>
          </w:p>
        </w:tc>
        <w:tc>
          <w:tcPr>
            <w:tcW w:w="4535" w:type="dxa"/>
            <w:tcBorders>
              <w:top w:val="single" w:sz="6" w:space="0" w:color="000000"/>
              <w:left w:val="single" w:sz="6" w:space="0" w:color="000000"/>
              <w:right w:val="single" w:sz="6" w:space="0" w:color="000000"/>
            </w:tcBorders>
            <w:vAlign w:val="center"/>
          </w:tcPr>
          <w:p>
            <w:pPr>
              <w:pStyle w:val="20"/>
            </w:pPr>
            <w:r>
              <w:t>公务员医疗补助缴费</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tcBorders>
              <w:top w:val="single" w:sz="6" w:space="0" w:color="000000"/>
              <w:left w:val="single" w:sz="6" w:space="0" w:color="000000"/>
              <w:right w:val="single" w:sz="6" w:space="0" w:color="000000"/>
            </w:tcBorders>
            <w:vAlign w:val="center"/>
          </w:tcPr>
          <w:p>
            <w:pPr>
              <w:pStyle w:val="19"/>
            </w:pPr>
            <w:r>
              <w:t>9.31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tcBorders>
              <w:top w:val="single" w:sz="6" w:space="0" w:color="000000"/>
              <w:left w:val="single" w:sz="6" w:space="0" w:color="000000"/>
              <w:right w:val="single" w:sz="6" w:space="0" w:color="000000"/>
            </w:tcBorders>
            <w:vAlign w:val="center"/>
          </w:tcPr>
          <w:p>
            <w:pPr>
              <w:pStyle w:val="19"/>
            </w:pPr>
            <w:r>
              <w:t>19.72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tcBorders>
              <w:top w:val="single" w:sz="6" w:space="0" w:color="000000"/>
              <w:left w:val="single" w:sz="6" w:space="0" w:color="000000"/>
              <w:right w:val="single" w:sz="6" w:space="0" w:color="000000"/>
            </w:tcBorders>
            <w:vAlign w:val="center"/>
          </w:tcPr>
          <w:p>
            <w:pPr>
              <w:pStyle w:val="19"/>
            </w:pPr>
            <w:r>
              <w:t>18.99</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right w:val="single" w:sz="6" w:space="0" w:color="000000"/>
            </w:tcBorders>
            <w:vAlign w:val="center"/>
          </w:tcPr>
          <w:p>
            <w:pPr>
              <w:pStyle w:val="19"/>
            </w:pPr>
            <w:r>
              <w:t>26.83</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26.83</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right w:val="single" w:sz="6" w:space="0" w:color="000000"/>
            </w:tcBorders>
            <w:vAlign w:val="center"/>
          </w:tcPr>
          <w:p>
            <w:pPr>
              <w:pStyle w:val="19"/>
            </w:pPr>
            <w:r>
              <w:t>6.00</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right w:val="single" w:sz="6" w:space="0" w:color="000000"/>
            </w:tcBorders>
            <w:vAlign w:val="center"/>
          </w:tcPr>
          <w:p>
            <w:pPr>
              <w:pStyle w:val="19"/>
            </w:pPr>
            <w:r>
              <w:t>7.68</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7.68</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right w:val="single" w:sz="6" w:space="0" w:color="000000"/>
            </w:tcBorders>
            <w:vAlign w:val="center"/>
          </w:tcPr>
          <w:p>
            <w:pPr>
              <w:pStyle w:val="20"/>
            </w:pPr>
            <w:r>
              <w:t>30228</w:t>
            </w:r>
          </w:p>
        </w:tc>
        <w:tc>
          <w:tcPr>
            <w:tcW w:w="4535" w:type="dxa"/>
            <w:tcBorders>
              <w:top w:val="single" w:sz="6" w:space="0" w:color="000000"/>
              <w:left w:val="single" w:sz="6" w:space="0" w:color="000000"/>
              <w:right w:val="single" w:sz="6" w:space="0" w:color="000000"/>
            </w:tcBorders>
            <w:vAlign w:val="center"/>
          </w:tcPr>
          <w:p>
            <w:pPr>
              <w:pStyle w:val="20"/>
            </w:pPr>
            <w:r>
              <w:t>工会经费</w:t>
            </w:r>
          </w:p>
        </w:tc>
        <w:tc>
          <w:tcPr>
            <w:tcW w:w="2551" w:type="dxa"/>
            <w:tcBorders>
              <w:top w:val="single" w:sz="6" w:space="0" w:color="000000"/>
              <w:left w:val="single" w:sz="6" w:space="0" w:color="000000"/>
              <w:right w:val="single" w:sz="6" w:space="0" w:color="000000"/>
            </w:tcBorders>
            <w:vAlign w:val="center"/>
          </w:tcPr>
          <w:p>
            <w:pPr>
              <w:pStyle w:val="19"/>
            </w:pPr>
            <w:r>
              <w:t>1.30</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1.30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right w:val="single" w:sz="6" w:space="0" w:color="000000"/>
            </w:tcBorders>
            <w:vAlign w:val="center"/>
          </w:tcPr>
          <w:p>
            <w:pPr>
              <w:pStyle w:val="20"/>
            </w:pPr>
            <w:r>
              <w:t>30229</w:t>
            </w:r>
          </w:p>
        </w:tc>
        <w:tc>
          <w:tcPr>
            <w:tcW w:w="4535" w:type="dxa"/>
            <w:tcBorders>
              <w:top w:val="single" w:sz="6" w:space="0" w:color="000000"/>
              <w:left w:val="single" w:sz="6" w:space="0" w:color="000000"/>
              <w:right w:val="single" w:sz="6" w:space="0" w:color="000000"/>
            </w:tcBorders>
            <w:vAlign w:val="center"/>
          </w:tcPr>
          <w:p>
            <w:pPr>
              <w:pStyle w:val="20"/>
            </w:pPr>
            <w:r>
              <w:t>福利费</w:t>
            </w:r>
          </w:p>
        </w:tc>
        <w:tc>
          <w:tcPr>
            <w:tcW w:w="2551" w:type="dxa"/>
            <w:tcBorders>
              <w:top w:val="single" w:sz="6" w:space="0" w:color="000000"/>
              <w:left w:val="single" w:sz="6" w:space="0" w:color="000000"/>
              <w:right w:val="single" w:sz="6" w:space="0" w:color="000000"/>
            </w:tcBorders>
            <w:vAlign w:val="center"/>
          </w:tcPr>
          <w:p>
            <w:pPr>
              <w:pStyle w:val="19"/>
            </w:pPr>
            <w:r>
              <w:t>1.51</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1.51</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right w:val="single" w:sz="6" w:space="0" w:color="000000"/>
            </w:tcBorders>
            <w:vAlign w:val="center"/>
          </w:tcPr>
          <w:p>
            <w:pPr>
              <w:pStyle w:val="19"/>
            </w:pPr>
            <w:r>
              <w:t>9.66</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9.66</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right w:val="single" w:sz="6" w:space="0" w:color="000000"/>
            </w:tcBorders>
            <w:vAlign w:val="center"/>
          </w:tcPr>
          <w:p>
            <w:pPr>
              <w:pStyle w:val="19"/>
            </w:pPr>
            <w:r>
              <w:t>0.68</w:t>
            </w: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r>
              <w:t>0.68</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注：无政府基金预算财政拨款预算，空表列示。</w:t>
      </w:r>
    </w:p>
    <w:p>
      <w:pPr>
        <w:jc w:val="center"/>
        <w:outlineLvl w:val="4"/>
      </w:pPr>
      <w:r>
        <w:rPr>
          <w:rFonts w:ascii="方正小标宋_GBK" w:eastAsia="方正小标宋_GBK" w:cs="方正小标宋_GBK" w:hAnsi="方正小标宋_GBK"/>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sz w:val="21"/>
        </w:rPr>
        <w:t>注：无国有资本经营预算财政拨款预算，空表列示。</w:t>
      </w:r>
    </w:p>
    <w:p>
      <w:pPr>
        <w:jc w:val="center"/>
        <w:outlineLvl w:val="4"/>
      </w:pPr>
      <w:r>
        <w:rPr>
          <w:rFonts w:ascii="方正小标宋_GBK" w:eastAsia="方正小标宋_GBK" w:cs="方正小标宋_GBK" w:hAnsi="方正小标宋_GBK"/>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2381" w:type="dxa"/>
            <w:tcBorders>
              <w:top w:val="single" w:sz="6" w:space="0" w:color="FFFFFF"/>
              <w:left w:val="single" w:sz="6" w:space="0" w:color="FFFFFF"/>
              <w:right w:val="single" w:sz="6" w:space="0" w:color="FFFFFF"/>
            </w:tcBorders>
            <w:vAlign w:val="center"/>
          </w:tcPr>
          <w:p>
            <w:pPr>
              <w:pStyle w:val="16"/>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sz w:val="21"/>
        </w:rPr>
        <w:t>注：无财政拨款“三公”经费支出表预算，空表列示。</w:t>
      </w:r>
    </w:p>
    <w:p>
      <w:pPr>
        <w:jc w:val="center"/>
        <w:outlineLvl w:val="4"/>
      </w:pPr>
      <w:r>
        <w:rPr>
          <w:rFonts w:ascii="方正小标宋_GBK" w:eastAsia="方正小标宋_GBK" w:cs="方正小标宋_GBK" w:hAnsi="方正小标宋_GBK"/>
          <w:sz w:val="44"/>
        </w:rPr>
        <w:t>石家庄市藁城区信访局本级2022年单位预算信息公开情况说明</w:t>
      </w:r>
    </w:p>
    <w:p>
      <w:pPr>
        <w:spacing w:line="500" w:lineRule="exact"/>
        <w:ind w:firstLine="560"/>
      </w:pPr>
      <w:r>
        <w:rPr>
          <w:rFonts w:eastAsia="方正仿宋_GBK"/>
          <w:sz w:val="28"/>
        </w:rPr>
        <w:t>按照《中华人民共和国预算法》、《地方预决算公开操作规程》和《关于进一步推进预算公开工作的实施意见》规定，现将石家庄市藁城区信访局本级2022年单位预算公开如下：</w:t>
      </w:r>
    </w:p>
    <w:p>
      <w:pPr>
        <w:spacing w:before="10" w:after="10"/>
        <w:ind w:firstLine="640"/>
        <w:outlineLvl w:val="5"/>
      </w:pPr>
      <w:r>
        <w:rPr>
          <w:rFonts w:ascii="黑体" w:eastAsia="黑体" w:cs="黑体" w:hAnsi="黑体"/>
          <w:sz w:val="32"/>
        </w:rPr>
        <w:t>一、单位职责及机构设置情况</w:t>
      </w:r>
    </w:p>
    <w:p>
      <w:pPr>
        <w:ind w:firstLine="640"/>
      </w:pPr>
      <w:r>
        <w:rPr>
          <w:rFonts w:ascii="方正楷体_GBK" w:eastAsia="方正楷体_GBK" w:cs="方正楷体_GBK" w:hAnsi="方正楷体_GBK"/>
          <w:b/>
          <w:sz w:val="32"/>
        </w:rPr>
        <w:t>单位职责：</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(一)研究提出全区信访工作思路，贯彻落实关于信访稳定工作的法律法规和规章。</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(二)办理人民群众来信，接待群众来访，受理群众网上投诉，查办信访案件，负责人民群众建议征集工作。</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(三)调查研究和综合分析全区信访形势及信访工作状况，总结推广各乡镇、石家庄经济技术开发区、藁城经济开发区和区直各部门信访工作经验，提出改进和加强信访工作的意见和建议。</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(六)协助上级处理藁城区群众进京上访工作，综合协调处理跨地区、跨部门、跨行业的重要信访问题，协助公安机关维护区委、区政府机关正常工作秩序。</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(七)负责省、市、区领导及省直、市直部门领导公开接访和包联案件的组织协调工作。</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(八)承担藁城区信访工作联席会议的日常工作，督促落实联席会议决定的事项。</w:t>
      </w:r>
    </w:p>
    <w:p>
      <w:pPr>
        <w:adjustRightInd w:val="0"/>
        <w:snapToGrid w:val="0"/>
        <w:spacing w:line="560" w:lineRule="exact"/>
        <w:ind w:firstLineChars="200" w:firstLine="640"/>
        <w:rPr>
          <w:rFonts w:ascii="仿宋_GB2312" w:eastAsia="仿宋_GB2312" w:cs="仿宋_GB2312" w:hAnsi="仿宋_GB2312"/>
          <w:sz w:val="32"/>
          <w:szCs w:val="32"/>
          <w:shd w:val="clear" w:color="auto" w:fill="FFFFFF"/>
        </w:rPr>
      </w:pPr>
      <w:r>
        <w:rPr>
          <w:rFonts w:ascii="仿宋_GB2312" w:eastAsia="仿宋_GB2312" w:cs="仿宋_GB2312" w:hAnsi="仿宋_GB2312" w:hint="eastAsia"/>
          <w:sz w:val="32"/>
          <w:szCs w:val="32"/>
          <w:shd w:val="clear" w:color="auto" w:fill="FFFFFF"/>
          <w:lang w:eastAsia="zh-CN"/>
        </w:rPr>
        <w:t>(九)完成区委、区政府以及上级交办的其他任务。</w:t>
      </w:r>
    </w:p>
    <w:p>
      <w:pPr>
        <w:ind w:firstLine="640"/>
      </w:pPr>
      <w:r>
        <w:rPr>
          <w:rFonts w:ascii="方正楷体_GBK" w:eastAsia="方正楷体_GBK" w:cs="方正楷体_GBK" w:hAnsi="方正楷体_GBK"/>
          <w:b/>
          <w:sz w:val="32"/>
        </w:rPr>
        <w:t>机构设置：</w:t>
      </w:r>
    </w:p>
    <w:p>
      <w:pPr>
        <w:jc w:val="center"/>
      </w:pPr>
      <w:r>
        <w:rPr>
          <w:rFonts w:ascii="方正小标宋_GBK" w:eastAsia="方正小标宋_GBK" w:cs="方正小标宋_GBK" w:hAnsi="方正小标宋_GBK"/>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石家庄市藁城区信访局本级</w:t>
            </w:r>
          </w:p>
        </w:tc>
        <w:tc>
          <w:tcPr>
            <w:tcW w:w="1843" w:type="dxa"/>
            <w:tcBorders>
              <w:top w:val="single" w:sz="6" w:space="0" w:color="000000"/>
              <w:left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ind w:firstLine="640"/>
        <w:outlineLvl w:val="5"/>
        <w:rPr>
          <w:rFonts w:ascii="黑体" w:eastAsia="黑体" w:cs="黑体" w:hAnsi="黑体"/>
          <w:sz w:val="32"/>
          <w:lang w:eastAsia="zh-CN"/>
        </w:rPr>
      </w:pPr>
    </w:p>
    <w:p>
      <w:pPr>
        <w:spacing w:before="10" w:after="10"/>
        <w:ind w:firstLine="640"/>
        <w:outlineLvl w:val="5"/>
      </w:pPr>
      <w:r>
        <w:rPr>
          <w:rFonts w:ascii="黑体" w:eastAsia="黑体" w:cs="黑体" w:hAnsi="黑体"/>
          <w:sz w:val="32"/>
        </w:rPr>
        <w:t>二、单位预算安排的总体情况</w:t>
      </w:r>
    </w:p>
    <w:p>
      <w:pPr>
        <w:spacing w:line="500" w:lineRule="exact"/>
        <w:ind w:firstLine="560"/>
      </w:pPr>
      <w:r>
        <w:rPr>
          <w:rFonts w:eastAsia="方正仿宋_GBK"/>
          <w:sz w:val="28"/>
        </w:rPr>
        <w:t>按照预算管理有关规定，目前我省单位预算的编制实行综合预算管理，即全部收入和支出都反映在预算中。</w:t>
      </w:r>
    </w:p>
    <w:p>
      <w:pPr>
        <w:spacing w:line="500" w:lineRule="exact"/>
        <w:ind w:firstLine="560"/>
        <w:rPr>
          <w:rFonts w:eastAsia="方正仿宋_GBK"/>
          <w:sz w:val="28"/>
          <w:lang w:eastAsia="zh-CN"/>
        </w:rPr>
      </w:pPr>
      <w:r>
        <w:rPr>
          <w:rFonts w:eastAsia="方正仿宋_GBK" w:hint="eastAsia"/>
          <w:sz w:val="28"/>
        </w:rPr>
        <w:t>1、收入说明</w:t>
      </w:r>
    </w:p>
    <w:p>
      <w:pPr>
        <w:spacing w:line="500" w:lineRule="exact"/>
        <w:ind w:firstLine="560"/>
        <w:rPr>
          <w:rFonts w:eastAsia="方正仿宋_GBK"/>
          <w:sz w:val="28"/>
        </w:rPr>
      </w:pPr>
      <w:r>
        <w:rPr>
          <w:rFonts w:eastAsia="方正仿宋_GBK" w:hint="eastAsia"/>
          <w:sz w:val="28"/>
        </w:rPr>
        <w:t>反映本</w:t>
      </w:r>
      <w:r>
        <w:rPr>
          <w:rFonts w:eastAsia="方正仿宋_GBK" w:hint="eastAsia"/>
          <w:sz w:val="28"/>
          <w:lang w:eastAsia="zh-CN"/>
        </w:rPr>
        <w:t>单位</w:t>
      </w:r>
      <w:r>
        <w:rPr>
          <w:rFonts w:eastAsia="方正仿宋_GBK" w:hint="eastAsia"/>
          <w:sz w:val="28"/>
        </w:rPr>
        <w:t>当年全部收入。2022年预算收入</w:t>
      </w:r>
      <w:r>
        <w:rPr>
          <w:rFonts w:eastAsia="方正仿宋_GBK" w:hint="eastAsia"/>
          <w:sz w:val="28"/>
          <w:lang w:eastAsia="zh-CN"/>
        </w:rPr>
        <w:t>443.47</w:t>
      </w:r>
      <w:r>
        <w:rPr>
          <w:rFonts w:eastAsia="方正仿宋_GBK" w:hint="eastAsia"/>
          <w:sz w:val="28"/>
        </w:rPr>
        <w:t>万元，其中：一般公共预算收入</w:t>
      </w:r>
      <w:r>
        <w:rPr>
          <w:rFonts w:eastAsia="方正仿宋_GBK" w:hint="eastAsia"/>
          <w:sz w:val="28"/>
          <w:lang w:eastAsia="zh-CN"/>
        </w:rPr>
        <w:t>364.07</w:t>
      </w:r>
      <w:r>
        <w:rPr>
          <w:rFonts w:eastAsia="方正仿宋_GBK" w:hint="eastAsia"/>
          <w:sz w:val="28"/>
        </w:rPr>
        <w:t>万元，基金预算收入0万元，财政专户核拨收入0万元，其他来源收入</w:t>
      </w:r>
      <w:r>
        <w:rPr>
          <w:rFonts w:eastAsia="方正仿宋_GBK" w:hint="eastAsia"/>
          <w:sz w:val="28"/>
          <w:lang w:eastAsia="zh-CN"/>
        </w:rPr>
        <w:t>79.4</w:t>
      </w:r>
      <w:r>
        <w:rPr>
          <w:rFonts w:eastAsia="方正仿宋_GBK" w:hint="eastAsia"/>
          <w:sz w:val="28"/>
        </w:rPr>
        <w:t>万元。</w:t>
      </w:r>
    </w:p>
    <w:p>
      <w:pPr>
        <w:spacing w:line="500" w:lineRule="exact"/>
        <w:ind w:firstLine="560"/>
        <w:rPr>
          <w:rFonts w:eastAsia="方正仿宋_GBK"/>
          <w:sz w:val="28"/>
          <w:lang w:eastAsia="zh-CN"/>
        </w:rPr>
      </w:pPr>
      <w:r>
        <w:rPr>
          <w:rFonts w:eastAsia="方正仿宋_GBK" w:hint="eastAsia"/>
          <w:sz w:val="28"/>
        </w:rPr>
        <w:t>2、</w:t>
      </w:r>
      <w:r>
        <w:rPr>
          <w:rFonts w:eastAsia="方正仿宋_GBK"/>
          <w:sz w:val="28"/>
        </w:rPr>
        <w:t>支出说明</w:t>
      </w:r>
    </w:p>
    <w:p>
      <w:pPr>
        <w:spacing w:line="500" w:lineRule="exact"/>
        <w:ind w:firstLine="560"/>
        <w:rPr>
          <w:rFonts w:eastAsia="方正仿宋_GBK"/>
          <w:sz w:val="28"/>
        </w:rPr>
      </w:pPr>
      <w:r>
        <w:rPr>
          <w:rFonts w:eastAsia="方正仿宋_GBK" w:hint="eastAsia"/>
          <w:sz w:val="28"/>
        </w:rPr>
        <w:t>收支预算总表支出栏、基本支出表、项目支出表按经济分类和支出功能分类科目编制，反映本</w:t>
      </w:r>
      <w:r>
        <w:rPr>
          <w:rFonts w:eastAsia="方正仿宋_GBK" w:hint="eastAsia"/>
          <w:sz w:val="28"/>
          <w:lang w:eastAsia="zh-CN"/>
        </w:rPr>
        <w:t>单位</w:t>
      </w:r>
      <w:r>
        <w:rPr>
          <w:rFonts w:eastAsia="方正仿宋_GBK" w:hint="eastAsia"/>
          <w:sz w:val="28"/>
        </w:rPr>
        <w:t>预算中支出预算的总体情况。2022年部门支出预算为</w:t>
      </w:r>
      <w:r>
        <w:rPr>
          <w:rFonts w:eastAsia="方正仿宋_GBK" w:hint="eastAsia"/>
          <w:sz w:val="28"/>
          <w:lang w:eastAsia="zh-CN"/>
        </w:rPr>
        <w:t>443.47</w:t>
      </w:r>
      <w:r>
        <w:rPr>
          <w:rFonts w:eastAsia="方正仿宋_GBK" w:hint="eastAsia"/>
          <w:sz w:val="28"/>
        </w:rPr>
        <w:t>万元，其中基本支出</w:t>
      </w:r>
      <w:r>
        <w:rPr>
          <w:rFonts w:eastAsia="方正仿宋_GBK" w:hint="eastAsia"/>
          <w:sz w:val="28"/>
          <w:lang w:eastAsia="zh-CN"/>
        </w:rPr>
        <w:t>283.47</w:t>
      </w:r>
      <w:r>
        <w:rPr>
          <w:rFonts w:eastAsia="方正仿宋_GBK" w:hint="eastAsia"/>
          <w:sz w:val="28"/>
        </w:rPr>
        <w:t>万元，包括人员经费</w:t>
      </w:r>
      <w:r>
        <w:rPr>
          <w:rFonts w:eastAsia="方正仿宋_GBK" w:hint="eastAsia"/>
          <w:sz w:val="28"/>
          <w:lang w:eastAsia="zh-CN"/>
        </w:rPr>
        <w:t>256.65</w:t>
      </w:r>
      <w:r>
        <w:rPr>
          <w:rFonts w:eastAsia="方正仿宋_GBK" w:hint="eastAsia"/>
          <w:sz w:val="28"/>
        </w:rPr>
        <w:t>万元和日常公用经费</w:t>
      </w:r>
      <w:r>
        <w:rPr>
          <w:rFonts w:eastAsia="方正仿宋_GBK" w:hint="eastAsia"/>
          <w:sz w:val="28"/>
          <w:lang w:eastAsia="zh-CN"/>
        </w:rPr>
        <w:t>26.83</w:t>
      </w:r>
      <w:r>
        <w:rPr>
          <w:rFonts w:eastAsia="方正仿宋_GBK" w:hint="eastAsia"/>
          <w:sz w:val="28"/>
        </w:rPr>
        <w:t>万元；项目支出</w:t>
      </w:r>
      <w:r>
        <w:rPr>
          <w:rFonts w:eastAsia="方正仿宋_GBK" w:hint="eastAsia"/>
          <w:sz w:val="28"/>
          <w:lang w:eastAsia="zh-CN"/>
        </w:rPr>
        <w:t>160</w:t>
      </w:r>
      <w:r>
        <w:rPr>
          <w:rFonts w:eastAsia="方正仿宋_GBK" w:hint="eastAsia"/>
          <w:sz w:val="28"/>
        </w:rPr>
        <w:t>万元，主要为</w:t>
      </w:r>
      <w:r>
        <w:rPr>
          <w:rFonts w:eastAsia="方正仿宋_GBK" w:hint="eastAsia"/>
          <w:sz w:val="28"/>
          <w:lang w:eastAsia="zh-CN"/>
        </w:rPr>
        <w:t>特殊疑难信访问题中央补助资金支出47</w:t>
      </w:r>
      <w:r>
        <w:rPr>
          <w:rFonts w:eastAsia="方正仿宋_GBK" w:hint="eastAsia"/>
          <w:sz w:val="28"/>
        </w:rPr>
        <w:t>万元，</w:t>
      </w:r>
      <w:r>
        <w:rPr>
          <w:rFonts w:eastAsia="方正仿宋_GBK" w:hint="eastAsia"/>
          <w:sz w:val="28"/>
          <w:lang w:eastAsia="zh-CN"/>
        </w:rPr>
        <w:t>解决特殊疑难信访问题专项补助资金支出32.4</w:t>
      </w:r>
      <w:r>
        <w:rPr>
          <w:rFonts w:eastAsia="方正仿宋_GBK" w:hint="eastAsia"/>
          <w:sz w:val="28"/>
        </w:rPr>
        <w:t>万元，</w:t>
      </w:r>
      <w:r>
        <w:rPr>
          <w:rFonts w:eastAsia="方正仿宋_GBK" w:hint="eastAsia"/>
          <w:sz w:val="28"/>
          <w:lang w:eastAsia="zh-CN"/>
        </w:rPr>
        <w:t>信访工作经费</w:t>
      </w:r>
      <w:r>
        <w:rPr>
          <w:rFonts w:eastAsia="方正仿宋_GBK" w:hint="eastAsia"/>
          <w:sz w:val="28"/>
        </w:rPr>
        <w:t>支出</w:t>
      </w:r>
      <w:r>
        <w:rPr>
          <w:rFonts w:eastAsia="方正仿宋_GBK" w:hint="eastAsia"/>
          <w:sz w:val="28"/>
          <w:lang w:eastAsia="zh-CN"/>
        </w:rPr>
        <w:t>50</w:t>
      </w:r>
      <w:r>
        <w:rPr>
          <w:rFonts w:eastAsia="方正仿宋_GBK" w:hint="eastAsia"/>
          <w:sz w:val="28"/>
        </w:rPr>
        <w:t>万元，</w:t>
      </w:r>
      <w:r>
        <w:rPr>
          <w:rFonts w:eastAsia="方正仿宋_GBK" w:hint="eastAsia"/>
          <w:sz w:val="28"/>
          <w:lang w:eastAsia="zh-CN"/>
        </w:rPr>
        <w:t>综治中心公车平台综合办公楼</w:t>
      </w:r>
      <w:r>
        <w:rPr>
          <w:rFonts w:eastAsia="方正仿宋_GBK" w:hint="eastAsia"/>
          <w:sz w:val="28"/>
        </w:rPr>
        <w:t>支出</w:t>
      </w:r>
      <w:r>
        <w:rPr>
          <w:rFonts w:eastAsia="方正仿宋_GBK" w:hint="eastAsia"/>
          <w:sz w:val="28"/>
          <w:lang w:eastAsia="zh-CN"/>
        </w:rPr>
        <w:t>27</w:t>
      </w:r>
      <w:r>
        <w:rPr>
          <w:rFonts w:eastAsia="方正仿宋_GBK" w:hint="eastAsia"/>
          <w:sz w:val="28"/>
        </w:rPr>
        <w:t>万元，</w:t>
      </w:r>
      <w:r>
        <w:rPr>
          <w:rFonts w:eastAsia="方正仿宋_GBK" w:hint="eastAsia"/>
          <w:sz w:val="28"/>
          <w:lang w:eastAsia="zh-CN"/>
        </w:rPr>
        <w:t>信访信息运行与维护3.6</w:t>
      </w:r>
      <w:r>
        <w:rPr>
          <w:rFonts w:eastAsia="方正仿宋_GBK" w:hint="eastAsia"/>
          <w:sz w:val="28"/>
        </w:rPr>
        <w:t>万元；其他支出0万元。</w:t>
      </w:r>
    </w:p>
    <w:p>
      <w:pPr>
        <w:spacing w:line="500" w:lineRule="exact"/>
        <w:ind w:firstLine="560"/>
        <w:rPr>
          <w:rFonts w:eastAsia="方正仿宋_GBK"/>
          <w:sz w:val="28"/>
          <w:lang w:eastAsia="zh-CN"/>
        </w:rPr>
      </w:pPr>
      <w:r>
        <w:rPr>
          <w:rFonts w:eastAsia="方正仿宋_GBK" w:hint="eastAsia"/>
          <w:sz w:val="28"/>
        </w:rPr>
        <w:t>3、比上年增减情况</w:t>
      </w:r>
    </w:p>
    <w:p>
      <w:pPr>
        <w:spacing w:line="500" w:lineRule="exact"/>
        <w:ind w:firstLine="560"/>
        <w:rPr>
          <w:rFonts w:eastAsia="方正仿宋_GBK"/>
          <w:sz w:val="28"/>
        </w:rPr>
      </w:pPr>
      <w:r>
        <w:rPr>
          <w:rFonts w:eastAsia="方正仿宋_GBK" w:hint="eastAsia"/>
          <w:sz w:val="28"/>
        </w:rPr>
        <w:t>2022年</w:t>
      </w:r>
      <w:r>
        <w:rPr>
          <w:rFonts w:eastAsia="方正仿宋_GBK" w:hint="eastAsia"/>
          <w:sz w:val="28"/>
          <w:lang w:eastAsia="zh-CN"/>
        </w:rPr>
        <w:t>单位</w:t>
      </w:r>
      <w:r>
        <w:rPr>
          <w:rFonts w:eastAsia="方正仿宋_GBK" w:hint="eastAsia"/>
          <w:sz w:val="28"/>
        </w:rPr>
        <w:t>预算收支安排</w:t>
      </w:r>
      <w:r>
        <w:rPr>
          <w:rFonts w:eastAsia="方正仿宋_GBK" w:hint="eastAsia"/>
          <w:sz w:val="28"/>
          <w:lang w:eastAsia="zh-CN"/>
        </w:rPr>
        <w:t>443.4</w:t>
      </w:r>
      <w:r>
        <w:rPr>
          <w:rFonts w:eastAsia="方正仿宋_GBK" w:hint="eastAsia"/>
          <w:sz w:val="28"/>
        </w:rPr>
        <w:t>万元，较2021年增加</w:t>
      </w:r>
      <w:r>
        <w:rPr>
          <w:rFonts w:eastAsia="方正仿宋_GBK" w:hint="eastAsia"/>
          <w:sz w:val="28"/>
          <w:lang w:eastAsia="zh-CN"/>
        </w:rPr>
        <w:t>105.27</w:t>
      </w:r>
      <w:r>
        <w:rPr>
          <w:rFonts w:eastAsia="方正仿宋_GBK" w:hint="eastAsia"/>
          <w:sz w:val="28"/>
        </w:rPr>
        <w:t>万元，其中：基本支出</w:t>
      </w:r>
      <w:r>
        <w:rPr>
          <w:rFonts w:eastAsia="方正仿宋_GBK" w:hint="eastAsia"/>
          <w:sz w:val="28"/>
          <w:lang w:eastAsia="zh-CN"/>
        </w:rPr>
        <w:t>增加25.77</w:t>
      </w:r>
      <w:r>
        <w:rPr>
          <w:rFonts w:eastAsia="方正仿宋_GBK" w:hint="eastAsia"/>
          <w:sz w:val="28"/>
        </w:rPr>
        <w:t>万元，主要是人员经费</w:t>
      </w:r>
      <w:r>
        <w:rPr>
          <w:rFonts w:eastAsia="方正仿宋_GBK" w:hint="eastAsia"/>
          <w:sz w:val="28"/>
          <w:lang w:eastAsia="zh-CN"/>
        </w:rPr>
        <w:t>增加</w:t>
      </w:r>
      <w:r>
        <w:rPr>
          <w:rFonts w:eastAsia="方正仿宋_GBK" w:hint="eastAsia"/>
          <w:sz w:val="28"/>
        </w:rPr>
        <w:t>；项目支出增加</w:t>
      </w:r>
      <w:r>
        <w:rPr>
          <w:rFonts w:eastAsia="方正仿宋_GBK" w:hint="eastAsia"/>
          <w:sz w:val="28"/>
          <w:lang w:eastAsia="zh-CN"/>
        </w:rPr>
        <w:t>79.4</w:t>
      </w:r>
      <w:r>
        <w:rPr>
          <w:rFonts w:eastAsia="方正仿宋_GBK" w:hint="eastAsia"/>
          <w:sz w:val="28"/>
        </w:rPr>
        <w:t>万元，主要是增加</w:t>
      </w:r>
      <w:r>
        <w:rPr>
          <w:rFonts w:eastAsia="方正仿宋_GBK" w:hint="eastAsia"/>
          <w:sz w:val="28"/>
          <w:lang w:eastAsia="zh-CN"/>
        </w:rPr>
        <w:t>上级补助资金</w:t>
      </w:r>
      <w:r>
        <w:rPr>
          <w:rFonts w:eastAsia="方正仿宋_GBK" w:hint="eastAsia"/>
          <w:sz w:val="28"/>
        </w:rPr>
        <w:t>；其他支出无增减变化。</w:t>
      </w:r>
    </w:p>
    <w:p>
      <w:pPr>
        <w:spacing w:before="10" w:after="10" w:line="360" w:lineRule="auto"/>
        <w:ind w:firstLine="640"/>
        <w:outlineLvl w:val="2"/>
        <w:rPr>
          <w:rFonts w:eastAsia="宋体"/>
          <w:lang w:eastAsia="zh-CN"/>
        </w:rPr>
      </w:pPr>
      <w:r>
        <w:rPr>
          <w:rFonts w:ascii="黑体" w:eastAsia="黑体" w:cs="黑体" w:hAnsi="黑体"/>
          <w:sz w:val="32"/>
        </w:rPr>
        <w:t>三、机关运行经费安排情况</w:t>
      </w:r>
    </w:p>
    <w:p>
      <w:pPr>
        <w:spacing w:line="500" w:lineRule="exact"/>
        <w:ind w:firstLine="560"/>
        <w:rPr>
          <w:rFonts w:eastAsia="方正仿宋_GBK"/>
          <w:sz w:val="28"/>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机关运行经费共计安排</w:t>
      </w:r>
      <w:r>
        <w:rPr>
          <w:rFonts w:eastAsia="方正仿宋_GBK" w:hint="eastAsia"/>
          <w:sz w:val="28"/>
          <w:lang w:eastAsia="zh-CN"/>
        </w:rPr>
        <w:t>26.83</w:t>
      </w:r>
      <w:r>
        <w:rPr>
          <w:rFonts w:eastAsia="方正仿宋_GBK" w:hint="eastAsia"/>
          <w:sz w:val="28"/>
        </w:rPr>
        <w:t>万元，主要用于保证机关正常运转的办公及印刷费、邮电费、差旅费、会议费、福利费及一般设备购置费、办公用房水电费、日常维修费等支出。</w:t>
      </w:r>
    </w:p>
    <w:p>
      <w:pPr>
        <w:spacing w:before="10" w:after="10" w:line="360" w:lineRule="auto"/>
        <w:ind w:firstLine="640"/>
        <w:outlineLvl w:val="2"/>
      </w:pPr>
      <w:r>
        <w:rPr>
          <w:rFonts w:ascii="黑体" w:eastAsia="黑体" w:cs="黑体" w:hAnsi="黑体"/>
          <w:sz w:val="32"/>
        </w:rPr>
        <w:t>四、财政拨款“三公”经费预算情况及增减变化原因</w:t>
      </w:r>
    </w:p>
    <w:p>
      <w:pPr>
        <w:spacing w:line="500" w:lineRule="exact"/>
        <w:ind w:firstLine="560"/>
        <w:rPr>
          <w:rFonts w:eastAsia="方正仿宋_GBK"/>
          <w:sz w:val="28"/>
          <w:lang w:eastAsia="zh-CN"/>
        </w:rPr>
      </w:pPr>
      <w:r>
        <w:rPr>
          <w:rFonts w:eastAsia="方正仿宋_GBK" w:hint="eastAsia"/>
          <w:sz w:val="28"/>
        </w:rPr>
        <w:t>2022年，我</w:t>
      </w:r>
      <w:r>
        <w:rPr>
          <w:rFonts w:eastAsia="方正仿宋_GBK" w:hint="eastAsia"/>
          <w:sz w:val="28"/>
          <w:lang w:eastAsia="zh-CN"/>
        </w:rPr>
        <w:t>单位</w:t>
      </w:r>
      <w:r>
        <w:rPr>
          <w:rFonts w:eastAsia="方正仿宋_GBK" w:hint="eastAsia"/>
          <w:sz w:val="28"/>
        </w:rPr>
        <w:t>财政拨款“三公”经费预算安排</w:t>
      </w:r>
      <w:r>
        <w:rPr>
          <w:rFonts w:eastAsia="方正仿宋_GBK" w:hint="eastAsia"/>
          <w:sz w:val="28"/>
          <w:lang w:eastAsia="zh-CN"/>
        </w:rPr>
        <w:t>0</w:t>
      </w:r>
      <w:r>
        <w:rPr>
          <w:rFonts w:eastAsia="方正仿宋_GBK" w:hint="eastAsia"/>
          <w:sz w:val="28"/>
        </w:rPr>
        <w:t>万元，其中：因公出国（境）费</w:t>
      </w:r>
      <w:r>
        <w:rPr>
          <w:rFonts w:eastAsia="方正仿宋_GBK" w:hint="eastAsia"/>
          <w:sz w:val="28"/>
          <w:lang w:eastAsia="zh-CN"/>
        </w:rPr>
        <w:t>0</w:t>
      </w:r>
      <w:r>
        <w:rPr>
          <w:rFonts w:eastAsia="方正仿宋_GBK" w:hint="eastAsia"/>
          <w:sz w:val="28"/>
        </w:rPr>
        <w:t>万元；公务用车购置及运维费</w:t>
      </w:r>
      <w:r>
        <w:rPr>
          <w:rFonts w:eastAsia="方正仿宋_GBK" w:hint="eastAsia"/>
          <w:sz w:val="28"/>
          <w:lang w:eastAsia="zh-CN"/>
        </w:rPr>
        <w:t>0</w:t>
      </w:r>
      <w:r>
        <w:rPr>
          <w:rFonts w:eastAsia="方正仿宋_GBK" w:hint="eastAsia"/>
          <w:sz w:val="28"/>
        </w:rPr>
        <w:t>万元（其中：公务用车购置费0万元，公务用车运行维护费</w:t>
      </w:r>
      <w:r>
        <w:rPr>
          <w:rFonts w:eastAsia="方正仿宋_GBK" w:hint="eastAsia"/>
          <w:sz w:val="28"/>
          <w:lang w:eastAsia="zh-CN"/>
        </w:rPr>
        <w:t>0</w:t>
      </w:r>
      <w:r>
        <w:rPr>
          <w:rFonts w:eastAsia="方正仿宋_GBK" w:hint="eastAsia"/>
          <w:sz w:val="28"/>
        </w:rPr>
        <w:t>万元)；公务接待费</w:t>
      </w:r>
      <w:r>
        <w:rPr>
          <w:rFonts w:eastAsia="方正仿宋_GBK" w:hint="eastAsia"/>
          <w:sz w:val="28"/>
          <w:lang w:eastAsia="zh-CN"/>
        </w:rPr>
        <w:t>0</w:t>
      </w:r>
      <w:r>
        <w:rPr>
          <w:rFonts w:eastAsia="方正仿宋_GBK" w:hint="eastAsia"/>
          <w:sz w:val="28"/>
        </w:rPr>
        <w:t>万元。“三公”经费与上年持平，无增减变化。</w:t>
      </w: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rPr>
          <w:rFonts w:ascii="黑体" w:eastAsia="黑体" w:cs="黑体" w:hAnsi="黑体"/>
          <w:sz w:val="32"/>
          <w:lang w:eastAsia="zh-CN"/>
        </w:rPr>
      </w:pPr>
    </w:p>
    <w:p>
      <w:pPr>
        <w:spacing w:before="10" w:after="10"/>
        <w:ind w:firstLine="640"/>
        <w:outlineLvl w:val="5"/>
      </w:pPr>
      <w:r>
        <w:rPr>
          <w:rFonts w:ascii="黑体" w:eastAsia="黑体" w:cs="黑体" w:hAnsi="黑体"/>
          <w:sz w:val="32"/>
        </w:rPr>
        <w:t>五、预算绩效信息</w:t>
      </w:r>
    </w:p>
    <w:p>
      <w:pPr>
        <w:pStyle w:val="32"/>
        <w:ind w:firstLine="560"/>
      </w:pPr>
      <w:r>
        <w:rPr>
          <w:rFonts w:ascii="方正仿宋_GBK" w:eastAsia="方正仿宋_GBK" w:cs="方正仿宋_GBK" w:hAnsi="方正仿宋_GBK"/>
          <w:b/>
          <w:sz w:val="28"/>
        </w:rPr>
        <w:t>1、信访工作经费绩效目标表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1.集中工作力量，开展驻京省市信访值班；按照上级工作部署开展专项活动</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越级访下降</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圆满上级既定工作任务</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及时妥善解决群众信访问题</w:t>
            </w:r>
          </w:p>
        </w:tc>
        <w:tc>
          <w:tcPr>
            <w:tcW w:w="2835" w:type="dxa"/>
            <w:tcBorders>
              <w:top w:val="single" w:sz="6" w:space="0" w:color="000000"/>
              <w:left w:val="single" w:sz="6" w:space="0" w:color="000000"/>
              <w:right w:val="single" w:sz="6" w:space="0" w:color="000000"/>
            </w:tcBorders>
            <w:vAlign w:val="center"/>
          </w:tcPr>
          <w:p>
            <w:pPr>
              <w:pStyle w:val="34"/>
            </w:pPr>
            <w:r>
              <w:t>按期办结信访事项</w:t>
            </w:r>
          </w:p>
        </w:tc>
        <w:tc>
          <w:tcPr>
            <w:tcW w:w="2551" w:type="dxa"/>
            <w:tcBorders>
              <w:top w:val="single" w:sz="6" w:space="0" w:color="000000"/>
              <w:left w:val="single" w:sz="6" w:space="0" w:color="000000"/>
              <w:right w:val="single" w:sz="6" w:space="0" w:color="000000"/>
            </w:tcBorders>
            <w:vAlign w:val="center"/>
          </w:tcPr>
          <w:p>
            <w:pPr>
              <w:pStyle w:val="34"/>
            </w:pPr>
            <w:r>
              <w:t>≥95%</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差旅费、办公费</w:t>
            </w:r>
          </w:p>
        </w:tc>
        <w:tc>
          <w:tcPr>
            <w:tcW w:w="2835" w:type="dxa"/>
            <w:tcBorders>
              <w:top w:val="single" w:sz="6" w:space="0" w:color="000000"/>
              <w:left w:val="single" w:sz="6" w:space="0" w:color="000000"/>
              <w:right w:val="single" w:sz="6" w:space="0" w:color="000000"/>
            </w:tcBorders>
            <w:vAlign w:val="center"/>
          </w:tcPr>
          <w:p>
            <w:pPr>
              <w:pStyle w:val="34"/>
            </w:pPr>
            <w:r>
              <w:t>值班费用办公费用</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上级文件</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维护信访秩序</w:t>
            </w:r>
          </w:p>
        </w:tc>
        <w:tc>
          <w:tcPr>
            <w:tcW w:w="2835" w:type="dxa"/>
            <w:tcBorders>
              <w:top w:val="single" w:sz="6" w:space="0" w:color="000000"/>
              <w:left w:val="single" w:sz="6" w:space="0" w:color="000000"/>
              <w:right w:val="single" w:sz="6" w:space="0" w:color="000000"/>
            </w:tcBorders>
            <w:vAlign w:val="center"/>
          </w:tcPr>
          <w:p>
            <w:pPr>
              <w:pStyle w:val="34"/>
            </w:pPr>
            <w:r>
              <w:t>进京赴省到市访下降</w:t>
            </w:r>
          </w:p>
        </w:tc>
        <w:tc>
          <w:tcPr>
            <w:tcW w:w="2551" w:type="dxa"/>
            <w:tcBorders>
              <w:top w:val="single" w:sz="6" w:space="0" w:color="000000"/>
              <w:left w:val="single" w:sz="6" w:space="0" w:color="000000"/>
              <w:right w:val="single" w:sz="6" w:space="0" w:color="000000"/>
            </w:tcBorders>
            <w:vAlign w:val="center"/>
          </w:tcPr>
          <w:p>
            <w:pPr>
              <w:pStyle w:val="34"/>
            </w:pPr>
            <w:r>
              <w:t>≥30%</w:t>
            </w:r>
          </w:p>
        </w:tc>
        <w:tc>
          <w:tcPr>
            <w:tcW w:w="2268" w:type="dxa"/>
            <w:vAlign w:val="center"/>
          </w:tcPr>
          <w:p>
            <w:pPr>
              <w:pStyle w:val="34"/>
            </w:pPr>
            <w:r>
              <w:t>上级文件</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完成上级任务目标</w:t>
            </w:r>
          </w:p>
        </w:tc>
        <w:tc>
          <w:tcPr>
            <w:tcW w:w="2835" w:type="dxa"/>
            <w:tcBorders>
              <w:top w:val="single" w:sz="6" w:space="0" w:color="000000"/>
              <w:left w:val="single" w:sz="6" w:space="0" w:color="000000"/>
              <w:right w:val="single" w:sz="6" w:space="0" w:color="000000"/>
            </w:tcBorders>
            <w:vAlign w:val="center"/>
          </w:tcPr>
          <w:p>
            <w:pPr>
              <w:pStyle w:val="34"/>
            </w:pPr>
            <w:r>
              <w:t>上级任务目标</w:t>
            </w:r>
          </w:p>
        </w:tc>
        <w:tc>
          <w:tcPr>
            <w:tcW w:w="2551" w:type="dxa"/>
            <w:tcBorders>
              <w:top w:val="single" w:sz="6" w:space="0" w:color="000000"/>
              <w:left w:val="single" w:sz="6" w:space="0" w:color="000000"/>
              <w:right w:val="single" w:sz="6" w:space="0" w:color="000000"/>
            </w:tcBorders>
            <w:vAlign w:val="center"/>
          </w:tcPr>
          <w:p>
            <w:pPr>
              <w:pStyle w:val="34"/>
            </w:pPr>
            <w:r>
              <w:t>100完成率</w:t>
            </w:r>
          </w:p>
        </w:tc>
        <w:tc>
          <w:tcPr>
            <w:tcW w:w="2268" w:type="dxa"/>
            <w:vAlign w:val="center"/>
          </w:tcPr>
          <w:p>
            <w:pPr>
              <w:pStyle w:val="34"/>
            </w:pPr>
            <w:r>
              <w:t>上级文件</w:t>
            </w:r>
          </w:p>
        </w:tc>
      </w:tr>
    </w:tbl>
    <w:p>
      <w:pPr>
        <w:pStyle w:val="32"/>
      </w:pPr>
    </w:p>
    <w:p>
      <w:pPr>
        <w:pStyle w:val="32"/>
        <w:ind w:firstLine="560"/>
      </w:pPr>
      <w:r>
        <w:rPr>
          <w:rFonts w:ascii="方正仿宋_GBK" w:eastAsia="方正仿宋_GBK" w:cs="方正仿宋_GBK" w:hAnsi="方正仿宋_GBK"/>
          <w:b/>
          <w:sz w:val="28"/>
        </w:rPr>
        <w:t>2、信访局综治中心公车平台综合办公楼运行绩效目标表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1.保障办公楼正常运行</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保障机关正常执行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保障机关正常运行</w:t>
            </w:r>
          </w:p>
        </w:tc>
        <w:tc>
          <w:tcPr>
            <w:tcW w:w="2835" w:type="dxa"/>
            <w:tcBorders>
              <w:top w:val="single" w:sz="6" w:space="0" w:color="000000"/>
              <w:left w:val="single" w:sz="6" w:space="0" w:color="000000"/>
              <w:right w:val="single" w:sz="6" w:space="0" w:color="000000"/>
            </w:tcBorders>
            <w:vAlign w:val="center"/>
          </w:tcPr>
          <w:p>
            <w:pPr>
              <w:pStyle w:val="34"/>
            </w:pPr>
            <w:r>
              <w:t>机关正常办公</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来访群众满意</w:t>
            </w:r>
          </w:p>
        </w:tc>
        <w:tc>
          <w:tcPr>
            <w:tcW w:w="2835" w:type="dxa"/>
            <w:tcBorders>
              <w:top w:val="single" w:sz="6" w:space="0" w:color="000000"/>
              <w:left w:val="single" w:sz="6" w:space="0" w:color="000000"/>
              <w:right w:val="single" w:sz="6" w:space="0" w:color="000000"/>
            </w:tcBorders>
            <w:vAlign w:val="center"/>
          </w:tcPr>
          <w:p>
            <w:pPr>
              <w:pStyle w:val="34"/>
            </w:pPr>
            <w:r>
              <w:t>群众满意</w:t>
            </w:r>
          </w:p>
        </w:tc>
        <w:tc>
          <w:tcPr>
            <w:tcW w:w="2551" w:type="dxa"/>
            <w:tcBorders>
              <w:top w:val="single" w:sz="6" w:space="0" w:color="000000"/>
              <w:left w:val="single" w:sz="6" w:space="0" w:color="000000"/>
              <w:right w:val="single" w:sz="6" w:space="0" w:color="000000"/>
            </w:tcBorders>
            <w:vAlign w:val="center"/>
          </w:tcPr>
          <w:p>
            <w:pPr>
              <w:pStyle w:val="34"/>
            </w:pPr>
            <w:r>
              <w:t>100%</w:t>
            </w:r>
          </w:p>
        </w:tc>
        <w:tc>
          <w:tcPr>
            <w:tcW w:w="2268" w:type="dxa"/>
            <w:vAlign w:val="center"/>
          </w:tcPr>
          <w:p>
            <w:pPr>
              <w:pStyle w:val="34"/>
            </w:pPr>
            <w:r>
              <w:t>领导批示</w:t>
            </w:r>
          </w:p>
        </w:tc>
      </w:tr>
    </w:tbl>
    <w:p>
      <w:pPr>
        <w:pStyle w:val="32"/>
      </w:pPr>
    </w:p>
    <w:p>
      <w:pPr>
        <w:pStyle w:val="32"/>
        <w:ind w:firstLine="560"/>
      </w:pPr>
      <w:r>
        <w:rPr>
          <w:rFonts w:ascii="方正仿宋_GBK" w:eastAsia="方正仿宋_GBK" w:cs="方正仿宋_GBK" w:hAnsi="方正仿宋_GBK"/>
          <w:b/>
          <w:sz w:val="28"/>
        </w:rPr>
        <w:t>3、信访信息系统运行与维护绩效目标表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1.深入推进河北省阳光信访平台互联互通和深度应用，提高信访信息化智能化水平</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河北信访系统、视频接访系统</w:t>
            </w:r>
          </w:p>
        </w:tc>
        <w:tc>
          <w:tcPr>
            <w:tcW w:w="2835" w:type="dxa"/>
            <w:tcBorders>
              <w:top w:val="single" w:sz="6" w:space="0" w:color="000000"/>
              <w:left w:val="single" w:sz="6" w:space="0" w:color="000000"/>
              <w:right w:val="single" w:sz="6" w:space="0" w:color="000000"/>
            </w:tcBorders>
            <w:vAlign w:val="center"/>
          </w:tcPr>
          <w:p>
            <w:pPr>
              <w:pStyle w:val="34"/>
            </w:pPr>
            <w:r>
              <w:t>河北省信访信息系统、视频接访系统</w:t>
            </w:r>
          </w:p>
        </w:tc>
        <w:tc>
          <w:tcPr>
            <w:tcW w:w="2551" w:type="dxa"/>
            <w:tcBorders>
              <w:top w:val="single" w:sz="6" w:space="0" w:color="000000"/>
              <w:left w:val="single" w:sz="6" w:space="0" w:color="000000"/>
              <w:right w:val="single" w:sz="6" w:space="0" w:color="000000"/>
            </w:tcBorders>
            <w:vAlign w:val="center"/>
          </w:tcPr>
          <w:p>
            <w:pPr>
              <w:pStyle w:val="34"/>
            </w:pPr>
            <w:r>
              <w:t>2保证线路畅通</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4"/>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4"/>
            </w:pPr>
            <w:r>
              <w:t>100提高网上信访工作质量和水平</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835" w:type="dxa"/>
            <w:tcBorders>
              <w:top w:val="single" w:sz="6" w:space="0" w:color="000000"/>
              <w:left w:val="single" w:sz="6" w:space="0" w:color="000000"/>
              <w:right w:val="single" w:sz="6" w:space="0" w:color="000000"/>
            </w:tcBorders>
            <w:vAlign w:val="center"/>
          </w:tcPr>
          <w:p>
            <w:pPr>
              <w:pStyle w:val="34"/>
            </w:pPr>
            <w:r>
              <w:t>及时性</w:t>
            </w:r>
          </w:p>
        </w:tc>
        <w:tc>
          <w:tcPr>
            <w:tcW w:w="2551" w:type="dxa"/>
            <w:tcBorders>
              <w:top w:val="single" w:sz="6" w:space="0" w:color="000000"/>
              <w:left w:val="single" w:sz="6" w:space="0" w:color="000000"/>
              <w:right w:val="single" w:sz="6" w:space="0" w:color="000000"/>
            </w:tcBorders>
            <w:vAlign w:val="center"/>
          </w:tcPr>
          <w:p>
            <w:pPr>
              <w:pStyle w:val="34"/>
            </w:pPr>
            <w:r>
              <w:t>100及时有效解决信访问题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成本指标</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835" w:type="dxa"/>
            <w:tcBorders>
              <w:top w:val="single" w:sz="6" w:space="0" w:color="000000"/>
              <w:left w:val="single" w:sz="6" w:space="0" w:color="000000"/>
              <w:right w:val="single" w:sz="6" w:space="0" w:color="000000"/>
            </w:tcBorders>
            <w:vAlign w:val="center"/>
          </w:tcPr>
          <w:p>
            <w:pPr>
              <w:pStyle w:val="34"/>
            </w:pPr>
            <w:r>
              <w:t>总成本</w:t>
            </w:r>
          </w:p>
        </w:tc>
        <w:tc>
          <w:tcPr>
            <w:tcW w:w="2551" w:type="dxa"/>
            <w:tcBorders>
              <w:top w:val="single" w:sz="6" w:space="0" w:color="000000"/>
              <w:left w:val="single" w:sz="6" w:space="0" w:color="000000"/>
              <w:right w:val="single" w:sz="6" w:space="0" w:color="000000"/>
            </w:tcBorders>
            <w:vAlign w:val="center"/>
          </w:tcPr>
          <w:p>
            <w:pPr>
              <w:pStyle w:val="34"/>
            </w:pPr>
            <w:r>
              <w:t>≥100保持网络畅通</w:t>
            </w:r>
          </w:p>
        </w:tc>
        <w:tc>
          <w:tcPr>
            <w:tcW w:w="2268" w:type="dxa"/>
            <w:vAlign w:val="center"/>
          </w:tcPr>
          <w:p>
            <w:pPr>
              <w:pStyle w:val="34"/>
            </w:pPr>
            <w:r>
              <w:t>上级文件规定</w:t>
            </w:r>
          </w:p>
        </w:tc>
      </w:tr>
      <w:tr>
        <w:trPr>
          <w:trHeight w:val="397"/>
        </w:trPr>
        <w:tc>
          <w:tcPr>
            <w:tcW w:w="1417" w:type="dxa"/>
            <w:vMerge w:val="restart"/>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835" w:type="dxa"/>
            <w:tcBorders>
              <w:top w:val="single" w:sz="6" w:space="0" w:color="000000"/>
              <w:left w:val="single" w:sz="6" w:space="0" w:color="000000"/>
              <w:right w:val="single" w:sz="6" w:space="0" w:color="000000"/>
            </w:tcBorders>
            <w:vAlign w:val="center"/>
          </w:tcPr>
          <w:p>
            <w:pPr>
              <w:pStyle w:val="34"/>
            </w:pPr>
            <w:r>
              <w:t>化解矛盾率(%)</w:t>
            </w:r>
          </w:p>
        </w:tc>
        <w:tc>
          <w:tcPr>
            <w:tcW w:w="2551" w:type="dxa"/>
            <w:tcBorders>
              <w:top w:val="single" w:sz="6" w:space="0" w:color="000000"/>
              <w:left w:val="single" w:sz="6" w:space="0" w:color="000000"/>
              <w:right w:val="single" w:sz="6" w:space="0" w:color="000000"/>
            </w:tcBorders>
            <w:vAlign w:val="center"/>
          </w:tcPr>
          <w:p>
            <w:pPr>
              <w:pStyle w:val="34"/>
            </w:pPr>
            <w:r>
              <w:t>≥90及时有效解决问题</w:t>
            </w:r>
          </w:p>
        </w:tc>
        <w:tc>
          <w:tcPr>
            <w:tcW w:w="2268" w:type="dxa"/>
            <w:vAlign w:val="center"/>
          </w:tcPr>
          <w:p>
            <w:pPr>
              <w:pStyle w:val="34"/>
            </w:pPr>
            <w:r>
              <w:t>上级文件规定</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可持续影响指标</w:t>
            </w:r>
          </w:p>
        </w:tc>
        <w:tc>
          <w:tcPr>
            <w:tcW w:w="2835" w:type="dxa"/>
            <w:tcBorders>
              <w:top w:val="single" w:sz="6" w:space="0" w:color="000000"/>
              <w:left w:val="single" w:sz="6" w:space="0" w:color="000000"/>
              <w:right w:val="single" w:sz="6" w:space="0" w:color="000000"/>
            </w:tcBorders>
            <w:vAlign w:val="center"/>
          </w:tcPr>
          <w:p>
            <w:pPr>
              <w:pStyle w:val="34"/>
            </w:pPr>
            <w:r>
              <w:t>社会稳定水平</w:t>
            </w:r>
          </w:p>
        </w:tc>
        <w:tc>
          <w:tcPr>
            <w:tcW w:w="2835" w:type="dxa"/>
            <w:tcBorders>
              <w:top w:val="single" w:sz="6" w:space="0" w:color="000000"/>
              <w:left w:val="single" w:sz="6" w:space="0" w:color="000000"/>
              <w:right w:val="single" w:sz="6" w:space="0" w:color="000000"/>
            </w:tcBorders>
            <w:vAlign w:val="center"/>
          </w:tcPr>
          <w:p>
            <w:pPr>
              <w:pStyle w:val="34"/>
            </w:pPr>
            <w:r>
              <w:t>促进社会和谐稳定</w:t>
            </w:r>
          </w:p>
        </w:tc>
        <w:tc>
          <w:tcPr>
            <w:tcW w:w="2551" w:type="dxa"/>
            <w:tcBorders>
              <w:top w:val="single" w:sz="6" w:space="0" w:color="000000"/>
              <w:left w:val="single" w:sz="6" w:space="0" w:color="000000"/>
              <w:right w:val="single" w:sz="6" w:space="0" w:color="000000"/>
            </w:tcBorders>
            <w:vAlign w:val="center"/>
          </w:tcPr>
          <w:p>
            <w:pPr>
              <w:pStyle w:val="34"/>
            </w:pPr>
            <w:r>
              <w:t>95解决问题</w:t>
            </w:r>
          </w:p>
        </w:tc>
        <w:tc>
          <w:tcPr>
            <w:tcW w:w="2268" w:type="dxa"/>
            <w:vAlign w:val="center"/>
          </w:tcPr>
          <w:p>
            <w:pPr>
              <w:pStyle w:val="34"/>
            </w:pPr>
            <w:r>
              <w:t>上级文件规定</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835" w:type="dxa"/>
            <w:tcBorders>
              <w:top w:val="single" w:sz="6" w:space="0" w:color="000000"/>
              <w:left w:val="single" w:sz="6" w:space="0" w:color="000000"/>
              <w:right w:val="single" w:sz="6" w:space="0" w:color="000000"/>
            </w:tcBorders>
            <w:vAlign w:val="center"/>
          </w:tcPr>
          <w:p>
            <w:pPr>
              <w:pStyle w:val="34"/>
            </w:pPr>
            <w:r>
              <w:t>信访群众满意度</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上级文件规定</w:t>
            </w:r>
          </w:p>
        </w:tc>
      </w:tr>
    </w:tbl>
    <w:p>
      <w:pPr>
        <w:pStyle w:val="32"/>
      </w:pPr>
    </w:p>
    <w:p>
      <w:pPr>
        <w:pStyle w:val="32"/>
        <w:ind w:firstLine="560"/>
      </w:pPr>
      <w:r>
        <w:rPr>
          <w:rFonts w:ascii="方正仿宋_GBK" w:eastAsia="方正仿宋_GBK" w:cs="方正仿宋_GBK" w:hAnsi="方正仿宋_GBK"/>
          <w:b/>
          <w:sz w:val="28"/>
        </w:rPr>
        <w:t>4、石财行[2021]42号关于下达2021年第二批解决特殊疑难信访问题中央补助资金的通知绩效目标表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pPr>
    </w:p>
    <w:p>
      <w:pPr>
        <w:pStyle w:val="32"/>
        <w:ind w:firstLine="560"/>
      </w:pPr>
      <w:r>
        <w:rPr>
          <w:rFonts w:ascii="方正仿宋_GBK" w:eastAsia="方正仿宋_GBK" w:cs="方正仿宋_GBK" w:hAnsi="方正仿宋_GBK"/>
          <w:b/>
          <w:sz w:val="28"/>
        </w:rPr>
        <w:t>5、石财行[2021]44号关于下达2021年第二批实际解决特殊疑难信访问题专项补助资金的通知绩效目标表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3"/>
            </w:pPr>
            <w:r>
              <w:t>绩效目标</w:t>
            </w:r>
          </w:p>
        </w:tc>
        <w:tc>
          <w:tcPr>
            <w:tcW w:w="12756" w:type="dxa"/>
            <w:tcBorders>
              <w:bottom w:val="single" w:sz="6" w:space="0" w:color="FFFFFF"/>
            </w:tcBorders>
            <w:vAlign w:val="center"/>
          </w:tcPr>
          <w:p>
            <w:pPr>
              <w:pStyle w:val="34"/>
            </w:pPr>
            <w:r>
              <w:t>1.化解疑难信访问题</w:t>
            </w:r>
          </w:p>
          <w:p>
            <w:pPr>
              <w:pStyle w:val="34"/>
            </w:pPr>
            <w:r>
              <w:t>2.维护社会和谐稳定</w:t>
            </w:r>
          </w:p>
          <w:p>
            <w:pPr>
              <w:pStyle w:val="34"/>
            </w:pPr>
            <w:r>
              <w:t>3.信访群众满意</w:t>
            </w:r>
          </w:p>
        </w:tc>
      </w:tr>
    </w:tbl>
    <w:p>
      <w:pPr>
        <w:pStyle w:val="32"/>
        <w:spacing w:line="2" w:lineRule="exact"/>
        <w:jc w:val="center"/>
      </w:pPr>
      <w:r>
        <w:rPr>
          <w:rFonts w:ascii="方正书宋_GBK" w:eastAsia="方正书宋_GBK" w:cs="方正书宋_GBK" w:hAnsi="方正书宋_GBK"/>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3"/>
            </w:pPr>
            <w:r>
              <w:t>一级指标</w:t>
            </w:r>
          </w:p>
        </w:tc>
        <w:tc>
          <w:tcPr>
            <w:tcW w:w="2268" w:type="dxa"/>
            <w:vAlign w:val="center"/>
          </w:tcPr>
          <w:p>
            <w:pPr>
              <w:pStyle w:val="33"/>
            </w:pPr>
            <w:r>
              <w:t>二级指标</w:t>
            </w:r>
          </w:p>
        </w:tc>
        <w:tc>
          <w:tcPr>
            <w:tcW w:w="2835" w:type="dxa"/>
            <w:vAlign w:val="center"/>
          </w:tcPr>
          <w:p>
            <w:pPr>
              <w:pStyle w:val="33"/>
            </w:pPr>
            <w:r>
              <w:t>三级指标</w:t>
            </w:r>
          </w:p>
        </w:tc>
        <w:tc>
          <w:tcPr>
            <w:tcW w:w="2835" w:type="dxa"/>
            <w:vAlign w:val="center"/>
          </w:tcPr>
          <w:p>
            <w:pPr>
              <w:pStyle w:val="33"/>
            </w:pPr>
            <w:r>
              <w:t>绩效指标描述</w:t>
            </w:r>
          </w:p>
        </w:tc>
        <w:tc>
          <w:tcPr>
            <w:tcW w:w="2551" w:type="dxa"/>
            <w:vAlign w:val="center"/>
          </w:tcPr>
          <w:p>
            <w:pPr>
              <w:pStyle w:val="33"/>
            </w:pPr>
            <w:r>
              <w:t>指标值</w:t>
            </w:r>
          </w:p>
        </w:tc>
        <w:tc>
          <w:tcPr>
            <w:tcW w:w="2268" w:type="dxa"/>
            <w:vAlign w:val="center"/>
          </w:tcPr>
          <w:p>
            <w:pPr>
              <w:pStyle w:val="33"/>
            </w:pPr>
            <w:r>
              <w:t>指标值确定依据</w:t>
            </w:r>
          </w:p>
        </w:tc>
      </w:tr>
      <w:tr>
        <w:trPr>
          <w:trHeight w:val="397"/>
        </w:trPr>
        <w:tc>
          <w:tcPr>
            <w:tcW w:w="1417" w:type="dxa"/>
            <w:vMerge w:val="restart"/>
            <w:vAlign w:val="center"/>
          </w:tcPr>
          <w:p>
            <w:pPr>
              <w:pStyle w:val="35"/>
            </w:pPr>
            <w:r>
              <w:t>产出指标</w:t>
            </w:r>
          </w:p>
        </w:tc>
        <w:tc>
          <w:tcPr>
            <w:tcW w:w="2268" w:type="dxa"/>
            <w:tcBorders>
              <w:top w:val="single" w:sz="6" w:space="0" w:color="000000"/>
              <w:left w:val="single" w:sz="6" w:space="0" w:color="000000"/>
              <w:right w:val="single" w:sz="6" w:space="0" w:color="000000"/>
            </w:tcBorders>
            <w:vAlign w:val="center"/>
          </w:tcPr>
          <w:p>
            <w:pPr>
              <w:pStyle w:val="34"/>
            </w:pPr>
            <w:r>
              <w:t>数量指标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835" w:type="dxa"/>
            <w:tcBorders>
              <w:top w:val="single" w:sz="6" w:space="0" w:color="000000"/>
              <w:left w:val="single" w:sz="6" w:space="0" w:color="000000"/>
              <w:right w:val="single" w:sz="6" w:space="0" w:color="000000"/>
            </w:tcBorders>
            <w:vAlign w:val="center"/>
          </w:tcPr>
          <w:p>
            <w:pPr>
              <w:pStyle w:val="34"/>
            </w:pPr>
            <w:r>
              <w:t>受理率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100使用特疑资金案件受理率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质量指标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835" w:type="dxa"/>
            <w:tcBorders>
              <w:top w:val="single" w:sz="6" w:space="0" w:color="000000"/>
              <w:left w:val="single" w:sz="6" w:space="0" w:color="000000"/>
              <w:right w:val="single" w:sz="6" w:space="0" w:color="000000"/>
            </w:tcBorders>
            <w:vAlign w:val="center"/>
          </w:tcPr>
          <w:p>
            <w:pPr>
              <w:pStyle w:val="34"/>
            </w:pPr>
            <w:r>
              <w:t>结案率</w:t>
            </w:r>
          </w:p>
        </w:tc>
        <w:tc>
          <w:tcPr>
            <w:tcW w:w="2551" w:type="dxa"/>
            <w:tcBorders>
              <w:top w:val="single" w:sz="6" w:space="0" w:color="000000"/>
              <w:left w:val="single" w:sz="6" w:space="0" w:color="000000"/>
              <w:right w:val="single" w:sz="6" w:space="0" w:color="000000"/>
            </w:tcBorders>
            <w:vAlign w:val="center"/>
          </w:tcPr>
          <w:p>
            <w:pPr>
              <w:pStyle w:val="34"/>
            </w:pPr>
            <w:r>
              <w:t>100使用特疑资金案件结案率</w:t>
            </w:r>
          </w:p>
        </w:tc>
        <w:tc>
          <w:tcPr>
            <w:tcW w:w="2268" w:type="dxa"/>
            <w:vAlign w:val="center"/>
          </w:tcPr>
          <w:p>
            <w:pPr>
              <w:pStyle w:val="34"/>
            </w:pPr>
            <w:r>
              <w:t>资金使用办法</w:t>
            </w:r>
          </w:p>
        </w:tc>
      </w:tr>
      <w:tr>
        <w:trPr>
          <w:trHeight w:val="397"/>
        </w:trPr>
        <w:tc>
          <w:tcPr>
            <w:tcW w:w="1417" w:type="dxa"/>
            <w:vMerge/>
            <w:vAlign w:val="center"/>
          </w:tcPr>
          <w:p/>
        </w:tc>
        <w:tc>
          <w:tcPr>
            <w:tcW w:w="2268" w:type="dxa"/>
            <w:tcBorders>
              <w:top w:val="single" w:sz="6" w:space="0" w:color="000000"/>
              <w:left w:val="single" w:sz="6" w:space="0" w:color="000000"/>
              <w:right w:val="single" w:sz="6" w:space="0" w:color="000000"/>
            </w:tcBorders>
            <w:vAlign w:val="center"/>
          </w:tcPr>
          <w:p>
            <w:pPr>
              <w:pStyle w:val="34"/>
            </w:pPr>
            <w:r>
              <w:t>时效指标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835" w:type="dxa"/>
            <w:tcBorders>
              <w:top w:val="single" w:sz="6" w:space="0" w:color="000000"/>
              <w:left w:val="single" w:sz="6" w:space="0" w:color="000000"/>
              <w:right w:val="single" w:sz="6" w:space="0" w:color="000000"/>
            </w:tcBorders>
            <w:vAlign w:val="center"/>
          </w:tcPr>
          <w:p>
            <w:pPr>
              <w:pStyle w:val="34"/>
            </w:pPr>
            <w:r>
              <w:t>及时率</w:t>
            </w:r>
          </w:p>
        </w:tc>
        <w:tc>
          <w:tcPr>
            <w:tcW w:w="2551" w:type="dxa"/>
            <w:tcBorders>
              <w:top w:val="single" w:sz="6" w:space="0" w:color="000000"/>
              <w:left w:val="single" w:sz="6" w:space="0" w:color="000000"/>
              <w:right w:val="single" w:sz="6" w:space="0" w:color="000000"/>
            </w:tcBorders>
            <w:vAlign w:val="center"/>
          </w:tcPr>
          <w:p>
            <w:pPr>
              <w:pStyle w:val="34"/>
            </w:pPr>
            <w:r>
              <w:t>100使用特疑资金及时利率</w:t>
            </w:r>
          </w:p>
        </w:tc>
        <w:tc>
          <w:tcPr>
            <w:tcW w:w="2268" w:type="dxa"/>
            <w:vAlign w:val="center"/>
          </w:tcPr>
          <w:p>
            <w:pPr>
              <w:pStyle w:val="34"/>
            </w:pPr>
            <w:r>
              <w:t>资金使用办法</w:t>
            </w:r>
          </w:p>
        </w:tc>
      </w:tr>
      <w:tr>
        <w:trPr>
          <w:trHeight w:val="397"/>
        </w:trPr>
        <w:tc>
          <w:tcPr>
            <w:tcW w:w="1417" w:type="dxa"/>
            <w:vAlign w:val="center"/>
          </w:tcPr>
          <w:p>
            <w:pPr>
              <w:pStyle w:val="35"/>
            </w:pPr>
            <w:r>
              <w:t>效益指标</w:t>
            </w:r>
          </w:p>
        </w:tc>
        <w:tc>
          <w:tcPr>
            <w:tcW w:w="2268" w:type="dxa"/>
            <w:tcBorders>
              <w:top w:val="single" w:sz="6" w:space="0" w:color="000000"/>
              <w:left w:val="single" w:sz="6" w:space="0" w:color="000000"/>
              <w:right w:val="single" w:sz="6" w:space="0" w:color="000000"/>
            </w:tcBorders>
            <w:vAlign w:val="center"/>
          </w:tcPr>
          <w:p>
            <w:pPr>
              <w:pStyle w:val="34"/>
            </w:pPr>
            <w:r>
              <w:t>社会效益指标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100信访群众满意率</w:t>
            </w:r>
          </w:p>
        </w:tc>
        <w:tc>
          <w:tcPr>
            <w:tcW w:w="2268" w:type="dxa"/>
            <w:vAlign w:val="center"/>
          </w:tcPr>
          <w:p>
            <w:pPr>
              <w:pStyle w:val="34"/>
            </w:pPr>
            <w:r>
              <w:t>资金使用办法</w:t>
            </w:r>
          </w:p>
        </w:tc>
      </w:tr>
      <w:tr>
        <w:trPr>
          <w:trHeight w:val="397"/>
        </w:trPr>
        <w:tc>
          <w:tcPr>
            <w:tcW w:w="1417" w:type="dxa"/>
            <w:vAlign w:val="center"/>
          </w:tcPr>
          <w:p>
            <w:pPr>
              <w:pStyle w:val="35"/>
            </w:pPr>
            <w:r>
              <w:t>满意度指标</w:t>
            </w:r>
          </w:p>
        </w:tc>
        <w:tc>
          <w:tcPr>
            <w:tcW w:w="2268" w:type="dxa"/>
            <w:tcBorders>
              <w:top w:val="single" w:sz="6" w:space="0" w:color="000000"/>
              <w:left w:val="single" w:sz="6" w:space="0" w:color="000000"/>
              <w:right w:val="single" w:sz="6" w:space="0" w:color="000000"/>
            </w:tcBorders>
            <w:vAlign w:val="center"/>
          </w:tcPr>
          <w:p>
            <w:pPr>
              <w:pStyle w:val="34"/>
            </w:pPr>
            <w:r>
              <w:t>服务对象满意度指标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835" w:type="dxa"/>
            <w:tcBorders>
              <w:top w:val="single" w:sz="6" w:space="0" w:color="000000"/>
              <w:left w:val="single" w:sz="6" w:space="0" w:color="000000"/>
              <w:right w:val="single" w:sz="6" w:space="0" w:color="000000"/>
            </w:tcBorders>
            <w:vAlign w:val="center"/>
          </w:tcPr>
          <w:p>
            <w:pPr>
              <w:pStyle w:val="34"/>
            </w:pPr>
            <w:r>
              <w:t>满意率</w:t>
            </w:r>
          </w:p>
        </w:tc>
        <w:tc>
          <w:tcPr>
            <w:tcW w:w="2551" w:type="dxa"/>
            <w:tcBorders>
              <w:top w:val="single" w:sz="6" w:space="0" w:color="000000"/>
              <w:left w:val="single" w:sz="6" w:space="0" w:color="000000"/>
              <w:right w:val="single" w:sz="6" w:space="0" w:color="000000"/>
            </w:tcBorders>
            <w:vAlign w:val="center"/>
          </w:tcPr>
          <w:p>
            <w:pPr>
              <w:pStyle w:val="34"/>
            </w:pPr>
            <w:r>
              <w:t>≥95信访群众满意率</w:t>
            </w:r>
          </w:p>
        </w:tc>
        <w:tc>
          <w:tcPr>
            <w:tcW w:w="2268" w:type="dxa"/>
            <w:vAlign w:val="center"/>
          </w:tcPr>
          <w:p>
            <w:pPr>
              <w:pStyle w:val="34"/>
            </w:pPr>
            <w:r>
              <w:t>资金使用办法</w:t>
            </w:r>
          </w:p>
        </w:tc>
      </w:tr>
    </w:tbl>
    <w:p>
      <w:pPr>
        <w:pStyle w:val="32"/>
        <w:sectPr>
          <w:pgSz w:w="16840" w:h="11900" w:orient="landscape"/>
          <w:pgMar w:top="1361" w:right="1020" w:bottom="1361" w:left="1020" w:header="720" w:footer="720" w:gutter="0"/>
          <w:cols w:num="1" w:space="720"/>
          <w:docGrid w:linePitch="326" w:charSpace="0"/>
        </w:sectPr>
      </w:pPr>
    </w:p>
    <w:p>
      <w:pPr>
        <w:spacing w:before="10" w:after="10"/>
        <w:ind w:firstLine="640"/>
        <w:outlineLvl w:val="5"/>
      </w:pPr>
      <w:r>
        <w:rPr>
          <w:rFonts w:ascii="黑体" w:eastAsia="黑体" w:cs="黑体" w:hAnsi="黑体"/>
          <w:sz w:val="32"/>
        </w:rPr>
        <w:t>六、政府采购预算情况</w:t>
      </w:r>
    </w:p>
    <w:p>
      <w:pPr>
        <w:spacing w:line="500" w:lineRule="exact"/>
        <w:ind w:firstLine="560"/>
      </w:pPr>
      <w:r>
        <w:rPr>
          <w:rFonts w:eastAsia="方正仿宋_GBK"/>
          <w:sz w:val="28"/>
        </w:rPr>
        <w:t>2022年，石家庄市藁城区信访局本级安排政府采购预算0.00万元。具体内容见下表。</w:t>
      </w:r>
    </w:p>
    <w:p>
      <w:pPr>
        <w:jc w:val="center"/>
      </w:pPr>
      <w:r>
        <w:rPr>
          <w:rFonts w:ascii="方正小标宋_GBK" w:eastAsia="方正小标宋_GBK" w:cs="方正小标宋_GBK" w:hAnsi="方正小标宋_GBK"/>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right w:val="single" w:sz="6" w:space="0" w:color="000000"/>
            </w:tcBorders>
            <w:vAlign w:val="center"/>
          </w:tcPr>
          <w:p>
            <w:pPr>
              <w:pStyle w:val="18"/>
            </w:pPr>
            <w:r>
              <w:t>单价</w:t>
            </w:r>
          </w:p>
        </w:tc>
        <w:tc>
          <w:tcPr>
            <w:tcW w:w="7710" w:type="dxa"/>
            <w:gridSpan w:val="8"/>
            <w:tcBorders>
              <w:top w:val="single" w:sz="6" w:space="0" w:color="000000"/>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2022年  预留中  小微企  业份额</w:t>
            </w:r>
          </w:p>
        </w:tc>
      </w:tr>
      <w:tr>
        <w:trPr>
          <w:cantSplit/>
          <w:tblHeader/>
        </w:trPr>
        <w:tc>
          <w:tcPr>
            <w:tcW w:w="1701" w:type="dxa"/>
            <w:vAlign w:val="center"/>
          </w:tcPr>
          <w:p>
            <w:pPr>
              <w:pStyle w:val="18"/>
            </w:pPr>
            <w:r>
              <w:t>项目名称</w:t>
            </w:r>
          </w:p>
        </w:tc>
        <w:tc>
          <w:tcPr>
            <w:tcW w:w="964" w:type="dxa"/>
            <w:tcBorders>
              <w:top w:val="single" w:sz="6" w:space="0" w:color="000000"/>
              <w:left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right w:val="single" w:sz="6" w:space="0" w:color="000000"/>
            </w:tcBorders>
            <w:vAlign w:val="center"/>
          </w:tcPr>
          <w:p>
            <w:pPr>
              <w:pStyle w:val="18"/>
            </w:pPr>
            <w:r>
              <w:t>财政拨    款结转</w:t>
            </w:r>
          </w:p>
        </w:tc>
        <w:tc>
          <w:tcPr>
            <w:tcW w:w="964" w:type="dxa"/>
            <w:tcBorders>
              <w:top w:val="single" w:sz="6" w:space="0" w:color="000000"/>
              <w:left w:val="single" w:sz="6" w:space="0" w:color="000000"/>
              <w:right w:val="single" w:sz="6" w:space="0" w:color="000000"/>
            </w:tcBorders>
            <w:vAlign w:val="center"/>
          </w:tcPr>
          <w:p>
            <w:pPr>
              <w:pStyle w:val="18"/>
            </w:pPr>
            <w:r>
              <w:t>非财政    拨款结    转结余</w:t>
            </w:r>
          </w:p>
        </w:tc>
        <w:tc>
          <w:tcPr>
            <w:tcW w:w="964" w:type="dxa"/>
            <w:vMerge/>
          </w:tcPr>
          <w:p/>
        </w:tc>
      </w:tr>
      <w:tr>
        <w:trPr>
          <w:cantSplit/>
        </w:trPr>
        <w:tc>
          <w:tcPr>
            <w:tcW w:w="1701" w:type="dxa"/>
            <w:vAlign w:val="center"/>
          </w:tcPr>
          <w:p>
            <w:pPr>
              <w:pStyle w:val="20"/>
            </w:pPr>
          </w:p>
        </w:tc>
        <w:tc>
          <w:tcPr>
            <w:tcW w:w="964" w:type="dxa"/>
            <w:tcBorders>
              <w:top w:val="single" w:sz="6" w:space="0" w:color="000000"/>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p>
        </w:tc>
        <w:tc>
          <w:tcPr>
            <w:tcW w:w="964" w:type="dxa"/>
            <w:vAlign w:val="center"/>
          </w:tcPr>
          <w:p>
            <w:pPr>
              <w:pStyle w:val="19"/>
            </w:pPr>
          </w:p>
        </w:tc>
      </w:tr>
    </w:tbl>
    <w:p>
      <w:pPr>
        <w:spacing w:line="500" w:lineRule="exact"/>
        <w:ind w:firstLine="420"/>
      </w:pPr>
      <w:r>
        <w:rPr>
          <w:rFonts w:ascii="方正书宋_GBK" w:eastAsia="方正书宋_GBK" w:cs="方正书宋_GBK" w:hAnsi="方正书宋_GBK"/>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sz w:val="21"/>
        </w:rPr>
        <w:t>注：无政府采购预算，空表列示。</w:t>
      </w:r>
    </w:p>
    <w:p>
      <w:pPr>
        <w:ind w:firstLine="640"/>
      </w:pPr>
      <w:r>
        <w:rPr>
          <w:rFonts w:eastAsia="方正仿宋_GBK"/>
          <w:sz w:val="32"/>
        </w:rPr>
        <w:t xml:space="preserve"> </w:t>
      </w:r>
    </w:p>
    <w:p>
      <w:pPr>
        <w:spacing w:before="10" w:after="10"/>
        <w:ind w:firstLine="640"/>
        <w:outlineLvl w:val="5"/>
      </w:pPr>
      <w:r>
        <w:rPr>
          <w:rFonts w:ascii="黑体" w:eastAsia="黑体" w:cs="黑体" w:hAnsi="黑体"/>
          <w:sz w:val="32"/>
        </w:rPr>
        <w:t>七、国有资产信息</w:t>
      </w:r>
    </w:p>
    <w:p>
      <w:pPr>
        <w:spacing w:line="500" w:lineRule="exact"/>
        <w:ind w:firstLine="560"/>
      </w:pPr>
      <w:r>
        <w:rPr>
          <w:rFonts w:eastAsia="方正仿宋_GBK"/>
          <w:sz w:val="28"/>
        </w:rPr>
        <w:t>石家庄市藁城区信访局本级上年末固定资产金额为50.35万元（详见下表）。本年度拟购置固定资产总额为0.00万元，已按要求列入政府采购预算，详见政府采购预算表。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542001石家庄市藁城区信访局本级</w:t>
            </w:r>
          </w:p>
        </w:tc>
        <w:tc>
          <w:tcPr>
            <w:tcW w:w="5669" w:type="dxa"/>
            <w:gridSpan w:val="2"/>
            <w:tcBorders>
              <w:top w:val="single" w:sz="6" w:space="0" w:color="FFFFFF"/>
              <w:left w:val="single" w:sz="6" w:space="0" w:color="FFFFFF"/>
              <w:right w:val="single" w:sz="6" w:space="0" w:color="FFFFFF"/>
            </w:tcBorders>
            <w:vAlign w:val="center"/>
          </w:tcPr>
          <w:p>
            <w:pPr>
              <w:pStyle w:val="15"/>
            </w:pPr>
            <w:r>
              <w:t>截止时间：2021-12-31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r>
        <w:tc>
          <w:tcPr>
            <w:tcW w:w="7370" w:type="dxa"/>
            <w:vAlign w:val="center"/>
          </w:tcPr>
          <w:p>
            <w:pPr>
              <w:pStyle w:val="20"/>
            </w:pPr>
            <w:r>
              <w:t>1、房屋（平方米）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right w:val="single" w:sz="6" w:space="0" w:color="000000"/>
            </w:tcBorders>
            <w:vAlign w:val="center"/>
          </w:tcPr>
          <w:p>
            <w:pPr>
              <w:pStyle w:val="21"/>
            </w:pPr>
          </w:p>
        </w:tc>
        <w:tc>
          <w:tcPr>
            <w:tcW w:w="2835" w:type="dxa"/>
            <w:vAlign w:val="center"/>
          </w:tcPr>
          <w:p>
            <w:pPr>
              <w:pStyle w:val="19"/>
            </w:pPr>
            <w:r>
              <w:t>50.35</w:t>
            </w:r>
          </w:p>
        </w:tc>
      </w:tr>
    </w:tbl>
    <w:p>
      <w:pPr>
        <w:ind w:firstLine="640"/>
      </w:pPr>
      <w:r>
        <w:rPr>
          <w:rFonts w:eastAsia="方正仿宋_GBK"/>
          <w:sz w:val="32"/>
        </w:rPr>
        <w:t xml:space="preserve"> </w:t>
      </w:r>
    </w:p>
    <w:p>
      <w:pPr>
        <w:spacing w:before="10" w:after="10"/>
        <w:ind w:firstLine="640"/>
        <w:outlineLvl w:val="5"/>
      </w:pPr>
      <w:r>
        <w:rPr>
          <w:rFonts w:ascii="黑体" w:eastAsia="黑体" w:cs="黑体" w:hAnsi="黑体"/>
          <w:sz w:val="32"/>
        </w:rPr>
        <w:t>八、名词解释</w:t>
      </w:r>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w:t>
      </w:r>
      <w:r>
        <w:rPr>
          <w:rFonts w:eastAsia="方正仿宋_GBK" w:hint="eastAsia"/>
          <w:sz w:val="28"/>
          <w:lang w:eastAsia="zh-CN"/>
        </w:rPr>
        <w:t>区县</w:t>
      </w:r>
      <w:r>
        <w:rPr>
          <w:rFonts w:eastAsia="方正仿宋_GBK"/>
          <w:sz w:val="28"/>
        </w:rPr>
        <w:t>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eastAsia="方正仿宋_GBK" w:hint="eastAsia"/>
          <w:sz w:val="28"/>
          <w:lang w:eastAsia="zh-CN"/>
        </w:rPr>
        <w:t>区县</w:t>
      </w:r>
      <w:r>
        <w:rPr>
          <w:rFonts w:eastAsia="方正仿宋_GBK"/>
          <w:sz w:val="28"/>
        </w:rPr>
        <w:t>级财政预算管理的“三公”经费，是指</w:t>
      </w:r>
      <w:r>
        <w:rPr>
          <w:rFonts w:eastAsia="方正仿宋_GBK" w:hint="eastAsia"/>
          <w:sz w:val="28"/>
          <w:lang w:eastAsia="zh-CN"/>
        </w:rPr>
        <w:t>区县级部门</w:t>
      </w:r>
      <w:r>
        <w:rPr>
          <w:rFonts w:eastAsia="方正仿宋_GBK"/>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sz w:val="32"/>
        </w:rPr>
        <w:t>九、其他需要说明的事项</w:t>
      </w:r>
    </w:p>
    <w:p>
      <w:pPr>
        <w:spacing w:line="500" w:lineRule="exact"/>
        <w:ind w:firstLine="560"/>
      </w:pPr>
      <w:r>
        <w:rPr>
          <w:rFonts w:eastAsia="方正仿宋_GBK"/>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modern"/>
    <w:pitch w:val="variable"/>
    <w:sig w:usb0="800002BF" w:usb1="38CF7CFA" w:usb2="00000016" w:usb3="00000000" w:csb0="00040001" w:csb1="00000000"/>
  </w:font>
  <w:font w:name="方正楷体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panose1 w:val="03000509000000000000"/>
    <w:charset w:val="86"/>
    <w:family w:val="script"/>
    <w:pitch w:val="variable"/>
    <w:sig w:usb0="00000001" w:usb1="080E0000" w:usb2="00000010" w:usb3="00000000" w:csb0="00040000" w:csb1="00000000"/>
  </w:font>
  <w:font w:name="宋体">
    <w:altName w:val="方正小标宋简体"/>
    <w:panose1 w:val="02010600030101010101"/>
    <w:charset w:val="86"/>
    <w:family w:val="auto"/>
    <w:pitch w:val="variable"/>
    <w:sig w:usb0="00000003" w:usb1="288F0000" w:usb2="00000016" w:usb3="00000000" w:csb0="00040001" w:csb1="00000000"/>
  </w:font>
  <w:font w:name="仿宋_GB2312">
    <w:altName w:val="方正仿宋_GBK"/>
    <w:panose1 w:val="02010609030101010101"/>
    <w:charset w:val="86"/>
    <w:family w:val="modern"/>
    <w:pitch w:val="variable"/>
    <w:sig w:usb0="00000001" w:usb1="080E0000" w:usb2="00000010" w:usb3="00000000" w:csb0="00040000" w:csb1="00000000"/>
  </w:font>
  <w:font w:name="Times New Roman">
    <w:altName w:val="DejaVu Sans"/>
    <w:panose1 w:val="02020603050405020304"/>
    <w:charset w:val="00"/>
    <w:family w:val="roman"/>
    <w:pitch w:val="variable"/>
    <w:sig w:usb0="E0002AFF" w:usb1="C0007841" w:usb2="00000009"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34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val="fullPage" w:percent="9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jc w:val="right"/>
    </w:pPr>
    <w:rPr>
      <w:rFonts w:ascii="方正小标宋_GBK" w:eastAsia="方正小标宋_GBK" w:cs="方正小标宋_GBK" w:hAnsi="方正小标宋_GBK"/>
    </w:rPr>
  </w:style>
  <w:style w:type="paragraph" w:customStyle="1" w:styleId="16">
    <w:name w:val="单元格样式21"/>
    <w:basedOn w:val="0"/>
    <w:pPr>
      <w:jc w:val="center"/>
    </w:pPr>
    <w:rPr>
      <w:rFonts w:ascii="方正小标宋_GBK" w:eastAsia="方正小标宋_GBK" w:cs="方正小标宋_GBK" w:hAnsi="方正小标宋_GBK"/>
    </w:rPr>
  </w:style>
  <w:style w:type="paragraph" w:customStyle="1" w:styleId="17">
    <w:name w:val="单元格样式20"/>
    <w:basedOn w:val="0"/>
    <w:rPr>
      <w:rFonts w:ascii="方正小标宋_GBK" w:eastAsia="方正小标宋_GBK" w:cs="方正小标宋_GBK" w:hAnsi="方正小标宋_GBK"/>
    </w:rPr>
  </w:style>
  <w:style w:type="paragraph" w:customStyle="1" w:styleId="18">
    <w:name w:val="单元格样式1"/>
    <w:basedOn w:val="0"/>
    <w:pPr>
      <w:jc w:val="center"/>
    </w:pPr>
    <w:rPr>
      <w:rFonts w:ascii="方正书宋_GBK" w:eastAsia="方正书宋_GBK" w:cs="方正书宋_GBK" w:hAnsi="方正书宋_GBK"/>
      <w:b/>
      <w:sz w:val="21"/>
    </w:rPr>
  </w:style>
  <w:style w:type="paragraph" w:customStyle="1" w:styleId="19">
    <w:name w:val="单元格样式4"/>
    <w:basedOn w:val="0"/>
    <w:pPr>
      <w:jc w:val="right"/>
    </w:pPr>
    <w:rPr>
      <w:rFonts w:ascii="方正书宋_GBK" w:eastAsia="方正书宋_GBK" w:cs="方正书宋_GBK" w:hAnsi="方正书宋_GBK"/>
      <w:sz w:val="21"/>
    </w:rPr>
  </w:style>
  <w:style w:type="paragraph" w:customStyle="1" w:styleId="20">
    <w:name w:val="单元格样式2"/>
    <w:basedOn w:val="0"/>
    <w:rPr>
      <w:rFonts w:ascii="方正书宋_GBK" w:eastAsia="方正书宋_GBK" w:cs="方正书宋_GBK" w:hAnsi="方正书宋_GBK"/>
      <w:sz w:val="21"/>
    </w:rPr>
  </w:style>
  <w:style w:type="paragraph" w:customStyle="1" w:styleId="21">
    <w:name w:val="单元格样式3"/>
    <w:basedOn w:val="0"/>
    <w:pPr>
      <w:jc w:val="center"/>
    </w:pPr>
    <w:rPr>
      <w:rFonts w:ascii="方正书宋_GBK" w:eastAsia="方正书宋_GBK" w:cs="方正书宋_GBK" w:hAnsi="方正书宋_GBK"/>
      <w:sz w:val="21"/>
    </w:rPr>
  </w:style>
  <w:style w:type="paragraph" w:customStyle="1" w:styleId="22">
    <w:name w:val="单元格样式6"/>
    <w:basedOn w:val="0"/>
    <w:pPr>
      <w:jc w:val="center"/>
    </w:pPr>
    <w:rPr>
      <w:rFonts w:ascii="方正书宋_GBK" w:eastAsia="方正书宋_GBK" w:cs="方正书宋_GBK" w:hAnsi="方正书宋_GBK"/>
      <w:b/>
      <w:sz w:val="21"/>
    </w:rPr>
  </w:style>
  <w:style w:type="paragraph" w:customStyle="1" w:styleId="23">
    <w:name w:val="单元格样式7"/>
    <w:basedOn w:val="0"/>
    <w:pPr>
      <w:jc w:val="right"/>
    </w:pPr>
    <w:rPr>
      <w:rFonts w:ascii="方正书宋_GBK" w:eastAsia="方正书宋_GBK" w:cs="方正书宋_GBK" w:hAnsi="方正书宋_GBK"/>
      <w:b/>
      <w:sz w:val="21"/>
    </w:rPr>
  </w:style>
  <w:style w:type="paragraph" w:customStyle="1" w:styleId="24">
    <w:name w:val="单元格样式5"/>
    <w:basedOn w:val="0"/>
    <w:rPr>
      <w:rFonts w:ascii="方正书宋_GBK" w:eastAsia="方正书宋_GBK" w:cs="方正书宋_GBK" w:hAnsi="方正书宋_GBK"/>
      <w:b/>
      <w:sz w:val="21"/>
    </w:rPr>
  </w:style>
  <w:style w:type="paragraph" w:customStyle="1" w:styleId="25">
    <w:name w:val="插入文本样式-插入部门职责文件"/>
    <w:basedOn w:val="0"/>
    <w:pPr>
      <w:spacing w:line="500" w:lineRule="exact"/>
      <w:ind w:firstLine="560"/>
    </w:pPr>
    <w:rPr>
      <w:rFonts w:eastAsia="方正仿宋_GBK"/>
      <w:sz w:val="28"/>
    </w:rPr>
  </w:style>
  <w:style w:type="paragraph" w:customStyle="1" w:styleId="26">
    <w:name w:val="插入文本样式-插入预算公开部门预算安排的总体情况文件"/>
    <w:basedOn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29">
    <w:name w:val="插入文本样式-插入总体目标文件"/>
    <w:basedOn w:val="0"/>
    <w:pPr>
      <w:spacing w:line="500" w:lineRule="exact"/>
      <w:ind w:firstLine="560"/>
    </w:pPr>
    <w:rPr>
      <w:rFonts w:eastAsia="方正仿宋_GBK"/>
      <w:sz w:val="28"/>
    </w:rPr>
  </w:style>
  <w:style w:type="paragraph" w:customStyle="1" w:styleId="30">
    <w:name w:val="插入文本样式-插入职责分类绩效目标文件"/>
    <w:basedOn w:val="0"/>
    <w:pPr>
      <w:spacing w:line="500" w:lineRule="exact"/>
      <w:ind w:firstLine="560"/>
    </w:pPr>
    <w:rPr>
      <w:rFonts w:eastAsia="方正仿宋_GBK"/>
      <w:sz w:val="28"/>
    </w:rPr>
  </w:style>
  <w:style w:type="paragraph" w:customStyle="1" w:styleId="31">
    <w:name w:val="插入文本样式-插入实现年度发展规划目标的保障措施文件"/>
    <w:basedOn w:val="0"/>
    <w:pPr>
      <w:spacing w:line="500" w:lineRule="exact"/>
      <w:ind w:firstLine="560"/>
    </w:pPr>
    <w:rPr>
      <w:rFonts w:eastAsia="方正仿宋_GBK"/>
      <w:sz w:val="28"/>
    </w:rPr>
  </w:style>
  <w:style w:type="paragraph" w:customStyle="1" w:styleId="32">
    <w:name w:val="Normal_7851eb26-b6d2-4ad7-a9de-8c79365fdbde"/>
    <w:rPr>
      <w:rFonts w:ascii="Times New Roman" w:eastAsia="Times New Roman" w:cs="Times New Roman" w:hAnsi="Times New Roman"/>
      <w:sz w:val="24"/>
      <w:szCs w:val="24"/>
      <w:lang w:val="en-US" w:eastAsia="uk-UA" w:bidi="ar-SA"/>
    </w:rPr>
  </w:style>
  <w:style w:type="paragraph" w:customStyle="1" w:styleId="33">
    <w:name w:val="单元格样式1_1e8852be-157a-4f8e-a947-84f4a12a1b02"/>
    <w:basedOn w:val="0"/>
    <w:pPr>
      <w:jc w:val="center"/>
    </w:pPr>
    <w:rPr>
      <w:rFonts w:ascii="方正书宋_GBK" w:eastAsia="方正书宋_GBK" w:cs="方正书宋_GBK" w:hAnsi="方正书宋_GBK"/>
      <w:b/>
      <w:sz w:val="21"/>
    </w:rPr>
  </w:style>
  <w:style w:type="paragraph" w:customStyle="1" w:styleId="34">
    <w:name w:val="单元格样式2_d07653b7-f45d-434b-bc55-3cc344c0a454"/>
    <w:basedOn w:val="0"/>
    <w:rPr>
      <w:rFonts w:ascii="方正书宋_GBK" w:eastAsia="方正书宋_GBK" w:cs="方正书宋_GBK" w:hAnsi="方正书宋_GBK"/>
      <w:sz w:val="21"/>
    </w:rPr>
  </w:style>
  <w:style w:type="paragraph" w:customStyle="1" w:styleId="35">
    <w:name w:val="单元格样式3_f00e8039-961f-426d-b50f-2399065f0124"/>
    <w:basedOn w:val="0"/>
    <w:pPr>
      <w:jc w:val="center"/>
    </w:pPr>
    <w:rPr>
      <w:rFonts w:ascii="方正书宋_GBK" w:eastAsia="方正书宋_GBK" w:cs="方正书宋_GBK" w:hAnsi="方正书宋_GBK"/>
      <w:sz w:val="21"/>
    </w:rPr>
  </w:style>
  <w:style w:type="paragraph" w:customStyle="1" w:styleId="36">
    <w:name w:val="单元格样式23"/>
    <w:basedOn w:val="0"/>
    <w:pPr>
      <w:jc w:val="right"/>
    </w:pPr>
    <w:rPr>
      <w:rFonts w:ascii="方正书宋_GBK" w:eastAsia="方正书宋_GBK" w:cs="方正书宋_GBK" w:hAnsi="方正书宋_GBK"/>
    </w:rPr>
  </w:style>
  <w:style w:type="paragraph" w:customStyle="1" w:styleId="37">
    <w:name w:val="插入文本样式-插入单位职责文件"/>
    <w:basedOn w:val="0"/>
    <w:pPr>
      <w:spacing w:line="500" w:lineRule="exact"/>
      <w:ind w:firstLine="560"/>
    </w:pPr>
    <w:rPr>
      <w:rFonts w:eastAsia="方正仿宋_GBK"/>
      <w:sz w:val="28"/>
    </w:rPr>
  </w:style>
  <w:style w:type="paragraph" w:customStyle="1" w:styleId="38">
    <w:name w:val="插入文本样式-插入预算公开单位预算安排的总体情况文件"/>
    <w:basedOn w:val="0"/>
    <w:pPr>
      <w:spacing w:line="500" w:lineRule="exact"/>
      <w:ind w:firstLine="560"/>
    </w:pPr>
    <w:rPr>
      <w:rFonts w:eastAsia="方正仿宋_GBK"/>
      <w:sz w:val="28"/>
    </w:rPr>
  </w:style>
  <w:style w:type="paragraph" w:customStyle="1" w:styleId="39">
    <w:name w:val="插入文本样式-插入预算公开单位机关运行经费安排情况文件"/>
    <w:basedOn w:val="0"/>
    <w:pPr>
      <w:spacing w:line="500" w:lineRule="exact"/>
      <w:ind w:firstLine="560"/>
    </w:pPr>
    <w:rPr>
      <w:rFonts w:eastAsia="方正仿宋_GBK"/>
      <w:sz w:val="28"/>
    </w:rPr>
  </w:style>
  <w:style w:type="paragraph" w:customStyle="1" w:styleId="40">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41">
    <w:name w:val="TOC 2"/>
    <w:basedOn w:val="0"/>
    <w:pPr>
      <w:ind w:left="240"/>
    </w:pPr>
  </w:style>
  <w:style w:type="paragraph" w:customStyle="1" w:styleId="42">
    <w:name w:val="TOC 3"/>
    <w:basedOn w:val="0"/>
    <w:pPr>
      <w:ind w:left="480"/>
    </w:pPr>
  </w:style>
  <w:style w:type="paragraph" w:customStyle="1" w:styleId="43">
    <w:name w:val="TOC 4"/>
    <w:basedOn w:val="0"/>
    <w:pPr>
      <w:ind w:left="720"/>
    </w:pPr>
  </w:style>
  <w:style w:type="paragraph" w:customStyle="1" w:styleId="44">
    <w:name w:val="TOC 1"/>
    <w:basedOn w:val="0"/>
    <w:pPr>
      <w:spacing w:before="120"/>
      <w:ind w:firstLine="560"/>
    </w:pPr>
    <w:rPr>
      <w:rFonts w:eastAsia="方正仿宋_GBK"/>
      <w:color w:val="000000"/>
      <w:sz w:val="28"/>
    </w:rPr>
  </w:style>
  <w:style w:type="paragraph" w:styleId="45">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4FD00D4-DAF0-4CBF-ABA2-E2D1A8E895B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81</TotalTime>
  <Application>Yozo_Office27021597764231179</Application>
  <Pages>48</Pages>
  <Words>0</Words>
  <Characters>14829</Characters>
  <Lines>0</Lines>
  <Paragraphs>287</Paragraphs>
  <CharactersWithSpaces>19772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ht706</cp:lastModifiedBy>
  <cp:revision>4</cp:revision>
  <cp:lastPrinted>2022-03-09T08:57:00Z</cp:lastPrinted>
  <dcterms:created xsi:type="dcterms:W3CDTF">2022-02-14T17:45:00Z</dcterms:created>
  <dcterms:modified xsi:type="dcterms:W3CDTF">2024-02-26T07:01:49Z</dcterms:modified>
</cp:coreProperties>
</file>