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藁城区兴安镇人民政府部门所属单位</w:t>
      </w:r>
      <w:r>
        <w:rPr>
          <w:rFonts w:ascii="黑体" w:hAnsi="黑体" w:eastAsia="黑体" w:cs="黑体"/>
          <w:b/>
          <w:color w:val="000000"/>
          <w:sz w:val="44"/>
        </w:rPr>
        <w:t>2022</w:t>
      </w:r>
      <w:r>
        <w:rPr>
          <w:rFonts w:hint="eastAsia" w:ascii="黑体" w:hAnsi="黑体" w:eastAsia="黑体" w:cs="黑体"/>
          <w:b/>
          <w:color w:val="000000"/>
          <w:sz w:val="44"/>
          <w:lang w:val="en-US" w:eastAsia="zh-CN"/>
        </w:rPr>
        <w:t>年</w:t>
      </w:r>
      <w:r>
        <w:rPr>
          <w:rFonts w:ascii="黑体" w:hAnsi="黑体" w:eastAsia="黑体" w:cs="黑体"/>
          <w:b/>
          <w:color w:val="000000"/>
          <w:sz w:val="44"/>
        </w:rPr>
        <w:t>预算信息公开</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_Toc17633 </w:instrText>
      </w:r>
      <w:r>
        <w:fldChar w:fldCharType="separate"/>
      </w:r>
      <w:r>
        <w:rPr>
          <w:rFonts w:ascii="方正小标宋_GBK" w:hAnsi="方正小标宋_GBK" w:eastAsia="方正小标宋_GBK" w:cs="方正小标宋_GBK"/>
        </w:rPr>
        <w:t>一、石家庄市藁城区兴安镇人民政府本级收支预算</w:t>
      </w:r>
      <w:r>
        <w:tab/>
      </w:r>
      <w:r>
        <w:rPr>
          <w:rFonts w:hint="eastAsia" w:eastAsia="宋体"/>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bookmarkStart w:id="0" w:name="_Toc17633"/>
      <w:r>
        <w:rPr>
          <w:rFonts w:ascii="方正小标宋_GBK" w:hAnsi="方正小标宋_GBK" w:eastAsia="方正小标宋_GBK" w:cs="方正小标宋_GBK"/>
          <w:b w:val="0"/>
          <w:color w:val="000000"/>
          <w:sz w:val="44"/>
        </w:rPr>
        <w:t>一、石家庄市藁城区兴安镇人民政府本级收支预算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3246.30</w:t>
            </w:r>
          </w:p>
        </w:tc>
        <w:tc>
          <w:tcPr>
            <w:tcW w:w="4535" w:type="dxa"/>
            <w:vAlign w:val="center"/>
          </w:tcPr>
          <w:p>
            <w:pPr>
              <w:pStyle w:val="14"/>
            </w:pPr>
            <w:r>
              <w:t>一、一般公共服务支出</w:t>
            </w:r>
          </w:p>
        </w:tc>
        <w:tc>
          <w:tcPr>
            <w:tcW w:w="2126" w:type="dxa"/>
            <w:vAlign w:val="center"/>
          </w:tcPr>
          <w:p>
            <w:pPr>
              <w:pStyle w:val="13"/>
            </w:pPr>
            <w:r>
              <w:t>2148.60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3246.30</w:t>
            </w:r>
          </w:p>
        </w:tc>
        <w:tc>
          <w:tcPr>
            <w:tcW w:w="4535" w:type="dxa"/>
            <w:vAlign w:val="center"/>
          </w:tcPr>
          <w:p>
            <w:pPr>
              <w:pStyle w:val="16"/>
            </w:pPr>
            <w:r>
              <w:t>本年支出合计</w:t>
            </w:r>
          </w:p>
        </w:tc>
        <w:tc>
          <w:tcPr>
            <w:tcW w:w="2126" w:type="dxa"/>
            <w:vAlign w:val="center"/>
          </w:tcPr>
          <w:p>
            <w:pPr>
              <w:pStyle w:val="17"/>
            </w:pPr>
            <w:r>
              <w:t>3246.30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3246.30</w:t>
            </w:r>
          </w:p>
        </w:tc>
        <w:tc>
          <w:tcPr>
            <w:tcW w:w="4535" w:type="dxa"/>
            <w:vAlign w:val="center"/>
          </w:tcPr>
          <w:p>
            <w:pPr>
              <w:pStyle w:val="16"/>
            </w:pPr>
            <w:r>
              <w:t>支出总计</w:t>
            </w:r>
          </w:p>
        </w:tc>
        <w:tc>
          <w:tcPr>
            <w:tcW w:w="2126" w:type="dxa"/>
            <w:vAlign w:val="center"/>
          </w:tcPr>
          <w:p>
            <w:pPr>
              <w:pStyle w:val="17"/>
            </w:pPr>
            <w:r>
              <w:t>3246.30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3246.30</w:t>
            </w:r>
          </w:p>
        </w:tc>
        <w:tc>
          <w:tcPr>
            <w:tcW w:w="1134" w:type="dxa"/>
            <w:vAlign w:val="center"/>
          </w:tcPr>
          <w:p>
            <w:pPr>
              <w:pStyle w:val="17"/>
            </w:pPr>
            <w:r>
              <w:t>3246.30</w:t>
            </w:r>
          </w:p>
        </w:tc>
        <w:tc>
          <w:tcPr>
            <w:tcW w:w="1134" w:type="dxa"/>
            <w:vAlign w:val="center"/>
          </w:tcPr>
          <w:p>
            <w:pPr>
              <w:pStyle w:val="17"/>
            </w:pPr>
            <w:r>
              <w:t>3246.30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2148.60</w:t>
            </w:r>
          </w:p>
        </w:tc>
        <w:tc>
          <w:tcPr>
            <w:tcW w:w="1134" w:type="dxa"/>
            <w:vAlign w:val="center"/>
          </w:tcPr>
          <w:p>
            <w:pPr>
              <w:pStyle w:val="13"/>
            </w:pPr>
            <w:r>
              <w:t>2148.60</w:t>
            </w:r>
          </w:p>
        </w:tc>
        <w:tc>
          <w:tcPr>
            <w:tcW w:w="1134" w:type="dxa"/>
            <w:vAlign w:val="center"/>
          </w:tcPr>
          <w:p>
            <w:pPr>
              <w:pStyle w:val="13"/>
            </w:pPr>
            <w:r>
              <w:t>2148.60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2148.60</w:t>
            </w:r>
          </w:p>
        </w:tc>
        <w:tc>
          <w:tcPr>
            <w:tcW w:w="1134" w:type="dxa"/>
            <w:vAlign w:val="center"/>
          </w:tcPr>
          <w:p>
            <w:pPr>
              <w:pStyle w:val="13"/>
            </w:pPr>
            <w:r>
              <w:t>2148.60</w:t>
            </w:r>
          </w:p>
        </w:tc>
        <w:tc>
          <w:tcPr>
            <w:tcW w:w="1134" w:type="dxa"/>
            <w:vAlign w:val="center"/>
          </w:tcPr>
          <w:p>
            <w:pPr>
              <w:pStyle w:val="13"/>
            </w:pPr>
            <w:r>
              <w:t>2148.60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1267.01</w:t>
            </w:r>
          </w:p>
        </w:tc>
        <w:tc>
          <w:tcPr>
            <w:tcW w:w="1134" w:type="dxa"/>
            <w:vAlign w:val="center"/>
          </w:tcPr>
          <w:p>
            <w:pPr>
              <w:pStyle w:val="13"/>
            </w:pPr>
            <w:r>
              <w:t>1267.01</w:t>
            </w:r>
          </w:p>
        </w:tc>
        <w:tc>
          <w:tcPr>
            <w:tcW w:w="1134" w:type="dxa"/>
            <w:vAlign w:val="center"/>
          </w:tcPr>
          <w:p>
            <w:pPr>
              <w:pStyle w:val="13"/>
            </w:pPr>
            <w:r>
              <w:t>1267.01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866.59</w:t>
            </w:r>
          </w:p>
        </w:tc>
        <w:tc>
          <w:tcPr>
            <w:tcW w:w="1134" w:type="dxa"/>
            <w:vAlign w:val="center"/>
          </w:tcPr>
          <w:p>
            <w:pPr>
              <w:pStyle w:val="13"/>
            </w:pPr>
            <w:r>
              <w:t>866.59</w:t>
            </w:r>
          </w:p>
        </w:tc>
        <w:tc>
          <w:tcPr>
            <w:tcW w:w="1134" w:type="dxa"/>
            <w:vAlign w:val="center"/>
          </w:tcPr>
          <w:p>
            <w:pPr>
              <w:pStyle w:val="13"/>
            </w:pPr>
            <w:r>
              <w:t>866.59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2010308</w:t>
            </w:r>
          </w:p>
        </w:tc>
        <w:tc>
          <w:tcPr>
            <w:tcW w:w="1559" w:type="dxa"/>
            <w:vAlign w:val="center"/>
          </w:tcPr>
          <w:p>
            <w:pPr>
              <w:pStyle w:val="14"/>
            </w:pPr>
            <w:r>
              <w:t>信访事务</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r>
              <w:t>16.45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r>
              <w:t>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2110402</w:t>
            </w:r>
          </w:p>
        </w:tc>
        <w:tc>
          <w:tcPr>
            <w:tcW w:w="1559" w:type="dxa"/>
            <w:vAlign w:val="center"/>
          </w:tcPr>
          <w:p>
            <w:pPr>
              <w:pStyle w:val="14"/>
            </w:pPr>
            <w:r>
              <w:t>农村环境保护</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21205</w:t>
            </w:r>
          </w:p>
        </w:tc>
        <w:tc>
          <w:tcPr>
            <w:tcW w:w="1559" w:type="dxa"/>
            <w:vAlign w:val="center"/>
          </w:tcPr>
          <w:p>
            <w:pPr>
              <w:pStyle w:val="14"/>
            </w:pPr>
            <w:r>
              <w:t>城乡社区环境卫生</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2120501</w:t>
            </w:r>
          </w:p>
        </w:tc>
        <w:tc>
          <w:tcPr>
            <w:tcW w:w="1559" w:type="dxa"/>
            <w:vAlign w:val="center"/>
          </w:tcPr>
          <w:p>
            <w:pPr>
              <w:pStyle w:val="14"/>
            </w:pPr>
            <w:r>
              <w:t>城乡社区环境卫生</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r>
              <w:t>728.75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r>
              <w:t>140.00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3246.30</w:t>
            </w:r>
          </w:p>
        </w:tc>
        <w:tc>
          <w:tcPr>
            <w:tcW w:w="1361" w:type="dxa"/>
            <w:vAlign w:val="center"/>
          </w:tcPr>
          <w:p>
            <w:pPr>
              <w:pStyle w:val="17"/>
            </w:pPr>
            <w:r>
              <w:t>1267.01</w:t>
            </w:r>
          </w:p>
        </w:tc>
        <w:tc>
          <w:tcPr>
            <w:tcW w:w="1361" w:type="dxa"/>
            <w:vAlign w:val="center"/>
          </w:tcPr>
          <w:p>
            <w:pPr>
              <w:pStyle w:val="17"/>
            </w:pPr>
            <w:r>
              <w:t>1979.29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2148.60</w:t>
            </w:r>
          </w:p>
        </w:tc>
        <w:tc>
          <w:tcPr>
            <w:tcW w:w="1361" w:type="dxa"/>
            <w:vAlign w:val="center"/>
          </w:tcPr>
          <w:p>
            <w:pPr>
              <w:pStyle w:val="13"/>
            </w:pPr>
            <w:r>
              <w:t>1267.01</w:t>
            </w:r>
          </w:p>
        </w:tc>
        <w:tc>
          <w:tcPr>
            <w:tcW w:w="1361" w:type="dxa"/>
            <w:vAlign w:val="center"/>
          </w:tcPr>
          <w:p>
            <w:pPr>
              <w:pStyle w:val="13"/>
            </w:pPr>
            <w:r>
              <w:t>881.59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2148.60</w:t>
            </w:r>
          </w:p>
        </w:tc>
        <w:tc>
          <w:tcPr>
            <w:tcW w:w="1361" w:type="dxa"/>
            <w:vAlign w:val="center"/>
          </w:tcPr>
          <w:p>
            <w:pPr>
              <w:pStyle w:val="13"/>
            </w:pPr>
            <w:r>
              <w:t>1267.01</w:t>
            </w:r>
          </w:p>
        </w:tc>
        <w:tc>
          <w:tcPr>
            <w:tcW w:w="1361" w:type="dxa"/>
            <w:vAlign w:val="center"/>
          </w:tcPr>
          <w:p>
            <w:pPr>
              <w:pStyle w:val="13"/>
            </w:pPr>
            <w:r>
              <w:t>881.59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1267.01</w:t>
            </w:r>
          </w:p>
        </w:tc>
        <w:tc>
          <w:tcPr>
            <w:tcW w:w="1361" w:type="dxa"/>
            <w:vAlign w:val="center"/>
          </w:tcPr>
          <w:p>
            <w:pPr>
              <w:pStyle w:val="13"/>
            </w:pPr>
            <w:r>
              <w:t>1267.01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866.59</w:t>
            </w:r>
          </w:p>
        </w:tc>
        <w:tc>
          <w:tcPr>
            <w:tcW w:w="1361" w:type="dxa"/>
            <w:vAlign w:val="center"/>
          </w:tcPr>
          <w:p>
            <w:pPr>
              <w:pStyle w:val="13"/>
            </w:pPr>
          </w:p>
        </w:tc>
        <w:tc>
          <w:tcPr>
            <w:tcW w:w="1361" w:type="dxa"/>
            <w:vAlign w:val="center"/>
          </w:tcPr>
          <w:p>
            <w:pPr>
              <w:pStyle w:val="13"/>
            </w:pPr>
            <w:r>
              <w:t>866.59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2010308</w:t>
            </w:r>
          </w:p>
        </w:tc>
        <w:tc>
          <w:tcPr>
            <w:tcW w:w="4535" w:type="dxa"/>
            <w:vAlign w:val="center"/>
          </w:tcPr>
          <w:p>
            <w:pPr>
              <w:pStyle w:val="14"/>
            </w:pPr>
            <w:r>
              <w:t>信访事务</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r>
              <w:t>16.45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r>
              <w:t>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2110402</w:t>
            </w:r>
          </w:p>
        </w:tc>
        <w:tc>
          <w:tcPr>
            <w:tcW w:w="4535" w:type="dxa"/>
            <w:vAlign w:val="center"/>
          </w:tcPr>
          <w:p>
            <w:pPr>
              <w:pStyle w:val="14"/>
            </w:pPr>
            <w:r>
              <w:t>农村环境保护</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21205</w:t>
            </w:r>
          </w:p>
        </w:tc>
        <w:tc>
          <w:tcPr>
            <w:tcW w:w="4535" w:type="dxa"/>
            <w:vAlign w:val="center"/>
          </w:tcPr>
          <w:p>
            <w:pPr>
              <w:pStyle w:val="14"/>
            </w:pPr>
            <w:r>
              <w:t>城乡社区环境卫生</w:t>
            </w: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2120501</w:t>
            </w:r>
          </w:p>
        </w:tc>
        <w:tc>
          <w:tcPr>
            <w:tcW w:w="4535" w:type="dxa"/>
            <w:vAlign w:val="center"/>
          </w:tcPr>
          <w:p>
            <w:pPr>
              <w:pStyle w:val="14"/>
            </w:pPr>
            <w:r>
              <w:t>城乡社区环境卫生</w:t>
            </w: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r>
              <w:t>728.75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140.00</w:t>
            </w:r>
          </w:p>
        </w:tc>
        <w:tc>
          <w:tcPr>
            <w:tcW w:w="1361" w:type="dxa"/>
            <w:vAlign w:val="center"/>
          </w:tcPr>
          <w:p>
            <w:pPr>
              <w:pStyle w:val="13"/>
            </w:pPr>
          </w:p>
        </w:tc>
        <w:tc>
          <w:tcPr>
            <w:tcW w:w="1361" w:type="dxa"/>
            <w:vAlign w:val="center"/>
          </w:tcPr>
          <w:p>
            <w:pPr>
              <w:pStyle w:val="13"/>
            </w:pPr>
            <w:r>
              <w:t>140.00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3246.30</w:t>
            </w:r>
          </w:p>
        </w:tc>
        <w:tc>
          <w:tcPr>
            <w:tcW w:w="3402" w:type="dxa"/>
            <w:vAlign w:val="center"/>
          </w:tcPr>
          <w:p>
            <w:pPr>
              <w:pStyle w:val="14"/>
            </w:pPr>
            <w:r>
              <w:t>一、一般公共服务支出</w:t>
            </w:r>
          </w:p>
        </w:tc>
        <w:tc>
          <w:tcPr>
            <w:tcW w:w="1474" w:type="dxa"/>
            <w:vAlign w:val="center"/>
          </w:tcPr>
          <w:p>
            <w:pPr>
              <w:pStyle w:val="13"/>
            </w:pPr>
            <w:r>
              <w:t>2148.60</w:t>
            </w:r>
          </w:p>
        </w:tc>
        <w:tc>
          <w:tcPr>
            <w:tcW w:w="1474" w:type="dxa"/>
            <w:vAlign w:val="center"/>
          </w:tcPr>
          <w:p>
            <w:pPr>
              <w:pStyle w:val="13"/>
            </w:pPr>
            <w:r>
              <w:t>2148.60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16.45</w:t>
            </w:r>
          </w:p>
        </w:tc>
        <w:tc>
          <w:tcPr>
            <w:tcW w:w="1474" w:type="dxa"/>
            <w:vAlign w:val="center"/>
          </w:tcPr>
          <w:p>
            <w:pPr>
              <w:pStyle w:val="13"/>
            </w:pPr>
            <w:r>
              <w:t>16.45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19.00</w:t>
            </w:r>
          </w:p>
        </w:tc>
        <w:tc>
          <w:tcPr>
            <w:tcW w:w="1474" w:type="dxa"/>
            <w:vAlign w:val="center"/>
          </w:tcPr>
          <w:p>
            <w:pPr>
              <w:pStyle w:val="13"/>
            </w:pPr>
            <w:r>
              <w:t>19.00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35.00</w:t>
            </w:r>
          </w:p>
        </w:tc>
        <w:tc>
          <w:tcPr>
            <w:tcW w:w="1474" w:type="dxa"/>
            <w:vAlign w:val="center"/>
          </w:tcPr>
          <w:p>
            <w:pPr>
              <w:pStyle w:val="13"/>
            </w:pPr>
            <w:r>
              <w:t>35.00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8.50</w:t>
            </w:r>
          </w:p>
        </w:tc>
        <w:tc>
          <w:tcPr>
            <w:tcW w:w="1474" w:type="dxa"/>
            <w:vAlign w:val="center"/>
          </w:tcPr>
          <w:p>
            <w:pPr>
              <w:pStyle w:val="13"/>
            </w:pPr>
            <w:r>
              <w:t>8.50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150.00</w:t>
            </w:r>
          </w:p>
        </w:tc>
        <w:tc>
          <w:tcPr>
            <w:tcW w:w="1474" w:type="dxa"/>
            <w:vAlign w:val="center"/>
          </w:tcPr>
          <w:p>
            <w:pPr>
              <w:pStyle w:val="13"/>
            </w:pPr>
            <w:r>
              <w:t>150.00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728.75</w:t>
            </w:r>
          </w:p>
        </w:tc>
        <w:tc>
          <w:tcPr>
            <w:tcW w:w="1474" w:type="dxa"/>
            <w:vAlign w:val="center"/>
          </w:tcPr>
          <w:p>
            <w:pPr>
              <w:pStyle w:val="13"/>
            </w:pPr>
            <w:r>
              <w:t>728.75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140.00</w:t>
            </w:r>
          </w:p>
        </w:tc>
        <w:tc>
          <w:tcPr>
            <w:tcW w:w="1474" w:type="dxa"/>
            <w:vAlign w:val="center"/>
          </w:tcPr>
          <w:p>
            <w:pPr>
              <w:pStyle w:val="13"/>
            </w:pPr>
            <w:r>
              <w:t>140.00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3246.30</w:t>
            </w:r>
          </w:p>
        </w:tc>
        <w:tc>
          <w:tcPr>
            <w:tcW w:w="3402" w:type="dxa"/>
            <w:vAlign w:val="center"/>
          </w:tcPr>
          <w:p>
            <w:pPr>
              <w:pStyle w:val="16"/>
            </w:pPr>
            <w:r>
              <w:t>本年支出合计</w:t>
            </w:r>
          </w:p>
        </w:tc>
        <w:tc>
          <w:tcPr>
            <w:tcW w:w="1474" w:type="dxa"/>
            <w:vAlign w:val="center"/>
          </w:tcPr>
          <w:p>
            <w:pPr>
              <w:pStyle w:val="17"/>
            </w:pPr>
            <w:r>
              <w:t>3246.30</w:t>
            </w:r>
          </w:p>
        </w:tc>
        <w:tc>
          <w:tcPr>
            <w:tcW w:w="1474" w:type="dxa"/>
            <w:vAlign w:val="center"/>
          </w:tcPr>
          <w:p>
            <w:pPr>
              <w:pStyle w:val="17"/>
            </w:pPr>
            <w:r>
              <w:t>3246.30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3246.30</w:t>
            </w:r>
          </w:p>
        </w:tc>
        <w:tc>
          <w:tcPr>
            <w:tcW w:w="3402" w:type="dxa"/>
            <w:vAlign w:val="center"/>
          </w:tcPr>
          <w:p>
            <w:pPr>
              <w:pStyle w:val="16"/>
            </w:pPr>
            <w:r>
              <w:t>支出总计</w:t>
            </w:r>
          </w:p>
        </w:tc>
        <w:tc>
          <w:tcPr>
            <w:tcW w:w="1474" w:type="dxa"/>
            <w:vAlign w:val="center"/>
          </w:tcPr>
          <w:p>
            <w:pPr>
              <w:pStyle w:val="17"/>
            </w:pPr>
            <w:r>
              <w:t>3246.30</w:t>
            </w:r>
          </w:p>
        </w:tc>
        <w:tc>
          <w:tcPr>
            <w:tcW w:w="1474" w:type="dxa"/>
            <w:vAlign w:val="center"/>
          </w:tcPr>
          <w:p>
            <w:pPr>
              <w:pStyle w:val="17"/>
            </w:pPr>
            <w:r>
              <w:t>3246.30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3246.30</w:t>
            </w:r>
          </w:p>
        </w:tc>
        <w:tc>
          <w:tcPr>
            <w:tcW w:w="2551" w:type="dxa"/>
            <w:vAlign w:val="center"/>
          </w:tcPr>
          <w:p>
            <w:pPr>
              <w:pStyle w:val="17"/>
            </w:pPr>
            <w:r>
              <w:t>1267.01</w:t>
            </w:r>
          </w:p>
        </w:tc>
        <w:tc>
          <w:tcPr>
            <w:tcW w:w="2551" w:type="dxa"/>
            <w:vAlign w:val="center"/>
          </w:tcPr>
          <w:p>
            <w:pPr>
              <w:pStyle w:val="17"/>
            </w:pPr>
            <w:r>
              <w:t>1979.29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2148.60</w:t>
            </w:r>
          </w:p>
        </w:tc>
        <w:tc>
          <w:tcPr>
            <w:tcW w:w="2551" w:type="dxa"/>
            <w:vAlign w:val="center"/>
          </w:tcPr>
          <w:p>
            <w:pPr>
              <w:pStyle w:val="13"/>
            </w:pPr>
            <w:r>
              <w:t>1267.01</w:t>
            </w:r>
          </w:p>
        </w:tc>
        <w:tc>
          <w:tcPr>
            <w:tcW w:w="2551" w:type="dxa"/>
            <w:vAlign w:val="center"/>
          </w:tcPr>
          <w:p>
            <w:pPr>
              <w:pStyle w:val="13"/>
            </w:pPr>
            <w:r>
              <w:t>881.59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2148.60</w:t>
            </w:r>
          </w:p>
        </w:tc>
        <w:tc>
          <w:tcPr>
            <w:tcW w:w="2551" w:type="dxa"/>
            <w:vAlign w:val="center"/>
          </w:tcPr>
          <w:p>
            <w:pPr>
              <w:pStyle w:val="13"/>
            </w:pPr>
            <w:r>
              <w:t>1267.01</w:t>
            </w:r>
          </w:p>
        </w:tc>
        <w:tc>
          <w:tcPr>
            <w:tcW w:w="2551" w:type="dxa"/>
            <w:vAlign w:val="center"/>
          </w:tcPr>
          <w:p>
            <w:pPr>
              <w:pStyle w:val="13"/>
            </w:pPr>
            <w:r>
              <w:t>881.59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1267.01</w:t>
            </w:r>
          </w:p>
        </w:tc>
        <w:tc>
          <w:tcPr>
            <w:tcW w:w="2551" w:type="dxa"/>
            <w:vAlign w:val="center"/>
          </w:tcPr>
          <w:p>
            <w:pPr>
              <w:pStyle w:val="13"/>
            </w:pPr>
            <w:r>
              <w:t>1267.01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866.59</w:t>
            </w:r>
          </w:p>
        </w:tc>
        <w:tc>
          <w:tcPr>
            <w:tcW w:w="2551" w:type="dxa"/>
            <w:vAlign w:val="center"/>
          </w:tcPr>
          <w:p>
            <w:pPr>
              <w:pStyle w:val="13"/>
            </w:pPr>
          </w:p>
        </w:tc>
        <w:tc>
          <w:tcPr>
            <w:tcW w:w="2551" w:type="dxa"/>
            <w:vAlign w:val="center"/>
          </w:tcPr>
          <w:p>
            <w:pPr>
              <w:pStyle w:val="13"/>
            </w:pPr>
            <w:r>
              <w:t>866.59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2010308</w:t>
            </w:r>
          </w:p>
        </w:tc>
        <w:tc>
          <w:tcPr>
            <w:tcW w:w="4535" w:type="dxa"/>
            <w:vAlign w:val="center"/>
          </w:tcPr>
          <w:p>
            <w:pPr>
              <w:pStyle w:val="14"/>
            </w:pPr>
            <w:r>
              <w:t>信访事务</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16.45</w:t>
            </w:r>
          </w:p>
        </w:tc>
        <w:tc>
          <w:tcPr>
            <w:tcW w:w="2551" w:type="dxa"/>
            <w:vAlign w:val="center"/>
          </w:tcPr>
          <w:p>
            <w:pPr>
              <w:pStyle w:val="13"/>
            </w:pPr>
          </w:p>
        </w:tc>
        <w:tc>
          <w:tcPr>
            <w:tcW w:w="2551" w:type="dxa"/>
            <w:vAlign w:val="center"/>
          </w:tcPr>
          <w:p>
            <w:pPr>
              <w:pStyle w:val="13"/>
            </w:pPr>
            <w:r>
              <w:t>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16.45</w:t>
            </w:r>
          </w:p>
        </w:tc>
        <w:tc>
          <w:tcPr>
            <w:tcW w:w="2551" w:type="dxa"/>
            <w:vAlign w:val="center"/>
          </w:tcPr>
          <w:p>
            <w:pPr>
              <w:pStyle w:val="13"/>
            </w:pPr>
          </w:p>
        </w:tc>
        <w:tc>
          <w:tcPr>
            <w:tcW w:w="2551" w:type="dxa"/>
            <w:vAlign w:val="center"/>
          </w:tcPr>
          <w:p>
            <w:pPr>
              <w:pStyle w:val="13"/>
            </w:pPr>
            <w:r>
              <w:t>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16.45</w:t>
            </w:r>
          </w:p>
        </w:tc>
        <w:tc>
          <w:tcPr>
            <w:tcW w:w="2551" w:type="dxa"/>
            <w:vAlign w:val="center"/>
          </w:tcPr>
          <w:p>
            <w:pPr>
              <w:pStyle w:val="13"/>
            </w:pPr>
          </w:p>
        </w:tc>
        <w:tc>
          <w:tcPr>
            <w:tcW w:w="2551" w:type="dxa"/>
            <w:vAlign w:val="center"/>
          </w:tcPr>
          <w:p>
            <w:pPr>
              <w:pStyle w:val="13"/>
            </w:pPr>
            <w:r>
              <w:t>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2110402</w:t>
            </w:r>
          </w:p>
        </w:tc>
        <w:tc>
          <w:tcPr>
            <w:tcW w:w="4535" w:type="dxa"/>
            <w:vAlign w:val="center"/>
          </w:tcPr>
          <w:p>
            <w:pPr>
              <w:pStyle w:val="14"/>
            </w:pPr>
            <w:r>
              <w:t>农村环境保护</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728.75</w:t>
            </w:r>
          </w:p>
        </w:tc>
        <w:tc>
          <w:tcPr>
            <w:tcW w:w="2551" w:type="dxa"/>
            <w:vAlign w:val="center"/>
          </w:tcPr>
          <w:p>
            <w:pPr>
              <w:pStyle w:val="13"/>
            </w:pPr>
          </w:p>
        </w:tc>
        <w:tc>
          <w:tcPr>
            <w:tcW w:w="2551" w:type="dxa"/>
            <w:vAlign w:val="center"/>
          </w:tcPr>
          <w:p>
            <w:pPr>
              <w:pStyle w:val="13"/>
            </w:pPr>
            <w:r>
              <w:t>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21205</w:t>
            </w:r>
          </w:p>
        </w:tc>
        <w:tc>
          <w:tcPr>
            <w:tcW w:w="4535" w:type="dxa"/>
            <w:vAlign w:val="center"/>
          </w:tcPr>
          <w:p>
            <w:pPr>
              <w:pStyle w:val="14"/>
            </w:pPr>
            <w:r>
              <w:t>城乡社区环境卫生</w:t>
            </w:r>
          </w:p>
        </w:tc>
        <w:tc>
          <w:tcPr>
            <w:tcW w:w="2551" w:type="dxa"/>
            <w:vAlign w:val="center"/>
          </w:tcPr>
          <w:p>
            <w:pPr>
              <w:pStyle w:val="13"/>
            </w:pPr>
            <w:r>
              <w:t>728.75</w:t>
            </w:r>
          </w:p>
        </w:tc>
        <w:tc>
          <w:tcPr>
            <w:tcW w:w="2551" w:type="dxa"/>
            <w:vAlign w:val="center"/>
          </w:tcPr>
          <w:p>
            <w:pPr>
              <w:pStyle w:val="13"/>
            </w:pPr>
          </w:p>
        </w:tc>
        <w:tc>
          <w:tcPr>
            <w:tcW w:w="2551" w:type="dxa"/>
            <w:vAlign w:val="center"/>
          </w:tcPr>
          <w:p>
            <w:pPr>
              <w:pStyle w:val="13"/>
            </w:pPr>
            <w:r>
              <w:t>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2120501</w:t>
            </w:r>
          </w:p>
        </w:tc>
        <w:tc>
          <w:tcPr>
            <w:tcW w:w="4535" w:type="dxa"/>
            <w:vAlign w:val="center"/>
          </w:tcPr>
          <w:p>
            <w:pPr>
              <w:pStyle w:val="14"/>
            </w:pPr>
            <w:r>
              <w:t>城乡社区环境卫生</w:t>
            </w:r>
          </w:p>
        </w:tc>
        <w:tc>
          <w:tcPr>
            <w:tcW w:w="2551" w:type="dxa"/>
            <w:vAlign w:val="center"/>
          </w:tcPr>
          <w:p>
            <w:pPr>
              <w:pStyle w:val="13"/>
            </w:pPr>
            <w:r>
              <w:t>728.75</w:t>
            </w:r>
          </w:p>
        </w:tc>
        <w:tc>
          <w:tcPr>
            <w:tcW w:w="2551" w:type="dxa"/>
            <w:vAlign w:val="center"/>
          </w:tcPr>
          <w:p>
            <w:pPr>
              <w:pStyle w:val="13"/>
            </w:pPr>
          </w:p>
        </w:tc>
        <w:tc>
          <w:tcPr>
            <w:tcW w:w="2551" w:type="dxa"/>
            <w:vAlign w:val="center"/>
          </w:tcPr>
          <w:p>
            <w:pPr>
              <w:pStyle w:val="13"/>
            </w:pPr>
            <w:r>
              <w:t>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140.00</w:t>
            </w:r>
          </w:p>
        </w:tc>
        <w:tc>
          <w:tcPr>
            <w:tcW w:w="2551" w:type="dxa"/>
            <w:vAlign w:val="center"/>
          </w:tcPr>
          <w:p>
            <w:pPr>
              <w:pStyle w:val="13"/>
            </w:pPr>
          </w:p>
        </w:tc>
        <w:tc>
          <w:tcPr>
            <w:tcW w:w="2551" w:type="dxa"/>
            <w:vAlign w:val="center"/>
          </w:tcPr>
          <w:p>
            <w:pPr>
              <w:pStyle w:val="13"/>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1267.01</w:t>
            </w:r>
          </w:p>
        </w:tc>
        <w:tc>
          <w:tcPr>
            <w:tcW w:w="2551" w:type="dxa"/>
            <w:vAlign w:val="center"/>
          </w:tcPr>
          <w:p>
            <w:pPr>
              <w:pStyle w:val="17"/>
            </w:pPr>
            <w:r>
              <w:t>1082.42</w:t>
            </w:r>
          </w:p>
        </w:tc>
        <w:tc>
          <w:tcPr>
            <w:tcW w:w="2551" w:type="dxa"/>
            <w:vAlign w:val="center"/>
          </w:tcPr>
          <w:p>
            <w:pPr>
              <w:pStyle w:val="17"/>
            </w:pPr>
            <w:r>
              <w:t>184.59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989.71</w:t>
            </w:r>
          </w:p>
        </w:tc>
        <w:tc>
          <w:tcPr>
            <w:tcW w:w="2551" w:type="dxa"/>
            <w:vAlign w:val="center"/>
          </w:tcPr>
          <w:p>
            <w:pPr>
              <w:pStyle w:val="13"/>
            </w:pPr>
            <w:r>
              <w:t>989.71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200.85</w:t>
            </w:r>
          </w:p>
        </w:tc>
        <w:tc>
          <w:tcPr>
            <w:tcW w:w="2551" w:type="dxa"/>
            <w:vAlign w:val="center"/>
          </w:tcPr>
          <w:p>
            <w:pPr>
              <w:pStyle w:val="13"/>
            </w:pPr>
            <w:r>
              <w:t>200.85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405.33</w:t>
            </w:r>
          </w:p>
        </w:tc>
        <w:tc>
          <w:tcPr>
            <w:tcW w:w="2551" w:type="dxa"/>
            <w:vAlign w:val="center"/>
          </w:tcPr>
          <w:p>
            <w:pPr>
              <w:pStyle w:val="13"/>
            </w:pPr>
            <w:r>
              <w:t>405.33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11.37</w:t>
            </w:r>
          </w:p>
        </w:tc>
        <w:tc>
          <w:tcPr>
            <w:tcW w:w="2551" w:type="dxa"/>
            <w:vAlign w:val="center"/>
          </w:tcPr>
          <w:p>
            <w:pPr>
              <w:pStyle w:val="13"/>
            </w:pPr>
            <w:r>
              <w:t>11.37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64.82</w:t>
            </w:r>
          </w:p>
        </w:tc>
        <w:tc>
          <w:tcPr>
            <w:tcW w:w="2551" w:type="dxa"/>
            <w:vAlign w:val="center"/>
          </w:tcPr>
          <w:p>
            <w:pPr>
              <w:pStyle w:val="13"/>
            </w:pPr>
            <w:r>
              <w:t>64.82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81.72</w:t>
            </w:r>
          </w:p>
        </w:tc>
        <w:tc>
          <w:tcPr>
            <w:tcW w:w="2551" w:type="dxa"/>
            <w:vAlign w:val="center"/>
          </w:tcPr>
          <w:p>
            <w:pPr>
              <w:pStyle w:val="13"/>
            </w:pPr>
            <w:r>
              <w:t>81.72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42.90</w:t>
            </w:r>
          </w:p>
        </w:tc>
        <w:tc>
          <w:tcPr>
            <w:tcW w:w="2551" w:type="dxa"/>
            <w:vAlign w:val="center"/>
          </w:tcPr>
          <w:p>
            <w:pPr>
              <w:pStyle w:val="13"/>
            </w:pPr>
            <w:r>
              <w:t>42.90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33.20</w:t>
            </w:r>
          </w:p>
        </w:tc>
        <w:tc>
          <w:tcPr>
            <w:tcW w:w="2551" w:type="dxa"/>
            <w:vAlign w:val="center"/>
          </w:tcPr>
          <w:p>
            <w:pPr>
              <w:pStyle w:val="13"/>
            </w:pPr>
            <w:r>
              <w:t>33.20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81.73</w:t>
            </w:r>
          </w:p>
        </w:tc>
        <w:tc>
          <w:tcPr>
            <w:tcW w:w="2551" w:type="dxa"/>
            <w:vAlign w:val="center"/>
          </w:tcPr>
          <w:p>
            <w:pPr>
              <w:pStyle w:val="13"/>
            </w:pPr>
            <w:r>
              <w:t>81.73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67.78</w:t>
            </w:r>
          </w:p>
        </w:tc>
        <w:tc>
          <w:tcPr>
            <w:tcW w:w="2551" w:type="dxa"/>
            <w:vAlign w:val="center"/>
          </w:tcPr>
          <w:p>
            <w:pPr>
              <w:pStyle w:val="13"/>
            </w:pPr>
            <w:r>
              <w:t>67.78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170.59</w:t>
            </w:r>
          </w:p>
        </w:tc>
        <w:tc>
          <w:tcPr>
            <w:tcW w:w="2551" w:type="dxa"/>
            <w:vAlign w:val="center"/>
          </w:tcPr>
          <w:p>
            <w:pPr>
              <w:pStyle w:val="13"/>
            </w:pPr>
          </w:p>
        </w:tc>
        <w:tc>
          <w:tcPr>
            <w:tcW w:w="2551" w:type="dxa"/>
            <w:vAlign w:val="center"/>
          </w:tcPr>
          <w:p>
            <w:pPr>
              <w:pStyle w:val="13"/>
            </w:pPr>
            <w:r>
              <w:t>170.59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30203</w:t>
            </w:r>
          </w:p>
        </w:tc>
        <w:tc>
          <w:tcPr>
            <w:tcW w:w="4535" w:type="dxa"/>
            <w:vAlign w:val="center"/>
          </w:tcPr>
          <w:p>
            <w:pPr>
              <w:pStyle w:val="14"/>
            </w:pPr>
            <w:r>
              <w:t>咨询费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20.58</w:t>
            </w:r>
          </w:p>
        </w:tc>
        <w:tc>
          <w:tcPr>
            <w:tcW w:w="2551" w:type="dxa"/>
            <w:vAlign w:val="center"/>
          </w:tcPr>
          <w:p>
            <w:pPr>
              <w:pStyle w:val="13"/>
            </w:pPr>
          </w:p>
        </w:tc>
        <w:tc>
          <w:tcPr>
            <w:tcW w:w="2551" w:type="dxa"/>
            <w:vAlign w:val="center"/>
          </w:tcPr>
          <w:p>
            <w:pPr>
              <w:pStyle w:val="13"/>
            </w:pPr>
            <w:r>
              <w:t>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27.39</w:t>
            </w:r>
          </w:p>
        </w:tc>
        <w:tc>
          <w:tcPr>
            <w:tcW w:w="2551" w:type="dxa"/>
            <w:vAlign w:val="center"/>
          </w:tcPr>
          <w:p>
            <w:pPr>
              <w:pStyle w:val="13"/>
            </w:pPr>
          </w:p>
        </w:tc>
        <w:tc>
          <w:tcPr>
            <w:tcW w:w="2551" w:type="dxa"/>
            <w:vAlign w:val="center"/>
          </w:tcPr>
          <w:p>
            <w:pPr>
              <w:pStyle w:val="13"/>
            </w:pPr>
            <w:r>
              <w:t>27.39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4.66</w:t>
            </w:r>
          </w:p>
        </w:tc>
        <w:tc>
          <w:tcPr>
            <w:tcW w:w="2551" w:type="dxa"/>
            <w:vAlign w:val="center"/>
          </w:tcPr>
          <w:p>
            <w:pPr>
              <w:pStyle w:val="13"/>
            </w:pPr>
          </w:p>
        </w:tc>
        <w:tc>
          <w:tcPr>
            <w:tcW w:w="2551"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5.02</w:t>
            </w:r>
          </w:p>
        </w:tc>
        <w:tc>
          <w:tcPr>
            <w:tcW w:w="2551" w:type="dxa"/>
            <w:vAlign w:val="center"/>
          </w:tcPr>
          <w:p>
            <w:pPr>
              <w:pStyle w:val="13"/>
            </w:pPr>
          </w:p>
        </w:tc>
        <w:tc>
          <w:tcPr>
            <w:tcW w:w="2551" w:type="dxa"/>
            <w:vAlign w:val="center"/>
          </w:tcPr>
          <w:p>
            <w:pPr>
              <w:pStyle w:val="13"/>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33.78</w:t>
            </w:r>
          </w:p>
        </w:tc>
        <w:tc>
          <w:tcPr>
            <w:tcW w:w="2551" w:type="dxa"/>
            <w:vAlign w:val="center"/>
          </w:tcPr>
          <w:p>
            <w:pPr>
              <w:pStyle w:val="13"/>
            </w:pPr>
          </w:p>
        </w:tc>
        <w:tc>
          <w:tcPr>
            <w:tcW w:w="2551" w:type="dxa"/>
            <w:vAlign w:val="center"/>
          </w:tcPr>
          <w:p>
            <w:pPr>
              <w:pStyle w:val="13"/>
            </w:pPr>
            <w:r>
              <w:t>33.78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4.95</w:t>
            </w:r>
          </w:p>
        </w:tc>
        <w:tc>
          <w:tcPr>
            <w:tcW w:w="2551" w:type="dxa"/>
            <w:vAlign w:val="center"/>
          </w:tcPr>
          <w:p>
            <w:pPr>
              <w:pStyle w:val="13"/>
            </w:pPr>
          </w:p>
        </w:tc>
        <w:tc>
          <w:tcPr>
            <w:tcW w:w="2551" w:type="dxa"/>
            <w:vAlign w:val="center"/>
          </w:tcPr>
          <w:p>
            <w:pPr>
              <w:pStyle w:val="13"/>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92.71</w:t>
            </w:r>
          </w:p>
        </w:tc>
        <w:tc>
          <w:tcPr>
            <w:tcW w:w="2551" w:type="dxa"/>
            <w:vAlign w:val="center"/>
          </w:tcPr>
          <w:p>
            <w:pPr>
              <w:pStyle w:val="13"/>
            </w:pPr>
            <w:r>
              <w:t>92.71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52.18</w:t>
            </w:r>
          </w:p>
        </w:tc>
        <w:tc>
          <w:tcPr>
            <w:tcW w:w="2551" w:type="dxa"/>
            <w:vAlign w:val="center"/>
          </w:tcPr>
          <w:p>
            <w:pPr>
              <w:pStyle w:val="13"/>
            </w:pPr>
            <w:r>
              <w:t>52.18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40.44</w:t>
            </w:r>
          </w:p>
        </w:tc>
        <w:tc>
          <w:tcPr>
            <w:tcW w:w="2551" w:type="dxa"/>
            <w:vAlign w:val="center"/>
          </w:tcPr>
          <w:p>
            <w:pPr>
              <w:pStyle w:val="13"/>
            </w:pPr>
            <w:r>
              <w:t>40.44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0.08</w:t>
            </w:r>
          </w:p>
        </w:tc>
        <w:tc>
          <w:tcPr>
            <w:tcW w:w="2551" w:type="dxa"/>
            <w:vAlign w:val="center"/>
          </w:tcPr>
          <w:p>
            <w:pPr>
              <w:pStyle w:val="13"/>
            </w:pPr>
            <w:r>
              <w:t>0.08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14.01</w:t>
            </w:r>
          </w:p>
        </w:tc>
        <w:tc>
          <w:tcPr>
            <w:tcW w:w="2551" w:type="dxa"/>
            <w:vAlign w:val="center"/>
          </w:tcPr>
          <w:p>
            <w:pPr>
              <w:pStyle w:val="13"/>
            </w:pPr>
          </w:p>
        </w:tc>
        <w:tc>
          <w:tcPr>
            <w:tcW w:w="2551" w:type="dxa"/>
            <w:vAlign w:val="center"/>
          </w:tcPr>
          <w:p>
            <w:pPr>
              <w:pStyle w:val="13"/>
            </w:pPr>
            <w:r>
              <w:t>14.01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14.01</w:t>
            </w:r>
          </w:p>
        </w:tc>
        <w:tc>
          <w:tcPr>
            <w:tcW w:w="2551" w:type="dxa"/>
            <w:vAlign w:val="center"/>
          </w:tcPr>
          <w:p>
            <w:pPr>
              <w:pStyle w:val="13"/>
            </w:pPr>
          </w:p>
        </w:tc>
        <w:tc>
          <w:tcPr>
            <w:tcW w:w="2551" w:type="dxa"/>
            <w:vAlign w:val="center"/>
          </w:tcPr>
          <w:p>
            <w:pPr>
              <w:pStyle w:val="13"/>
            </w:pPr>
            <w:r>
              <w:t>14.01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14.20</w:t>
            </w:r>
          </w:p>
        </w:tc>
        <w:tc>
          <w:tcPr>
            <w:tcW w:w="1643" w:type="dxa"/>
            <w:vAlign w:val="center"/>
          </w:tcPr>
          <w:p>
            <w:pPr>
              <w:pStyle w:val="17"/>
              <w:rPr>
                <w:rFonts w:hint="default" w:eastAsia="方正书宋_GBK"/>
                <w:lang w:val="en-US" w:eastAsia="zh-CN"/>
              </w:rPr>
            </w:pPr>
            <w:r>
              <w:rPr>
                <w:rFonts w:hint="eastAsia"/>
                <w:lang w:val="en-US" w:eastAsia="zh-CN"/>
              </w:rPr>
              <w:t>14.20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14.20</w:t>
            </w:r>
          </w:p>
        </w:tc>
        <w:tc>
          <w:tcPr>
            <w:tcW w:w="1643" w:type="dxa"/>
            <w:vAlign w:val="center"/>
          </w:tcPr>
          <w:p>
            <w:pPr>
              <w:pStyle w:val="13"/>
              <w:rPr>
                <w:rFonts w:hint="default" w:eastAsia="方正书宋_GBK"/>
                <w:lang w:val="en-US" w:eastAsia="zh-CN"/>
              </w:rPr>
            </w:pPr>
            <w:r>
              <w:rPr>
                <w:rFonts w:hint="eastAsia"/>
                <w:lang w:val="en-US" w:eastAsia="zh-CN"/>
              </w:rPr>
              <w:t>14.20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14.20</w:t>
            </w:r>
          </w:p>
        </w:tc>
        <w:tc>
          <w:tcPr>
            <w:tcW w:w="1643" w:type="dxa"/>
            <w:vAlign w:val="center"/>
          </w:tcPr>
          <w:p>
            <w:pPr>
              <w:pStyle w:val="13"/>
              <w:rPr>
                <w:rFonts w:hint="default" w:eastAsia="方正书宋_GBK"/>
                <w:lang w:val="en-US" w:eastAsia="zh-CN"/>
              </w:rPr>
            </w:pPr>
            <w:r>
              <w:rPr>
                <w:rFonts w:hint="eastAsia"/>
                <w:lang w:val="en-US" w:eastAsia="zh-CN"/>
              </w:rPr>
              <w:t>14.20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r>
              <w:t>12.00</w:t>
            </w:r>
          </w:p>
        </w:tc>
        <w:tc>
          <w:tcPr>
            <w:tcW w:w="1643" w:type="dxa"/>
            <w:vAlign w:val="center"/>
          </w:tcPr>
          <w:p>
            <w:pPr>
              <w:pStyle w:val="13"/>
            </w:pPr>
            <w:r>
              <w:t>12.00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石家庄市藁城区兴安镇人民政府本级2022年单位预算信息公开情况说明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按照《预算法》、《地方预决算公开操作规程》和《关于进一步推进预算公开工作的实施意见》规定，现将石家庄市藁城区兴安镇人民政府本级2022年单位预算公开如下：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line="500" w:lineRule="exact"/>
        <w:ind w:firstLine="56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line="500" w:lineRule="exact"/>
        <w:ind w:firstLine="560"/>
        <w:rPr>
          <w:rFonts w:eastAsia="方正仿宋_GBK"/>
          <w:sz w:val="28"/>
        </w:rPr>
      </w:pPr>
      <w:r>
        <w:rPr>
          <w:rFonts w:eastAsia="方正仿宋_GBK"/>
          <w:sz w:val="28"/>
        </w:rPr>
        <w:t>(一)</w:t>
      </w:r>
      <w:r>
        <w:rPr>
          <w:rFonts w:eastAsia="方正仿宋_GBK"/>
          <w:sz w:val="28"/>
        </w:rPr>
        <w:tab/>
      </w:r>
      <w:r>
        <w:rPr>
          <w:rFonts w:eastAsia="方正仿宋_GBK"/>
          <w:sz w:val="28"/>
        </w:rPr>
        <w:t>政务管理</w:t>
      </w:r>
      <w:r>
        <w:rPr>
          <w:rFonts w:eastAsia="方正仿宋_GBK"/>
          <w:sz w:val="28"/>
        </w:rPr>
        <w:tab/>
      </w:r>
      <w:r>
        <w:rPr>
          <w:rFonts w:eastAsia="方正仿宋_GBK"/>
          <w:sz w:val="28"/>
        </w:rPr>
        <w:t>依法依规履行机关日常管理职责</w:t>
      </w:r>
      <w:r>
        <w:rPr>
          <w:rFonts w:hint="eastAsia" w:eastAsia="方正仿宋_GBK"/>
          <w:sz w:val="28"/>
        </w:rPr>
        <w:t>，</w:t>
      </w:r>
      <w:r>
        <w:rPr>
          <w:rFonts w:eastAsia="方正仿宋_GBK"/>
          <w:sz w:val="28"/>
        </w:rPr>
        <w:t>依法依规履行机关日常管理职责，确保政府工作正常运行。</w:t>
      </w:r>
    </w:p>
    <w:p>
      <w:pPr>
        <w:spacing w:line="500" w:lineRule="exact"/>
        <w:ind w:firstLine="560"/>
        <w:rPr>
          <w:rFonts w:eastAsia="方正仿宋_GBK"/>
          <w:sz w:val="28"/>
        </w:rPr>
      </w:pPr>
      <w:r>
        <w:rPr>
          <w:rFonts w:eastAsia="方正仿宋_GBK"/>
          <w:sz w:val="28"/>
        </w:rPr>
        <w:t>(二)</w:t>
      </w:r>
      <w:r>
        <w:rPr>
          <w:rFonts w:eastAsia="方正仿宋_GBK"/>
          <w:sz w:val="28"/>
        </w:rPr>
        <w:tab/>
      </w:r>
      <w:r>
        <w:rPr>
          <w:rFonts w:eastAsia="方正仿宋_GBK"/>
          <w:sz w:val="28"/>
        </w:rPr>
        <w:t>应急管理</w:t>
      </w:r>
      <w:r>
        <w:rPr>
          <w:rFonts w:eastAsia="方正仿宋_GBK"/>
          <w:sz w:val="28"/>
        </w:rPr>
        <w:tab/>
      </w:r>
      <w:r>
        <w:rPr>
          <w:rFonts w:eastAsia="方正仿宋_GBK"/>
          <w:sz w:val="28"/>
        </w:rPr>
        <w:t>保证镇政府值班工作，及时报告重要情况，传达和督促落实乡党委、政府领导指示</w:t>
      </w:r>
      <w:r>
        <w:rPr>
          <w:rFonts w:eastAsia="方正仿宋_GBK"/>
          <w:sz w:val="28"/>
        </w:rPr>
        <w:tab/>
      </w:r>
      <w:r>
        <w:rPr>
          <w:rFonts w:eastAsia="方正仿宋_GBK"/>
          <w:sz w:val="28"/>
        </w:rPr>
        <w:t>有效保证镇政府日常应急值守和突发事件应对处置工作；完善应急预案体系建设，确保遇突发事件能够有效应对。</w:t>
      </w:r>
    </w:p>
    <w:p>
      <w:pPr>
        <w:spacing w:line="500" w:lineRule="exact"/>
        <w:ind w:firstLine="560"/>
        <w:rPr>
          <w:rFonts w:eastAsia="方正仿宋_GBK"/>
          <w:sz w:val="28"/>
        </w:rPr>
      </w:pPr>
      <w:r>
        <w:rPr>
          <w:rFonts w:eastAsia="方正仿宋_GBK"/>
          <w:sz w:val="28"/>
        </w:rPr>
        <w:t>(三)</w:t>
      </w:r>
      <w:r>
        <w:rPr>
          <w:rFonts w:eastAsia="方正仿宋_GBK"/>
          <w:sz w:val="28"/>
        </w:rPr>
        <w:tab/>
      </w:r>
      <w:r>
        <w:rPr>
          <w:rFonts w:eastAsia="方正仿宋_GBK"/>
          <w:sz w:val="28"/>
        </w:rPr>
        <w:t>维护社会稳定和国家安全</w:t>
      </w:r>
      <w:r>
        <w:rPr>
          <w:rFonts w:eastAsia="方正仿宋_GBK"/>
          <w:sz w:val="28"/>
        </w:rPr>
        <w:tab/>
      </w:r>
      <w:r>
        <w:rPr>
          <w:rFonts w:eastAsia="方正仿宋_GBK"/>
          <w:sz w:val="28"/>
        </w:rP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spacing w:line="500" w:lineRule="exact"/>
        <w:ind w:firstLine="560"/>
        <w:rPr>
          <w:rFonts w:eastAsia="方正仿宋_GBK"/>
          <w:sz w:val="28"/>
        </w:rPr>
      </w:pPr>
      <w:r>
        <w:rPr>
          <w:rFonts w:eastAsia="方正仿宋_GBK"/>
          <w:sz w:val="28"/>
        </w:rPr>
        <w:t>(四)</w:t>
      </w:r>
      <w:r>
        <w:rPr>
          <w:rFonts w:eastAsia="方正仿宋_GBK"/>
          <w:sz w:val="28"/>
        </w:rPr>
        <w:tab/>
      </w:r>
      <w:r>
        <w:rPr>
          <w:rFonts w:eastAsia="方正仿宋_GBK"/>
          <w:sz w:val="28"/>
        </w:rPr>
        <w:t>推动经济发展，完善基础设施，惠及民生。承担经济发展和民生改善</w:t>
      </w:r>
      <w:r>
        <w:rPr>
          <w:rFonts w:hint="eastAsia" w:eastAsia="方正仿宋_GBK"/>
          <w:sz w:val="28"/>
        </w:rPr>
        <w:t>、</w:t>
      </w:r>
      <w:r>
        <w:rPr>
          <w:rFonts w:eastAsia="方正仿宋_GBK"/>
          <w:sz w:val="28"/>
        </w:rPr>
        <w:t>培育支柱产业，加强基础设施建设和新型农村服务体系建设。落实安全生产责任制，搞好农业新技术示范推广。</w:t>
      </w:r>
    </w:p>
    <w:p>
      <w:pPr>
        <w:spacing w:line="500" w:lineRule="exact"/>
        <w:ind w:firstLine="560"/>
        <w:rPr>
          <w:rFonts w:eastAsia="方正仿宋_GBK"/>
          <w:sz w:val="28"/>
        </w:rPr>
      </w:pPr>
      <w:r>
        <w:rPr>
          <w:rFonts w:eastAsia="方正仿宋_GBK"/>
          <w:sz w:val="28"/>
        </w:rPr>
        <w:t>(五)</w:t>
      </w:r>
      <w:r>
        <w:rPr>
          <w:rFonts w:eastAsia="方正仿宋_GBK"/>
          <w:sz w:val="28"/>
        </w:rPr>
        <w:tab/>
      </w:r>
      <w:r>
        <w:rPr>
          <w:rFonts w:eastAsia="方正仿宋_GBK"/>
          <w:sz w:val="28"/>
        </w:rPr>
        <w:t>加强土地使用管理</w:t>
      </w:r>
      <w:r>
        <w:rPr>
          <w:rFonts w:eastAsia="方正仿宋_GBK"/>
          <w:sz w:val="28"/>
        </w:rPr>
        <w:tab/>
      </w:r>
      <w:r>
        <w:rPr>
          <w:rFonts w:eastAsia="方正仿宋_GBK"/>
          <w:sz w:val="28"/>
        </w:rPr>
        <w:t>管理土地使用情况管理汇报</w:t>
      </w:r>
      <w:r>
        <w:rPr>
          <w:rFonts w:hint="eastAsia" w:eastAsia="方正仿宋_GBK"/>
          <w:sz w:val="28"/>
        </w:rPr>
        <w:t>，</w:t>
      </w:r>
      <w:r>
        <w:rPr>
          <w:rFonts w:eastAsia="方正仿宋_GBK"/>
          <w:sz w:val="28"/>
        </w:rPr>
        <w:t>依法依规管理土地使用，配合上级土地部门对土地使用监督</w:t>
      </w:r>
    </w:p>
    <w:p>
      <w:pPr>
        <w:spacing w:line="500" w:lineRule="exact"/>
        <w:ind w:firstLine="560"/>
        <w:rPr>
          <w:rFonts w:eastAsia="方正仿宋_GBK"/>
          <w:sz w:val="28"/>
        </w:rPr>
      </w:pPr>
      <w:r>
        <w:rPr>
          <w:rFonts w:eastAsia="方正仿宋_GBK"/>
          <w:sz w:val="28"/>
        </w:rPr>
        <w:t>(六)</w:t>
      </w:r>
      <w:r>
        <w:rPr>
          <w:rFonts w:eastAsia="方正仿宋_GBK"/>
          <w:sz w:val="28"/>
        </w:rPr>
        <w:tab/>
      </w:r>
      <w:r>
        <w:rPr>
          <w:rFonts w:eastAsia="方正仿宋_GBK"/>
          <w:sz w:val="28"/>
        </w:rPr>
        <w:t>环境保护与治理</w:t>
      </w:r>
      <w:r>
        <w:rPr>
          <w:rFonts w:eastAsia="方正仿宋_GBK"/>
          <w:sz w:val="28"/>
        </w:rPr>
        <w:tab/>
      </w:r>
      <w:r>
        <w:rPr>
          <w:rFonts w:eastAsia="方正仿宋_GBK"/>
          <w:sz w:val="28"/>
        </w:rPr>
        <w:t>承担环境保护和治理环境污染</w:t>
      </w:r>
      <w:r>
        <w:rPr>
          <w:rFonts w:hint="eastAsia" w:eastAsia="方正仿宋_GBK"/>
          <w:sz w:val="28"/>
        </w:rPr>
        <w:t>，</w:t>
      </w:r>
      <w:r>
        <w:rPr>
          <w:rFonts w:eastAsia="方正仿宋_GBK"/>
          <w:sz w:val="28"/>
        </w:rPr>
        <w:t>积极配合执法部门依法治理大气、水、土地等污染</w:t>
      </w:r>
    </w:p>
    <w:p>
      <w:pPr>
        <w:spacing w:line="500" w:lineRule="exact"/>
        <w:ind w:firstLine="560"/>
        <w:rPr>
          <w:rFonts w:eastAsia="方正仿宋_GBK"/>
          <w:sz w:val="28"/>
        </w:rPr>
      </w:pPr>
      <w:r>
        <w:rPr>
          <w:rFonts w:eastAsia="方正仿宋_GBK"/>
          <w:sz w:val="28"/>
        </w:rPr>
        <w:t>(七)</w:t>
      </w:r>
      <w:r>
        <w:rPr>
          <w:rFonts w:eastAsia="方正仿宋_GBK"/>
          <w:sz w:val="28"/>
        </w:rPr>
        <w:tab/>
      </w:r>
      <w:r>
        <w:rPr>
          <w:rFonts w:eastAsia="方正仿宋_GBK"/>
          <w:sz w:val="28"/>
        </w:rPr>
        <w:t>食品安全管理</w:t>
      </w:r>
      <w:r>
        <w:rPr>
          <w:rFonts w:eastAsia="方正仿宋_GBK"/>
          <w:sz w:val="28"/>
        </w:rPr>
        <w:tab/>
      </w:r>
      <w:r>
        <w:rPr>
          <w:rFonts w:eastAsia="方正仿宋_GBK"/>
          <w:sz w:val="28"/>
        </w:rPr>
        <w:t>配合执法部门依法进行食品安全管理</w:t>
      </w:r>
      <w:r>
        <w:rPr>
          <w:rFonts w:hint="eastAsia" w:eastAsia="方正仿宋_GBK"/>
          <w:sz w:val="28"/>
        </w:rPr>
        <w:t>，</w:t>
      </w:r>
      <w:r>
        <w:rPr>
          <w:rFonts w:eastAsia="方正仿宋_GBK"/>
          <w:sz w:val="28"/>
        </w:rPr>
        <w:t>对辖区内食品药品等进行监管</w:t>
      </w:r>
    </w:p>
    <w:p>
      <w:pPr>
        <w:spacing w:line="500" w:lineRule="exact"/>
        <w:ind w:firstLine="560"/>
        <w:rPr>
          <w:rFonts w:eastAsia="方正仿宋_GBK"/>
          <w:sz w:val="28"/>
        </w:rPr>
      </w:pPr>
      <w:r>
        <w:rPr>
          <w:rFonts w:eastAsia="方正仿宋_GBK"/>
          <w:sz w:val="28"/>
        </w:rPr>
        <w:t>(八)</w:t>
      </w:r>
      <w:r>
        <w:rPr>
          <w:rFonts w:eastAsia="方正仿宋_GBK"/>
          <w:sz w:val="28"/>
        </w:rPr>
        <w:tab/>
      </w:r>
      <w:r>
        <w:rPr>
          <w:rFonts w:eastAsia="方正仿宋_GBK"/>
          <w:sz w:val="28"/>
        </w:rPr>
        <w:t>社会救助政策及管理</w:t>
      </w:r>
      <w:r>
        <w:rPr>
          <w:rFonts w:eastAsia="方正仿宋_GBK"/>
          <w:sz w:val="28"/>
        </w:rPr>
        <w:tab/>
      </w:r>
      <w:r>
        <w:rPr>
          <w:rFonts w:eastAsia="方正仿宋_GBK"/>
          <w:sz w:val="28"/>
        </w:rPr>
        <w:t>承担社会救助体系建设，负责农村居民最低生活保障、五保供养、医疗救助。完善农村社会救助制度，实施分类救助，应保尽保,动态管理。</w:t>
      </w:r>
    </w:p>
    <w:p>
      <w:pPr>
        <w:spacing w:line="500" w:lineRule="exact"/>
        <w:ind w:firstLine="560"/>
        <w:rPr>
          <w:rFonts w:hint="eastAsia" w:eastAsia="方正仿宋_GBK"/>
          <w:sz w:val="28"/>
        </w:rPr>
      </w:pPr>
      <w:r>
        <w:rPr>
          <w:rFonts w:eastAsia="方正仿宋_GBK"/>
          <w:sz w:val="28"/>
        </w:rPr>
        <w:t>(九)</w:t>
      </w:r>
      <w:r>
        <w:rPr>
          <w:rFonts w:eastAsia="方正仿宋_GBK"/>
          <w:sz w:val="28"/>
        </w:rPr>
        <w:tab/>
      </w:r>
      <w:r>
        <w:rPr>
          <w:rFonts w:eastAsia="方正仿宋_GBK"/>
          <w:sz w:val="28"/>
        </w:rPr>
        <w:t>预算管理</w:t>
      </w:r>
      <w:r>
        <w:rPr>
          <w:rFonts w:eastAsia="方正仿宋_GBK"/>
          <w:sz w:val="28"/>
        </w:rPr>
        <w:tab/>
      </w:r>
      <w:r>
        <w:rPr>
          <w:rFonts w:eastAsia="方正仿宋_GBK"/>
          <w:sz w:val="28"/>
        </w:rPr>
        <w:t>负责镇财政预算管理与执行</w:t>
      </w:r>
      <w:r>
        <w:rPr>
          <w:rFonts w:hint="eastAsia" w:eastAsia="方正仿宋_GBK"/>
          <w:sz w:val="28"/>
        </w:rPr>
        <w:t>，</w:t>
      </w:r>
      <w:r>
        <w:rPr>
          <w:rFonts w:eastAsia="方正仿宋_GBK"/>
          <w:sz w:val="28"/>
        </w:rPr>
        <w:t>保证镇机关正常运转</w:t>
      </w:r>
      <w:r>
        <w:rPr>
          <w:rFonts w:hint="eastAsia" w:eastAsia="方正仿宋_GBK"/>
          <w:sz w:val="28"/>
        </w:rPr>
        <w:t>。</w:t>
      </w:r>
    </w:p>
    <w:p>
      <w:pPr>
        <w:spacing w:line="500" w:lineRule="exact"/>
        <w:ind w:firstLine="560"/>
        <w:rPr>
          <w:rFonts w:eastAsia="方正仿宋_GBK"/>
          <w:sz w:val="28"/>
        </w:rPr>
      </w:pPr>
      <w:r>
        <w:rPr>
          <w:rFonts w:eastAsia="方正仿宋_GBK"/>
          <w:sz w:val="28"/>
        </w:rPr>
        <w:t>(十)</w:t>
      </w:r>
      <w:r>
        <w:rPr>
          <w:rFonts w:eastAsia="方正仿宋_GBK"/>
          <w:sz w:val="28"/>
        </w:rPr>
        <w:tab/>
      </w:r>
      <w:r>
        <w:rPr>
          <w:rFonts w:eastAsia="方正仿宋_GBK"/>
          <w:sz w:val="28"/>
        </w:rPr>
        <w:t>财务管理</w:t>
      </w:r>
      <w:r>
        <w:rPr>
          <w:rFonts w:eastAsia="方正仿宋_GBK"/>
          <w:sz w:val="28"/>
        </w:rPr>
        <w:tab/>
      </w:r>
      <w:r>
        <w:rPr>
          <w:rFonts w:eastAsia="方正仿宋_GBK"/>
          <w:sz w:val="28"/>
        </w:rPr>
        <w:t>负责镇机关收支活动，组织实施乡财务核算及监督工作</w:t>
      </w:r>
      <w:r>
        <w:rPr>
          <w:rFonts w:eastAsia="方正仿宋_GBK"/>
          <w:sz w:val="28"/>
        </w:rPr>
        <w:tab/>
      </w:r>
      <w:r>
        <w:rPr>
          <w:rFonts w:eastAsia="方正仿宋_GBK"/>
          <w:sz w:val="28"/>
        </w:rPr>
        <w:t>以收定支，合理安排支出，严防出现资金支出不规范现象发生。</w:t>
      </w:r>
    </w:p>
    <w:p>
      <w:pPr>
        <w:spacing w:line="500" w:lineRule="exact"/>
        <w:ind w:firstLine="560"/>
        <w:rPr>
          <w:rFonts w:hint="eastAsia" w:eastAsia="方正仿宋_GBK"/>
          <w:sz w:val="28"/>
        </w:rPr>
      </w:pPr>
      <w:r>
        <w:rPr>
          <w:rFonts w:eastAsia="方正仿宋_GBK"/>
          <w:sz w:val="28"/>
        </w:rPr>
        <w:t>(十一)</w:t>
      </w:r>
      <w:r>
        <w:rPr>
          <w:rFonts w:eastAsia="方正仿宋_GBK"/>
          <w:sz w:val="28"/>
        </w:rPr>
        <w:tab/>
      </w:r>
      <w:r>
        <w:rPr>
          <w:rFonts w:eastAsia="方正仿宋_GBK"/>
          <w:sz w:val="28"/>
        </w:rPr>
        <w:t>村财镇代管</w:t>
      </w:r>
      <w:r>
        <w:rPr>
          <w:rFonts w:eastAsia="方正仿宋_GBK"/>
          <w:sz w:val="28"/>
        </w:rPr>
        <w:tab/>
      </w:r>
      <w:r>
        <w:rPr>
          <w:rFonts w:eastAsia="方正仿宋_GBK"/>
          <w:sz w:val="28"/>
        </w:rPr>
        <w:t>负责村级财务核算及监督工作对村级财务进行规范化管理，严防支出票据不规范现象发生</w:t>
      </w:r>
      <w:r>
        <w:rPr>
          <w:rFonts w:hint="eastAsia" w:eastAsia="方正仿宋_GBK"/>
          <w:sz w:val="28"/>
        </w:rPr>
        <w:t>。</w:t>
      </w:r>
    </w:p>
    <w:p>
      <w:pPr>
        <w:spacing w:line="500" w:lineRule="exact"/>
        <w:ind w:firstLine="560"/>
        <w:rPr>
          <w:rFonts w:eastAsia="方正仿宋_GBK"/>
          <w:sz w:val="28"/>
        </w:rPr>
      </w:pPr>
      <w:r>
        <w:rPr>
          <w:rFonts w:eastAsia="方正仿宋_GBK"/>
          <w:sz w:val="28"/>
        </w:rPr>
        <w:t>(十二)</w:t>
      </w:r>
      <w:r>
        <w:rPr>
          <w:rFonts w:eastAsia="方正仿宋_GBK"/>
          <w:sz w:val="28"/>
        </w:rPr>
        <w:tab/>
      </w:r>
      <w:r>
        <w:rPr>
          <w:rFonts w:eastAsia="方正仿宋_GBK"/>
          <w:sz w:val="28"/>
        </w:rPr>
        <w:t>涉农资金</w:t>
      </w:r>
      <w:r>
        <w:rPr>
          <w:rFonts w:eastAsia="方正仿宋_GBK"/>
          <w:sz w:val="28"/>
        </w:rPr>
        <w:tab/>
      </w:r>
      <w:r>
        <w:rPr>
          <w:rFonts w:eastAsia="方正仿宋_GBK"/>
          <w:sz w:val="28"/>
        </w:rPr>
        <w:t>负责涉农资金的落实</w:t>
      </w:r>
      <w:r>
        <w:rPr>
          <w:rFonts w:hint="eastAsia" w:eastAsia="方正仿宋_GBK"/>
          <w:sz w:val="28"/>
        </w:rPr>
        <w:t>，</w:t>
      </w:r>
      <w:r>
        <w:rPr>
          <w:rFonts w:eastAsia="方正仿宋_GBK"/>
          <w:sz w:val="28"/>
        </w:rPr>
        <w:t>将各项涉农资金兑付落实，监督管理资金的合理有效使用。</w:t>
      </w:r>
    </w:p>
    <w:p>
      <w:pPr>
        <w:spacing w:line="500" w:lineRule="exact"/>
        <w:ind w:firstLine="560"/>
        <w:rPr>
          <w:rFonts w:eastAsia="方正仿宋_GBK"/>
          <w:sz w:val="28"/>
        </w:rPr>
      </w:pPr>
      <w:r>
        <w:rPr>
          <w:rFonts w:eastAsia="方正仿宋_GBK"/>
          <w:sz w:val="28"/>
        </w:rPr>
        <w:t>(十三)</w:t>
      </w:r>
      <w:r>
        <w:rPr>
          <w:rFonts w:eastAsia="方正仿宋_GBK"/>
          <w:sz w:val="28"/>
        </w:rPr>
        <w:tab/>
      </w:r>
      <w:r>
        <w:rPr>
          <w:rFonts w:eastAsia="方正仿宋_GBK"/>
          <w:sz w:val="28"/>
        </w:rPr>
        <w:t>国有资产管理</w:t>
      </w:r>
      <w:r>
        <w:rPr>
          <w:rFonts w:eastAsia="方正仿宋_GBK"/>
          <w:sz w:val="28"/>
        </w:rPr>
        <w:tab/>
      </w:r>
      <w:r>
        <w:rPr>
          <w:rFonts w:eastAsia="方正仿宋_GBK"/>
          <w:sz w:val="28"/>
        </w:rPr>
        <w:t>负责管理镇国有资产</w:t>
      </w:r>
      <w:r>
        <w:rPr>
          <w:rFonts w:hint="eastAsia" w:eastAsia="方正仿宋_GBK"/>
          <w:sz w:val="28"/>
        </w:rPr>
        <w:t>，</w:t>
      </w:r>
      <w:r>
        <w:rPr>
          <w:rFonts w:eastAsia="方正仿宋_GBK"/>
          <w:sz w:val="28"/>
        </w:rPr>
        <w:t>加强国有资产管理，严防国有资产流失</w:t>
      </w:r>
    </w:p>
    <w:p>
      <w:pPr>
        <w:spacing w:line="500" w:lineRule="exact"/>
        <w:ind w:firstLine="560"/>
        <w:rPr>
          <w:rFonts w:hint="eastAsia" w:eastAsia="方正仿宋_GBK"/>
          <w:sz w:val="28"/>
        </w:rPr>
      </w:pPr>
      <w:r>
        <w:rPr>
          <w:rFonts w:eastAsia="方正仿宋_GBK"/>
          <w:sz w:val="28"/>
        </w:rPr>
        <w:t>(十四)</w:t>
      </w:r>
      <w:r>
        <w:rPr>
          <w:rFonts w:eastAsia="方正仿宋_GBK"/>
          <w:sz w:val="28"/>
        </w:rPr>
        <w:tab/>
      </w:r>
      <w:r>
        <w:rPr>
          <w:rFonts w:eastAsia="方正仿宋_GBK"/>
          <w:sz w:val="28"/>
        </w:rPr>
        <w:t>债权债务管理</w:t>
      </w:r>
      <w:r>
        <w:rPr>
          <w:rFonts w:eastAsia="方正仿宋_GBK"/>
          <w:sz w:val="28"/>
        </w:rPr>
        <w:tab/>
      </w:r>
      <w:r>
        <w:rPr>
          <w:rFonts w:eastAsia="方正仿宋_GBK"/>
          <w:sz w:val="28"/>
        </w:rPr>
        <w:t>实施债权债务监督管理实施债权债务监督管理，杜绝增加政府债务</w:t>
      </w:r>
      <w:r>
        <w:rPr>
          <w:rFonts w:hint="eastAsia" w:eastAsia="方正仿宋_GBK"/>
          <w:sz w:val="28"/>
        </w:rPr>
        <w:t>。</w:t>
      </w:r>
    </w:p>
    <w:p>
      <w:pPr>
        <w:spacing w:line="500" w:lineRule="exact"/>
        <w:ind w:firstLine="560"/>
        <w:rPr>
          <w:rFonts w:eastAsia="方正仿宋_GBK"/>
          <w:sz w:val="28"/>
        </w:rPr>
      </w:pPr>
      <w:r>
        <w:rPr>
          <w:rFonts w:eastAsia="方正仿宋_GBK"/>
          <w:sz w:val="28"/>
        </w:rPr>
        <w:t>(十五)</w:t>
      </w:r>
      <w:r>
        <w:rPr>
          <w:rFonts w:eastAsia="方正仿宋_GBK"/>
          <w:sz w:val="28"/>
        </w:rPr>
        <w:tab/>
      </w:r>
      <w:r>
        <w:rPr>
          <w:rFonts w:eastAsia="方正仿宋_GBK"/>
          <w:sz w:val="28"/>
        </w:rPr>
        <w:t>农村管理</w:t>
      </w:r>
      <w:r>
        <w:rPr>
          <w:rFonts w:eastAsia="方正仿宋_GBK"/>
          <w:sz w:val="28"/>
        </w:rPr>
        <w:tab/>
      </w:r>
      <w:r>
        <w:rPr>
          <w:rFonts w:eastAsia="方正仿宋_GBK"/>
          <w:sz w:val="28"/>
        </w:rPr>
        <w:t>农村村容村貌维护提升</w:t>
      </w:r>
      <w:r>
        <w:rPr>
          <w:rFonts w:hint="eastAsia" w:eastAsia="方正仿宋_GBK"/>
          <w:sz w:val="28"/>
        </w:rPr>
        <w:t>、</w:t>
      </w:r>
      <w:r>
        <w:rPr>
          <w:rFonts w:eastAsia="方正仿宋_GBK"/>
          <w:sz w:val="28"/>
        </w:rPr>
        <w:t>农村卫生长效管理及新农村建设</w:t>
      </w:r>
    </w:p>
    <w:p>
      <w:pPr>
        <w:spacing w:line="500" w:lineRule="exact"/>
        <w:ind w:firstLine="560"/>
        <w:rPr>
          <w:rFonts w:eastAsia="方正仿宋_GBK"/>
          <w:sz w:val="28"/>
        </w:rPr>
      </w:pPr>
      <w:r>
        <w:rPr>
          <w:rFonts w:eastAsia="方正仿宋_GBK"/>
          <w:sz w:val="28"/>
        </w:rPr>
        <w:t>(十六)</w:t>
      </w:r>
      <w:r>
        <w:rPr>
          <w:rFonts w:eastAsia="方正仿宋_GBK"/>
          <w:sz w:val="28"/>
        </w:rPr>
        <w:tab/>
      </w:r>
      <w:r>
        <w:rPr>
          <w:rFonts w:eastAsia="方正仿宋_GBK"/>
          <w:sz w:val="28"/>
        </w:rPr>
        <w:t>政务管理</w:t>
      </w:r>
      <w:r>
        <w:rPr>
          <w:rFonts w:eastAsia="方正仿宋_GBK"/>
          <w:sz w:val="28"/>
        </w:rPr>
        <w:tab/>
      </w:r>
      <w:r>
        <w:rPr>
          <w:rFonts w:eastAsia="方正仿宋_GBK"/>
          <w:sz w:val="28"/>
        </w:rPr>
        <w:t>落实计生相关法律法规，业务宣传工作，加强计生能力建设,落实计划生育一票否决制保障计生事业顺利发展。</w:t>
      </w:r>
    </w:p>
    <w:p>
      <w:pPr>
        <w:spacing w:line="500" w:lineRule="exact"/>
        <w:ind w:firstLine="560"/>
        <w:rPr>
          <w:rFonts w:eastAsia="方正仿宋_GBK"/>
          <w:sz w:val="28"/>
        </w:rPr>
      </w:pPr>
      <w:r>
        <w:rPr>
          <w:rFonts w:eastAsia="方正仿宋_GBK"/>
          <w:sz w:val="28"/>
        </w:rPr>
        <w:t>(十七)</w:t>
      </w:r>
      <w:r>
        <w:rPr>
          <w:rFonts w:eastAsia="方正仿宋_GBK"/>
          <w:sz w:val="28"/>
        </w:rPr>
        <w:tab/>
      </w:r>
      <w:r>
        <w:rPr>
          <w:rFonts w:eastAsia="方正仿宋_GBK"/>
          <w:sz w:val="28"/>
        </w:rPr>
        <w:t>计生服务</w:t>
      </w:r>
      <w:r>
        <w:rPr>
          <w:rFonts w:eastAsia="方正仿宋_GBK"/>
          <w:sz w:val="28"/>
        </w:rPr>
        <w:tab/>
      </w:r>
      <w:r>
        <w:rPr>
          <w:rFonts w:eastAsia="方正仿宋_GBK"/>
          <w:sz w:val="28"/>
        </w:rPr>
        <w:t>开展计划生育各种知识宣传和咨询服务保障计生事业顺利发展。</w:t>
      </w:r>
    </w:p>
    <w:p>
      <w:pPr>
        <w:spacing w:line="500" w:lineRule="exact"/>
        <w:ind w:firstLine="560"/>
        <w:rPr>
          <w:rFonts w:hint="eastAsia" w:eastAsia="方正仿宋_GBK"/>
          <w:sz w:val="28"/>
        </w:rPr>
      </w:pPr>
      <w:r>
        <w:rPr>
          <w:rFonts w:eastAsia="方正仿宋_GBK"/>
          <w:sz w:val="28"/>
        </w:rPr>
        <w:t>(十八)</w:t>
      </w:r>
      <w:r>
        <w:rPr>
          <w:rFonts w:eastAsia="方正仿宋_GBK"/>
          <w:sz w:val="28"/>
        </w:rPr>
        <w:tab/>
      </w:r>
      <w:r>
        <w:rPr>
          <w:rFonts w:eastAsia="方正仿宋_GBK"/>
          <w:sz w:val="28"/>
        </w:rPr>
        <w:t xml:space="preserve">社会管理  </w:t>
      </w:r>
      <w:bookmarkStart w:id="1" w:name="OLE_LINK1"/>
      <w:r>
        <w:rPr>
          <w:rFonts w:eastAsia="方正仿宋_GBK"/>
          <w:sz w:val="28"/>
        </w:rPr>
        <w:t>综合治理调解矛盾纠纷，搞好普法宣传教育，做好社区矫正人员教育管理和刑释人员帮教工作</w:t>
      </w:r>
      <w:bookmarkEnd w:id="1"/>
      <w:r>
        <w:rPr>
          <w:rFonts w:hint="eastAsia" w:eastAsia="方正仿宋_GBK"/>
          <w:sz w:val="28"/>
        </w:rPr>
        <w:t>，</w:t>
      </w:r>
      <w:r>
        <w:rPr>
          <w:rFonts w:eastAsia="方正仿宋_GBK"/>
          <w:sz w:val="28"/>
        </w:rPr>
        <w:t>保持稳定局面，提高干部群众的法律素质</w:t>
      </w:r>
      <w:r>
        <w:rPr>
          <w:rFonts w:hint="eastAsia" w:eastAsia="方正仿宋_GBK"/>
          <w:sz w:val="28"/>
        </w:rPr>
        <w:t>。</w:t>
      </w:r>
    </w:p>
    <w:p>
      <w:pPr>
        <w:spacing w:line="500" w:lineRule="exact"/>
        <w:ind w:firstLine="560"/>
        <w:rPr>
          <w:rFonts w:hint="eastAsia" w:eastAsia="方正仿宋_GBK"/>
          <w:sz w:val="28"/>
        </w:rPr>
      </w:pPr>
      <w:r>
        <w:rPr>
          <w:rFonts w:eastAsia="方正仿宋_GBK"/>
          <w:sz w:val="28"/>
        </w:rPr>
        <w:t>(十九)</w:t>
      </w:r>
      <w:r>
        <w:rPr>
          <w:rFonts w:eastAsia="方正仿宋_GBK"/>
          <w:sz w:val="28"/>
        </w:rPr>
        <w:tab/>
      </w:r>
      <w:r>
        <w:rPr>
          <w:rFonts w:eastAsia="方正仿宋_GBK"/>
          <w:sz w:val="28"/>
        </w:rPr>
        <w:t>美丽乡村建设</w:t>
      </w:r>
      <w:r>
        <w:rPr>
          <w:rFonts w:eastAsia="方正仿宋_GBK"/>
          <w:sz w:val="28"/>
        </w:rPr>
        <w:tab/>
      </w:r>
      <w:r>
        <w:rPr>
          <w:rFonts w:eastAsia="方正仿宋_GBK"/>
          <w:sz w:val="28"/>
        </w:rPr>
        <w:t>抓好环境整治</w:t>
      </w:r>
      <w:r>
        <w:rPr>
          <w:rFonts w:hint="eastAsia" w:eastAsia="方正仿宋_GBK"/>
          <w:sz w:val="28"/>
        </w:rPr>
        <w:t>，</w:t>
      </w:r>
      <w:r>
        <w:rPr>
          <w:rFonts w:eastAsia="方正仿宋_GBK"/>
          <w:sz w:val="28"/>
        </w:rPr>
        <w:t>搞好重点村的垃圾处理、饮水安全、道路硬化和亮化等15件实事</w:t>
      </w:r>
      <w:r>
        <w:rPr>
          <w:rFonts w:eastAsia="方正仿宋_GBK"/>
          <w:sz w:val="28"/>
        </w:rPr>
        <w:tab/>
      </w:r>
      <w:r>
        <w:rPr>
          <w:rFonts w:eastAsia="方正仿宋_GBK"/>
          <w:sz w:val="28"/>
        </w:rPr>
        <w:t>改善农村面貌，提高村民生产生活环境质量</w:t>
      </w:r>
      <w:r>
        <w:rPr>
          <w:rFonts w:hint="eastAsia" w:eastAsia="方正仿宋_GBK"/>
          <w:sz w:val="28"/>
        </w:rPr>
        <w:t>。</w:t>
      </w:r>
    </w:p>
    <w:p>
      <w:pPr>
        <w:spacing w:line="500" w:lineRule="exact"/>
        <w:ind w:firstLine="560"/>
        <w:rPr>
          <w:rFonts w:eastAsia="方正仿宋_GBK"/>
          <w:sz w:val="28"/>
        </w:rPr>
      </w:pPr>
      <w:r>
        <w:rPr>
          <w:rFonts w:eastAsia="方正仿宋_GBK"/>
          <w:sz w:val="28"/>
        </w:rPr>
        <w:t>(二十)</w:t>
      </w:r>
      <w:r>
        <w:rPr>
          <w:rFonts w:eastAsia="方正仿宋_GBK"/>
          <w:sz w:val="28"/>
        </w:rPr>
        <w:tab/>
      </w:r>
      <w:r>
        <w:rPr>
          <w:rFonts w:eastAsia="方正仿宋_GBK"/>
          <w:sz w:val="28"/>
        </w:rPr>
        <w:t>安全生产</w:t>
      </w:r>
      <w:r>
        <w:rPr>
          <w:rFonts w:eastAsia="方正仿宋_GBK"/>
          <w:sz w:val="28"/>
        </w:rPr>
        <w:tab/>
      </w:r>
      <w:r>
        <w:rPr>
          <w:rFonts w:eastAsia="方正仿宋_GBK"/>
          <w:sz w:val="28"/>
        </w:rPr>
        <w:t>排查企业安全隐患，抓好安监站规范化建设，完善制度，定期开展安全生产整治活动</w:t>
      </w:r>
      <w:r>
        <w:rPr>
          <w:rFonts w:hint="eastAsia" w:eastAsia="方正仿宋_GBK"/>
          <w:sz w:val="28"/>
        </w:rPr>
        <w:t>，</w:t>
      </w:r>
      <w:r>
        <w:rPr>
          <w:rFonts w:eastAsia="方正仿宋_GBK"/>
          <w:sz w:val="28"/>
        </w:rPr>
        <w:t>通过抓安全生产工作，杜绝辖区各类安全生产事故发生，保证群众生命财产安全</w:t>
      </w:r>
    </w:p>
    <w:p>
      <w:pPr>
        <w:spacing w:line="500" w:lineRule="exact"/>
        <w:ind w:firstLine="560"/>
        <w:rPr>
          <w:rFonts w:hint="eastAsia" w:eastAsia="方正仿宋_GBK"/>
          <w:sz w:val="28"/>
        </w:rPr>
      </w:pPr>
      <w:r>
        <w:rPr>
          <w:rFonts w:eastAsia="方正仿宋_GBK"/>
          <w:sz w:val="28"/>
        </w:rPr>
        <w:t>(二十一)</w:t>
      </w:r>
      <w:r>
        <w:rPr>
          <w:rFonts w:eastAsia="方正仿宋_GBK"/>
          <w:sz w:val="28"/>
        </w:rPr>
        <w:tab/>
      </w:r>
      <w:r>
        <w:rPr>
          <w:rFonts w:eastAsia="方正仿宋_GBK"/>
          <w:sz w:val="28"/>
        </w:rPr>
        <w:t>城市建设</w:t>
      </w:r>
      <w:r>
        <w:rPr>
          <w:rFonts w:eastAsia="方正仿宋_GBK"/>
          <w:sz w:val="28"/>
        </w:rPr>
        <w:tab/>
      </w:r>
      <w:r>
        <w:rPr>
          <w:rFonts w:eastAsia="方正仿宋_GBK"/>
          <w:sz w:val="28"/>
        </w:rPr>
        <w:t>配合有关部门做好城建项目、商业项目及工程的占地拆迁、补偿等工作</w:t>
      </w:r>
      <w:r>
        <w:rPr>
          <w:rFonts w:hint="eastAsia" w:eastAsia="方正仿宋_GBK"/>
          <w:sz w:val="28"/>
        </w:rPr>
        <w:t>。</w:t>
      </w:r>
    </w:p>
    <w:p>
      <w:pPr>
        <w:spacing w:before="0" w:after="0" w:line="240" w:lineRule="auto"/>
        <w:ind w:firstLine="640"/>
        <w:jc w:val="left"/>
        <w:outlineLvl w:val="9"/>
      </w:pP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石家庄市藁城区兴安镇人民政府本级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eastAsia="方正仿宋_GBK" w:cs="Times New Roman"/>
          <w:color w:val="000000"/>
          <w:sz w:val="28"/>
          <w:lang w:val="en-US" w:eastAsia="zh-CN"/>
        </w:rPr>
        <w:t>1、</w:t>
      </w:r>
      <w:r>
        <w:rPr>
          <w:rFonts w:ascii="Times New Roman" w:hAnsi="Times New Roman" w:eastAsia="方正仿宋_GBK" w:cs="Times New Roman"/>
          <w:color w:val="000000"/>
          <w:sz w:val="28"/>
        </w:rPr>
        <w:t>收入说明</w:t>
      </w:r>
    </w:p>
    <w:p>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当年全部收入。2022年预算收入3246.30万元，其中：一般公共预算收入3246.30万元，基金预算收入0万元，财政专户核拨收入0万元，其他来源收入0万元。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w:t>
      </w:r>
      <w:r>
        <w:rPr>
          <w:rFonts w:ascii="Times New Roman" w:hAnsi="Times New Roman" w:eastAsia="方正仿宋_GBK" w:cs="Times New Roman"/>
          <w:color w:val="000000"/>
          <w:sz w:val="28"/>
        </w:rPr>
        <w:t>支出说明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预算中支出预算的总体情况。2022年</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支出预算为3246.30万元，其中基本支出1267.01万元，包括人员经费1082.42万元和日常公用经费</w:t>
      </w:r>
      <w:r>
        <w:rPr>
          <w:rFonts w:hint="eastAsia" w:eastAsia="方正仿宋_GBK" w:cs="Times New Roman"/>
          <w:color w:val="000000"/>
          <w:sz w:val="28"/>
          <w:lang w:val="en-US" w:eastAsia="zh-CN"/>
        </w:rPr>
        <w:t>184.59</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1979.29</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机关服务</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866.59</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城乡社区环境卫生支出</w:t>
      </w:r>
      <w:r>
        <w:rPr>
          <w:rFonts w:hint="eastAsia" w:eastAsia="方正仿宋_GBK" w:cs="Times New Roman"/>
          <w:color w:val="000000"/>
          <w:sz w:val="28"/>
          <w:lang w:val="en-US" w:eastAsia="zh-CN"/>
        </w:rPr>
        <w:t>728.75</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农村环境保护</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150</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农村社会事业</w:t>
      </w:r>
      <w:r>
        <w:rPr>
          <w:rFonts w:hint="eastAsia" w:ascii="Times New Roman" w:hAnsi="Times New Roman" w:eastAsia="方正仿宋_GBK" w:cs="Times New Roman"/>
          <w:color w:val="000000"/>
          <w:sz w:val="28"/>
        </w:rPr>
        <w:t>支出</w:t>
      </w:r>
      <w:r>
        <w:rPr>
          <w:rFonts w:hint="eastAsia" w:eastAsia="方正仿宋_GBK" w:cs="Times New Roman"/>
          <w:color w:val="000000"/>
          <w:sz w:val="28"/>
          <w:lang w:val="en-US" w:eastAsia="zh-CN"/>
        </w:rPr>
        <w:t>60</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对村级公益事业的支出</w:t>
      </w:r>
      <w:r>
        <w:rPr>
          <w:rFonts w:hint="eastAsia" w:eastAsia="方正仿宋_GBK" w:cs="Times New Roman"/>
          <w:color w:val="000000"/>
          <w:sz w:val="28"/>
          <w:lang w:val="en-US" w:eastAsia="zh-CN"/>
        </w:rPr>
        <w:t>60</w:t>
      </w:r>
      <w:r>
        <w:rPr>
          <w:rFonts w:hint="eastAsia" w:ascii="Times New Roman" w:hAnsi="Times New Roman" w:eastAsia="方正仿宋_GBK" w:cs="Times New Roman"/>
          <w:color w:val="000000"/>
          <w:sz w:val="28"/>
        </w:rPr>
        <w:t>万元；其他支出0万元。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pPr>
        <w:pStyle w:val="32"/>
      </w:pPr>
      <w:r>
        <w:rPr>
          <w:rFonts w:hint="eastAsia" w:ascii="Times New Roman" w:hAnsi="Times New Roman" w:eastAsia="方正仿宋_GBK" w:cs="Times New Roman"/>
          <w:color w:val="000000"/>
          <w:sz w:val="28"/>
        </w:rPr>
        <w:t>2022年</w:t>
      </w:r>
      <w:r>
        <w:rPr>
          <w:rFonts w:hint="eastAsia" w:cs="Times New Roman"/>
          <w:color w:val="000000"/>
          <w:sz w:val="28"/>
          <w:lang w:eastAsia="zh-CN"/>
        </w:rPr>
        <w:t>单位</w:t>
      </w:r>
      <w:r>
        <w:rPr>
          <w:rFonts w:hint="eastAsia" w:ascii="Times New Roman" w:hAnsi="Times New Roman" w:eastAsia="方正仿宋_GBK" w:cs="Times New Roman"/>
          <w:color w:val="000000"/>
          <w:sz w:val="28"/>
        </w:rPr>
        <w:t>预算收支安排</w:t>
      </w:r>
      <w:r>
        <w:rPr>
          <w:rFonts w:hint="eastAsia" w:eastAsia="方正仿宋_GBK" w:cs="Times New Roman"/>
          <w:color w:val="000000"/>
          <w:sz w:val="28"/>
          <w:lang w:val="en-US" w:eastAsia="zh-CN"/>
        </w:rPr>
        <w:t>3246.30</w:t>
      </w:r>
      <w:r>
        <w:rPr>
          <w:rFonts w:hint="eastAsia" w:ascii="Times New Roman" w:hAnsi="Times New Roman" w:eastAsia="方正仿宋_GBK" w:cs="Times New Roman"/>
          <w:color w:val="000000"/>
          <w:sz w:val="28"/>
        </w:rPr>
        <w:t>万元，较2021年</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7020.45</w:t>
      </w:r>
      <w:r>
        <w:rPr>
          <w:rFonts w:hint="eastAsia" w:ascii="Times New Roman" w:hAnsi="Times New Roman" w:eastAsia="方正仿宋_GBK" w:cs="Times New Roman"/>
          <w:color w:val="000000"/>
          <w:sz w:val="28"/>
        </w:rPr>
        <w:t>万元，其中：基本支出减少</w:t>
      </w:r>
      <w:r>
        <w:rPr>
          <w:rFonts w:hint="eastAsia" w:eastAsia="方正仿宋_GBK" w:cs="Times New Roman"/>
          <w:color w:val="000000"/>
          <w:sz w:val="28"/>
          <w:lang w:val="en-US" w:eastAsia="zh-CN"/>
        </w:rPr>
        <w:t>6009.03</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eastAsia="zh-CN"/>
        </w:rPr>
        <w:t>减少学区</w:t>
      </w:r>
      <w:r>
        <w:rPr>
          <w:rFonts w:hint="eastAsia" w:ascii="Times New Roman" w:hAnsi="Times New Roman" w:eastAsia="方正仿宋_GBK" w:cs="Times New Roman"/>
          <w:color w:val="000000"/>
          <w:sz w:val="28"/>
        </w:rPr>
        <w:t>人员</w:t>
      </w:r>
      <w:r>
        <w:rPr>
          <w:rFonts w:hint="eastAsia" w:eastAsia="方正仿宋_GBK" w:cs="Times New Roman"/>
          <w:color w:val="000000"/>
          <w:sz w:val="28"/>
          <w:lang w:eastAsia="zh-CN"/>
        </w:rPr>
        <w:t>预算</w:t>
      </w:r>
      <w:r>
        <w:rPr>
          <w:rFonts w:hint="eastAsia" w:ascii="Times New Roman" w:hAnsi="Times New Roman" w:eastAsia="方正仿宋_GBK" w:cs="Times New Roman"/>
          <w:color w:val="000000"/>
          <w:sz w:val="28"/>
        </w:rPr>
        <w:t>，相应减少人员经费；项目支出</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1011.42</w:t>
      </w:r>
      <w:r>
        <w:rPr>
          <w:rFonts w:hint="eastAsia" w:ascii="Times New Roman" w:hAnsi="Times New Roman" w:eastAsia="方正仿宋_GBK" w:cs="Times New Roman"/>
          <w:color w:val="000000"/>
          <w:sz w:val="28"/>
        </w:rPr>
        <w:t>万元，主要是</w:t>
      </w:r>
      <w:r>
        <w:rPr>
          <w:rFonts w:hint="eastAsia" w:eastAsia="方正仿宋_GBK" w:cs="Times New Roman"/>
          <w:color w:val="000000"/>
          <w:sz w:val="28"/>
          <w:lang w:eastAsia="zh-CN"/>
        </w:rPr>
        <w:t>减少项目投入</w:t>
      </w:r>
      <w:r>
        <w:rPr>
          <w:rFonts w:hint="eastAsia" w:ascii="Times New Roman" w:hAnsi="Times New Roman" w:eastAsia="方正仿宋_GBK" w:cs="Times New Roman"/>
          <w:color w:val="000000"/>
          <w:sz w:val="28"/>
        </w:rP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rPr>
          <w:rFonts w:hint="eastAsia" w:ascii="Times New Roman" w:hAnsi="Times New Roman" w:eastAsia="方正仿宋_GBK" w:cs="Times New Roman"/>
          <w:color w:val="000000"/>
          <w:sz w:val="28"/>
          <w:szCs w:val="24"/>
          <w:lang w:val="en-US" w:eastAsia="uk-UA" w:bidi="ar-SA"/>
        </w:rPr>
        <w:t>2022年，我</w:t>
      </w:r>
      <w:r>
        <w:rPr>
          <w:rFonts w:hint="eastAsia" w:cs="Times New Roman"/>
          <w:color w:val="000000"/>
          <w:sz w:val="28"/>
          <w:szCs w:val="24"/>
          <w:lang w:val="en-US" w:eastAsia="zh-CN" w:bidi="ar-SA"/>
        </w:rPr>
        <w:t>单位</w:t>
      </w:r>
      <w:r>
        <w:rPr>
          <w:rFonts w:hint="eastAsia" w:ascii="Times New Roman" w:hAnsi="Times New Roman" w:eastAsia="方正仿宋_GBK" w:cs="Times New Roman"/>
          <w:color w:val="000000"/>
          <w:sz w:val="28"/>
          <w:szCs w:val="24"/>
          <w:lang w:val="en-US" w:eastAsia="uk-UA" w:bidi="ar-SA"/>
        </w:rPr>
        <w:t>机关运行经费共计安排</w:t>
      </w:r>
      <w:r>
        <w:rPr>
          <w:rFonts w:hint="eastAsia" w:cs="Times New Roman"/>
          <w:color w:val="000000"/>
          <w:sz w:val="28"/>
          <w:szCs w:val="24"/>
          <w:lang w:val="en-US" w:eastAsia="zh-CN" w:bidi="ar-SA"/>
        </w:rPr>
        <w:t>184.59</w:t>
      </w:r>
      <w:r>
        <w:rPr>
          <w:rFonts w:hint="eastAsia" w:ascii="Times New Roman" w:hAnsi="Times New Roman" w:eastAsia="方正仿宋_GBK" w:cs="Times New Roman"/>
          <w:color w:val="000000"/>
          <w:sz w:val="28"/>
          <w:szCs w:val="24"/>
          <w:lang w:val="en-US" w:eastAsia="uk-UA" w:bidi="ar-SA"/>
        </w:rPr>
        <w:t>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4"/>
      </w:pPr>
      <w:r>
        <w:rPr>
          <w:rFonts w:hint="eastAsia" w:ascii="Times New Roman" w:hAnsi="Times New Roman" w:eastAsia="方正仿宋_GBK" w:cs="Times New Roman"/>
          <w:color w:val="000000"/>
          <w:sz w:val="28"/>
          <w:szCs w:val="24"/>
          <w:lang w:val="en-US" w:eastAsia="uk-UA" w:bidi="ar-SA"/>
        </w:rPr>
        <w:t>2022年，我</w:t>
      </w:r>
      <w:r>
        <w:rPr>
          <w:rFonts w:hint="eastAsia" w:cs="Times New Roman"/>
          <w:color w:val="000000"/>
          <w:sz w:val="28"/>
          <w:szCs w:val="24"/>
          <w:lang w:val="en-US" w:eastAsia="zh-CN" w:bidi="ar-SA"/>
        </w:rPr>
        <w:t>单位</w:t>
      </w:r>
      <w:r>
        <w:rPr>
          <w:rFonts w:hint="eastAsia" w:ascii="Times New Roman" w:hAnsi="Times New Roman" w:eastAsia="方正仿宋_GBK" w:cs="Times New Roman"/>
          <w:color w:val="000000"/>
          <w:sz w:val="28"/>
          <w:szCs w:val="24"/>
          <w:lang w:val="en-US" w:eastAsia="uk-UA" w:bidi="ar-SA"/>
        </w:rPr>
        <w:t>财政拨款“三公”经费预算安排</w:t>
      </w:r>
      <w:r>
        <w:rPr>
          <w:rFonts w:hint="eastAsia" w:cs="Times New Roman"/>
          <w:color w:val="000000"/>
          <w:sz w:val="28"/>
          <w:szCs w:val="24"/>
          <w:lang w:val="en-US" w:eastAsia="zh-CN" w:bidi="ar-SA"/>
        </w:rPr>
        <w:t>14.2</w:t>
      </w:r>
      <w:r>
        <w:rPr>
          <w:rFonts w:hint="eastAsia" w:ascii="Times New Roman" w:hAnsi="Times New Roman" w:eastAsia="方正仿宋_GBK" w:cs="Times New Roman"/>
          <w:color w:val="000000"/>
          <w:sz w:val="28"/>
          <w:szCs w:val="24"/>
          <w:lang w:val="en-US" w:eastAsia="uk-UA" w:bidi="ar-SA"/>
        </w:rPr>
        <w:t>万元，其中：因公出国（境）费</w:t>
      </w:r>
      <w:r>
        <w:rPr>
          <w:rFonts w:hint="eastAsia" w:cs="Times New Roman"/>
          <w:color w:val="000000"/>
          <w:sz w:val="28"/>
          <w:szCs w:val="24"/>
          <w:lang w:val="en-US" w:eastAsia="zh-CN" w:bidi="ar-SA"/>
        </w:rPr>
        <w:t>0</w:t>
      </w:r>
      <w:r>
        <w:rPr>
          <w:rFonts w:hint="eastAsia" w:ascii="Times New Roman" w:hAnsi="Times New Roman" w:eastAsia="方正仿宋_GBK" w:cs="Times New Roman"/>
          <w:color w:val="000000"/>
          <w:sz w:val="28"/>
          <w:szCs w:val="24"/>
          <w:lang w:val="en-US" w:eastAsia="uk-UA" w:bidi="ar-SA"/>
        </w:rPr>
        <w:t>万元；公务用车购置及运维费</w:t>
      </w:r>
      <w:r>
        <w:rPr>
          <w:rFonts w:hint="eastAsia" w:cs="Times New Roman"/>
          <w:color w:val="000000"/>
          <w:sz w:val="28"/>
          <w:szCs w:val="24"/>
          <w:lang w:val="en-US" w:eastAsia="zh-CN" w:bidi="ar-SA"/>
        </w:rPr>
        <w:t>14.2</w:t>
      </w:r>
      <w:r>
        <w:rPr>
          <w:rFonts w:hint="eastAsia" w:ascii="Times New Roman" w:hAnsi="Times New Roman" w:eastAsia="方正仿宋_GBK" w:cs="Times New Roman"/>
          <w:color w:val="000000"/>
          <w:sz w:val="28"/>
          <w:szCs w:val="24"/>
          <w:lang w:val="en-US" w:eastAsia="uk-UA" w:bidi="ar-SA"/>
        </w:rPr>
        <w:t>万元（其中：公务用车购置费</w:t>
      </w:r>
      <w:r>
        <w:rPr>
          <w:rFonts w:hint="eastAsia" w:cs="Times New Roman"/>
          <w:color w:val="000000"/>
          <w:sz w:val="28"/>
          <w:szCs w:val="24"/>
          <w:lang w:val="en-US" w:eastAsia="zh-CN" w:bidi="ar-SA"/>
        </w:rPr>
        <w:t>12</w:t>
      </w:r>
      <w:r>
        <w:rPr>
          <w:rFonts w:hint="eastAsia" w:ascii="Times New Roman" w:hAnsi="Times New Roman" w:eastAsia="方正仿宋_GBK" w:cs="Times New Roman"/>
          <w:color w:val="000000"/>
          <w:sz w:val="28"/>
          <w:szCs w:val="24"/>
          <w:lang w:val="en-US" w:eastAsia="uk-UA" w:bidi="ar-SA"/>
        </w:rPr>
        <w:t>万元，公务用车运行维护费</w:t>
      </w:r>
      <w:r>
        <w:rPr>
          <w:rFonts w:hint="eastAsia" w:cs="Times New Roman"/>
          <w:color w:val="000000"/>
          <w:sz w:val="28"/>
          <w:szCs w:val="24"/>
          <w:lang w:val="en-US" w:eastAsia="zh-CN" w:bidi="ar-SA"/>
        </w:rPr>
        <w:t>2.2</w:t>
      </w:r>
      <w:r>
        <w:rPr>
          <w:rFonts w:hint="eastAsia" w:ascii="Times New Roman" w:hAnsi="Times New Roman" w:eastAsia="方正仿宋_GBK" w:cs="Times New Roman"/>
          <w:color w:val="000000"/>
          <w:sz w:val="28"/>
          <w:szCs w:val="24"/>
          <w:lang w:val="en-US" w:eastAsia="uk-UA" w:bidi="ar-SA"/>
        </w:rPr>
        <w:t>万元)；公务接待费</w:t>
      </w:r>
      <w:r>
        <w:rPr>
          <w:rFonts w:hint="eastAsia" w:cs="Times New Roman"/>
          <w:color w:val="000000"/>
          <w:sz w:val="28"/>
          <w:szCs w:val="24"/>
          <w:lang w:val="en-US" w:eastAsia="zh-CN" w:bidi="ar-SA"/>
        </w:rPr>
        <w:t>0</w:t>
      </w:r>
      <w:r>
        <w:rPr>
          <w:rFonts w:hint="eastAsia" w:ascii="Times New Roman" w:hAnsi="Times New Roman" w:eastAsia="方正仿宋_GBK" w:cs="Times New Roman"/>
          <w:color w:val="000000"/>
          <w:sz w:val="28"/>
          <w:szCs w:val="24"/>
          <w:lang w:val="en-US" w:eastAsia="uk-UA" w:bidi="ar-SA"/>
        </w:rPr>
        <w:t>万元。“三公”经费</w:t>
      </w:r>
      <w:r>
        <w:rPr>
          <w:rFonts w:hint="eastAsia" w:cs="Times New Roman"/>
          <w:color w:val="000000"/>
          <w:sz w:val="28"/>
          <w:szCs w:val="24"/>
          <w:lang w:val="en-US" w:eastAsia="zh-CN" w:bidi="ar-SA"/>
        </w:rPr>
        <w:t>较</w:t>
      </w:r>
      <w:r>
        <w:rPr>
          <w:rFonts w:hint="eastAsia" w:ascii="Times New Roman" w:hAnsi="Times New Roman" w:eastAsia="方正仿宋_GBK" w:cs="Times New Roman"/>
          <w:color w:val="000000"/>
          <w:sz w:val="28"/>
          <w:szCs w:val="24"/>
          <w:lang w:val="en-US" w:eastAsia="uk-UA" w:bidi="ar-SA"/>
        </w:rPr>
        <w:t>上年</w:t>
      </w:r>
      <w:r>
        <w:rPr>
          <w:rFonts w:hint="eastAsia" w:cs="Times New Roman"/>
          <w:color w:val="000000"/>
          <w:sz w:val="28"/>
          <w:szCs w:val="24"/>
          <w:lang w:val="en-US" w:eastAsia="zh-CN" w:bidi="ar-SA"/>
        </w:rPr>
        <w:t>增加12万元</w:t>
      </w:r>
      <w:r>
        <w:rPr>
          <w:rFonts w:hint="eastAsia" w:ascii="Times New Roman" w:hAnsi="Times New Roman" w:eastAsia="方正仿宋_GBK" w:cs="Times New Roman"/>
          <w:color w:val="000000"/>
          <w:sz w:val="28"/>
          <w:szCs w:val="24"/>
          <w:lang w:val="en-US" w:eastAsia="uk-UA" w:bidi="ar-SA"/>
        </w:rPr>
        <w:t>，</w:t>
      </w:r>
      <w:r>
        <w:rPr>
          <w:rFonts w:hint="eastAsia" w:cs="Times New Roman"/>
          <w:color w:val="000000"/>
          <w:sz w:val="28"/>
          <w:szCs w:val="24"/>
          <w:lang w:val="en-US" w:eastAsia="zh-CN" w:bidi="ar-SA"/>
        </w:rPr>
        <w:t>主要是增加公务用车购置计划</w:t>
      </w:r>
      <w:r>
        <w:rPr>
          <w:rFonts w:hint="eastAsia" w:ascii="Times New Roman" w:hAnsi="Times New Roman" w:eastAsia="方正仿宋_GBK" w:cs="Times New Roman"/>
          <w:color w:val="000000"/>
          <w:sz w:val="28"/>
          <w:szCs w:val="24"/>
          <w:lang w:val="en-US" w:eastAsia="uk-UA" w:bidi="ar-SA"/>
        </w:rPr>
        <w:t>。</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1、拆违拆建、土地治理与恢复绩效目标表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1.完成土地治理与恢复，支付拆违建机械费用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完成土地治理与恢复村数量</w:t>
            </w:r>
          </w:p>
        </w:tc>
        <w:tc>
          <w:tcPr>
            <w:tcW w:w="2835" w:type="dxa"/>
            <w:vAlign w:val="center"/>
          </w:tcPr>
          <w:p>
            <w:pPr>
              <w:pStyle w:val="28"/>
            </w:pPr>
            <w:r>
              <w:t>完成土地治理与恢复村数量</w:t>
            </w:r>
          </w:p>
        </w:tc>
        <w:tc>
          <w:tcPr>
            <w:tcW w:w="2551" w:type="dxa"/>
            <w:vAlign w:val="center"/>
          </w:tcPr>
          <w:p>
            <w:pPr>
              <w:pStyle w:val="28"/>
            </w:pPr>
            <w:r>
              <w:t>19达到19个村为优</w:t>
            </w:r>
          </w:p>
        </w:tc>
        <w:tc>
          <w:tcPr>
            <w:tcW w:w="2268" w:type="dxa"/>
            <w:vAlign w:val="center"/>
          </w:tcPr>
          <w:p>
            <w:pPr>
              <w:pStyle w:val="28"/>
            </w:pPr>
            <w:r>
              <w:t>村级证明资料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经费保障率</w:t>
            </w:r>
          </w:p>
        </w:tc>
        <w:tc>
          <w:tcPr>
            <w:tcW w:w="2835" w:type="dxa"/>
            <w:vAlign w:val="center"/>
          </w:tcPr>
          <w:p>
            <w:pPr>
              <w:pStyle w:val="28"/>
            </w:pPr>
            <w:r>
              <w:t>保障有足够经费开展工作</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及时率</w:t>
            </w:r>
          </w:p>
        </w:tc>
        <w:tc>
          <w:tcPr>
            <w:tcW w:w="2835" w:type="dxa"/>
            <w:vAlign w:val="center"/>
          </w:tcPr>
          <w:p>
            <w:pPr>
              <w:pStyle w:val="28"/>
            </w:pPr>
            <w:r>
              <w:t>各项经费及时、足额拨付</w:t>
            </w:r>
          </w:p>
        </w:tc>
        <w:tc>
          <w:tcPr>
            <w:tcW w:w="2551" w:type="dxa"/>
            <w:vAlign w:val="center"/>
          </w:tcPr>
          <w:p>
            <w:pPr>
              <w:pStyle w:val="28"/>
            </w:pPr>
            <w:r>
              <w:t>≥90达到90%为优</w:t>
            </w:r>
          </w:p>
        </w:tc>
        <w:tc>
          <w:tcPr>
            <w:tcW w:w="2268" w:type="dxa"/>
            <w:vAlign w:val="center"/>
          </w:tcPr>
          <w:p>
            <w:pPr>
              <w:pStyle w:val="28"/>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w:t>
            </w:r>
          </w:p>
        </w:tc>
        <w:tc>
          <w:tcPr>
            <w:tcW w:w="2835" w:type="dxa"/>
            <w:vAlign w:val="center"/>
          </w:tcPr>
          <w:p>
            <w:pPr>
              <w:pStyle w:val="28"/>
            </w:pPr>
            <w:r>
              <w:t>成本控制情况</w:t>
            </w:r>
          </w:p>
        </w:tc>
        <w:tc>
          <w:tcPr>
            <w:tcW w:w="2551" w:type="dxa"/>
            <w:vAlign w:val="center"/>
          </w:tcPr>
          <w:p>
            <w:pPr>
              <w:pStyle w:val="28"/>
            </w:pPr>
            <w:r>
              <w:t>成本控制情况</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生态效益指标</w:t>
            </w:r>
          </w:p>
        </w:tc>
        <w:tc>
          <w:tcPr>
            <w:tcW w:w="2835" w:type="dxa"/>
            <w:vAlign w:val="center"/>
          </w:tcPr>
          <w:p>
            <w:pPr>
              <w:pStyle w:val="28"/>
            </w:pPr>
            <w:r>
              <w:t>解决一批违章建筑，保护耕地</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群众对土地治理与恢复整体满意度</w:t>
            </w:r>
          </w:p>
        </w:tc>
        <w:tc>
          <w:tcPr>
            <w:tcW w:w="2551" w:type="dxa"/>
            <w:vAlign w:val="center"/>
          </w:tcPr>
          <w:p>
            <w:pPr>
              <w:pStyle w:val="28"/>
            </w:pPr>
            <w:r>
              <w:t>≥90达到90%为优</w:t>
            </w:r>
          </w:p>
        </w:tc>
        <w:tc>
          <w:tcPr>
            <w:tcW w:w="2268" w:type="dxa"/>
            <w:vAlign w:val="center"/>
          </w:tcPr>
          <w:p>
            <w:pPr>
              <w:pStyle w:val="28"/>
            </w:pPr>
            <w:r>
              <w:t>群众座谈</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2、城乡社区环境综合整治绩效目标表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1.资金用于城乡社区环境卫生的开支；减轻环境污染，改善村容村貌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村容村貌改善农村数量</w:t>
            </w:r>
          </w:p>
        </w:tc>
        <w:tc>
          <w:tcPr>
            <w:tcW w:w="2835" w:type="dxa"/>
            <w:vAlign w:val="center"/>
          </w:tcPr>
          <w:p>
            <w:pPr>
              <w:pStyle w:val="28"/>
            </w:pPr>
            <w:r>
              <w:t>村容村貌得到改善的农村数量</w:t>
            </w:r>
          </w:p>
        </w:tc>
        <w:tc>
          <w:tcPr>
            <w:tcW w:w="2551" w:type="dxa"/>
            <w:vAlign w:val="center"/>
          </w:tcPr>
          <w:p>
            <w:pPr>
              <w:pStyle w:val="28"/>
            </w:pPr>
            <w:r>
              <w:t>19达到19个村为优</w:t>
            </w:r>
          </w:p>
        </w:tc>
        <w:tc>
          <w:tcPr>
            <w:tcW w:w="2268" w:type="dxa"/>
            <w:vAlign w:val="center"/>
          </w:tcPr>
          <w:p>
            <w:pPr>
              <w:pStyle w:val="28"/>
            </w:pPr>
            <w:r>
              <w:t>村级证明资料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农村环境改善质量验收</w:t>
            </w:r>
          </w:p>
        </w:tc>
        <w:tc>
          <w:tcPr>
            <w:tcW w:w="2835" w:type="dxa"/>
            <w:vAlign w:val="center"/>
          </w:tcPr>
          <w:p>
            <w:pPr>
              <w:pStyle w:val="28"/>
            </w:pPr>
            <w:r>
              <w:t>农村环境改善质量验收合格率</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清理垃圾等完成及时率</w:t>
            </w:r>
          </w:p>
        </w:tc>
        <w:tc>
          <w:tcPr>
            <w:tcW w:w="2835" w:type="dxa"/>
            <w:vAlign w:val="center"/>
          </w:tcPr>
          <w:p>
            <w:pPr>
              <w:pStyle w:val="28"/>
            </w:pPr>
            <w:r>
              <w:t>清理垃圾及时率</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项目成本</w:t>
            </w:r>
          </w:p>
        </w:tc>
        <w:tc>
          <w:tcPr>
            <w:tcW w:w="2835" w:type="dxa"/>
            <w:vAlign w:val="center"/>
          </w:tcPr>
          <w:p>
            <w:pPr>
              <w:pStyle w:val="28"/>
            </w:pPr>
            <w:r>
              <w:t>项目成本</w:t>
            </w:r>
          </w:p>
        </w:tc>
        <w:tc>
          <w:tcPr>
            <w:tcW w:w="2551" w:type="dxa"/>
            <w:vAlign w:val="center"/>
          </w:tcPr>
          <w:p>
            <w:pPr>
              <w:pStyle w:val="28"/>
            </w:pPr>
            <w:r>
              <w:t>项目成本</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生态效益指标</w:t>
            </w:r>
          </w:p>
        </w:tc>
        <w:tc>
          <w:tcPr>
            <w:tcW w:w="2835" w:type="dxa"/>
            <w:vAlign w:val="center"/>
          </w:tcPr>
          <w:p>
            <w:pPr>
              <w:pStyle w:val="28"/>
            </w:pPr>
            <w:r>
              <w:t>解决一批垃圾污染严重的农村突出环境问题</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群众对城乡社区环境卫生及创建卫生城项目的满意度</w:t>
            </w:r>
          </w:p>
        </w:tc>
        <w:tc>
          <w:tcPr>
            <w:tcW w:w="2551" w:type="dxa"/>
            <w:vAlign w:val="center"/>
          </w:tcPr>
          <w:p>
            <w:pPr>
              <w:pStyle w:val="28"/>
            </w:pPr>
            <w:r>
              <w:t>≥90达到90%为优</w:t>
            </w:r>
          </w:p>
        </w:tc>
        <w:tc>
          <w:tcPr>
            <w:tcW w:w="2268" w:type="dxa"/>
            <w:vAlign w:val="center"/>
          </w:tcPr>
          <w:p>
            <w:pPr>
              <w:pStyle w:val="28"/>
            </w:pPr>
            <w:r>
              <w:t>群众座谈</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3、村级补助经费绩效目标表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1.用于19个村新农村建设全面推进农村工作事务，保障村级运行补助及活动经费及其他美丽乡村建设转移支付补助，农田设施、道路铁路、饮水工程等新农村建设补助支出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村提升数量</w:t>
            </w:r>
          </w:p>
        </w:tc>
        <w:tc>
          <w:tcPr>
            <w:tcW w:w="2835" w:type="dxa"/>
            <w:vAlign w:val="center"/>
          </w:tcPr>
          <w:p>
            <w:pPr>
              <w:pStyle w:val="28"/>
            </w:pPr>
            <w:r>
              <w:t>村提升数量</w:t>
            </w:r>
          </w:p>
        </w:tc>
        <w:tc>
          <w:tcPr>
            <w:tcW w:w="2551" w:type="dxa"/>
            <w:vAlign w:val="center"/>
          </w:tcPr>
          <w:p>
            <w:pPr>
              <w:pStyle w:val="28"/>
            </w:pPr>
            <w:r>
              <w:t>≥90达到90%为优</w:t>
            </w:r>
          </w:p>
        </w:tc>
        <w:tc>
          <w:tcPr>
            <w:tcW w:w="2268" w:type="dxa"/>
            <w:vAlign w:val="center"/>
          </w:tcPr>
          <w:p>
            <w:pPr>
              <w:pStyle w:val="28"/>
            </w:pPr>
            <w:r>
              <w:t>村级资料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推进农村综合改革</w:t>
            </w:r>
          </w:p>
        </w:tc>
        <w:tc>
          <w:tcPr>
            <w:tcW w:w="2835" w:type="dxa"/>
            <w:vAlign w:val="center"/>
          </w:tcPr>
          <w:p>
            <w:pPr>
              <w:pStyle w:val="28"/>
            </w:pPr>
            <w:r>
              <w:t>农田设施、道路铁路等施工率</w:t>
            </w:r>
          </w:p>
        </w:tc>
        <w:tc>
          <w:tcPr>
            <w:tcW w:w="2551" w:type="dxa"/>
            <w:vAlign w:val="center"/>
          </w:tcPr>
          <w:p>
            <w:pPr>
              <w:pStyle w:val="28"/>
            </w:pPr>
            <w:r>
              <w:t>≥80达到80%为优</w:t>
            </w:r>
          </w:p>
        </w:tc>
        <w:tc>
          <w:tcPr>
            <w:tcW w:w="2268" w:type="dxa"/>
            <w:vAlign w:val="center"/>
          </w:tcPr>
          <w:p>
            <w:pPr>
              <w:pStyle w:val="28"/>
            </w:pPr>
            <w:r>
              <w:t>村级资料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农村建设保障资金及时拨付到位</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村级改善效果</w:t>
            </w:r>
          </w:p>
        </w:tc>
        <w:tc>
          <w:tcPr>
            <w:tcW w:w="2835" w:type="dxa"/>
            <w:vAlign w:val="center"/>
          </w:tcPr>
          <w:p>
            <w:pPr>
              <w:pStyle w:val="28"/>
            </w:pPr>
            <w:r>
              <w:t>节省资金推动农村各项工作完成率</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完善农村基础设施建设</w:t>
            </w:r>
          </w:p>
        </w:tc>
        <w:tc>
          <w:tcPr>
            <w:tcW w:w="2835" w:type="dxa"/>
            <w:vAlign w:val="center"/>
          </w:tcPr>
          <w:p>
            <w:pPr>
              <w:pStyle w:val="28"/>
            </w:pPr>
            <w:r>
              <w:t>在本区域重要影响，得到广大受众的充分认可</w:t>
            </w:r>
          </w:p>
        </w:tc>
        <w:tc>
          <w:tcPr>
            <w:tcW w:w="2551" w:type="dxa"/>
            <w:vAlign w:val="center"/>
          </w:tcPr>
          <w:p>
            <w:pPr>
              <w:pStyle w:val="28"/>
            </w:pPr>
            <w:r>
              <w:t>≥90达到90%为优</w:t>
            </w:r>
          </w:p>
        </w:tc>
        <w:tc>
          <w:tcPr>
            <w:tcW w:w="2268"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群众对农村综合改革建设满意度</w:t>
            </w:r>
          </w:p>
        </w:tc>
        <w:tc>
          <w:tcPr>
            <w:tcW w:w="2551" w:type="dxa"/>
            <w:vAlign w:val="center"/>
          </w:tcPr>
          <w:p>
            <w:pPr>
              <w:pStyle w:val="28"/>
            </w:pPr>
            <w:r>
              <w:t>≥90达到90%为优</w:t>
            </w:r>
          </w:p>
        </w:tc>
        <w:tc>
          <w:tcPr>
            <w:tcW w:w="2268"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1.主要用于报刊的征订费用，党组织活动的其他业务经费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报刊的种类</w:t>
            </w:r>
          </w:p>
        </w:tc>
        <w:tc>
          <w:tcPr>
            <w:tcW w:w="2835" w:type="dxa"/>
            <w:vAlign w:val="center"/>
          </w:tcPr>
          <w:p>
            <w:pPr>
              <w:pStyle w:val="28"/>
            </w:pPr>
            <w:r>
              <w:t>订购报刊的种类</w:t>
            </w:r>
          </w:p>
        </w:tc>
        <w:tc>
          <w:tcPr>
            <w:tcW w:w="2551" w:type="dxa"/>
            <w:vAlign w:val="center"/>
          </w:tcPr>
          <w:p>
            <w:pPr>
              <w:pStyle w:val="28"/>
            </w:pPr>
            <w:r>
              <w:t>订购达到10种报刊为优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报刊的完成率</w:t>
            </w:r>
          </w:p>
        </w:tc>
        <w:tc>
          <w:tcPr>
            <w:tcW w:w="2835" w:type="dxa"/>
            <w:vAlign w:val="center"/>
          </w:tcPr>
          <w:p>
            <w:pPr>
              <w:pStyle w:val="28"/>
            </w:pPr>
            <w:r>
              <w:t>订购报刊的完成率</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报刊征订及时性</w:t>
            </w:r>
          </w:p>
        </w:tc>
        <w:tc>
          <w:tcPr>
            <w:tcW w:w="2835" w:type="dxa"/>
            <w:vAlign w:val="center"/>
          </w:tcPr>
          <w:p>
            <w:pPr>
              <w:pStyle w:val="28"/>
            </w:pPr>
            <w:r>
              <w:t>订购报刊的时间效率</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经费保障率</w:t>
            </w:r>
          </w:p>
        </w:tc>
        <w:tc>
          <w:tcPr>
            <w:tcW w:w="2835" w:type="dxa"/>
            <w:vAlign w:val="center"/>
          </w:tcPr>
          <w:p>
            <w:pPr>
              <w:pStyle w:val="28"/>
            </w:pPr>
            <w:r>
              <w:t>保障有足够经费组织党组织互动</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影响力</w:t>
            </w:r>
          </w:p>
        </w:tc>
        <w:tc>
          <w:tcPr>
            <w:tcW w:w="2835" w:type="dxa"/>
            <w:vAlign w:val="center"/>
          </w:tcPr>
          <w:p>
            <w:pPr>
              <w:pStyle w:val="28"/>
            </w:pPr>
            <w:r>
              <w:t>重要影响，得到参与党员的充分认可</w:t>
            </w:r>
          </w:p>
        </w:tc>
        <w:tc>
          <w:tcPr>
            <w:tcW w:w="2551" w:type="dxa"/>
            <w:vAlign w:val="center"/>
          </w:tcPr>
          <w:p>
            <w:pPr>
              <w:pStyle w:val="28"/>
            </w:pPr>
            <w:r>
              <w:t>≥85达到85%为优</w:t>
            </w:r>
          </w:p>
        </w:tc>
        <w:tc>
          <w:tcPr>
            <w:tcW w:w="2268"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服务对象对报刊征订工作的满意度</w:t>
            </w:r>
          </w:p>
        </w:tc>
        <w:tc>
          <w:tcPr>
            <w:tcW w:w="2551" w:type="dxa"/>
            <w:vAlign w:val="center"/>
          </w:tcPr>
          <w:p>
            <w:pPr>
              <w:pStyle w:val="28"/>
            </w:pPr>
            <w:r>
              <w:t>≥90达到90%为优</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5、环境保护及卫生清理资金绩效目标表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1.主要用于环境保护及清理卫生</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村容村貌改善农村数量</w:t>
            </w:r>
          </w:p>
        </w:tc>
        <w:tc>
          <w:tcPr>
            <w:tcW w:w="2835" w:type="dxa"/>
            <w:vAlign w:val="center"/>
          </w:tcPr>
          <w:p>
            <w:pPr>
              <w:pStyle w:val="28"/>
            </w:pPr>
            <w:r>
              <w:t>村容村貌得到改善的农村数量</w:t>
            </w:r>
          </w:p>
        </w:tc>
        <w:tc>
          <w:tcPr>
            <w:tcW w:w="2551" w:type="dxa"/>
            <w:vAlign w:val="center"/>
          </w:tcPr>
          <w:p>
            <w:pPr>
              <w:pStyle w:val="28"/>
            </w:pPr>
            <w:r>
              <w:t>19达到19个村为优</w:t>
            </w:r>
          </w:p>
        </w:tc>
        <w:tc>
          <w:tcPr>
            <w:tcW w:w="2268" w:type="dxa"/>
            <w:vAlign w:val="center"/>
          </w:tcPr>
          <w:p>
            <w:pPr>
              <w:pStyle w:val="28"/>
            </w:pPr>
            <w:r>
              <w:t>村级证明资料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清理垃圾等完成及时率</w:t>
            </w:r>
          </w:p>
        </w:tc>
        <w:tc>
          <w:tcPr>
            <w:tcW w:w="2835" w:type="dxa"/>
            <w:vAlign w:val="center"/>
          </w:tcPr>
          <w:p>
            <w:pPr>
              <w:pStyle w:val="28"/>
            </w:pPr>
            <w:r>
              <w:t>清理垃圾及时率</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农村环境改善质量验收</w:t>
            </w:r>
          </w:p>
        </w:tc>
        <w:tc>
          <w:tcPr>
            <w:tcW w:w="2835" w:type="dxa"/>
            <w:vAlign w:val="center"/>
          </w:tcPr>
          <w:p>
            <w:pPr>
              <w:pStyle w:val="28"/>
            </w:pPr>
            <w:r>
              <w:t>农村环境改善质量验收合格率</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控制环保资金成本</w:t>
            </w:r>
          </w:p>
        </w:tc>
        <w:tc>
          <w:tcPr>
            <w:tcW w:w="2835" w:type="dxa"/>
            <w:vAlign w:val="center"/>
          </w:tcPr>
          <w:p>
            <w:pPr>
              <w:pStyle w:val="28"/>
            </w:pPr>
            <w:r>
              <w:t>控制环保资金项目的资金成本</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生态效益指标</w:t>
            </w:r>
          </w:p>
        </w:tc>
        <w:tc>
          <w:tcPr>
            <w:tcW w:w="2835" w:type="dxa"/>
            <w:vAlign w:val="center"/>
          </w:tcPr>
          <w:p>
            <w:pPr>
              <w:pStyle w:val="28"/>
            </w:pPr>
            <w:r>
              <w:t>解决一批垃圾污染严重的农村突出环境问题</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群众对城乡社区环境卫生及创建卫生城项目的满意度</w:t>
            </w:r>
          </w:p>
        </w:tc>
        <w:tc>
          <w:tcPr>
            <w:tcW w:w="2551" w:type="dxa"/>
            <w:vAlign w:val="center"/>
          </w:tcPr>
          <w:p>
            <w:pPr>
              <w:pStyle w:val="28"/>
            </w:pPr>
            <w:r>
              <w:t>≥90达到90%为优</w:t>
            </w:r>
          </w:p>
        </w:tc>
        <w:tc>
          <w:tcPr>
            <w:tcW w:w="2268" w:type="dxa"/>
            <w:vAlign w:val="center"/>
          </w:tcPr>
          <w:p>
            <w:pPr>
              <w:pStyle w:val="28"/>
            </w:pPr>
            <w:r>
              <w:t>群众座谈</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6、环境整治绩效目标表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1.提升镇域环境，改善人居环境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环境改造完成率</w:t>
            </w:r>
          </w:p>
        </w:tc>
        <w:tc>
          <w:tcPr>
            <w:tcW w:w="2835" w:type="dxa"/>
            <w:vAlign w:val="center"/>
          </w:tcPr>
          <w:p>
            <w:pPr>
              <w:pStyle w:val="28"/>
            </w:pPr>
            <w:r>
              <w:t>环境改造工程完成率</w:t>
            </w:r>
          </w:p>
        </w:tc>
        <w:tc>
          <w:tcPr>
            <w:tcW w:w="2551" w:type="dxa"/>
            <w:vAlign w:val="center"/>
          </w:tcPr>
          <w:p>
            <w:pPr>
              <w:pStyle w:val="28"/>
            </w:pPr>
            <w:r>
              <w:t>≥90道路改造完成率</w:t>
            </w:r>
          </w:p>
        </w:tc>
        <w:tc>
          <w:tcPr>
            <w:tcW w:w="2268" w:type="dxa"/>
            <w:vAlign w:val="center"/>
          </w:tcPr>
          <w:p>
            <w:pPr>
              <w:pStyle w:val="28"/>
            </w:pPr>
            <w:r>
              <w:t>道路改造工程完成率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优良率</w:t>
            </w:r>
          </w:p>
        </w:tc>
        <w:tc>
          <w:tcPr>
            <w:tcW w:w="2835" w:type="dxa"/>
            <w:vAlign w:val="center"/>
          </w:tcPr>
          <w:p>
            <w:pPr>
              <w:pStyle w:val="28"/>
            </w:pPr>
            <w:r>
              <w:t>结项鉴定优秀登记项目数量占结项总数量的比例(百分比）</w:t>
            </w:r>
          </w:p>
        </w:tc>
        <w:tc>
          <w:tcPr>
            <w:tcW w:w="2551" w:type="dxa"/>
            <w:vAlign w:val="center"/>
          </w:tcPr>
          <w:p>
            <w:pPr>
              <w:pStyle w:val="28"/>
            </w:pPr>
            <w:r>
              <w:t>≥90优良率</w:t>
            </w:r>
          </w:p>
        </w:tc>
        <w:tc>
          <w:tcPr>
            <w:tcW w:w="2268" w:type="dxa"/>
            <w:vAlign w:val="center"/>
          </w:tcPr>
          <w:p>
            <w:pPr>
              <w:pStyle w:val="28"/>
            </w:pPr>
            <w:r>
              <w:t>结项鉴定优秀等级项目数量占结项总数量的比例（百分比）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道路改造、绿化工程及时拨付资金</w:t>
            </w:r>
          </w:p>
        </w:tc>
        <w:tc>
          <w:tcPr>
            <w:tcW w:w="2551" w:type="dxa"/>
            <w:vAlign w:val="center"/>
          </w:tcPr>
          <w:p>
            <w:pPr>
              <w:pStyle w:val="28"/>
            </w:pPr>
            <w:r>
              <w:t>≥90资金拨付及时率</w:t>
            </w:r>
          </w:p>
        </w:tc>
        <w:tc>
          <w:tcPr>
            <w:tcW w:w="2268" w:type="dxa"/>
            <w:vAlign w:val="center"/>
          </w:tcPr>
          <w:p>
            <w:pPr>
              <w:pStyle w:val="28"/>
            </w:pPr>
            <w:r>
              <w:t>道路改造、绿化工程及时拨付资金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资本成本使用率</w:t>
            </w:r>
          </w:p>
        </w:tc>
        <w:tc>
          <w:tcPr>
            <w:tcW w:w="2835" w:type="dxa"/>
            <w:vAlign w:val="center"/>
          </w:tcPr>
          <w:p>
            <w:pPr>
              <w:pStyle w:val="28"/>
            </w:pPr>
            <w:r>
              <w:t>项目资金成本使用率</w:t>
            </w:r>
          </w:p>
        </w:tc>
        <w:tc>
          <w:tcPr>
            <w:tcW w:w="2551" w:type="dxa"/>
            <w:vAlign w:val="center"/>
          </w:tcPr>
          <w:p>
            <w:pPr>
              <w:pStyle w:val="28"/>
            </w:pPr>
            <w:r>
              <w:t>≥90资金成本使用率</w:t>
            </w:r>
          </w:p>
        </w:tc>
        <w:tc>
          <w:tcPr>
            <w:tcW w:w="2268" w:type="dxa"/>
            <w:vAlign w:val="center"/>
          </w:tcPr>
          <w:p>
            <w:pPr>
              <w:pStyle w:val="28"/>
            </w:pPr>
            <w:r>
              <w:t>道路改造工程资金成本使用情况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达到环境提升目标</w:t>
            </w:r>
          </w:p>
        </w:tc>
        <w:tc>
          <w:tcPr>
            <w:tcW w:w="2835" w:type="dxa"/>
            <w:vAlign w:val="center"/>
          </w:tcPr>
          <w:p>
            <w:pPr>
              <w:pStyle w:val="28"/>
            </w:pPr>
            <w:r>
              <w:t>环境得到提升，人居条件得到改善</w:t>
            </w:r>
          </w:p>
        </w:tc>
        <w:tc>
          <w:tcPr>
            <w:tcW w:w="2551" w:type="dxa"/>
            <w:vAlign w:val="center"/>
          </w:tcPr>
          <w:p>
            <w:pPr>
              <w:pStyle w:val="28"/>
            </w:pPr>
            <w:r>
              <w:t>≥90达到90%为优</w:t>
            </w:r>
          </w:p>
        </w:tc>
        <w:tc>
          <w:tcPr>
            <w:tcW w:w="2268" w:type="dxa"/>
            <w:vAlign w:val="center"/>
          </w:tcPr>
          <w:p>
            <w:pPr>
              <w:pStyle w:val="28"/>
            </w:pPr>
            <w:r>
              <w:t>评审验收资料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群众对改造成果的整体满意度</w:t>
            </w:r>
          </w:p>
        </w:tc>
        <w:tc>
          <w:tcPr>
            <w:tcW w:w="2551" w:type="dxa"/>
            <w:vAlign w:val="center"/>
          </w:tcPr>
          <w:p>
            <w:pPr>
              <w:pStyle w:val="28"/>
            </w:pPr>
            <w:r>
              <w:t>≥90达到90%为优</w:t>
            </w:r>
          </w:p>
        </w:tc>
        <w:tc>
          <w:tcPr>
            <w:tcW w:w="2268" w:type="dxa"/>
            <w:vAlign w:val="center"/>
          </w:tcPr>
          <w:p>
            <w:pPr>
              <w:pStyle w:val="28"/>
            </w:pPr>
            <w:r>
              <w:t>调查研究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7、基础设施建设及维修改造费绩效目标表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1.用于辖区内基础建设、维修改造</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建造、改造、修缮面积</w:t>
            </w:r>
          </w:p>
        </w:tc>
        <w:tc>
          <w:tcPr>
            <w:tcW w:w="2835" w:type="dxa"/>
            <w:vAlign w:val="center"/>
          </w:tcPr>
          <w:p>
            <w:pPr>
              <w:pStyle w:val="28"/>
            </w:pPr>
            <w:r>
              <w:t>建造、改造、修缮面积</w:t>
            </w:r>
          </w:p>
        </w:tc>
        <w:tc>
          <w:tcPr>
            <w:tcW w:w="2551" w:type="dxa"/>
            <w:vAlign w:val="center"/>
          </w:tcPr>
          <w:p>
            <w:pPr>
              <w:pStyle w:val="28"/>
            </w:pPr>
            <w:r>
              <w:t>达到实际规划</w:t>
            </w:r>
          </w:p>
        </w:tc>
        <w:tc>
          <w:tcPr>
            <w:tcW w:w="2268" w:type="dxa"/>
            <w:vAlign w:val="center"/>
          </w:tcPr>
          <w:p>
            <w:pPr>
              <w:pStyle w:val="28"/>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项目完成率</w:t>
            </w:r>
          </w:p>
        </w:tc>
        <w:tc>
          <w:tcPr>
            <w:tcW w:w="2551" w:type="dxa"/>
            <w:vAlign w:val="center"/>
          </w:tcPr>
          <w:p>
            <w:pPr>
              <w:pStyle w:val="28"/>
            </w:pPr>
            <w:r>
              <w:t>≥90达到90%为优</w:t>
            </w:r>
          </w:p>
        </w:tc>
        <w:tc>
          <w:tcPr>
            <w:tcW w:w="2268" w:type="dxa"/>
            <w:vAlign w:val="center"/>
          </w:tcPr>
          <w:p>
            <w:pPr>
              <w:pStyle w:val="28"/>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基础建设及维修资金拨付及时率</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资金成本</w:t>
            </w:r>
          </w:p>
        </w:tc>
        <w:tc>
          <w:tcPr>
            <w:tcW w:w="2835" w:type="dxa"/>
            <w:vAlign w:val="center"/>
          </w:tcPr>
          <w:p>
            <w:pPr>
              <w:pStyle w:val="28"/>
            </w:pPr>
            <w:r>
              <w:t>资金成本使用率</w:t>
            </w:r>
          </w:p>
        </w:tc>
        <w:tc>
          <w:tcPr>
            <w:tcW w:w="2551" w:type="dxa"/>
            <w:vAlign w:val="center"/>
          </w:tcPr>
          <w:p>
            <w:pPr>
              <w:pStyle w:val="28"/>
            </w:pPr>
            <w:r>
              <w:t>≥90达到90%为优</w:t>
            </w:r>
          </w:p>
        </w:tc>
        <w:tc>
          <w:tcPr>
            <w:tcW w:w="2268" w:type="dxa"/>
            <w:vAlign w:val="center"/>
          </w:tcPr>
          <w:p>
            <w:pPr>
              <w:pStyle w:val="28"/>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在本区域重要影响，得到广大受众的充分认可</w:t>
            </w:r>
          </w:p>
        </w:tc>
        <w:tc>
          <w:tcPr>
            <w:tcW w:w="2551" w:type="dxa"/>
            <w:vAlign w:val="center"/>
          </w:tcPr>
          <w:p>
            <w:pPr>
              <w:pStyle w:val="28"/>
            </w:pPr>
            <w:r>
              <w:t>≥85达到85%为优</w:t>
            </w:r>
          </w:p>
        </w:tc>
        <w:tc>
          <w:tcPr>
            <w:tcW w:w="2268" w:type="dxa"/>
            <w:vAlign w:val="center"/>
          </w:tcPr>
          <w:p>
            <w:pPr>
              <w:pStyle w:val="28"/>
            </w:pPr>
            <w:r>
              <w:t>座谈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群众对当年基础设施建设的整体满意度</w:t>
            </w:r>
          </w:p>
        </w:tc>
        <w:tc>
          <w:tcPr>
            <w:tcW w:w="2551" w:type="dxa"/>
            <w:vAlign w:val="center"/>
          </w:tcPr>
          <w:p>
            <w:pPr>
              <w:pStyle w:val="28"/>
            </w:pPr>
            <w:r>
              <w:t>≥85达到85%为优</w:t>
            </w:r>
          </w:p>
        </w:tc>
        <w:tc>
          <w:tcPr>
            <w:tcW w:w="2268" w:type="dxa"/>
            <w:vAlign w:val="center"/>
          </w:tcPr>
          <w:p>
            <w:pPr>
              <w:pStyle w:val="28"/>
            </w:pPr>
            <w:r>
              <w:t>座谈</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8、机关后勤运转经费（综合工作经费）绩效目标表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1.用于食堂各类物品伙食费及大院维修维护开支</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食堂建设、改造面积</w:t>
            </w:r>
          </w:p>
        </w:tc>
        <w:tc>
          <w:tcPr>
            <w:tcW w:w="2835" w:type="dxa"/>
            <w:vAlign w:val="center"/>
          </w:tcPr>
          <w:p>
            <w:pPr>
              <w:pStyle w:val="28"/>
            </w:pPr>
            <w:r>
              <w:t>食堂建设、改造、修缮面积</w:t>
            </w:r>
          </w:p>
        </w:tc>
        <w:tc>
          <w:tcPr>
            <w:tcW w:w="2551" w:type="dxa"/>
            <w:vAlign w:val="center"/>
          </w:tcPr>
          <w:p>
            <w:pPr>
              <w:pStyle w:val="28"/>
            </w:pPr>
            <w:r>
              <w:t>以实际验收为准</w:t>
            </w:r>
          </w:p>
        </w:tc>
        <w:tc>
          <w:tcPr>
            <w:tcW w:w="2268" w:type="dxa"/>
            <w:vAlign w:val="center"/>
          </w:tcPr>
          <w:p>
            <w:pPr>
              <w:pStyle w:val="28"/>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购置物品及时率</w:t>
            </w:r>
          </w:p>
        </w:tc>
        <w:tc>
          <w:tcPr>
            <w:tcW w:w="2835" w:type="dxa"/>
            <w:vAlign w:val="center"/>
          </w:tcPr>
          <w:p>
            <w:pPr>
              <w:pStyle w:val="28"/>
            </w:pPr>
            <w:r>
              <w:t>购置物品及时率</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改造合格率</w:t>
            </w:r>
          </w:p>
        </w:tc>
        <w:tc>
          <w:tcPr>
            <w:tcW w:w="2835" w:type="dxa"/>
            <w:vAlign w:val="center"/>
          </w:tcPr>
          <w:p>
            <w:pPr>
              <w:pStyle w:val="28"/>
            </w:pPr>
            <w:r>
              <w:t>改造验收合格率</w:t>
            </w:r>
          </w:p>
        </w:tc>
        <w:tc>
          <w:tcPr>
            <w:tcW w:w="2551" w:type="dxa"/>
            <w:vAlign w:val="center"/>
          </w:tcPr>
          <w:p>
            <w:pPr>
              <w:pStyle w:val="28"/>
            </w:pPr>
            <w:r>
              <w:t>≥90达到90%为优</w:t>
            </w:r>
          </w:p>
        </w:tc>
        <w:tc>
          <w:tcPr>
            <w:tcW w:w="2268" w:type="dxa"/>
            <w:vAlign w:val="center"/>
          </w:tcPr>
          <w:p>
            <w:pPr>
              <w:pStyle w:val="28"/>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w:t>
            </w:r>
          </w:p>
        </w:tc>
        <w:tc>
          <w:tcPr>
            <w:tcW w:w="2835" w:type="dxa"/>
            <w:vAlign w:val="center"/>
          </w:tcPr>
          <w:p>
            <w:pPr>
              <w:pStyle w:val="28"/>
            </w:pPr>
            <w:r>
              <w:t>成本资金控制率</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大院环境整洁情况</w:t>
            </w:r>
          </w:p>
        </w:tc>
        <w:tc>
          <w:tcPr>
            <w:tcW w:w="2835" w:type="dxa"/>
            <w:vAlign w:val="center"/>
          </w:tcPr>
          <w:p>
            <w:pPr>
              <w:pStyle w:val="28"/>
            </w:pPr>
            <w:r>
              <w:t>大院整体环境的整洁度</w:t>
            </w:r>
          </w:p>
        </w:tc>
        <w:tc>
          <w:tcPr>
            <w:tcW w:w="2551" w:type="dxa"/>
            <w:vAlign w:val="center"/>
          </w:tcPr>
          <w:p>
            <w:pPr>
              <w:pStyle w:val="28"/>
            </w:pPr>
            <w:r>
              <w:t>≥90达到90%为优</w:t>
            </w:r>
          </w:p>
        </w:tc>
        <w:tc>
          <w:tcPr>
            <w:tcW w:w="2268" w:type="dxa"/>
            <w:vAlign w:val="center"/>
          </w:tcPr>
          <w:p>
            <w:pPr>
              <w:pStyle w:val="28"/>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职工对机关大院、食堂管理满意度</w:t>
            </w:r>
          </w:p>
        </w:tc>
        <w:tc>
          <w:tcPr>
            <w:tcW w:w="2551" w:type="dxa"/>
            <w:vAlign w:val="center"/>
          </w:tcPr>
          <w:p>
            <w:pPr>
              <w:pStyle w:val="28"/>
            </w:pPr>
            <w:r>
              <w:t>≥90达到90%为优</w:t>
            </w:r>
          </w:p>
        </w:tc>
        <w:tc>
          <w:tcPr>
            <w:tcW w:w="2268"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9、计划生育独生子女父母奖金绩效目标表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1.用于计划生育目标责任奖励、独生子女父母奖励等</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独生子女数量</w:t>
            </w:r>
          </w:p>
        </w:tc>
        <w:tc>
          <w:tcPr>
            <w:tcW w:w="2835" w:type="dxa"/>
            <w:vAlign w:val="center"/>
          </w:tcPr>
          <w:p>
            <w:pPr>
              <w:pStyle w:val="28"/>
            </w:pPr>
            <w:r>
              <w:t>发放独生子女的数量</w:t>
            </w:r>
          </w:p>
        </w:tc>
        <w:tc>
          <w:tcPr>
            <w:tcW w:w="2551" w:type="dxa"/>
            <w:vAlign w:val="center"/>
          </w:tcPr>
          <w:p>
            <w:pPr>
              <w:pStyle w:val="28"/>
            </w:pPr>
            <w:r>
              <w:t>以实际发放为准</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资金发放完成率</w:t>
            </w:r>
          </w:p>
        </w:tc>
        <w:tc>
          <w:tcPr>
            <w:tcW w:w="2835" w:type="dxa"/>
            <w:vAlign w:val="center"/>
          </w:tcPr>
          <w:p>
            <w:pPr>
              <w:pStyle w:val="28"/>
            </w:pPr>
            <w:r>
              <w:t>独生子女资金发放的完成率</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项目资金到位率</w:t>
            </w:r>
          </w:p>
        </w:tc>
        <w:tc>
          <w:tcPr>
            <w:tcW w:w="2835" w:type="dxa"/>
            <w:vAlign w:val="center"/>
          </w:tcPr>
          <w:p>
            <w:pPr>
              <w:pStyle w:val="28"/>
            </w:pPr>
            <w:r>
              <w:t>独生子女项目资金的及时到位率</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资金成本</w:t>
            </w:r>
          </w:p>
        </w:tc>
        <w:tc>
          <w:tcPr>
            <w:tcW w:w="2835" w:type="dxa"/>
            <w:vAlign w:val="center"/>
          </w:tcPr>
          <w:p>
            <w:pPr>
              <w:pStyle w:val="28"/>
            </w:pPr>
            <w:r>
              <w:t>资金成本</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独生子女群体的稳定水平</w:t>
            </w:r>
          </w:p>
        </w:tc>
        <w:tc>
          <w:tcPr>
            <w:tcW w:w="2835" w:type="dxa"/>
            <w:vAlign w:val="center"/>
          </w:tcPr>
          <w:p>
            <w:pPr>
              <w:pStyle w:val="28"/>
            </w:pPr>
            <w:r>
              <w:t>体现政府对独生子女父母群体的关爱</w:t>
            </w:r>
          </w:p>
        </w:tc>
        <w:tc>
          <w:tcPr>
            <w:tcW w:w="2551" w:type="dxa"/>
            <w:vAlign w:val="center"/>
          </w:tcPr>
          <w:p>
            <w:pPr>
              <w:pStyle w:val="28"/>
            </w:pPr>
            <w:r>
              <w:t>≥90达到90%为优</w:t>
            </w:r>
          </w:p>
        </w:tc>
        <w:tc>
          <w:tcPr>
            <w:tcW w:w="2268"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收到独生子女费及奖补资金群众的满意度</w:t>
            </w:r>
          </w:p>
        </w:tc>
        <w:tc>
          <w:tcPr>
            <w:tcW w:w="2551" w:type="dxa"/>
            <w:vAlign w:val="center"/>
          </w:tcPr>
          <w:p>
            <w:pPr>
              <w:pStyle w:val="28"/>
            </w:pPr>
            <w:r>
              <w:t>≥90达到90%为优</w:t>
            </w:r>
          </w:p>
        </w:tc>
        <w:tc>
          <w:tcPr>
            <w:tcW w:w="2268"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10、路域环境改造提升资金绩效目标表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1.完成兴柳线、定魏线、307沿线提升改造整治工程</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道路改造完成率</w:t>
            </w:r>
          </w:p>
        </w:tc>
        <w:tc>
          <w:tcPr>
            <w:tcW w:w="2835" w:type="dxa"/>
            <w:vAlign w:val="center"/>
          </w:tcPr>
          <w:p>
            <w:pPr>
              <w:pStyle w:val="28"/>
            </w:pPr>
            <w:r>
              <w:t>道路改造工程完成率</w:t>
            </w:r>
          </w:p>
        </w:tc>
        <w:tc>
          <w:tcPr>
            <w:tcW w:w="2551" w:type="dxa"/>
            <w:vAlign w:val="center"/>
          </w:tcPr>
          <w:p>
            <w:pPr>
              <w:pStyle w:val="28"/>
            </w:pPr>
            <w:r>
              <w:t>≥90道路改造完成率</w:t>
            </w:r>
          </w:p>
        </w:tc>
        <w:tc>
          <w:tcPr>
            <w:tcW w:w="2268" w:type="dxa"/>
            <w:vAlign w:val="center"/>
          </w:tcPr>
          <w:p>
            <w:pPr>
              <w:pStyle w:val="28"/>
            </w:pPr>
            <w:r>
              <w:t>道路改造工程完成率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优良率</w:t>
            </w:r>
          </w:p>
        </w:tc>
        <w:tc>
          <w:tcPr>
            <w:tcW w:w="2835" w:type="dxa"/>
            <w:vAlign w:val="center"/>
          </w:tcPr>
          <w:p>
            <w:pPr>
              <w:pStyle w:val="28"/>
            </w:pPr>
            <w:r>
              <w:t>结项鉴定优秀登记项目数量占结项总数量的比例(百分比）</w:t>
            </w:r>
          </w:p>
        </w:tc>
        <w:tc>
          <w:tcPr>
            <w:tcW w:w="2551" w:type="dxa"/>
            <w:vAlign w:val="center"/>
          </w:tcPr>
          <w:p>
            <w:pPr>
              <w:pStyle w:val="28"/>
            </w:pPr>
            <w:r>
              <w:t>≥90优良率</w:t>
            </w:r>
          </w:p>
        </w:tc>
        <w:tc>
          <w:tcPr>
            <w:tcW w:w="2268" w:type="dxa"/>
            <w:vAlign w:val="center"/>
          </w:tcPr>
          <w:p>
            <w:pPr>
              <w:pStyle w:val="28"/>
            </w:pPr>
            <w:r>
              <w:t>结项鉴定优秀等级项目数量占结项总数量的比例（百分比）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道路改造、绿化工程及时拨付资金</w:t>
            </w:r>
          </w:p>
        </w:tc>
        <w:tc>
          <w:tcPr>
            <w:tcW w:w="2551" w:type="dxa"/>
            <w:vAlign w:val="center"/>
          </w:tcPr>
          <w:p>
            <w:pPr>
              <w:pStyle w:val="28"/>
            </w:pPr>
            <w:r>
              <w:t>≥90资金拨付及时率</w:t>
            </w:r>
          </w:p>
        </w:tc>
        <w:tc>
          <w:tcPr>
            <w:tcW w:w="2268" w:type="dxa"/>
            <w:vAlign w:val="center"/>
          </w:tcPr>
          <w:p>
            <w:pPr>
              <w:pStyle w:val="28"/>
            </w:pPr>
            <w:r>
              <w:t>道路改造、绿化工程及时拨付资金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资本成本使用率</w:t>
            </w:r>
          </w:p>
        </w:tc>
        <w:tc>
          <w:tcPr>
            <w:tcW w:w="2835" w:type="dxa"/>
            <w:vAlign w:val="center"/>
          </w:tcPr>
          <w:p>
            <w:pPr>
              <w:pStyle w:val="28"/>
            </w:pPr>
            <w:r>
              <w:t>资本成本使用率</w:t>
            </w:r>
          </w:p>
        </w:tc>
        <w:tc>
          <w:tcPr>
            <w:tcW w:w="2551" w:type="dxa"/>
            <w:vAlign w:val="center"/>
          </w:tcPr>
          <w:p>
            <w:pPr>
              <w:pStyle w:val="28"/>
            </w:pPr>
            <w:r>
              <w:t>≥90资金成本使用率</w:t>
            </w:r>
          </w:p>
        </w:tc>
        <w:tc>
          <w:tcPr>
            <w:tcW w:w="2268" w:type="dxa"/>
            <w:vAlign w:val="center"/>
          </w:tcPr>
          <w:p>
            <w:pPr>
              <w:pStyle w:val="28"/>
            </w:pPr>
            <w:r>
              <w:t>道路改造工程资金成本使用情况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达到环境提升目标</w:t>
            </w:r>
          </w:p>
        </w:tc>
        <w:tc>
          <w:tcPr>
            <w:tcW w:w="2835" w:type="dxa"/>
            <w:vAlign w:val="center"/>
          </w:tcPr>
          <w:p>
            <w:pPr>
              <w:pStyle w:val="28"/>
            </w:pPr>
            <w:r>
              <w:t>环境得到提升</w:t>
            </w:r>
          </w:p>
        </w:tc>
        <w:tc>
          <w:tcPr>
            <w:tcW w:w="2551" w:type="dxa"/>
            <w:vAlign w:val="center"/>
          </w:tcPr>
          <w:p>
            <w:pPr>
              <w:pStyle w:val="28"/>
            </w:pPr>
            <w:r>
              <w:t>≥90达到90%为优</w:t>
            </w:r>
          </w:p>
        </w:tc>
        <w:tc>
          <w:tcPr>
            <w:tcW w:w="2268" w:type="dxa"/>
            <w:vAlign w:val="center"/>
          </w:tcPr>
          <w:p>
            <w:pPr>
              <w:pStyle w:val="28"/>
            </w:pPr>
            <w:r>
              <w:t>评审验收资料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群众对改造成果的整体满意度</w:t>
            </w:r>
          </w:p>
        </w:tc>
        <w:tc>
          <w:tcPr>
            <w:tcW w:w="2551" w:type="dxa"/>
            <w:vAlign w:val="center"/>
          </w:tcPr>
          <w:p>
            <w:pPr>
              <w:pStyle w:val="28"/>
            </w:pPr>
            <w:r>
              <w:t>≥90达到90%为优</w:t>
            </w:r>
          </w:p>
        </w:tc>
        <w:tc>
          <w:tcPr>
            <w:tcW w:w="2268" w:type="dxa"/>
            <w:vAlign w:val="center"/>
          </w:tcPr>
          <w:p>
            <w:pPr>
              <w:pStyle w:val="28"/>
            </w:pPr>
            <w:r>
              <w:t>调查研究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1.用于提升农村文化水平，丰富村民文化生活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村提升数量</w:t>
            </w:r>
          </w:p>
        </w:tc>
        <w:tc>
          <w:tcPr>
            <w:tcW w:w="2835" w:type="dxa"/>
            <w:vAlign w:val="center"/>
          </w:tcPr>
          <w:p>
            <w:pPr>
              <w:pStyle w:val="28"/>
            </w:pPr>
            <w:r>
              <w:t>村提升数量</w:t>
            </w:r>
          </w:p>
        </w:tc>
        <w:tc>
          <w:tcPr>
            <w:tcW w:w="2551" w:type="dxa"/>
            <w:vAlign w:val="center"/>
          </w:tcPr>
          <w:p>
            <w:pPr>
              <w:pStyle w:val="28"/>
            </w:pPr>
            <w:r>
              <w:t>19达到19个村为优</w:t>
            </w:r>
          </w:p>
        </w:tc>
        <w:tc>
          <w:tcPr>
            <w:tcW w:w="2268" w:type="dxa"/>
            <w:vAlign w:val="center"/>
          </w:tcPr>
          <w:p>
            <w:pPr>
              <w:pStyle w:val="28"/>
            </w:pPr>
            <w:r>
              <w:t>村级资料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优良率</w:t>
            </w:r>
          </w:p>
        </w:tc>
        <w:tc>
          <w:tcPr>
            <w:tcW w:w="2835" w:type="dxa"/>
            <w:vAlign w:val="center"/>
          </w:tcPr>
          <w:p>
            <w:pPr>
              <w:pStyle w:val="28"/>
            </w:pPr>
            <w:r>
              <w:t>文化建设考核合格以上的村占比例</w:t>
            </w:r>
          </w:p>
        </w:tc>
        <w:tc>
          <w:tcPr>
            <w:tcW w:w="2551" w:type="dxa"/>
            <w:vAlign w:val="center"/>
          </w:tcPr>
          <w:p>
            <w:pPr>
              <w:pStyle w:val="28"/>
            </w:pPr>
            <w:r>
              <w:t>≥90达到90%为优</w:t>
            </w:r>
          </w:p>
        </w:tc>
        <w:tc>
          <w:tcPr>
            <w:tcW w:w="2268" w:type="dxa"/>
            <w:vAlign w:val="center"/>
          </w:tcPr>
          <w:p>
            <w:pPr>
              <w:pStyle w:val="28"/>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农村建设保障资金及时拨付到位</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村级改善效果</w:t>
            </w:r>
          </w:p>
        </w:tc>
        <w:tc>
          <w:tcPr>
            <w:tcW w:w="2835" w:type="dxa"/>
            <w:vAlign w:val="center"/>
          </w:tcPr>
          <w:p>
            <w:pPr>
              <w:pStyle w:val="28"/>
            </w:pPr>
            <w:r>
              <w:t>节省资金推动农村各项工作完成率</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完善农村文化建设</w:t>
            </w:r>
          </w:p>
        </w:tc>
        <w:tc>
          <w:tcPr>
            <w:tcW w:w="2835" w:type="dxa"/>
            <w:vAlign w:val="center"/>
          </w:tcPr>
          <w:p>
            <w:pPr>
              <w:pStyle w:val="28"/>
            </w:pPr>
            <w:r>
              <w:t>在本区域重要影响，得到广大受众的充分认可</w:t>
            </w:r>
          </w:p>
        </w:tc>
        <w:tc>
          <w:tcPr>
            <w:tcW w:w="2551" w:type="dxa"/>
            <w:vAlign w:val="center"/>
          </w:tcPr>
          <w:p>
            <w:pPr>
              <w:pStyle w:val="28"/>
            </w:pPr>
            <w:r>
              <w:t>≥90达到90%为优</w:t>
            </w:r>
          </w:p>
        </w:tc>
        <w:tc>
          <w:tcPr>
            <w:tcW w:w="2268"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群众对农村文化建设满意度</w:t>
            </w:r>
          </w:p>
        </w:tc>
        <w:tc>
          <w:tcPr>
            <w:tcW w:w="2551" w:type="dxa"/>
            <w:vAlign w:val="center"/>
          </w:tcPr>
          <w:p>
            <w:pPr>
              <w:pStyle w:val="28"/>
            </w:pPr>
            <w:r>
              <w:t>≥90达到90%为优</w:t>
            </w:r>
          </w:p>
        </w:tc>
        <w:tc>
          <w:tcPr>
            <w:tcW w:w="2268"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12、社会综合治理（综治、联防人员劳务费、律师费等）绩效目标表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1.资金用于联防队员、门岗人员的开支；社会综合治理及律师费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人员数量</w:t>
            </w:r>
          </w:p>
        </w:tc>
        <w:tc>
          <w:tcPr>
            <w:tcW w:w="2835" w:type="dxa"/>
            <w:vAlign w:val="center"/>
          </w:tcPr>
          <w:p>
            <w:pPr>
              <w:pStyle w:val="28"/>
            </w:pPr>
            <w:r>
              <w:t>联防队员、门岗、河道等人员数量</w:t>
            </w:r>
          </w:p>
        </w:tc>
        <w:tc>
          <w:tcPr>
            <w:tcW w:w="2551" w:type="dxa"/>
            <w:vAlign w:val="center"/>
          </w:tcPr>
          <w:p>
            <w:pPr>
              <w:pStyle w:val="28"/>
            </w:pPr>
            <w:r>
              <w:t>以实际人数为准</w:t>
            </w:r>
          </w:p>
        </w:tc>
        <w:tc>
          <w:tcPr>
            <w:tcW w:w="2268" w:type="dxa"/>
            <w:vAlign w:val="center"/>
          </w:tcPr>
          <w:p>
            <w:pPr>
              <w:pStyle w:val="28"/>
            </w:pPr>
            <w:r>
              <w:t>人员名单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发放及时率</w:t>
            </w:r>
          </w:p>
        </w:tc>
        <w:tc>
          <w:tcPr>
            <w:tcW w:w="2835" w:type="dxa"/>
            <w:vAlign w:val="center"/>
          </w:tcPr>
          <w:p>
            <w:pPr>
              <w:pStyle w:val="28"/>
            </w:pPr>
            <w:r>
              <w:t>发放工资及时率</w:t>
            </w:r>
          </w:p>
        </w:tc>
        <w:tc>
          <w:tcPr>
            <w:tcW w:w="2551" w:type="dxa"/>
            <w:vAlign w:val="center"/>
          </w:tcPr>
          <w:p>
            <w:pPr>
              <w:pStyle w:val="28"/>
            </w:pPr>
            <w:r>
              <w:t>≥90达到90%为优</w:t>
            </w:r>
          </w:p>
        </w:tc>
        <w:tc>
          <w:tcPr>
            <w:tcW w:w="2268" w:type="dxa"/>
            <w:vAlign w:val="center"/>
          </w:tcPr>
          <w:p>
            <w:pPr>
              <w:pStyle w:val="28"/>
            </w:pPr>
            <w:r>
              <w:t>文字档案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经费保障率</w:t>
            </w:r>
          </w:p>
        </w:tc>
        <w:tc>
          <w:tcPr>
            <w:tcW w:w="2835" w:type="dxa"/>
            <w:vAlign w:val="center"/>
          </w:tcPr>
          <w:p>
            <w:pPr>
              <w:pStyle w:val="28"/>
            </w:pPr>
            <w:r>
              <w:t>保障有足够经费开展工作</w:t>
            </w:r>
          </w:p>
        </w:tc>
        <w:tc>
          <w:tcPr>
            <w:tcW w:w="2551" w:type="dxa"/>
            <w:vAlign w:val="center"/>
          </w:tcPr>
          <w:p>
            <w:pPr>
              <w:pStyle w:val="28"/>
            </w:pPr>
            <w:r>
              <w:t>≥90达到90%为优</w:t>
            </w:r>
          </w:p>
        </w:tc>
        <w:tc>
          <w:tcPr>
            <w:tcW w:w="2268" w:type="dxa"/>
            <w:vAlign w:val="center"/>
          </w:tcPr>
          <w:p>
            <w:pPr>
              <w:pStyle w:val="28"/>
            </w:pPr>
            <w:r>
              <w:t>月报表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资金成本率</w:t>
            </w:r>
          </w:p>
        </w:tc>
        <w:tc>
          <w:tcPr>
            <w:tcW w:w="2835" w:type="dxa"/>
            <w:vAlign w:val="center"/>
          </w:tcPr>
          <w:p>
            <w:pPr>
              <w:pStyle w:val="28"/>
            </w:pPr>
            <w:r>
              <w:t>资金成本控制</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重要影响，得到广大受众的充分认可</w:t>
            </w:r>
          </w:p>
        </w:tc>
        <w:tc>
          <w:tcPr>
            <w:tcW w:w="2551" w:type="dxa"/>
            <w:vAlign w:val="center"/>
          </w:tcPr>
          <w:p>
            <w:pPr>
              <w:pStyle w:val="28"/>
            </w:pPr>
            <w:r>
              <w:t>≥85达到85%为优</w:t>
            </w:r>
          </w:p>
        </w:tc>
        <w:tc>
          <w:tcPr>
            <w:tcW w:w="2268" w:type="dxa"/>
            <w:vAlign w:val="center"/>
          </w:tcPr>
          <w:p>
            <w:pPr>
              <w:pStyle w:val="28"/>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接受基本公共服务的重点人群对提供服务的满意程度</w:t>
            </w:r>
          </w:p>
        </w:tc>
        <w:tc>
          <w:tcPr>
            <w:tcW w:w="2551" w:type="dxa"/>
            <w:vAlign w:val="center"/>
          </w:tcPr>
          <w:p>
            <w:pPr>
              <w:pStyle w:val="28"/>
            </w:pPr>
            <w:r>
              <w:t>≥90达到90%为优</w:t>
            </w:r>
          </w:p>
        </w:tc>
        <w:tc>
          <w:tcPr>
            <w:tcW w:w="2268" w:type="dxa"/>
            <w:vAlign w:val="center"/>
          </w:tcPr>
          <w:p>
            <w:pPr>
              <w:pStyle w:val="28"/>
            </w:pPr>
            <w:r>
              <w:t>群众调查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13、石财农【2021】88号关于提前下达2022年中央农村改革转移支付预算的通知绩效目标表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1.用于2022年农村一事一议支出，改善农村村容村貌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村级个数</w:t>
            </w:r>
          </w:p>
        </w:tc>
        <w:tc>
          <w:tcPr>
            <w:tcW w:w="2835" w:type="dxa"/>
            <w:vAlign w:val="center"/>
          </w:tcPr>
          <w:p>
            <w:pPr>
              <w:pStyle w:val="28"/>
            </w:pPr>
            <w:r>
              <w:t>公益事业支出村级个数</w:t>
            </w:r>
          </w:p>
        </w:tc>
        <w:tc>
          <w:tcPr>
            <w:tcW w:w="2551" w:type="dxa"/>
            <w:vAlign w:val="center"/>
          </w:tcPr>
          <w:p>
            <w:pPr>
              <w:pStyle w:val="28"/>
            </w:pPr>
            <w:r>
              <w:t>≥1个</w:t>
            </w:r>
          </w:p>
        </w:tc>
        <w:tc>
          <w:tcPr>
            <w:tcW w:w="2268"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全部工程完工后验收符合行业标准质量要求比率</w:t>
            </w:r>
          </w:p>
        </w:tc>
        <w:tc>
          <w:tcPr>
            <w:tcW w:w="2551" w:type="dxa"/>
            <w:vAlign w:val="center"/>
          </w:tcPr>
          <w:p>
            <w:pPr>
              <w:pStyle w:val="28"/>
            </w:pPr>
            <w:r>
              <w:t>≥95%</w:t>
            </w:r>
          </w:p>
        </w:tc>
        <w:tc>
          <w:tcPr>
            <w:tcW w:w="2268"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按照年初预算标准合理分配及时拨付</w:t>
            </w:r>
          </w:p>
        </w:tc>
        <w:tc>
          <w:tcPr>
            <w:tcW w:w="2551" w:type="dxa"/>
            <w:vAlign w:val="center"/>
          </w:tcPr>
          <w:p>
            <w:pPr>
              <w:pStyle w:val="28"/>
            </w:pPr>
            <w:r>
              <w:t>≥95%</w:t>
            </w:r>
          </w:p>
        </w:tc>
        <w:tc>
          <w:tcPr>
            <w:tcW w:w="2268"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按预算项目执行</w:t>
            </w:r>
          </w:p>
        </w:tc>
        <w:tc>
          <w:tcPr>
            <w:tcW w:w="2551" w:type="dxa"/>
            <w:vAlign w:val="center"/>
          </w:tcPr>
          <w:p>
            <w:pPr>
              <w:pStyle w:val="28"/>
            </w:pPr>
            <w:r>
              <w:t>元/项</w:t>
            </w:r>
          </w:p>
        </w:tc>
        <w:tc>
          <w:tcPr>
            <w:tcW w:w="2268"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农村环境得到改善</w:t>
            </w:r>
          </w:p>
        </w:tc>
        <w:tc>
          <w:tcPr>
            <w:tcW w:w="2835" w:type="dxa"/>
            <w:vAlign w:val="center"/>
          </w:tcPr>
          <w:p>
            <w:pPr>
              <w:pStyle w:val="28"/>
            </w:pPr>
            <w:r>
              <w:t>农村环境有所提升并得到有效改善</w:t>
            </w:r>
          </w:p>
        </w:tc>
        <w:tc>
          <w:tcPr>
            <w:tcW w:w="2551" w:type="dxa"/>
            <w:vAlign w:val="center"/>
          </w:tcPr>
          <w:p>
            <w:pPr>
              <w:pStyle w:val="28"/>
            </w:pPr>
            <w:r>
              <w:t>≥95%</w:t>
            </w:r>
          </w:p>
        </w:tc>
        <w:tc>
          <w:tcPr>
            <w:tcW w:w="2268"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群众对当年农村公益事业建设的整体满意度</w:t>
            </w:r>
          </w:p>
        </w:tc>
        <w:tc>
          <w:tcPr>
            <w:tcW w:w="2551" w:type="dxa"/>
            <w:vAlign w:val="center"/>
          </w:tcPr>
          <w:p>
            <w:pPr>
              <w:pStyle w:val="28"/>
            </w:pPr>
            <w:r>
              <w:t>≥95%</w:t>
            </w:r>
          </w:p>
        </w:tc>
        <w:tc>
          <w:tcPr>
            <w:tcW w:w="2268"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14、维护社会稳定及国家安全绩效目标表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1.资金用于维护社会稳定、国家安全的开支</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维稳次数</w:t>
            </w:r>
          </w:p>
        </w:tc>
        <w:tc>
          <w:tcPr>
            <w:tcW w:w="2835" w:type="dxa"/>
            <w:vAlign w:val="center"/>
          </w:tcPr>
          <w:p>
            <w:pPr>
              <w:pStyle w:val="28"/>
            </w:pPr>
            <w:r>
              <w:t>维护社会稳定的次数</w:t>
            </w:r>
          </w:p>
        </w:tc>
        <w:tc>
          <w:tcPr>
            <w:tcW w:w="2551" w:type="dxa"/>
            <w:vAlign w:val="center"/>
          </w:tcPr>
          <w:p>
            <w:pPr>
              <w:pStyle w:val="28"/>
            </w:pPr>
            <w:r>
              <w:t>≥30达到30次为优</w:t>
            </w:r>
          </w:p>
        </w:tc>
        <w:tc>
          <w:tcPr>
            <w:tcW w:w="2268" w:type="dxa"/>
            <w:vAlign w:val="center"/>
          </w:tcPr>
          <w:p>
            <w:pPr>
              <w:pStyle w:val="28"/>
            </w:pPr>
            <w:r>
              <w:t>维稳审批单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维稳资金到位率</w:t>
            </w:r>
          </w:p>
        </w:tc>
        <w:tc>
          <w:tcPr>
            <w:tcW w:w="2835" w:type="dxa"/>
            <w:vAlign w:val="center"/>
          </w:tcPr>
          <w:p>
            <w:pPr>
              <w:pStyle w:val="28"/>
            </w:pPr>
            <w:r>
              <w:t>维护社会稳定资金到位率</w:t>
            </w:r>
          </w:p>
        </w:tc>
        <w:tc>
          <w:tcPr>
            <w:tcW w:w="2551" w:type="dxa"/>
            <w:vAlign w:val="center"/>
          </w:tcPr>
          <w:p>
            <w:pPr>
              <w:pStyle w:val="28"/>
            </w:pPr>
            <w:r>
              <w:t>≥90达到90%为优</w:t>
            </w:r>
          </w:p>
        </w:tc>
        <w:tc>
          <w:tcPr>
            <w:tcW w:w="2268" w:type="dxa"/>
            <w:vAlign w:val="center"/>
          </w:tcPr>
          <w:p>
            <w:pPr>
              <w:pStyle w:val="28"/>
            </w:pPr>
            <w:r>
              <w:t>维稳审批单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及时率</w:t>
            </w:r>
          </w:p>
        </w:tc>
        <w:tc>
          <w:tcPr>
            <w:tcW w:w="2835" w:type="dxa"/>
            <w:vAlign w:val="center"/>
          </w:tcPr>
          <w:p>
            <w:pPr>
              <w:pStyle w:val="28"/>
            </w:pPr>
            <w:r>
              <w:t>各项经费及时、足额拨付</w:t>
            </w:r>
          </w:p>
        </w:tc>
        <w:tc>
          <w:tcPr>
            <w:tcW w:w="2551" w:type="dxa"/>
            <w:vAlign w:val="center"/>
          </w:tcPr>
          <w:p>
            <w:pPr>
              <w:pStyle w:val="28"/>
            </w:pPr>
            <w:r>
              <w:t>≥90达到90%为优</w:t>
            </w:r>
          </w:p>
        </w:tc>
        <w:tc>
          <w:tcPr>
            <w:tcW w:w="2268" w:type="dxa"/>
            <w:vAlign w:val="center"/>
          </w:tcPr>
          <w:p>
            <w:pPr>
              <w:pStyle w:val="28"/>
            </w:pPr>
            <w:r>
              <w:t>维稳审批单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成本控制率</w:t>
            </w:r>
          </w:p>
        </w:tc>
        <w:tc>
          <w:tcPr>
            <w:tcW w:w="2835" w:type="dxa"/>
            <w:vAlign w:val="center"/>
          </w:tcPr>
          <w:p>
            <w:pPr>
              <w:pStyle w:val="28"/>
            </w:pPr>
            <w:r>
              <w:t>资金成本控制率</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村稳定水平</w:t>
            </w:r>
          </w:p>
        </w:tc>
        <w:tc>
          <w:tcPr>
            <w:tcW w:w="2835" w:type="dxa"/>
            <w:vAlign w:val="center"/>
          </w:tcPr>
          <w:p>
            <w:pPr>
              <w:pStyle w:val="28"/>
            </w:pPr>
            <w:r>
              <w:t>通过解决问题实施稳控</w:t>
            </w:r>
          </w:p>
        </w:tc>
        <w:tc>
          <w:tcPr>
            <w:tcW w:w="2551" w:type="dxa"/>
            <w:vAlign w:val="center"/>
          </w:tcPr>
          <w:p>
            <w:pPr>
              <w:pStyle w:val="28"/>
            </w:pPr>
            <w:r>
              <w:t>减少越级访非访次数</w:t>
            </w:r>
          </w:p>
        </w:tc>
        <w:tc>
          <w:tcPr>
            <w:tcW w:w="2268" w:type="dxa"/>
            <w:vAlign w:val="center"/>
          </w:tcPr>
          <w:p>
            <w:pPr>
              <w:pStyle w:val="28"/>
            </w:pPr>
            <w:r>
              <w:t>信访排名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服务对象对维稳工作的满意度</w:t>
            </w:r>
          </w:p>
        </w:tc>
        <w:tc>
          <w:tcPr>
            <w:tcW w:w="2551" w:type="dxa"/>
            <w:vAlign w:val="center"/>
          </w:tcPr>
          <w:p>
            <w:pPr>
              <w:pStyle w:val="28"/>
            </w:pPr>
            <w:r>
              <w:t>≥90达到90%为优</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15、慰问、补助、奖励经费绩效目标表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1.完善救助补充体系，推动相关救助制度,做到应救全救保障边缘户，及其他临时困难群体的生活。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救助对象条件符合率</w:t>
            </w:r>
          </w:p>
        </w:tc>
        <w:tc>
          <w:tcPr>
            <w:tcW w:w="2835" w:type="dxa"/>
            <w:vAlign w:val="center"/>
          </w:tcPr>
          <w:p>
            <w:pPr>
              <w:pStyle w:val="28"/>
            </w:pPr>
            <w:r>
              <w:t>村级证明</w:t>
            </w:r>
          </w:p>
        </w:tc>
        <w:tc>
          <w:tcPr>
            <w:tcW w:w="2551" w:type="dxa"/>
            <w:vAlign w:val="center"/>
          </w:tcPr>
          <w:p>
            <w:pPr>
              <w:pStyle w:val="28"/>
            </w:pPr>
            <w:r>
              <w:t>符合救助的对象有必要证明</w:t>
            </w:r>
          </w:p>
        </w:tc>
        <w:tc>
          <w:tcPr>
            <w:tcW w:w="2268" w:type="dxa"/>
            <w:vAlign w:val="center"/>
          </w:tcPr>
          <w:p>
            <w:pPr>
              <w:pStyle w:val="28"/>
            </w:pPr>
            <w:r>
              <w:t>文件证明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年度救助支出</w:t>
            </w:r>
          </w:p>
        </w:tc>
        <w:tc>
          <w:tcPr>
            <w:tcW w:w="2551" w:type="dxa"/>
            <w:vAlign w:val="center"/>
          </w:tcPr>
          <w:p>
            <w:pPr>
              <w:pStyle w:val="28"/>
            </w:pPr>
            <w:r>
              <w:t>≥100达到100%为优</w:t>
            </w:r>
          </w:p>
        </w:tc>
        <w:tc>
          <w:tcPr>
            <w:tcW w:w="2268" w:type="dxa"/>
            <w:vAlign w:val="center"/>
          </w:tcPr>
          <w:p>
            <w:pPr>
              <w:pStyle w:val="28"/>
            </w:pPr>
            <w:r>
              <w:t>年底支出进度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专项资金拨付及时率</w:t>
            </w:r>
          </w:p>
        </w:tc>
        <w:tc>
          <w:tcPr>
            <w:tcW w:w="2835" w:type="dxa"/>
            <w:vAlign w:val="center"/>
          </w:tcPr>
          <w:p>
            <w:pPr>
              <w:pStyle w:val="28"/>
            </w:pPr>
            <w:r>
              <w:t>慰问救助资金拨付及时率</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项目成本</w:t>
            </w:r>
          </w:p>
        </w:tc>
        <w:tc>
          <w:tcPr>
            <w:tcW w:w="2835" w:type="dxa"/>
            <w:vAlign w:val="center"/>
          </w:tcPr>
          <w:p>
            <w:pPr>
              <w:pStyle w:val="28"/>
            </w:pPr>
            <w:r>
              <w:t>项目成本</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困难群体受益率</w:t>
            </w:r>
          </w:p>
        </w:tc>
        <w:tc>
          <w:tcPr>
            <w:tcW w:w="2835" w:type="dxa"/>
            <w:vAlign w:val="center"/>
          </w:tcPr>
          <w:p>
            <w:pPr>
              <w:pStyle w:val="28"/>
            </w:pPr>
            <w:r>
              <w:t>应救全救使困难群体受益</w:t>
            </w:r>
          </w:p>
        </w:tc>
        <w:tc>
          <w:tcPr>
            <w:tcW w:w="2551" w:type="dxa"/>
            <w:vAlign w:val="center"/>
          </w:tcPr>
          <w:p>
            <w:pPr>
              <w:pStyle w:val="28"/>
            </w:pPr>
            <w:r>
              <w:t>≥90达到90%为优</w:t>
            </w:r>
          </w:p>
        </w:tc>
        <w:tc>
          <w:tcPr>
            <w:tcW w:w="2268"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接受救助的重点人群对救助服务的满意程度</w:t>
            </w:r>
          </w:p>
        </w:tc>
        <w:tc>
          <w:tcPr>
            <w:tcW w:w="2551" w:type="dxa"/>
            <w:vAlign w:val="center"/>
          </w:tcPr>
          <w:p>
            <w:pPr>
              <w:pStyle w:val="28"/>
            </w:pPr>
            <w:r>
              <w:t>≥90达到90%为优</w:t>
            </w:r>
          </w:p>
        </w:tc>
        <w:tc>
          <w:tcPr>
            <w:tcW w:w="2268" w:type="dxa"/>
            <w:vAlign w:val="center"/>
          </w:tcPr>
          <w:p>
            <w:pPr>
              <w:pStyle w:val="28"/>
            </w:pPr>
            <w:r>
              <w:t>群众座谈</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16、文教卫生及疫情防控经费绩效目标表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1.主要用于疫情防控支出，学区文教建设支出，卫生系统建设支出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疫情防控卫生用品支出</w:t>
            </w:r>
          </w:p>
        </w:tc>
        <w:tc>
          <w:tcPr>
            <w:tcW w:w="2835" w:type="dxa"/>
            <w:vAlign w:val="center"/>
          </w:tcPr>
          <w:p>
            <w:pPr>
              <w:pStyle w:val="28"/>
            </w:pPr>
            <w:r>
              <w:t>及时购买防疫口罩服装等</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资金拨付及时率</w:t>
            </w:r>
          </w:p>
        </w:tc>
        <w:tc>
          <w:tcPr>
            <w:tcW w:w="2835" w:type="dxa"/>
            <w:vAlign w:val="center"/>
          </w:tcPr>
          <w:p>
            <w:pPr>
              <w:pStyle w:val="28"/>
            </w:pPr>
            <w:r>
              <w:t>疫情防控支出及时拨付到位</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资金到位率</w:t>
            </w:r>
          </w:p>
        </w:tc>
        <w:tc>
          <w:tcPr>
            <w:tcW w:w="2835" w:type="dxa"/>
            <w:vAlign w:val="center"/>
          </w:tcPr>
          <w:p>
            <w:pPr>
              <w:pStyle w:val="28"/>
            </w:pPr>
            <w:r>
              <w:t>按照文化卫生实际需求安排支出</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项目成本</w:t>
            </w:r>
          </w:p>
        </w:tc>
        <w:tc>
          <w:tcPr>
            <w:tcW w:w="2835" w:type="dxa"/>
            <w:vAlign w:val="center"/>
          </w:tcPr>
          <w:p>
            <w:pPr>
              <w:pStyle w:val="28"/>
            </w:pPr>
            <w:r>
              <w:t>项目成本</w:t>
            </w:r>
          </w:p>
        </w:tc>
        <w:tc>
          <w:tcPr>
            <w:tcW w:w="2551" w:type="dxa"/>
            <w:vAlign w:val="center"/>
          </w:tcPr>
          <w:p>
            <w:pPr>
              <w:pStyle w:val="28"/>
            </w:pPr>
            <w:r>
              <w:t>尽可能降低项目成本</w:t>
            </w:r>
          </w:p>
        </w:tc>
        <w:tc>
          <w:tcPr>
            <w:tcW w:w="2268" w:type="dxa"/>
            <w:vAlign w:val="center"/>
          </w:tcPr>
          <w:p>
            <w:pPr>
              <w:pStyle w:val="28"/>
            </w:pPr>
            <w:r>
              <w:t>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疫情稳定水平</w:t>
            </w:r>
          </w:p>
        </w:tc>
        <w:tc>
          <w:tcPr>
            <w:tcW w:w="2835" w:type="dxa"/>
            <w:vAlign w:val="center"/>
          </w:tcPr>
          <w:p>
            <w:pPr>
              <w:pStyle w:val="28"/>
            </w:pPr>
            <w:r>
              <w:t>通过解决问题实施疫情稳控</w:t>
            </w:r>
          </w:p>
        </w:tc>
        <w:tc>
          <w:tcPr>
            <w:tcW w:w="2551" w:type="dxa"/>
            <w:vAlign w:val="center"/>
          </w:tcPr>
          <w:p>
            <w:pPr>
              <w:pStyle w:val="28"/>
            </w:pPr>
            <w:r>
              <w:t>≥90达到90%为优</w:t>
            </w:r>
          </w:p>
        </w:tc>
        <w:tc>
          <w:tcPr>
            <w:tcW w:w="2268" w:type="dxa"/>
            <w:vAlign w:val="center"/>
          </w:tcPr>
          <w:p>
            <w:pPr>
              <w:pStyle w:val="28"/>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群众对疫情防控稳定情况满意度</w:t>
            </w:r>
          </w:p>
        </w:tc>
        <w:tc>
          <w:tcPr>
            <w:tcW w:w="2551" w:type="dxa"/>
            <w:vAlign w:val="center"/>
          </w:tcPr>
          <w:p>
            <w:pPr>
              <w:pStyle w:val="28"/>
            </w:pPr>
            <w:r>
              <w:t>≥90达到90%为优</w:t>
            </w:r>
          </w:p>
        </w:tc>
        <w:tc>
          <w:tcPr>
            <w:tcW w:w="2268"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17、信访维稳、安全生产、食品安全（综合工作经费）绩效目标表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1.保障镇安全生产、食品安全工作经费；促进工作开展，提升镇各项工作水平。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经费保障率</w:t>
            </w:r>
          </w:p>
        </w:tc>
        <w:tc>
          <w:tcPr>
            <w:tcW w:w="2835" w:type="dxa"/>
            <w:vAlign w:val="center"/>
          </w:tcPr>
          <w:p>
            <w:pPr>
              <w:pStyle w:val="28"/>
            </w:pPr>
            <w:r>
              <w:t>保障有足够经费开展工作</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及时率</w:t>
            </w:r>
          </w:p>
        </w:tc>
        <w:tc>
          <w:tcPr>
            <w:tcW w:w="2835" w:type="dxa"/>
            <w:vAlign w:val="center"/>
          </w:tcPr>
          <w:p>
            <w:pPr>
              <w:pStyle w:val="28"/>
            </w:pPr>
            <w:r>
              <w:t>各项经费及时、足额拨付</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国家级继续教育基地补贴标准</w:t>
            </w:r>
          </w:p>
        </w:tc>
        <w:tc>
          <w:tcPr>
            <w:tcW w:w="2835" w:type="dxa"/>
            <w:vAlign w:val="center"/>
          </w:tcPr>
          <w:p>
            <w:pPr>
              <w:pStyle w:val="28"/>
            </w:pPr>
            <w:r>
              <w:t>国家级继续教育基地补贴标准</w:t>
            </w:r>
          </w:p>
        </w:tc>
        <w:tc>
          <w:tcPr>
            <w:tcW w:w="2551" w:type="dxa"/>
            <w:vAlign w:val="center"/>
          </w:tcPr>
          <w:p>
            <w:pPr>
              <w:pStyle w:val="28"/>
            </w:pPr>
            <w:r>
              <w:t>≥90达到90%为优</w:t>
            </w:r>
          </w:p>
        </w:tc>
        <w:tc>
          <w:tcPr>
            <w:tcW w:w="2268" w:type="dxa"/>
            <w:vAlign w:val="center"/>
          </w:tcPr>
          <w:p>
            <w:pPr>
              <w:pStyle w:val="28"/>
            </w:pPr>
            <w:r>
              <w:t>签字验收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完成事项数量</w:t>
            </w:r>
          </w:p>
        </w:tc>
        <w:tc>
          <w:tcPr>
            <w:tcW w:w="2835" w:type="dxa"/>
            <w:vAlign w:val="center"/>
          </w:tcPr>
          <w:p>
            <w:pPr>
              <w:pStyle w:val="28"/>
            </w:pPr>
            <w:r>
              <w:t>完成事项数量占比</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重要影响，得到广大受众的充分认可</w:t>
            </w:r>
          </w:p>
        </w:tc>
        <w:tc>
          <w:tcPr>
            <w:tcW w:w="2551" w:type="dxa"/>
            <w:vAlign w:val="center"/>
          </w:tcPr>
          <w:p>
            <w:pPr>
              <w:pStyle w:val="28"/>
            </w:pPr>
            <w:r>
              <w:t>≥85达到85%为优</w:t>
            </w:r>
          </w:p>
        </w:tc>
        <w:tc>
          <w:tcPr>
            <w:tcW w:w="2268"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≥90达到90%为优</w:t>
            </w:r>
          </w:p>
        </w:tc>
        <w:tc>
          <w:tcPr>
            <w:tcW w:w="2268" w:type="dxa"/>
            <w:vAlign w:val="center"/>
          </w:tcPr>
          <w:p>
            <w:pPr>
              <w:pStyle w:val="28"/>
            </w:pPr>
            <w:r>
              <w:t>职工座谈</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18、兴柳线沿线整治经费绩效目标表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1.用于兴柳线沿线环境整治，提升人居环境水平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村容村貌得到改善</w:t>
            </w:r>
          </w:p>
        </w:tc>
        <w:tc>
          <w:tcPr>
            <w:tcW w:w="2835" w:type="dxa"/>
            <w:vAlign w:val="center"/>
          </w:tcPr>
          <w:p>
            <w:pPr>
              <w:pStyle w:val="28"/>
            </w:pPr>
            <w:r>
              <w:t>村容村貌得到改善的农村数量</w:t>
            </w:r>
          </w:p>
        </w:tc>
        <w:tc>
          <w:tcPr>
            <w:tcW w:w="2551" w:type="dxa"/>
            <w:vAlign w:val="center"/>
          </w:tcPr>
          <w:p>
            <w:pPr>
              <w:pStyle w:val="28"/>
            </w:pPr>
            <w:r>
              <w:t>≥6达到6村为优</w:t>
            </w:r>
          </w:p>
        </w:tc>
        <w:tc>
          <w:tcPr>
            <w:tcW w:w="2268" w:type="dxa"/>
            <w:vAlign w:val="center"/>
          </w:tcPr>
          <w:p>
            <w:pPr>
              <w:pStyle w:val="28"/>
            </w:pPr>
            <w:r>
              <w:t>村级证明资料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清理垃圾等完成及时率</w:t>
            </w:r>
          </w:p>
        </w:tc>
        <w:tc>
          <w:tcPr>
            <w:tcW w:w="2835" w:type="dxa"/>
            <w:vAlign w:val="center"/>
          </w:tcPr>
          <w:p>
            <w:pPr>
              <w:pStyle w:val="28"/>
            </w:pPr>
            <w:r>
              <w:t>清理垃圾及时率</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农村环境改善质量验收</w:t>
            </w:r>
          </w:p>
        </w:tc>
        <w:tc>
          <w:tcPr>
            <w:tcW w:w="2835" w:type="dxa"/>
            <w:vAlign w:val="center"/>
          </w:tcPr>
          <w:p>
            <w:pPr>
              <w:pStyle w:val="28"/>
            </w:pPr>
            <w:r>
              <w:t>农村环境改善质量验收合格率</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整治项目成本</w:t>
            </w:r>
          </w:p>
        </w:tc>
        <w:tc>
          <w:tcPr>
            <w:tcW w:w="2835" w:type="dxa"/>
            <w:vAlign w:val="center"/>
          </w:tcPr>
          <w:p>
            <w:pPr>
              <w:pStyle w:val="28"/>
            </w:pPr>
            <w:r>
              <w:t>严控控制整治项目成本</w:t>
            </w:r>
          </w:p>
        </w:tc>
        <w:tc>
          <w:tcPr>
            <w:tcW w:w="2551" w:type="dxa"/>
            <w:vAlign w:val="center"/>
          </w:tcPr>
          <w:p>
            <w:pPr>
              <w:pStyle w:val="28"/>
            </w:pPr>
            <w:r>
              <w:t>项目成本</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生态效益指标</w:t>
            </w:r>
          </w:p>
        </w:tc>
        <w:tc>
          <w:tcPr>
            <w:tcW w:w="2835" w:type="dxa"/>
            <w:vAlign w:val="center"/>
          </w:tcPr>
          <w:p>
            <w:pPr>
              <w:pStyle w:val="28"/>
            </w:pPr>
            <w:r>
              <w:t>解决一批垃圾污染严重的农村突出环境问题</w:t>
            </w:r>
          </w:p>
        </w:tc>
        <w:tc>
          <w:tcPr>
            <w:tcW w:w="2551" w:type="dxa"/>
            <w:vAlign w:val="center"/>
          </w:tcPr>
          <w:p>
            <w:pPr>
              <w:pStyle w:val="28"/>
            </w:pPr>
            <w:r>
              <w:t>≥90达到90%为优</w:t>
            </w:r>
          </w:p>
        </w:tc>
        <w:tc>
          <w:tcPr>
            <w:tcW w:w="2268" w:type="dxa"/>
            <w:vAlign w:val="center"/>
          </w:tcPr>
          <w:p>
            <w:pPr>
              <w:pStyle w:val="28"/>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群众对城乡社区环境卫生及创建卫生城项目的满意度</w:t>
            </w:r>
          </w:p>
        </w:tc>
        <w:tc>
          <w:tcPr>
            <w:tcW w:w="2551" w:type="dxa"/>
            <w:vAlign w:val="center"/>
          </w:tcPr>
          <w:p>
            <w:pPr>
              <w:pStyle w:val="28"/>
            </w:pPr>
            <w:r>
              <w:t>≥90达到90%为优</w:t>
            </w:r>
          </w:p>
        </w:tc>
        <w:tc>
          <w:tcPr>
            <w:tcW w:w="2268" w:type="dxa"/>
            <w:vAlign w:val="center"/>
          </w:tcPr>
          <w:p>
            <w:pPr>
              <w:pStyle w:val="28"/>
            </w:pPr>
            <w:r>
              <w:t>群众座谈</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1.用于上交学区工会费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在编人员数量</w:t>
            </w:r>
          </w:p>
        </w:tc>
        <w:tc>
          <w:tcPr>
            <w:tcW w:w="2835" w:type="dxa"/>
            <w:vAlign w:val="center"/>
          </w:tcPr>
          <w:p>
            <w:pPr>
              <w:pStyle w:val="28"/>
            </w:pPr>
            <w:r>
              <w:t>学区在编人员数量</w:t>
            </w:r>
          </w:p>
        </w:tc>
        <w:tc>
          <w:tcPr>
            <w:tcW w:w="2551" w:type="dxa"/>
            <w:vAlign w:val="center"/>
          </w:tcPr>
          <w:p>
            <w:pPr>
              <w:pStyle w:val="28"/>
            </w:pPr>
            <w:r>
              <w:t>达到300人为优</w:t>
            </w:r>
          </w:p>
        </w:tc>
        <w:tc>
          <w:tcPr>
            <w:tcW w:w="2268" w:type="dxa"/>
            <w:vAlign w:val="center"/>
          </w:tcPr>
          <w:p>
            <w:pPr>
              <w:pStyle w:val="28"/>
            </w:pPr>
            <w:r>
              <w:t>学区在编人员数量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资金缴纳完成率</w:t>
            </w:r>
          </w:p>
        </w:tc>
        <w:tc>
          <w:tcPr>
            <w:tcW w:w="2835" w:type="dxa"/>
            <w:vAlign w:val="center"/>
          </w:tcPr>
          <w:p>
            <w:pPr>
              <w:pStyle w:val="28"/>
            </w:pPr>
            <w:r>
              <w:t>项目工会的完成率</w:t>
            </w:r>
          </w:p>
        </w:tc>
        <w:tc>
          <w:tcPr>
            <w:tcW w:w="2551" w:type="dxa"/>
            <w:vAlign w:val="center"/>
          </w:tcPr>
          <w:p>
            <w:pPr>
              <w:pStyle w:val="28"/>
            </w:pPr>
            <w:r>
              <w:t>≥90达到90%为优</w:t>
            </w:r>
          </w:p>
        </w:tc>
        <w:tc>
          <w:tcPr>
            <w:tcW w:w="2268" w:type="dxa"/>
            <w:vAlign w:val="center"/>
          </w:tcPr>
          <w:p>
            <w:pPr>
              <w:pStyle w:val="28"/>
            </w:pPr>
            <w:r>
              <w:t>项目工会的完成率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资金缴纳及时率</w:t>
            </w:r>
          </w:p>
        </w:tc>
        <w:tc>
          <w:tcPr>
            <w:tcW w:w="2835" w:type="dxa"/>
            <w:vAlign w:val="center"/>
          </w:tcPr>
          <w:p>
            <w:pPr>
              <w:pStyle w:val="28"/>
            </w:pPr>
            <w:r>
              <w:t>项目工会的及时率</w:t>
            </w:r>
          </w:p>
        </w:tc>
        <w:tc>
          <w:tcPr>
            <w:tcW w:w="2551" w:type="dxa"/>
            <w:vAlign w:val="center"/>
          </w:tcPr>
          <w:p>
            <w:pPr>
              <w:pStyle w:val="28"/>
            </w:pPr>
            <w:r>
              <w:t>≥90达到90%为优</w:t>
            </w:r>
          </w:p>
        </w:tc>
        <w:tc>
          <w:tcPr>
            <w:tcW w:w="2268" w:type="dxa"/>
            <w:vAlign w:val="center"/>
          </w:tcPr>
          <w:p>
            <w:pPr>
              <w:pStyle w:val="28"/>
            </w:pPr>
            <w:r>
              <w:t>项目工会的及时率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工会缴费标准</w:t>
            </w:r>
          </w:p>
        </w:tc>
        <w:tc>
          <w:tcPr>
            <w:tcW w:w="2835" w:type="dxa"/>
            <w:vAlign w:val="center"/>
          </w:tcPr>
          <w:p>
            <w:pPr>
              <w:pStyle w:val="28"/>
            </w:pPr>
            <w:r>
              <w:t>能否达到绩效指标值</w:t>
            </w:r>
          </w:p>
        </w:tc>
        <w:tc>
          <w:tcPr>
            <w:tcW w:w="2551" w:type="dxa"/>
            <w:vAlign w:val="center"/>
          </w:tcPr>
          <w:p>
            <w:pPr>
              <w:pStyle w:val="28"/>
            </w:pPr>
            <w:r>
              <w:t>≥90达到90%为优</w:t>
            </w:r>
          </w:p>
        </w:tc>
        <w:tc>
          <w:tcPr>
            <w:tcW w:w="2268" w:type="dxa"/>
            <w:vAlign w:val="center"/>
          </w:tcPr>
          <w:p>
            <w:pPr>
              <w:pStyle w:val="28"/>
            </w:pPr>
            <w:r>
              <w:t>能否达到绩效指标值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工会服务满意度</w:t>
            </w:r>
          </w:p>
        </w:tc>
        <w:tc>
          <w:tcPr>
            <w:tcW w:w="2835" w:type="dxa"/>
            <w:vAlign w:val="center"/>
          </w:tcPr>
          <w:p>
            <w:pPr>
              <w:pStyle w:val="28"/>
            </w:pPr>
            <w:r>
              <w:t>满意人员占全部人员百分比</w:t>
            </w:r>
          </w:p>
        </w:tc>
        <w:tc>
          <w:tcPr>
            <w:tcW w:w="2551" w:type="dxa"/>
            <w:vAlign w:val="center"/>
          </w:tcPr>
          <w:p>
            <w:pPr>
              <w:pStyle w:val="28"/>
            </w:pPr>
            <w:r>
              <w:t>≥90达到90%为优</w:t>
            </w:r>
          </w:p>
        </w:tc>
        <w:tc>
          <w:tcPr>
            <w:tcW w:w="2268" w:type="dxa"/>
            <w:vAlign w:val="center"/>
          </w:tcPr>
          <w:p>
            <w:pPr>
              <w:pStyle w:val="28"/>
            </w:pPr>
            <w:r>
              <w:t>满意人员占全部人员百分比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工会职工满意度</w:t>
            </w:r>
          </w:p>
        </w:tc>
        <w:tc>
          <w:tcPr>
            <w:tcW w:w="2835" w:type="dxa"/>
            <w:vAlign w:val="center"/>
          </w:tcPr>
          <w:p>
            <w:pPr>
              <w:pStyle w:val="28"/>
            </w:pPr>
            <w:r>
              <w:t>满意人员占全部人员百分比</w:t>
            </w:r>
          </w:p>
        </w:tc>
        <w:tc>
          <w:tcPr>
            <w:tcW w:w="2551" w:type="dxa"/>
            <w:vAlign w:val="center"/>
          </w:tcPr>
          <w:p>
            <w:pPr>
              <w:pStyle w:val="28"/>
            </w:pPr>
            <w:r>
              <w:t>≥90达到90%为优</w:t>
            </w:r>
          </w:p>
        </w:tc>
        <w:tc>
          <w:tcPr>
            <w:tcW w:w="2268" w:type="dxa"/>
            <w:vAlign w:val="center"/>
          </w:tcPr>
          <w:p>
            <w:pPr>
              <w:pStyle w:val="28"/>
            </w:pPr>
            <w:r>
              <w:t>满意人员占全部人员百分比</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20、占地补偿、拆迁补偿费绩效目标表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1.资金用于占地补偿、拆迁补偿的支出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道路占地面积</w:t>
            </w:r>
          </w:p>
        </w:tc>
        <w:tc>
          <w:tcPr>
            <w:tcW w:w="2835" w:type="dxa"/>
            <w:vAlign w:val="center"/>
          </w:tcPr>
          <w:p>
            <w:pPr>
              <w:pStyle w:val="28"/>
            </w:pPr>
            <w:r>
              <w:t>以实际占有为准</w:t>
            </w:r>
          </w:p>
        </w:tc>
        <w:tc>
          <w:tcPr>
            <w:tcW w:w="2551" w:type="dxa"/>
            <w:vAlign w:val="center"/>
          </w:tcPr>
          <w:p>
            <w:pPr>
              <w:pStyle w:val="28"/>
            </w:pPr>
            <w:r>
              <w:t>以实际占有为准</w:t>
            </w:r>
          </w:p>
        </w:tc>
        <w:tc>
          <w:tcPr>
            <w:tcW w:w="2268" w:type="dxa"/>
            <w:vAlign w:val="center"/>
          </w:tcPr>
          <w:p>
            <w:pPr>
              <w:pStyle w:val="28"/>
            </w:pPr>
            <w:r>
              <w:t>村级证明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绿化项目规模</w:t>
            </w:r>
          </w:p>
        </w:tc>
        <w:tc>
          <w:tcPr>
            <w:tcW w:w="2835" w:type="dxa"/>
            <w:vAlign w:val="center"/>
          </w:tcPr>
          <w:p>
            <w:pPr>
              <w:pStyle w:val="28"/>
            </w:pPr>
            <w:r>
              <w:t>以实际占有为准</w:t>
            </w:r>
          </w:p>
        </w:tc>
        <w:tc>
          <w:tcPr>
            <w:tcW w:w="2551" w:type="dxa"/>
            <w:vAlign w:val="center"/>
          </w:tcPr>
          <w:p>
            <w:pPr>
              <w:pStyle w:val="28"/>
            </w:pPr>
            <w:r>
              <w:t>以实际占有为准</w:t>
            </w:r>
          </w:p>
        </w:tc>
        <w:tc>
          <w:tcPr>
            <w:tcW w:w="2268" w:type="dxa"/>
            <w:vAlign w:val="center"/>
          </w:tcPr>
          <w:p>
            <w:pPr>
              <w:pStyle w:val="28"/>
            </w:pPr>
            <w:r>
              <w:t>村级证明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项目资金的及时到位率</w:t>
            </w:r>
          </w:p>
        </w:tc>
        <w:tc>
          <w:tcPr>
            <w:tcW w:w="2835" w:type="dxa"/>
            <w:vAlign w:val="center"/>
          </w:tcPr>
          <w:p>
            <w:pPr>
              <w:pStyle w:val="28"/>
            </w:pPr>
            <w:r>
              <w:t>项目资金的及时到位率</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资金成本</w:t>
            </w:r>
          </w:p>
        </w:tc>
        <w:tc>
          <w:tcPr>
            <w:tcW w:w="2835" w:type="dxa"/>
            <w:vAlign w:val="center"/>
          </w:tcPr>
          <w:p>
            <w:pPr>
              <w:pStyle w:val="28"/>
            </w:pPr>
            <w:r>
              <w:t>资金成本控制率</w:t>
            </w:r>
          </w:p>
        </w:tc>
        <w:tc>
          <w:tcPr>
            <w:tcW w:w="2551" w:type="dxa"/>
            <w:vAlign w:val="center"/>
          </w:tcPr>
          <w:p>
            <w:pPr>
              <w:pStyle w:val="28"/>
            </w:pPr>
            <w:r>
              <w:t>≥90达到90%为优</w:t>
            </w:r>
          </w:p>
        </w:tc>
        <w:tc>
          <w:tcPr>
            <w:tcW w:w="2268"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占地群体受益率</w:t>
            </w:r>
          </w:p>
        </w:tc>
        <w:tc>
          <w:tcPr>
            <w:tcW w:w="2835" w:type="dxa"/>
            <w:vAlign w:val="center"/>
          </w:tcPr>
          <w:p>
            <w:pPr>
              <w:pStyle w:val="28"/>
            </w:pPr>
            <w:r>
              <w:t>被占地拆迁群体的受益率</w:t>
            </w:r>
          </w:p>
        </w:tc>
        <w:tc>
          <w:tcPr>
            <w:tcW w:w="2551" w:type="dxa"/>
            <w:vAlign w:val="center"/>
          </w:tcPr>
          <w:p>
            <w:pPr>
              <w:pStyle w:val="28"/>
            </w:pPr>
            <w:r>
              <w:t>≥90达到90%为优</w:t>
            </w:r>
          </w:p>
        </w:tc>
        <w:tc>
          <w:tcPr>
            <w:tcW w:w="2268"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基层群众对占地补偿工作的满意度</w:t>
            </w:r>
          </w:p>
        </w:tc>
        <w:tc>
          <w:tcPr>
            <w:tcW w:w="2551" w:type="dxa"/>
            <w:vAlign w:val="center"/>
          </w:tcPr>
          <w:p>
            <w:pPr>
              <w:pStyle w:val="28"/>
            </w:pPr>
            <w:r>
              <w:t>≥90达到90%为优</w:t>
            </w:r>
          </w:p>
        </w:tc>
        <w:tc>
          <w:tcPr>
            <w:tcW w:w="2268" w:type="dxa"/>
            <w:vAlign w:val="center"/>
          </w:tcPr>
          <w:p>
            <w:pPr>
              <w:pStyle w:val="28"/>
            </w:pPr>
            <w:r>
              <w:t>调查研究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21、镇政府工会费绩效目标表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1.用于上交镇政府工会费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在编人员数量</w:t>
            </w:r>
          </w:p>
        </w:tc>
        <w:tc>
          <w:tcPr>
            <w:tcW w:w="2835" w:type="dxa"/>
            <w:vAlign w:val="center"/>
          </w:tcPr>
          <w:p>
            <w:pPr>
              <w:pStyle w:val="28"/>
            </w:pPr>
            <w:r>
              <w:t>工会政府在编人员数量</w:t>
            </w:r>
          </w:p>
        </w:tc>
        <w:tc>
          <w:tcPr>
            <w:tcW w:w="2551" w:type="dxa"/>
            <w:vAlign w:val="center"/>
          </w:tcPr>
          <w:p>
            <w:pPr>
              <w:pStyle w:val="28"/>
            </w:pPr>
            <w:r>
              <w:t>≥80达到80人为优</w:t>
            </w:r>
          </w:p>
        </w:tc>
        <w:tc>
          <w:tcPr>
            <w:tcW w:w="2268" w:type="dxa"/>
            <w:vAlign w:val="center"/>
          </w:tcPr>
          <w:p>
            <w:pPr>
              <w:pStyle w:val="28"/>
            </w:pPr>
            <w:r>
              <w:t>政府编制文件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资金缴纳完成率</w:t>
            </w:r>
          </w:p>
        </w:tc>
        <w:tc>
          <w:tcPr>
            <w:tcW w:w="2835" w:type="dxa"/>
            <w:vAlign w:val="center"/>
          </w:tcPr>
          <w:p>
            <w:pPr>
              <w:pStyle w:val="28"/>
            </w:pPr>
            <w:r>
              <w:t>项目工会的完成率</w:t>
            </w:r>
          </w:p>
        </w:tc>
        <w:tc>
          <w:tcPr>
            <w:tcW w:w="2551" w:type="dxa"/>
            <w:vAlign w:val="center"/>
          </w:tcPr>
          <w:p>
            <w:pPr>
              <w:pStyle w:val="28"/>
            </w:pPr>
            <w:r>
              <w:t>≥100达到100%为优</w:t>
            </w:r>
          </w:p>
        </w:tc>
        <w:tc>
          <w:tcPr>
            <w:tcW w:w="2268" w:type="dxa"/>
            <w:vAlign w:val="center"/>
          </w:tcPr>
          <w:p>
            <w:pPr>
              <w:pStyle w:val="28"/>
            </w:pPr>
            <w:r>
              <w:t>缴纳回单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资金缴纳及时率</w:t>
            </w:r>
          </w:p>
        </w:tc>
        <w:tc>
          <w:tcPr>
            <w:tcW w:w="2835" w:type="dxa"/>
            <w:vAlign w:val="center"/>
          </w:tcPr>
          <w:p>
            <w:pPr>
              <w:pStyle w:val="28"/>
            </w:pPr>
            <w:r>
              <w:t>项目工会的及时率</w:t>
            </w:r>
          </w:p>
        </w:tc>
        <w:tc>
          <w:tcPr>
            <w:tcW w:w="2551" w:type="dxa"/>
            <w:vAlign w:val="center"/>
          </w:tcPr>
          <w:p>
            <w:pPr>
              <w:pStyle w:val="28"/>
            </w:pPr>
            <w:r>
              <w:t>≥90达到90%为优</w:t>
            </w:r>
          </w:p>
        </w:tc>
        <w:tc>
          <w:tcPr>
            <w:tcW w:w="2268" w:type="dxa"/>
            <w:vAlign w:val="center"/>
          </w:tcPr>
          <w:p>
            <w:pPr>
              <w:pStyle w:val="28"/>
            </w:pPr>
            <w:r>
              <w:t>文件资料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工会缴费标准</w:t>
            </w:r>
          </w:p>
        </w:tc>
        <w:tc>
          <w:tcPr>
            <w:tcW w:w="2835" w:type="dxa"/>
            <w:vAlign w:val="center"/>
          </w:tcPr>
          <w:p>
            <w:pPr>
              <w:pStyle w:val="28"/>
            </w:pPr>
            <w:r>
              <w:t>能否达到绩效指标值</w:t>
            </w:r>
          </w:p>
        </w:tc>
        <w:tc>
          <w:tcPr>
            <w:tcW w:w="2551" w:type="dxa"/>
            <w:vAlign w:val="center"/>
          </w:tcPr>
          <w:p>
            <w:pPr>
              <w:pStyle w:val="28"/>
            </w:pPr>
            <w:r>
              <w:t>≥90达到90%为优</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工会服务满意度</w:t>
            </w:r>
          </w:p>
        </w:tc>
        <w:tc>
          <w:tcPr>
            <w:tcW w:w="2835" w:type="dxa"/>
            <w:vAlign w:val="center"/>
          </w:tcPr>
          <w:p>
            <w:pPr>
              <w:pStyle w:val="28"/>
            </w:pPr>
            <w:r>
              <w:t>满意人员占全部人员百分比</w:t>
            </w:r>
          </w:p>
        </w:tc>
        <w:tc>
          <w:tcPr>
            <w:tcW w:w="2551" w:type="dxa"/>
            <w:vAlign w:val="center"/>
          </w:tcPr>
          <w:p>
            <w:pPr>
              <w:pStyle w:val="28"/>
            </w:pPr>
            <w:r>
              <w:t>≥90达到90%为优</w:t>
            </w:r>
          </w:p>
        </w:tc>
        <w:tc>
          <w:tcPr>
            <w:tcW w:w="2268"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工会职工满意度</w:t>
            </w:r>
          </w:p>
        </w:tc>
        <w:tc>
          <w:tcPr>
            <w:tcW w:w="2835" w:type="dxa"/>
            <w:vAlign w:val="center"/>
          </w:tcPr>
          <w:p>
            <w:pPr>
              <w:pStyle w:val="28"/>
            </w:pPr>
            <w:r>
              <w:t>满意人员占全部人员百分比</w:t>
            </w:r>
          </w:p>
        </w:tc>
        <w:tc>
          <w:tcPr>
            <w:tcW w:w="2551" w:type="dxa"/>
            <w:vAlign w:val="center"/>
          </w:tcPr>
          <w:p>
            <w:pPr>
              <w:pStyle w:val="28"/>
            </w:pPr>
            <w:r>
              <w:t>≥90达到90%为优</w:t>
            </w:r>
          </w:p>
        </w:tc>
        <w:tc>
          <w:tcPr>
            <w:tcW w:w="2268" w:type="dxa"/>
            <w:vAlign w:val="center"/>
          </w:tcPr>
          <w:p>
            <w:pPr>
              <w:pStyle w:val="28"/>
            </w:pPr>
            <w:r>
              <w:t>座谈</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2022年，石家庄市藁城区兴安镇人民政府本级安排政府采购预算0.00万元。具体内容见下表。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石家庄市藁城区兴安镇人民政府本级上年末固定资产金额为1288.36万元（详见下表）。本年度拟购置固定资产总额为30.81万元，</w:t>
      </w:r>
      <w:r>
        <w:rPr>
          <w:rFonts w:hint="eastAsia" w:ascii="Times New Roman" w:hAnsi="Times New Roman" w:eastAsia="方正仿宋_GBK" w:cs="Times New Roman"/>
          <w:b w:val="0"/>
          <w:color w:val="000000"/>
          <w:sz w:val="28"/>
          <w:lang w:val="uk-UA"/>
        </w:rPr>
        <w:t>主要为空调、计算机、打印机</w:t>
      </w:r>
      <w:r>
        <w:rPr>
          <w:rFonts w:hint="eastAsia" w:ascii="Times New Roman" w:hAnsi="Times New Roman" w:eastAsia="方正仿宋_GBK" w:cs="Times New Roman"/>
          <w:b w:val="0"/>
          <w:color w:val="000000"/>
          <w:sz w:val="28"/>
          <w:lang w:val="uk-UA" w:eastAsia="zh-CN"/>
        </w:rPr>
        <w:t>、家具</w:t>
      </w:r>
      <w:r>
        <w:rPr>
          <w:rFonts w:hint="eastAsia" w:ascii="Times New Roman" w:hAnsi="Times New Roman" w:eastAsia="方正仿宋_GBK" w:cs="Times New Roman"/>
          <w:b w:val="0"/>
          <w:color w:val="000000"/>
          <w:sz w:val="28"/>
          <w:lang w:val="uk-UA"/>
        </w:rPr>
        <w:t>等，因未达到政府采购限额，故未列入政府采购预算。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803001石家庄市藁城区兴安镇人民政府本级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1288.36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4790</w:t>
            </w:r>
          </w:p>
        </w:tc>
        <w:tc>
          <w:tcPr>
            <w:tcW w:w="2835" w:type="dxa"/>
            <w:vAlign w:val="center"/>
          </w:tcPr>
          <w:p>
            <w:pPr>
              <w:pStyle w:val="13"/>
            </w:pPr>
            <w:r>
              <w:t>1109.86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1130</w:t>
            </w:r>
          </w:p>
        </w:tc>
        <w:tc>
          <w:tcPr>
            <w:tcW w:w="2835" w:type="dxa"/>
            <w:vAlign w:val="center"/>
          </w:tcPr>
          <w:p>
            <w:pPr>
              <w:pStyle w:val="13"/>
            </w:pPr>
            <w:r>
              <w:t>260.96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201.24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区县级预算单位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bookmarkStart w:id="2" w:name="_GoBack"/>
      <w:bookmarkEnd w:id="2"/>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U4OWZkNTcwMTdkNTBjMGY0MjA3Zjg3NWZlZGZmZmMifQ=="/>
  </w:docVars>
  <w:rsids>
    <w:rsidRoot w:val="00000000"/>
    <w:rsid w:val="00DD3CF3"/>
    <w:rsid w:val="152F6116"/>
    <w:rsid w:val="16423E2A"/>
    <w:rsid w:val="185A0A79"/>
    <w:rsid w:val="1BBB5220"/>
    <w:rsid w:val="2A4D1923"/>
    <w:rsid w:val="31AC5DB3"/>
    <w:rsid w:val="32126AEB"/>
    <w:rsid w:val="344F6955"/>
    <w:rsid w:val="351D2DF2"/>
    <w:rsid w:val="352974DA"/>
    <w:rsid w:val="369E6FA0"/>
    <w:rsid w:val="382C6B4D"/>
    <w:rsid w:val="3E50563D"/>
    <w:rsid w:val="444E4BE0"/>
    <w:rsid w:val="447F2AEF"/>
    <w:rsid w:val="49DD7665"/>
    <w:rsid w:val="4BD411EA"/>
    <w:rsid w:val="4C636610"/>
    <w:rsid w:val="54505185"/>
    <w:rsid w:val="588F2E0D"/>
    <w:rsid w:val="62AE2C4F"/>
    <w:rsid w:val="67A4182F"/>
    <w:rsid w:val="681432BF"/>
    <w:rsid w:val="6BC5003B"/>
    <w:rsid w:val="6DEB0BF4"/>
    <w:rsid w:val="6EC6456A"/>
    <w:rsid w:val="742D7475"/>
    <w:rsid w:val="79A40B17"/>
    <w:rsid w:val="7D2270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071f366b-342a-4b2c-b09f-e0b83d8b3fb8"/>
    <w:qFormat/>
    <w:uiPriority w:val="0"/>
    <w:rPr>
      <w:rFonts w:ascii="Times New Roman" w:hAnsi="Times New Roman" w:eastAsia="Times New Roman" w:cstheme="minorBidi"/>
      <w:sz w:val="24"/>
      <w:szCs w:val="24"/>
      <w:lang w:val="en-US" w:eastAsia="uk-UA" w:bidi="ar-SA"/>
    </w:rPr>
  </w:style>
  <w:style w:type="paragraph" w:customStyle="1" w:styleId="27">
    <w:name w:val="单元格样式1_32bb1ac9-6517-41b4-85dd-3c967d346d92"/>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b37aa445-fa22-4b2d-94cb-9128e1ccc93f"/>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df76f268-72a9-4f25-ae89-4cc38ff016a4"/>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2022-02-14T17:50:01Z</dcterms:created>
  <dcterms:modified xsi:type="dcterms:W3CDTF">2022-02-14T09:50:01Z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2022-02-14T17:50:11Z</dcterms:created>
  <dcterms:modified xsi:type="dcterms:W3CDTF">2022-02-14T09:50:11Z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2022-02-14T17:49:48Z</dcterms:created>
  <dcterms:modified xsi:type="dcterms:W3CDTF">2022-02-14T09:49:48Z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2022-02-14T17:49:54Z</dcterms:created>
  <dcterms:modified xsi:type="dcterms:W3CDTF">2022-02-14T09:49:53Z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2022-02-14T17:50:05Z</dcterms:created>
  <dcterms:modified xsi:type="dcterms:W3CDTF">2022-02-14T09:50:05Z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2022-02-14T17:49:39Z</dcterms:created>
  <dcterms:modified xsi:type="dcterms:W3CDTF">2022-02-14T09:49:39Z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2022-02-14T17:50:06Z</dcterms:created>
  <dcterms:modified xsi:type="dcterms:W3CDTF">2022-02-14T09:50:06Z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2022-02-14T17:50:10Z</dcterms:created>
  <dcterms:modified xsi:type="dcterms:W3CDTF">2022-02-14T09:50:10Z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f394823-7a8d-4681-bf71-63f94c16d9a7}">
  <ds:schemaRefs/>
</ds:datastoreItem>
</file>

<file path=customXml/itemProps10.xml><?xml version="1.0" encoding="utf-8"?>
<ds:datastoreItem xmlns:ds="http://schemas.openxmlformats.org/officeDocument/2006/customXml" ds:itemID="{37217022-24bf-4898-8051-52886fa07f60}">
  <ds:schemaRefs/>
</ds:datastoreItem>
</file>

<file path=customXml/itemProps11.xml><?xml version="1.0" encoding="utf-8"?>
<ds:datastoreItem xmlns:ds="http://schemas.openxmlformats.org/officeDocument/2006/customXml" ds:itemID="{3be30be6-cbe6-4d6a-9ed1-875ce9a6f440}">
  <ds:schemaRefs/>
</ds:datastoreItem>
</file>

<file path=customXml/itemProps12.xml><?xml version="1.0" encoding="utf-8"?>
<ds:datastoreItem xmlns:ds="http://schemas.openxmlformats.org/officeDocument/2006/customXml" ds:itemID="{61baefdc-1da1-48b7-9342-57b8345c7d33}">
  <ds:schemaRefs/>
</ds:datastoreItem>
</file>

<file path=customXml/itemProps13.xml><?xml version="1.0" encoding="utf-8"?>
<ds:datastoreItem xmlns:ds="http://schemas.openxmlformats.org/officeDocument/2006/customXml" ds:itemID="{31038dbf-8955-49aa-96cd-aa7ab7766757}">
  <ds:schemaRefs/>
</ds:datastoreItem>
</file>

<file path=customXml/itemProps14.xml><?xml version="1.0" encoding="utf-8"?>
<ds:datastoreItem xmlns:ds="http://schemas.openxmlformats.org/officeDocument/2006/customXml" ds:itemID="{050e7da4-b015-4ec8-ac11-9b55df4ab7bf}">
  <ds:schemaRefs/>
</ds:datastoreItem>
</file>

<file path=customXml/itemProps15.xml><?xml version="1.0" encoding="utf-8"?>
<ds:datastoreItem xmlns:ds="http://schemas.openxmlformats.org/officeDocument/2006/customXml" ds:itemID="{84a7b14a-d254-4b3c-a329-2d6b659a5361}">
  <ds:schemaRefs/>
</ds:datastoreItem>
</file>

<file path=customXml/itemProps16.xml><?xml version="1.0" encoding="utf-8"?>
<ds:datastoreItem xmlns:ds="http://schemas.openxmlformats.org/officeDocument/2006/customXml" ds:itemID="{86f55ded-d53c-41f6-8df2-5705844f80a5}">
  <ds:schemaRefs/>
</ds:datastoreItem>
</file>

<file path=customXml/itemProps2.xml><?xml version="1.0" encoding="utf-8"?>
<ds:datastoreItem xmlns:ds="http://schemas.openxmlformats.org/officeDocument/2006/customXml" ds:itemID="{33e87395-4f69-4d70-b7ee-8224d1401676}">
  <ds:schemaRefs/>
</ds:datastoreItem>
</file>

<file path=customXml/itemProps3.xml><?xml version="1.0" encoding="utf-8"?>
<ds:datastoreItem xmlns:ds="http://schemas.openxmlformats.org/officeDocument/2006/customXml" ds:itemID="{046f6299-7861-410f-8f19-3a80aae16973}">
  <ds:schemaRefs/>
</ds:datastoreItem>
</file>

<file path=customXml/itemProps4.xml><?xml version="1.0" encoding="utf-8"?>
<ds:datastoreItem xmlns:ds="http://schemas.openxmlformats.org/officeDocument/2006/customXml" ds:itemID="{a3559fc8-e0d8-413c-9cd8-edf718eb12a8}">
  <ds:schemaRefs/>
</ds:datastoreItem>
</file>

<file path=customXml/itemProps5.xml><?xml version="1.0" encoding="utf-8"?>
<ds:datastoreItem xmlns:ds="http://schemas.openxmlformats.org/officeDocument/2006/customXml" ds:itemID="{a5e2b4cf-c6d5-42ce-a319-95fdc606e7cf}">
  <ds:schemaRefs/>
</ds:datastoreItem>
</file>

<file path=customXml/itemProps6.xml><?xml version="1.0" encoding="utf-8"?>
<ds:datastoreItem xmlns:ds="http://schemas.openxmlformats.org/officeDocument/2006/customXml" ds:itemID="{61d7b373-cdad-4e68-9c62-f314d69508f4}">
  <ds:schemaRefs/>
</ds:datastoreItem>
</file>

<file path=customXml/itemProps7.xml><?xml version="1.0" encoding="utf-8"?>
<ds:datastoreItem xmlns:ds="http://schemas.openxmlformats.org/officeDocument/2006/customXml" ds:itemID="{0cc22ff5-4c6b-4dce-b66c-4a7970e46c0a}">
  <ds:schemaRefs/>
</ds:datastoreItem>
</file>

<file path=customXml/itemProps8.xml><?xml version="1.0" encoding="utf-8"?>
<ds:datastoreItem xmlns:ds="http://schemas.openxmlformats.org/officeDocument/2006/customXml" ds:itemID="{d0627fbd-f41d-4667-8881-8a2bbe316f97}">
  <ds:schemaRefs/>
</ds:datastoreItem>
</file>

<file path=customXml/itemProps9.xml><?xml version="1.0" encoding="utf-8"?>
<ds:datastoreItem xmlns:ds="http://schemas.openxmlformats.org/officeDocument/2006/customXml" ds:itemID="{993d4eac-7f4f-4786-b19e-3b5155231d9b}">
  <ds:schemaRefs/>
</ds:datastoreItem>
</file>

<file path=docProps/app.xml><?xml version="1.0" encoding="utf-8"?>
<Properties xmlns="http://schemas.openxmlformats.org/officeDocument/2006/extended-properties" xmlns:vt="http://schemas.openxmlformats.org/officeDocument/2006/docPropsVTypes">
  <Pages>108</Pages>
  <Words>27338</Words>
  <Characters>32604</Characters>
  <TotalTime>3</TotalTime>
  <ScaleCrop>false</ScaleCrop>
  <LinksUpToDate>false</LinksUpToDate>
  <CharactersWithSpaces>33017</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2022-02-14T17:50:00Z</dcterms:created>
  <dc:creator>Administrator</dc:creator>
  <cp:lastModifiedBy>Administrator</cp:lastModifiedBy>
  <cp:lastPrinted>2022-02-22T08:48:00Z</cp:lastPrinted>
  <dcterms:modified xsi:type="dcterms:W3CDTF">2023-09-06T08:48:06Z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88D53F6387D342B791C96DCD15FE5B8E</vt:lpwstr>
  </property>
</Properties>
</file>