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val="en-US" w:eastAsia="zh-CN"/>
        </w:rPr>
      </w:pPr>
      <w:r>
        <w:rPr>
          <w:rFonts w:hint="eastAsia" w:ascii="黑体" w:hAnsi="黑体" w:eastAsia="黑体" w:cs="黑体"/>
          <w:b/>
          <w:color w:val="000000"/>
          <w:sz w:val="44"/>
          <w:lang w:val="en-US" w:eastAsia="zh-CN"/>
        </w:rPr>
        <w:t>石家庄市藁城区科学技术和工业信息化局</w:t>
      </w:r>
    </w:p>
    <w:p>
      <w:pPr>
        <w:spacing w:before="0" w:after="0" w:line="240" w:lineRule="auto"/>
        <w:ind w:firstLine="0"/>
        <w:jc w:val="center"/>
        <w:outlineLvl w:val="0"/>
      </w:pPr>
      <w:r>
        <w:rPr>
          <w:rFonts w:hint="eastAsia" w:ascii="黑体" w:hAnsi="黑体" w:eastAsia="黑体" w:cs="黑体"/>
          <w:b/>
          <w:color w:val="000000"/>
          <w:sz w:val="44"/>
          <w:lang w:val="en-US" w:eastAsia="zh-CN"/>
        </w:rPr>
        <w:t>部门所属单位</w:t>
      </w: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预算公开</w:t>
      </w:r>
    </w:p>
    <w:p/>
    <w:p>
      <w:pPr>
        <w:pStyle w:val="3"/>
        <w:tabs>
          <w:tab w:val="right" w:leader="dot" w:pos="14562"/>
        </w:tabs>
      </w:pP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_Toc7944 </w:instrText>
      </w:r>
      <w:r>
        <w:fldChar w:fldCharType="separate"/>
      </w:r>
      <w:r>
        <w:rPr>
          <w:rFonts w:ascii="方正小标宋_GBK" w:hAnsi="方正小标宋_GBK" w:eastAsia="方正小标宋_GBK" w:cs="方正小标宋_GBK"/>
        </w:rPr>
        <w:t>一、石家庄市藁城区科学技术和工业信息化局本级收支预算</w:t>
      </w:r>
      <w:r>
        <w:tab/>
      </w:r>
      <w:r>
        <w:fldChar w:fldCharType="begin"/>
      </w:r>
      <w:r>
        <w:instrText xml:space="preserve"> PAGEREF _Toc7944 \h </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7944"/>
      <w:r>
        <w:rPr>
          <w:rFonts w:ascii="方正小标宋_GBK" w:hAnsi="方正小标宋_GBK" w:eastAsia="方正小标宋_GBK" w:cs="方正小标宋_GBK"/>
          <w:b w:val="0"/>
          <w:color w:val="000000"/>
          <w:sz w:val="44"/>
        </w:rPr>
        <w:t>一、石家庄市藁城区科学技术和工业信息化局本级收支预算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1428.73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30.00</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726.84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r>
              <w:t>1732.27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1458.73</w:t>
            </w:r>
          </w:p>
        </w:tc>
        <w:tc>
          <w:tcPr>
            <w:tcW w:w="2959" w:type="dxa"/>
            <w:vAlign w:val="center"/>
          </w:tcPr>
          <w:p>
            <w:pPr>
              <w:pStyle w:val="16"/>
            </w:pPr>
            <w:r>
              <w:t>本年支出合计</w:t>
            </w:r>
          </w:p>
        </w:tc>
        <w:tc>
          <w:tcPr>
            <w:tcW w:w="2959" w:type="dxa"/>
            <w:vAlign w:val="center"/>
          </w:tcPr>
          <w:p>
            <w:pPr>
              <w:pStyle w:val="17"/>
            </w:pPr>
            <w:r>
              <w:t>2489.11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1030.38</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2489.11</w:t>
            </w:r>
          </w:p>
        </w:tc>
        <w:tc>
          <w:tcPr>
            <w:tcW w:w="2959" w:type="dxa"/>
            <w:vAlign w:val="center"/>
          </w:tcPr>
          <w:p>
            <w:pPr>
              <w:pStyle w:val="16"/>
            </w:pPr>
            <w:r>
              <w:t>支出总计</w:t>
            </w:r>
          </w:p>
        </w:tc>
        <w:tc>
          <w:tcPr>
            <w:tcW w:w="2959" w:type="dxa"/>
            <w:vAlign w:val="center"/>
          </w:tcPr>
          <w:p>
            <w:pPr>
              <w:pStyle w:val="17"/>
            </w:pPr>
            <w:r>
              <w:t>2489.11</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2489.11</w:t>
            </w:r>
          </w:p>
        </w:tc>
        <w:tc>
          <w:tcPr>
            <w:tcW w:w="758" w:type="dxa"/>
            <w:vAlign w:val="center"/>
          </w:tcPr>
          <w:p>
            <w:pPr>
              <w:pStyle w:val="17"/>
            </w:pPr>
            <w:r>
              <w:t>1458.73</w:t>
            </w:r>
          </w:p>
        </w:tc>
        <w:tc>
          <w:tcPr>
            <w:tcW w:w="758" w:type="dxa"/>
            <w:vAlign w:val="center"/>
          </w:tcPr>
          <w:p>
            <w:pPr>
              <w:pStyle w:val="17"/>
            </w:pPr>
            <w:r>
              <w:t>1458.73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1030.38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726.84</w:t>
            </w:r>
          </w:p>
        </w:tc>
        <w:tc>
          <w:tcPr>
            <w:tcW w:w="758" w:type="dxa"/>
            <w:vAlign w:val="center"/>
          </w:tcPr>
          <w:p>
            <w:pPr>
              <w:pStyle w:val="13"/>
            </w:pPr>
            <w:r>
              <w:t>401.84</w:t>
            </w:r>
          </w:p>
        </w:tc>
        <w:tc>
          <w:tcPr>
            <w:tcW w:w="758" w:type="dxa"/>
            <w:vAlign w:val="center"/>
          </w:tcPr>
          <w:p>
            <w:pPr>
              <w:pStyle w:val="13"/>
            </w:pPr>
            <w:r>
              <w:t>401.84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20604</w:t>
            </w:r>
          </w:p>
        </w:tc>
        <w:tc>
          <w:tcPr>
            <w:tcW w:w="758" w:type="dxa"/>
            <w:vAlign w:val="center"/>
          </w:tcPr>
          <w:p>
            <w:pPr>
              <w:pStyle w:val="14"/>
            </w:pPr>
            <w:r>
              <w:t>技术研究与开发</w:t>
            </w:r>
          </w:p>
        </w:tc>
        <w:tc>
          <w:tcPr>
            <w:tcW w:w="758" w:type="dxa"/>
            <w:vAlign w:val="center"/>
          </w:tcPr>
          <w:p>
            <w:pPr>
              <w:pStyle w:val="13"/>
            </w:pPr>
            <w:r>
              <w:t>701.84</w:t>
            </w:r>
          </w:p>
        </w:tc>
        <w:tc>
          <w:tcPr>
            <w:tcW w:w="758" w:type="dxa"/>
            <w:vAlign w:val="center"/>
          </w:tcPr>
          <w:p>
            <w:pPr>
              <w:pStyle w:val="13"/>
            </w:pPr>
            <w:r>
              <w:t>401.84</w:t>
            </w:r>
          </w:p>
        </w:tc>
        <w:tc>
          <w:tcPr>
            <w:tcW w:w="758" w:type="dxa"/>
            <w:vAlign w:val="center"/>
          </w:tcPr>
          <w:p>
            <w:pPr>
              <w:pStyle w:val="13"/>
            </w:pPr>
            <w:r>
              <w:t>401.84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2060404</w:t>
            </w:r>
          </w:p>
        </w:tc>
        <w:tc>
          <w:tcPr>
            <w:tcW w:w="758" w:type="dxa"/>
            <w:vAlign w:val="center"/>
          </w:tcPr>
          <w:p>
            <w:pPr>
              <w:pStyle w:val="14"/>
            </w:pPr>
            <w:r>
              <w:t>科技成果转化与扩散</w:t>
            </w:r>
          </w:p>
        </w:tc>
        <w:tc>
          <w:tcPr>
            <w:tcW w:w="758" w:type="dxa"/>
            <w:vAlign w:val="center"/>
          </w:tcPr>
          <w:p>
            <w:pPr>
              <w:pStyle w:val="13"/>
            </w:pPr>
            <w:r>
              <w:t>300.00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2060499</w:t>
            </w:r>
          </w:p>
        </w:tc>
        <w:tc>
          <w:tcPr>
            <w:tcW w:w="758" w:type="dxa"/>
            <w:vAlign w:val="center"/>
          </w:tcPr>
          <w:p>
            <w:pPr>
              <w:pStyle w:val="14"/>
            </w:pPr>
            <w:r>
              <w:t>其他技术研究与开发支出</w:t>
            </w:r>
          </w:p>
        </w:tc>
        <w:tc>
          <w:tcPr>
            <w:tcW w:w="758" w:type="dxa"/>
            <w:vAlign w:val="center"/>
          </w:tcPr>
          <w:p>
            <w:pPr>
              <w:pStyle w:val="13"/>
            </w:pPr>
            <w:r>
              <w:t>401.84</w:t>
            </w:r>
          </w:p>
        </w:tc>
        <w:tc>
          <w:tcPr>
            <w:tcW w:w="758" w:type="dxa"/>
            <w:vAlign w:val="center"/>
          </w:tcPr>
          <w:p>
            <w:pPr>
              <w:pStyle w:val="13"/>
            </w:pPr>
            <w:r>
              <w:t>401.84</w:t>
            </w:r>
          </w:p>
        </w:tc>
        <w:tc>
          <w:tcPr>
            <w:tcW w:w="758" w:type="dxa"/>
            <w:vAlign w:val="center"/>
          </w:tcPr>
          <w:p>
            <w:pPr>
              <w:pStyle w:val="13"/>
            </w:pPr>
            <w:r>
              <w:t>401.84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20609</w:t>
            </w:r>
          </w:p>
        </w:tc>
        <w:tc>
          <w:tcPr>
            <w:tcW w:w="758" w:type="dxa"/>
            <w:vAlign w:val="center"/>
          </w:tcPr>
          <w:p>
            <w:pPr>
              <w:pStyle w:val="14"/>
            </w:pPr>
            <w:r>
              <w:t>科技重大项目</w:t>
            </w:r>
          </w:p>
        </w:tc>
        <w:tc>
          <w:tcPr>
            <w:tcW w:w="758" w:type="dxa"/>
            <w:vAlign w:val="center"/>
          </w:tcPr>
          <w:p>
            <w:pPr>
              <w:pStyle w:val="13"/>
            </w:pPr>
            <w:r>
              <w:t>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2060902</w:t>
            </w:r>
          </w:p>
        </w:tc>
        <w:tc>
          <w:tcPr>
            <w:tcW w:w="758" w:type="dxa"/>
            <w:vAlign w:val="center"/>
          </w:tcPr>
          <w:p>
            <w:pPr>
              <w:pStyle w:val="14"/>
            </w:pPr>
            <w:r>
              <w:t>重点研发计划</w:t>
            </w:r>
          </w:p>
        </w:tc>
        <w:tc>
          <w:tcPr>
            <w:tcW w:w="758" w:type="dxa"/>
            <w:vAlign w:val="center"/>
          </w:tcPr>
          <w:p>
            <w:pPr>
              <w:pStyle w:val="13"/>
            </w:pPr>
            <w:r>
              <w:t>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2120803</w:t>
            </w:r>
          </w:p>
        </w:tc>
        <w:tc>
          <w:tcPr>
            <w:tcW w:w="758" w:type="dxa"/>
            <w:vAlign w:val="center"/>
          </w:tcPr>
          <w:p>
            <w:pPr>
              <w:pStyle w:val="14"/>
            </w:pPr>
            <w:r>
              <w:t>城市建设支出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215</w:t>
            </w:r>
          </w:p>
        </w:tc>
        <w:tc>
          <w:tcPr>
            <w:tcW w:w="758" w:type="dxa"/>
            <w:vAlign w:val="center"/>
          </w:tcPr>
          <w:p>
            <w:pPr>
              <w:pStyle w:val="14"/>
            </w:pPr>
            <w:r>
              <w:t>资源勘探工业信息等支出</w:t>
            </w:r>
          </w:p>
        </w:tc>
        <w:tc>
          <w:tcPr>
            <w:tcW w:w="758" w:type="dxa"/>
            <w:vAlign w:val="center"/>
          </w:tcPr>
          <w:p>
            <w:pPr>
              <w:pStyle w:val="13"/>
            </w:pPr>
            <w:r>
              <w:t>1732.27</w:t>
            </w:r>
          </w:p>
        </w:tc>
        <w:tc>
          <w:tcPr>
            <w:tcW w:w="758" w:type="dxa"/>
            <w:vAlign w:val="center"/>
          </w:tcPr>
          <w:p>
            <w:pPr>
              <w:pStyle w:val="13"/>
            </w:pPr>
            <w:r>
              <w:t>1026.89</w:t>
            </w:r>
          </w:p>
        </w:tc>
        <w:tc>
          <w:tcPr>
            <w:tcW w:w="758" w:type="dxa"/>
            <w:vAlign w:val="center"/>
          </w:tcPr>
          <w:p>
            <w:pPr>
              <w:pStyle w:val="13"/>
            </w:pPr>
            <w:r>
              <w:t>1026.89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21505</w:t>
            </w:r>
          </w:p>
        </w:tc>
        <w:tc>
          <w:tcPr>
            <w:tcW w:w="758" w:type="dxa"/>
            <w:vAlign w:val="center"/>
          </w:tcPr>
          <w:p>
            <w:pPr>
              <w:pStyle w:val="14"/>
            </w:pPr>
            <w:r>
              <w:t>工业和信息产业监管</w:t>
            </w:r>
          </w:p>
        </w:tc>
        <w:tc>
          <w:tcPr>
            <w:tcW w:w="758" w:type="dxa"/>
            <w:vAlign w:val="center"/>
          </w:tcPr>
          <w:p>
            <w:pPr>
              <w:pStyle w:val="13"/>
            </w:pPr>
            <w:r>
              <w:t>1732.27</w:t>
            </w:r>
          </w:p>
        </w:tc>
        <w:tc>
          <w:tcPr>
            <w:tcW w:w="758" w:type="dxa"/>
            <w:vAlign w:val="center"/>
          </w:tcPr>
          <w:p>
            <w:pPr>
              <w:pStyle w:val="13"/>
            </w:pPr>
            <w:r>
              <w:t>1026.89</w:t>
            </w:r>
          </w:p>
        </w:tc>
        <w:tc>
          <w:tcPr>
            <w:tcW w:w="758" w:type="dxa"/>
            <w:vAlign w:val="center"/>
          </w:tcPr>
          <w:p>
            <w:pPr>
              <w:pStyle w:val="13"/>
            </w:pPr>
            <w:r>
              <w:t>1026.89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2150502</w:t>
            </w:r>
          </w:p>
        </w:tc>
        <w:tc>
          <w:tcPr>
            <w:tcW w:w="758" w:type="dxa"/>
            <w:vAlign w:val="center"/>
          </w:tcPr>
          <w:p>
            <w:pPr>
              <w:pStyle w:val="14"/>
            </w:pPr>
            <w:r>
              <w:t>一般行政管理事务</w:t>
            </w:r>
          </w:p>
        </w:tc>
        <w:tc>
          <w:tcPr>
            <w:tcW w:w="758" w:type="dxa"/>
            <w:vAlign w:val="center"/>
          </w:tcPr>
          <w:p>
            <w:pPr>
              <w:pStyle w:val="13"/>
            </w:pPr>
            <w:r>
              <w:t>1012.04</w:t>
            </w:r>
          </w:p>
        </w:tc>
        <w:tc>
          <w:tcPr>
            <w:tcW w:w="758" w:type="dxa"/>
            <w:vAlign w:val="center"/>
          </w:tcPr>
          <w:p>
            <w:pPr>
              <w:pStyle w:val="13"/>
            </w:pPr>
            <w:r>
              <w:t>1012.04</w:t>
            </w:r>
          </w:p>
        </w:tc>
        <w:tc>
          <w:tcPr>
            <w:tcW w:w="758" w:type="dxa"/>
            <w:vAlign w:val="center"/>
          </w:tcPr>
          <w:p>
            <w:pPr>
              <w:pStyle w:val="13"/>
            </w:pPr>
            <w:r>
              <w:t>1012.04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2150517</w:t>
            </w:r>
          </w:p>
        </w:tc>
        <w:tc>
          <w:tcPr>
            <w:tcW w:w="758" w:type="dxa"/>
            <w:vAlign w:val="center"/>
          </w:tcPr>
          <w:p>
            <w:pPr>
              <w:pStyle w:val="14"/>
            </w:pPr>
            <w:r>
              <w:t>产业发展</w:t>
            </w:r>
          </w:p>
        </w:tc>
        <w:tc>
          <w:tcPr>
            <w:tcW w:w="758" w:type="dxa"/>
            <w:vAlign w:val="center"/>
          </w:tcPr>
          <w:p>
            <w:pPr>
              <w:pStyle w:val="13"/>
            </w:pPr>
            <w:r>
              <w:t>720.23</w:t>
            </w:r>
          </w:p>
        </w:tc>
        <w:tc>
          <w:tcPr>
            <w:tcW w:w="758" w:type="dxa"/>
            <w:vAlign w:val="center"/>
          </w:tcPr>
          <w:p>
            <w:pPr>
              <w:pStyle w:val="13"/>
            </w:pPr>
            <w:r>
              <w:t>14.85</w:t>
            </w:r>
          </w:p>
        </w:tc>
        <w:tc>
          <w:tcPr>
            <w:tcW w:w="758" w:type="dxa"/>
            <w:vAlign w:val="center"/>
          </w:tcPr>
          <w:p>
            <w:pPr>
              <w:pStyle w:val="13"/>
            </w:pPr>
            <w:r>
              <w:t>14.85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705.38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2489.11</w:t>
            </w:r>
          </w:p>
        </w:tc>
        <w:tc>
          <w:tcPr>
            <w:tcW w:w="1095" w:type="dxa"/>
            <w:vAlign w:val="center"/>
          </w:tcPr>
          <w:p>
            <w:pPr>
              <w:pStyle w:val="17"/>
            </w:pPr>
            <w:r>
              <w:t>724.29</w:t>
            </w:r>
          </w:p>
        </w:tc>
        <w:tc>
          <w:tcPr>
            <w:tcW w:w="1095" w:type="dxa"/>
            <w:vAlign w:val="center"/>
          </w:tcPr>
          <w:p>
            <w:pPr>
              <w:pStyle w:val="17"/>
            </w:pPr>
            <w:r>
              <w:t>1764.82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726.84</w:t>
            </w:r>
          </w:p>
        </w:tc>
        <w:tc>
          <w:tcPr>
            <w:tcW w:w="1095" w:type="dxa"/>
            <w:vAlign w:val="center"/>
          </w:tcPr>
          <w:p>
            <w:pPr>
              <w:pStyle w:val="13"/>
            </w:pPr>
          </w:p>
        </w:tc>
        <w:tc>
          <w:tcPr>
            <w:tcW w:w="1095" w:type="dxa"/>
            <w:vAlign w:val="center"/>
          </w:tcPr>
          <w:p>
            <w:pPr>
              <w:pStyle w:val="13"/>
            </w:pPr>
            <w:r>
              <w:t>726.84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20604</w:t>
            </w:r>
          </w:p>
        </w:tc>
        <w:tc>
          <w:tcPr>
            <w:tcW w:w="1095" w:type="dxa"/>
            <w:vAlign w:val="center"/>
          </w:tcPr>
          <w:p>
            <w:pPr>
              <w:pStyle w:val="14"/>
            </w:pPr>
            <w:r>
              <w:t>技术研究与开发</w:t>
            </w:r>
          </w:p>
        </w:tc>
        <w:tc>
          <w:tcPr>
            <w:tcW w:w="1095" w:type="dxa"/>
            <w:vAlign w:val="center"/>
          </w:tcPr>
          <w:p>
            <w:pPr>
              <w:pStyle w:val="13"/>
            </w:pPr>
            <w:r>
              <w:t>701.84</w:t>
            </w:r>
          </w:p>
        </w:tc>
        <w:tc>
          <w:tcPr>
            <w:tcW w:w="1095" w:type="dxa"/>
            <w:vAlign w:val="center"/>
          </w:tcPr>
          <w:p>
            <w:pPr>
              <w:pStyle w:val="13"/>
            </w:pPr>
          </w:p>
        </w:tc>
        <w:tc>
          <w:tcPr>
            <w:tcW w:w="1095" w:type="dxa"/>
            <w:vAlign w:val="center"/>
          </w:tcPr>
          <w:p>
            <w:pPr>
              <w:pStyle w:val="13"/>
            </w:pPr>
            <w:r>
              <w:t>701.84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2060404</w:t>
            </w:r>
          </w:p>
        </w:tc>
        <w:tc>
          <w:tcPr>
            <w:tcW w:w="1095" w:type="dxa"/>
            <w:vAlign w:val="center"/>
          </w:tcPr>
          <w:p>
            <w:pPr>
              <w:pStyle w:val="14"/>
            </w:pPr>
            <w:r>
              <w:t>科技成果转化与扩散</w:t>
            </w: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2060499</w:t>
            </w:r>
          </w:p>
        </w:tc>
        <w:tc>
          <w:tcPr>
            <w:tcW w:w="1095" w:type="dxa"/>
            <w:vAlign w:val="center"/>
          </w:tcPr>
          <w:p>
            <w:pPr>
              <w:pStyle w:val="14"/>
            </w:pPr>
            <w:r>
              <w:t>其他技术研究与开发支出</w:t>
            </w:r>
          </w:p>
        </w:tc>
        <w:tc>
          <w:tcPr>
            <w:tcW w:w="1095" w:type="dxa"/>
            <w:vAlign w:val="center"/>
          </w:tcPr>
          <w:p>
            <w:pPr>
              <w:pStyle w:val="13"/>
            </w:pPr>
            <w:r>
              <w:t>401.84</w:t>
            </w:r>
          </w:p>
        </w:tc>
        <w:tc>
          <w:tcPr>
            <w:tcW w:w="1095" w:type="dxa"/>
            <w:vAlign w:val="center"/>
          </w:tcPr>
          <w:p>
            <w:pPr>
              <w:pStyle w:val="13"/>
            </w:pPr>
          </w:p>
        </w:tc>
        <w:tc>
          <w:tcPr>
            <w:tcW w:w="1095" w:type="dxa"/>
            <w:vAlign w:val="center"/>
          </w:tcPr>
          <w:p>
            <w:pPr>
              <w:pStyle w:val="13"/>
            </w:pPr>
            <w:r>
              <w:t>401.84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20609</w:t>
            </w:r>
          </w:p>
        </w:tc>
        <w:tc>
          <w:tcPr>
            <w:tcW w:w="1095" w:type="dxa"/>
            <w:vAlign w:val="center"/>
          </w:tcPr>
          <w:p>
            <w:pPr>
              <w:pStyle w:val="14"/>
            </w:pPr>
            <w:r>
              <w:t>科技重大项目</w:t>
            </w:r>
          </w:p>
        </w:tc>
        <w:tc>
          <w:tcPr>
            <w:tcW w:w="1095" w:type="dxa"/>
            <w:vAlign w:val="center"/>
          </w:tcPr>
          <w:p>
            <w:pPr>
              <w:pStyle w:val="13"/>
            </w:pPr>
            <w:r>
              <w:t>25.00</w:t>
            </w:r>
          </w:p>
        </w:tc>
        <w:tc>
          <w:tcPr>
            <w:tcW w:w="1095" w:type="dxa"/>
            <w:vAlign w:val="center"/>
          </w:tcPr>
          <w:p>
            <w:pPr>
              <w:pStyle w:val="13"/>
            </w:pPr>
          </w:p>
        </w:tc>
        <w:tc>
          <w:tcPr>
            <w:tcW w:w="1095" w:type="dxa"/>
            <w:vAlign w:val="center"/>
          </w:tcPr>
          <w:p>
            <w:pPr>
              <w:pStyle w:val="13"/>
            </w:pPr>
            <w:r>
              <w:t>25.00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2060902</w:t>
            </w:r>
          </w:p>
        </w:tc>
        <w:tc>
          <w:tcPr>
            <w:tcW w:w="1095" w:type="dxa"/>
            <w:vAlign w:val="center"/>
          </w:tcPr>
          <w:p>
            <w:pPr>
              <w:pStyle w:val="14"/>
            </w:pPr>
            <w:r>
              <w:t>重点研发计划</w:t>
            </w:r>
          </w:p>
        </w:tc>
        <w:tc>
          <w:tcPr>
            <w:tcW w:w="1095" w:type="dxa"/>
            <w:vAlign w:val="center"/>
          </w:tcPr>
          <w:p>
            <w:pPr>
              <w:pStyle w:val="13"/>
            </w:pPr>
            <w:r>
              <w:t>25.00</w:t>
            </w:r>
          </w:p>
        </w:tc>
        <w:tc>
          <w:tcPr>
            <w:tcW w:w="1095" w:type="dxa"/>
            <w:vAlign w:val="center"/>
          </w:tcPr>
          <w:p>
            <w:pPr>
              <w:pStyle w:val="13"/>
            </w:pPr>
          </w:p>
        </w:tc>
        <w:tc>
          <w:tcPr>
            <w:tcW w:w="1095" w:type="dxa"/>
            <w:vAlign w:val="center"/>
          </w:tcPr>
          <w:p>
            <w:pPr>
              <w:pStyle w:val="13"/>
            </w:pPr>
            <w:r>
              <w:t>25.00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2120803</w:t>
            </w:r>
          </w:p>
        </w:tc>
        <w:tc>
          <w:tcPr>
            <w:tcW w:w="1095" w:type="dxa"/>
            <w:vAlign w:val="center"/>
          </w:tcPr>
          <w:p>
            <w:pPr>
              <w:pStyle w:val="14"/>
            </w:pPr>
            <w:r>
              <w:t>城市建设支出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215</w:t>
            </w:r>
          </w:p>
        </w:tc>
        <w:tc>
          <w:tcPr>
            <w:tcW w:w="1095" w:type="dxa"/>
            <w:vAlign w:val="center"/>
          </w:tcPr>
          <w:p>
            <w:pPr>
              <w:pStyle w:val="14"/>
            </w:pPr>
            <w:r>
              <w:t>资源勘探工业信息等支出</w:t>
            </w:r>
          </w:p>
        </w:tc>
        <w:tc>
          <w:tcPr>
            <w:tcW w:w="1095" w:type="dxa"/>
            <w:vAlign w:val="center"/>
          </w:tcPr>
          <w:p>
            <w:pPr>
              <w:pStyle w:val="13"/>
            </w:pPr>
            <w:r>
              <w:t>1732.27</w:t>
            </w:r>
          </w:p>
        </w:tc>
        <w:tc>
          <w:tcPr>
            <w:tcW w:w="1095" w:type="dxa"/>
            <w:vAlign w:val="center"/>
          </w:tcPr>
          <w:p>
            <w:pPr>
              <w:pStyle w:val="13"/>
            </w:pPr>
            <w:r>
              <w:t>724.29</w:t>
            </w:r>
          </w:p>
        </w:tc>
        <w:tc>
          <w:tcPr>
            <w:tcW w:w="1095" w:type="dxa"/>
            <w:vAlign w:val="center"/>
          </w:tcPr>
          <w:p>
            <w:pPr>
              <w:pStyle w:val="13"/>
            </w:pPr>
            <w:r>
              <w:t>1007.98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21505</w:t>
            </w:r>
          </w:p>
        </w:tc>
        <w:tc>
          <w:tcPr>
            <w:tcW w:w="1095" w:type="dxa"/>
            <w:vAlign w:val="center"/>
          </w:tcPr>
          <w:p>
            <w:pPr>
              <w:pStyle w:val="14"/>
            </w:pPr>
            <w:r>
              <w:t>工业和信息产业监管</w:t>
            </w:r>
          </w:p>
        </w:tc>
        <w:tc>
          <w:tcPr>
            <w:tcW w:w="1095" w:type="dxa"/>
            <w:vAlign w:val="center"/>
          </w:tcPr>
          <w:p>
            <w:pPr>
              <w:pStyle w:val="13"/>
            </w:pPr>
            <w:r>
              <w:t>1732.27</w:t>
            </w:r>
          </w:p>
        </w:tc>
        <w:tc>
          <w:tcPr>
            <w:tcW w:w="1095" w:type="dxa"/>
            <w:vAlign w:val="center"/>
          </w:tcPr>
          <w:p>
            <w:pPr>
              <w:pStyle w:val="13"/>
            </w:pPr>
            <w:r>
              <w:t>724.29</w:t>
            </w:r>
          </w:p>
        </w:tc>
        <w:tc>
          <w:tcPr>
            <w:tcW w:w="1095" w:type="dxa"/>
            <w:vAlign w:val="center"/>
          </w:tcPr>
          <w:p>
            <w:pPr>
              <w:pStyle w:val="13"/>
            </w:pPr>
            <w:r>
              <w:t>1007.98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2150502</w:t>
            </w:r>
          </w:p>
        </w:tc>
        <w:tc>
          <w:tcPr>
            <w:tcW w:w="1095" w:type="dxa"/>
            <w:vAlign w:val="center"/>
          </w:tcPr>
          <w:p>
            <w:pPr>
              <w:pStyle w:val="14"/>
            </w:pPr>
            <w:r>
              <w:t>一般行政管理事务</w:t>
            </w:r>
          </w:p>
        </w:tc>
        <w:tc>
          <w:tcPr>
            <w:tcW w:w="1095" w:type="dxa"/>
            <w:vAlign w:val="center"/>
          </w:tcPr>
          <w:p>
            <w:pPr>
              <w:pStyle w:val="13"/>
            </w:pPr>
            <w:r>
              <w:t>1012.04</w:t>
            </w:r>
          </w:p>
        </w:tc>
        <w:tc>
          <w:tcPr>
            <w:tcW w:w="1095" w:type="dxa"/>
            <w:vAlign w:val="center"/>
          </w:tcPr>
          <w:p>
            <w:pPr>
              <w:pStyle w:val="13"/>
            </w:pPr>
            <w:r>
              <w:t>724.29</w:t>
            </w:r>
          </w:p>
        </w:tc>
        <w:tc>
          <w:tcPr>
            <w:tcW w:w="1095" w:type="dxa"/>
            <w:vAlign w:val="center"/>
          </w:tcPr>
          <w:p>
            <w:pPr>
              <w:pStyle w:val="13"/>
            </w:pPr>
            <w:r>
              <w:t>287.75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2150517</w:t>
            </w:r>
          </w:p>
        </w:tc>
        <w:tc>
          <w:tcPr>
            <w:tcW w:w="1095" w:type="dxa"/>
            <w:vAlign w:val="center"/>
          </w:tcPr>
          <w:p>
            <w:pPr>
              <w:pStyle w:val="14"/>
            </w:pPr>
            <w:r>
              <w:t>产业发展</w:t>
            </w:r>
          </w:p>
        </w:tc>
        <w:tc>
          <w:tcPr>
            <w:tcW w:w="1095" w:type="dxa"/>
            <w:vAlign w:val="center"/>
          </w:tcPr>
          <w:p>
            <w:pPr>
              <w:pStyle w:val="13"/>
            </w:pPr>
            <w:r>
              <w:t>720.23</w:t>
            </w:r>
          </w:p>
        </w:tc>
        <w:tc>
          <w:tcPr>
            <w:tcW w:w="1095" w:type="dxa"/>
            <w:vAlign w:val="center"/>
          </w:tcPr>
          <w:p>
            <w:pPr>
              <w:pStyle w:val="13"/>
            </w:pPr>
          </w:p>
        </w:tc>
        <w:tc>
          <w:tcPr>
            <w:tcW w:w="1095" w:type="dxa"/>
            <w:vAlign w:val="center"/>
          </w:tcPr>
          <w:p>
            <w:pPr>
              <w:pStyle w:val="13"/>
            </w:pPr>
            <w:r>
              <w:t>720.23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1428.73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30.00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726.84</w:t>
            </w:r>
          </w:p>
        </w:tc>
        <w:tc>
          <w:tcPr>
            <w:tcW w:w="1232" w:type="dxa"/>
            <w:vAlign w:val="center"/>
          </w:tcPr>
          <w:p>
            <w:pPr>
              <w:pStyle w:val="13"/>
            </w:pPr>
            <w:r>
              <w:t>726.84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30.00</w:t>
            </w:r>
          </w:p>
        </w:tc>
        <w:tc>
          <w:tcPr>
            <w:tcW w:w="1232" w:type="dxa"/>
            <w:vAlign w:val="center"/>
          </w:tcPr>
          <w:p>
            <w:pPr>
              <w:pStyle w:val="13"/>
            </w:pPr>
          </w:p>
        </w:tc>
        <w:tc>
          <w:tcPr>
            <w:tcW w:w="1232" w:type="dxa"/>
            <w:vAlign w:val="center"/>
          </w:tcPr>
          <w:p>
            <w:pPr>
              <w:pStyle w:val="13"/>
            </w:pPr>
            <w:r>
              <w:t>30.00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r>
              <w:t>1732.27</w:t>
            </w:r>
          </w:p>
        </w:tc>
        <w:tc>
          <w:tcPr>
            <w:tcW w:w="1232" w:type="dxa"/>
            <w:vAlign w:val="center"/>
          </w:tcPr>
          <w:p>
            <w:pPr>
              <w:pStyle w:val="13"/>
            </w:pPr>
            <w:r>
              <w:t>1732.27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1458.73</w:t>
            </w:r>
          </w:p>
        </w:tc>
        <w:tc>
          <w:tcPr>
            <w:tcW w:w="1232" w:type="dxa"/>
            <w:vAlign w:val="center"/>
          </w:tcPr>
          <w:p>
            <w:pPr>
              <w:pStyle w:val="16"/>
            </w:pPr>
            <w:r>
              <w:t>本年支出合计</w:t>
            </w:r>
          </w:p>
        </w:tc>
        <w:tc>
          <w:tcPr>
            <w:tcW w:w="1232" w:type="dxa"/>
            <w:vAlign w:val="center"/>
          </w:tcPr>
          <w:p>
            <w:pPr>
              <w:pStyle w:val="17"/>
            </w:pPr>
            <w:r>
              <w:t>2489.11</w:t>
            </w:r>
          </w:p>
        </w:tc>
        <w:tc>
          <w:tcPr>
            <w:tcW w:w="1232" w:type="dxa"/>
            <w:vAlign w:val="center"/>
          </w:tcPr>
          <w:p>
            <w:pPr>
              <w:pStyle w:val="17"/>
            </w:pPr>
            <w:r>
              <w:t>2459.11</w:t>
            </w:r>
          </w:p>
        </w:tc>
        <w:tc>
          <w:tcPr>
            <w:tcW w:w="1232" w:type="dxa"/>
            <w:vAlign w:val="center"/>
          </w:tcPr>
          <w:p>
            <w:pPr>
              <w:pStyle w:val="17"/>
            </w:pPr>
            <w:r>
              <w:t>30.00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1030.38</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1030.38</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2489.11</w:t>
            </w:r>
          </w:p>
        </w:tc>
        <w:tc>
          <w:tcPr>
            <w:tcW w:w="1232" w:type="dxa"/>
            <w:vAlign w:val="center"/>
          </w:tcPr>
          <w:p>
            <w:pPr>
              <w:pStyle w:val="16"/>
            </w:pPr>
            <w:r>
              <w:t>支出总计</w:t>
            </w:r>
          </w:p>
        </w:tc>
        <w:tc>
          <w:tcPr>
            <w:tcW w:w="1232" w:type="dxa"/>
            <w:vAlign w:val="center"/>
          </w:tcPr>
          <w:p>
            <w:pPr>
              <w:pStyle w:val="17"/>
            </w:pPr>
            <w:r>
              <w:t>2489.11</w:t>
            </w:r>
          </w:p>
        </w:tc>
        <w:tc>
          <w:tcPr>
            <w:tcW w:w="1232" w:type="dxa"/>
            <w:vAlign w:val="center"/>
          </w:tcPr>
          <w:p>
            <w:pPr>
              <w:pStyle w:val="17"/>
            </w:pPr>
            <w:r>
              <w:t>2459.11</w:t>
            </w:r>
          </w:p>
        </w:tc>
        <w:tc>
          <w:tcPr>
            <w:tcW w:w="1232" w:type="dxa"/>
            <w:vAlign w:val="center"/>
          </w:tcPr>
          <w:p>
            <w:pPr>
              <w:pStyle w:val="17"/>
            </w:pPr>
            <w:r>
              <w:t>30.00</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2459.11</w:t>
            </w:r>
          </w:p>
        </w:tc>
        <w:tc>
          <w:tcPr>
            <w:tcW w:w="1643" w:type="dxa"/>
            <w:vAlign w:val="center"/>
          </w:tcPr>
          <w:p>
            <w:pPr>
              <w:pStyle w:val="17"/>
            </w:pPr>
            <w:r>
              <w:t>724.29</w:t>
            </w:r>
          </w:p>
        </w:tc>
        <w:tc>
          <w:tcPr>
            <w:tcW w:w="1643" w:type="dxa"/>
            <w:vAlign w:val="center"/>
          </w:tcPr>
          <w:p>
            <w:pPr>
              <w:pStyle w:val="17"/>
            </w:pPr>
            <w:r>
              <w:t>1734.82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726.84</w:t>
            </w:r>
          </w:p>
        </w:tc>
        <w:tc>
          <w:tcPr>
            <w:tcW w:w="1643" w:type="dxa"/>
            <w:vAlign w:val="center"/>
          </w:tcPr>
          <w:p>
            <w:pPr>
              <w:pStyle w:val="13"/>
            </w:pPr>
          </w:p>
        </w:tc>
        <w:tc>
          <w:tcPr>
            <w:tcW w:w="1643" w:type="dxa"/>
            <w:vAlign w:val="center"/>
          </w:tcPr>
          <w:p>
            <w:pPr>
              <w:pStyle w:val="13"/>
            </w:pPr>
            <w:r>
              <w:t>726.84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20604</w:t>
            </w:r>
          </w:p>
        </w:tc>
        <w:tc>
          <w:tcPr>
            <w:tcW w:w="1643" w:type="dxa"/>
            <w:vAlign w:val="center"/>
          </w:tcPr>
          <w:p>
            <w:pPr>
              <w:pStyle w:val="14"/>
            </w:pPr>
            <w:r>
              <w:t>技术研究与开发</w:t>
            </w:r>
          </w:p>
        </w:tc>
        <w:tc>
          <w:tcPr>
            <w:tcW w:w="1643" w:type="dxa"/>
            <w:vAlign w:val="center"/>
          </w:tcPr>
          <w:p>
            <w:pPr>
              <w:pStyle w:val="13"/>
            </w:pPr>
            <w:r>
              <w:t>701.84</w:t>
            </w:r>
          </w:p>
        </w:tc>
        <w:tc>
          <w:tcPr>
            <w:tcW w:w="1643" w:type="dxa"/>
            <w:vAlign w:val="center"/>
          </w:tcPr>
          <w:p>
            <w:pPr>
              <w:pStyle w:val="13"/>
            </w:pPr>
          </w:p>
        </w:tc>
        <w:tc>
          <w:tcPr>
            <w:tcW w:w="1643" w:type="dxa"/>
            <w:vAlign w:val="center"/>
          </w:tcPr>
          <w:p>
            <w:pPr>
              <w:pStyle w:val="13"/>
            </w:pPr>
            <w:r>
              <w:t>701.84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2060404</w:t>
            </w:r>
          </w:p>
        </w:tc>
        <w:tc>
          <w:tcPr>
            <w:tcW w:w="1643" w:type="dxa"/>
            <w:vAlign w:val="center"/>
          </w:tcPr>
          <w:p>
            <w:pPr>
              <w:pStyle w:val="14"/>
            </w:pPr>
            <w:r>
              <w:t>科技成果转化与扩散</w:t>
            </w:r>
          </w:p>
        </w:tc>
        <w:tc>
          <w:tcPr>
            <w:tcW w:w="1643" w:type="dxa"/>
            <w:vAlign w:val="center"/>
          </w:tcPr>
          <w:p>
            <w:pPr>
              <w:pStyle w:val="13"/>
            </w:pPr>
            <w:r>
              <w:t>300.00</w:t>
            </w:r>
          </w:p>
        </w:tc>
        <w:tc>
          <w:tcPr>
            <w:tcW w:w="1643" w:type="dxa"/>
            <w:vAlign w:val="center"/>
          </w:tcPr>
          <w:p>
            <w:pPr>
              <w:pStyle w:val="13"/>
            </w:pPr>
          </w:p>
        </w:tc>
        <w:tc>
          <w:tcPr>
            <w:tcW w:w="1643"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2060499</w:t>
            </w:r>
          </w:p>
        </w:tc>
        <w:tc>
          <w:tcPr>
            <w:tcW w:w="1643" w:type="dxa"/>
            <w:vAlign w:val="center"/>
          </w:tcPr>
          <w:p>
            <w:pPr>
              <w:pStyle w:val="14"/>
            </w:pPr>
            <w:r>
              <w:t>其他技术研究与开发支出</w:t>
            </w:r>
          </w:p>
        </w:tc>
        <w:tc>
          <w:tcPr>
            <w:tcW w:w="1643" w:type="dxa"/>
            <w:vAlign w:val="center"/>
          </w:tcPr>
          <w:p>
            <w:pPr>
              <w:pStyle w:val="13"/>
            </w:pPr>
            <w:r>
              <w:t>401.84</w:t>
            </w:r>
          </w:p>
        </w:tc>
        <w:tc>
          <w:tcPr>
            <w:tcW w:w="1643" w:type="dxa"/>
            <w:vAlign w:val="center"/>
          </w:tcPr>
          <w:p>
            <w:pPr>
              <w:pStyle w:val="13"/>
            </w:pPr>
          </w:p>
        </w:tc>
        <w:tc>
          <w:tcPr>
            <w:tcW w:w="1643" w:type="dxa"/>
            <w:vAlign w:val="center"/>
          </w:tcPr>
          <w:p>
            <w:pPr>
              <w:pStyle w:val="13"/>
            </w:pPr>
            <w:r>
              <w:t>401.84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20609</w:t>
            </w:r>
          </w:p>
        </w:tc>
        <w:tc>
          <w:tcPr>
            <w:tcW w:w="1643" w:type="dxa"/>
            <w:vAlign w:val="center"/>
          </w:tcPr>
          <w:p>
            <w:pPr>
              <w:pStyle w:val="14"/>
            </w:pPr>
            <w:r>
              <w:t>科技重大项目</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2060902</w:t>
            </w:r>
          </w:p>
        </w:tc>
        <w:tc>
          <w:tcPr>
            <w:tcW w:w="1643" w:type="dxa"/>
            <w:vAlign w:val="center"/>
          </w:tcPr>
          <w:p>
            <w:pPr>
              <w:pStyle w:val="14"/>
            </w:pPr>
            <w:r>
              <w:t>重点研发计划</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215</w:t>
            </w:r>
          </w:p>
        </w:tc>
        <w:tc>
          <w:tcPr>
            <w:tcW w:w="1643" w:type="dxa"/>
            <w:vAlign w:val="center"/>
          </w:tcPr>
          <w:p>
            <w:pPr>
              <w:pStyle w:val="14"/>
            </w:pPr>
            <w:r>
              <w:t>资源勘探工业信息等支出</w:t>
            </w:r>
          </w:p>
        </w:tc>
        <w:tc>
          <w:tcPr>
            <w:tcW w:w="1643" w:type="dxa"/>
            <w:vAlign w:val="center"/>
          </w:tcPr>
          <w:p>
            <w:pPr>
              <w:pStyle w:val="13"/>
            </w:pPr>
            <w:r>
              <w:t>1732.27</w:t>
            </w:r>
          </w:p>
        </w:tc>
        <w:tc>
          <w:tcPr>
            <w:tcW w:w="1643" w:type="dxa"/>
            <w:vAlign w:val="center"/>
          </w:tcPr>
          <w:p>
            <w:pPr>
              <w:pStyle w:val="13"/>
            </w:pPr>
            <w:r>
              <w:t>724.29</w:t>
            </w:r>
          </w:p>
        </w:tc>
        <w:tc>
          <w:tcPr>
            <w:tcW w:w="1643" w:type="dxa"/>
            <w:vAlign w:val="center"/>
          </w:tcPr>
          <w:p>
            <w:pPr>
              <w:pStyle w:val="13"/>
            </w:pPr>
            <w:r>
              <w:t>1007.98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21505</w:t>
            </w:r>
          </w:p>
        </w:tc>
        <w:tc>
          <w:tcPr>
            <w:tcW w:w="1643" w:type="dxa"/>
            <w:vAlign w:val="center"/>
          </w:tcPr>
          <w:p>
            <w:pPr>
              <w:pStyle w:val="14"/>
            </w:pPr>
            <w:r>
              <w:t>工业和信息产业监管</w:t>
            </w:r>
          </w:p>
        </w:tc>
        <w:tc>
          <w:tcPr>
            <w:tcW w:w="1643" w:type="dxa"/>
            <w:vAlign w:val="center"/>
          </w:tcPr>
          <w:p>
            <w:pPr>
              <w:pStyle w:val="13"/>
            </w:pPr>
            <w:r>
              <w:t>1732.27</w:t>
            </w:r>
          </w:p>
        </w:tc>
        <w:tc>
          <w:tcPr>
            <w:tcW w:w="1643" w:type="dxa"/>
            <w:vAlign w:val="center"/>
          </w:tcPr>
          <w:p>
            <w:pPr>
              <w:pStyle w:val="13"/>
            </w:pPr>
            <w:r>
              <w:t>724.29</w:t>
            </w:r>
          </w:p>
        </w:tc>
        <w:tc>
          <w:tcPr>
            <w:tcW w:w="1643" w:type="dxa"/>
            <w:vAlign w:val="center"/>
          </w:tcPr>
          <w:p>
            <w:pPr>
              <w:pStyle w:val="13"/>
            </w:pPr>
            <w:r>
              <w:t>1007.98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2150502</w:t>
            </w:r>
          </w:p>
        </w:tc>
        <w:tc>
          <w:tcPr>
            <w:tcW w:w="1643" w:type="dxa"/>
            <w:vAlign w:val="center"/>
          </w:tcPr>
          <w:p>
            <w:pPr>
              <w:pStyle w:val="14"/>
            </w:pPr>
            <w:r>
              <w:t>一般行政管理事务</w:t>
            </w:r>
          </w:p>
        </w:tc>
        <w:tc>
          <w:tcPr>
            <w:tcW w:w="1643" w:type="dxa"/>
            <w:vAlign w:val="center"/>
          </w:tcPr>
          <w:p>
            <w:pPr>
              <w:pStyle w:val="13"/>
            </w:pPr>
            <w:r>
              <w:t>1012.04</w:t>
            </w:r>
          </w:p>
        </w:tc>
        <w:tc>
          <w:tcPr>
            <w:tcW w:w="1643" w:type="dxa"/>
            <w:vAlign w:val="center"/>
          </w:tcPr>
          <w:p>
            <w:pPr>
              <w:pStyle w:val="13"/>
            </w:pPr>
            <w:r>
              <w:t>724.29</w:t>
            </w:r>
          </w:p>
        </w:tc>
        <w:tc>
          <w:tcPr>
            <w:tcW w:w="1643" w:type="dxa"/>
            <w:vAlign w:val="center"/>
          </w:tcPr>
          <w:p>
            <w:pPr>
              <w:pStyle w:val="13"/>
            </w:pPr>
            <w:r>
              <w:t>287.75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2150517</w:t>
            </w:r>
          </w:p>
        </w:tc>
        <w:tc>
          <w:tcPr>
            <w:tcW w:w="1643" w:type="dxa"/>
            <w:vAlign w:val="center"/>
          </w:tcPr>
          <w:p>
            <w:pPr>
              <w:pStyle w:val="14"/>
            </w:pPr>
            <w:r>
              <w:t>产业发展</w:t>
            </w:r>
          </w:p>
        </w:tc>
        <w:tc>
          <w:tcPr>
            <w:tcW w:w="1643" w:type="dxa"/>
            <w:vAlign w:val="center"/>
          </w:tcPr>
          <w:p>
            <w:pPr>
              <w:pStyle w:val="13"/>
            </w:pPr>
            <w:r>
              <w:t>720.23</w:t>
            </w:r>
          </w:p>
        </w:tc>
        <w:tc>
          <w:tcPr>
            <w:tcW w:w="1643" w:type="dxa"/>
            <w:vAlign w:val="center"/>
          </w:tcPr>
          <w:p>
            <w:pPr>
              <w:pStyle w:val="13"/>
            </w:pPr>
          </w:p>
        </w:tc>
        <w:tc>
          <w:tcPr>
            <w:tcW w:w="1643" w:type="dxa"/>
            <w:vAlign w:val="center"/>
          </w:tcPr>
          <w:p>
            <w:pPr>
              <w:pStyle w:val="13"/>
            </w:pPr>
            <w:r>
              <w:t>720.23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724.29</w:t>
            </w:r>
          </w:p>
        </w:tc>
        <w:tc>
          <w:tcPr>
            <w:tcW w:w="1643" w:type="dxa"/>
            <w:vAlign w:val="center"/>
          </w:tcPr>
          <w:p>
            <w:pPr>
              <w:pStyle w:val="17"/>
            </w:pPr>
            <w:r>
              <w:t>668.92</w:t>
            </w:r>
          </w:p>
        </w:tc>
        <w:tc>
          <w:tcPr>
            <w:tcW w:w="1643" w:type="dxa"/>
            <w:vAlign w:val="center"/>
          </w:tcPr>
          <w:p>
            <w:pPr>
              <w:pStyle w:val="17"/>
            </w:pPr>
            <w:r>
              <w:t>55.37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663.20</w:t>
            </w:r>
          </w:p>
        </w:tc>
        <w:tc>
          <w:tcPr>
            <w:tcW w:w="1643" w:type="dxa"/>
            <w:vAlign w:val="center"/>
          </w:tcPr>
          <w:p>
            <w:pPr>
              <w:pStyle w:val="13"/>
            </w:pPr>
            <w:r>
              <w:t>663.20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163.58</w:t>
            </w:r>
          </w:p>
        </w:tc>
        <w:tc>
          <w:tcPr>
            <w:tcW w:w="1643" w:type="dxa"/>
            <w:vAlign w:val="center"/>
          </w:tcPr>
          <w:p>
            <w:pPr>
              <w:pStyle w:val="13"/>
            </w:pPr>
            <w:r>
              <w:t>163.58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225.63</w:t>
            </w:r>
          </w:p>
        </w:tc>
        <w:tc>
          <w:tcPr>
            <w:tcW w:w="1643" w:type="dxa"/>
            <w:vAlign w:val="center"/>
          </w:tcPr>
          <w:p>
            <w:pPr>
              <w:pStyle w:val="13"/>
            </w:pPr>
            <w:r>
              <w:t>225.63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7.77</w:t>
            </w:r>
          </w:p>
        </w:tc>
        <w:tc>
          <w:tcPr>
            <w:tcW w:w="1643" w:type="dxa"/>
            <w:vAlign w:val="center"/>
          </w:tcPr>
          <w:p>
            <w:pPr>
              <w:pStyle w:val="13"/>
            </w:pPr>
            <w:r>
              <w:t>7.77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52.13</w:t>
            </w:r>
          </w:p>
        </w:tc>
        <w:tc>
          <w:tcPr>
            <w:tcW w:w="1643" w:type="dxa"/>
            <w:vAlign w:val="center"/>
          </w:tcPr>
          <w:p>
            <w:pPr>
              <w:pStyle w:val="13"/>
            </w:pPr>
            <w:r>
              <w:t>52.13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58.58</w:t>
            </w:r>
          </w:p>
        </w:tc>
        <w:tc>
          <w:tcPr>
            <w:tcW w:w="1643" w:type="dxa"/>
            <w:vAlign w:val="center"/>
          </w:tcPr>
          <w:p>
            <w:pPr>
              <w:pStyle w:val="13"/>
            </w:pPr>
            <w:r>
              <w:t>58.58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30.76</w:t>
            </w:r>
          </w:p>
        </w:tc>
        <w:tc>
          <w:tcPr>
            <w:tcW w:w="1643" w:type="dxa"/>
            <w:vAlign w:val="center"/>
          </w:tcPr>
          <w:p>
            <w:pPr>
              <w:pStyle w:val="13"/>
            </w:pPr>
            <w:r>
              <w:t>30.76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23.80</w:t>
            </w:r>
          </w:p>
        </w:tc>
        <w:tc>
          <w:tcPr>
            <w:tcW w:w="1643" w:type="dxa"/>
            <w:vAlign w:val="center"/>
          </w:tcPr>
          <w:p>
            <w:pPr>
              <w:pStyle w:val="13"/>
            </w:pPr>
            <w:r>
              <w:t>23.80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52.39</w:t>
            </w:r>
          </w:p>
        </w:tc>
        <w:tc>
          <w:tcPr>
            <w:tcW w:w="1643" w:type="dxa"/>
            <w:vAlign w:val="center"/>
          </w:tcPr>
          <w:p>
            <w:pPr>
              <w:pStyle w:val="13"/>
            </w:pPr>
            <w:r>
              <w:t>52.39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48.56</w:t>
            </w:r>
          </w:p>
        </w:tc>
        <w:tc>
          <w:tcPr>
            <w:tcW w:w="1643" w:type="dxa"/>
            <w:vAlign w:val="center"/>
          </w:tcPr>
          <w:p>
            <w:pPr>
              <w:pStyle w:val="13"/>
            </w:pPr>
            <w:r>
              <w:t>48.56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55.37</w:t>
            </w:r>
          </w:p>
        </w:tc>
        <w:tc>
          <w:tcPr>
            <w:tcW w:w="1643" w:type="dxa"/>
            <w:vAlign w:val="center"/>
          </w:tcPr>
          <w:p>
            <w:pPr>
              <w:pStyle w:val="13"/>
            </w:pPr>
          </w:p>
        </w:tc>
        <w:tc>
          <w:tcPr>
            <w:tcW w:w="1643" w:type="dxa"/>
            <w:vAlign w:val="center"/>
          </w:tcPr>
          <w:p>
            <w:pPr>
              <w:pStyle w:val="13"/>
            </w:pPr>
            <w:r>
              <w:t>55.37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8.21</w:t>
            </w:r>
          </w:p>
        </w:tc>
        <w:tc>
          <w:tcPr>
            <w:tcW w:w="1643" w:type="dxa"/>
            <w:vAlign w:val="center"/>
          </w:tcPr>
          <w:p>
            <w:pPr>
              <w:pStyle w:val="13"/>
            </w:pPr>
          </w:p>
        </w:tc>
        <w:tc>
          <w:tcPr>
            <w:tcW w:w="1643" w:type="dxa"/>
            <w:vAlign w:val="center"/>
          </w:tcPr>
          <w:p>
            <w:pPr>
              <w:pStyle w:val="13"/>
            </w:pPr>
            <w:r>
              <w:t>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11.40</w:t>
            </w:r>
          </w:p>
        </w:tc>
        <w:tc>
          <w:tcPr>
            <w:tcW w:w="1643" w:type="dxa"/>
            <w:vAlign w:val="center"/>
          </w:tcPr>
          <w:p>
            <w:pPr>
              <w:pStyle w:val="13"/>
            </w:pPr>
          </w:p>
        </w:tc>
        <w:tc>
          <w:tcPr>
            <w:tcW w:w="1643"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1.94</w:t>
            </w:r>
          </w:p>
        </w:tc>
        <w:tc>
          <w:tcPr>
            <w:tcW w:w="1643" w:type="dxa"/>
            <w:vAlign w:val="center"/>
          </w:tcPr>
          <w:p>
            <w:pPr>
              <w:pStyle w:val="13"/>
            </w:pPr>
          </w:p>
        </w:tc>
        <w:tc>
          <w:tcPr>
            <w:tcW w:w="1643"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3.75</w:t>
            </w:r>
          </w:p>
        </w:tc>
        <w:tc>
          <w:tcPr>
            <w:tcW w:w="1643" w:type="dxa"/>
            <w:vAlign w:val="center"/>
          </w:tcPr>
          <w:p>
            <w:pPr>
              <w:pStyle w:val="13"/>
            </w:pPr>
          </w:p>
        </w:tc>
        <w:tc>
          <w:tcPr>
            <w:tcW w:w="1643" w:type="dxa"/>
            <w:vAlign w:val="center"/>
          </w:tcPr>
          <w:p>
            <w:pPr>
              <w:pStyle w:val="13"/>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3.41</w:t>
            </w:r>
          </w:p>
        </w:tc>
        <w:tc>
          <w:tcPr>
            <w:tcW w:w="1643" w:type="dxa"/>
            <w:vAlign w:val="center"/>
          </w:tcPr>
          <w:p>
            <w:pPr>
              <w:pStyle w:val="13"/>
            </w:pPr>
          </w:p>
        </w:tc>
        <w:tc>
          <w:tcPr>
            <w:tcW w:w="1643" w:type="dxa"/>
            <w:vAlign w:val="center"/>
          </w:tcPr>
          <w:p>
            <w:pPr>
              <w:pStyle w:val="13"/>
            </w:pPr>
            <w:r>
              <w:t>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4.09</w:t>
            </w:r>
          </w:p>
        </w:tc>
        <w:tc>
          <w:tcPr>
            <w:tcW w:w="1643" w:type="dxa"/>
            <w:vAlign w:val="center"/>
          </w:tcPr>
          <w:p>
            <w:pPr>
              <w:pStyle w:val="13"/>
            </w:pPr>
          </w:p>
        </w:tc>
        <w:tc>
          <w:tcPr>
            <w:tcW w:w="1643" w:type="dxa"/>
            <w:vAlign w:val="center"/>
          </w:tcPr>
          <w:p>
            <w:pPr>
              <w:pStyle w:val="13"/>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12.18</w:t>
            </w:r>
          </w:p>
        </w:tc>
        <w:tc>
          <w:tcPr>
            <w:tcW w:w="1643" w:type="dxa"/>
            <w:vAlign w:val="center"/>
          </w:tcPr>
          <w:p>
            <w:pPr>
              <w:pStyle w:val="13"/>
            </w:pPr>
          </w:p>
        </w:tc>
        <w:tc>
          <w:tcPr>
            <w:tcW w:w="1643" w:type="dxa"/>
            <w:vAlign w:val="center"/>
          </w:tcPr>
          <w:p>
            <w:pPr>
              <w:pStyle w:val="13"/>
            </w:pPr>
            <w:r>
              <w:t>12.18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6.09</w:t>
            </w:r>
          </w:p>
        </w:tc>
        <w:tc>
          <w:tcPr>
            <w:tcW w:w="1643" w:type="dxa"/>
            <w:vAlign w:val="center"/>
          </w:tcPr>
          <w:p>
            <w:pPr>
              <w:pStyle w:val="13"/>
            </w:pPr>
          </w:p>
        </w:tc>
        <w:tc>
          <w:tcPr>
            <w:tcW w:w="1643" w:type="dxa"/>
            <w:vAlign w:val="center"/>
          </w:tcPr>
          <w:p>
            <w:pPr>
              <w:pStyle w:val="13"/>
            </w:pPr>
            <w:r>
              <w:t>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5.72</w:t>
            </w:r>
          </w:p>
        </w:tc>
        <w:tc>
          <w:tcPr>
            <w:tcW w:w="1643" w:type="dxa"/>
            <w:vAlign w:val="center"/>
          </w:tcPr>
          <w:p>
            <w:pPr>
              <w:pStyle w:val="13"/>
            </w:pPr>
            <w:r>
              <w:t>5.72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5.70</w:t>
            </w:r>
          </w:p>
        </w:tc>
        <w:tc>
          <w:tcPr>
            <w:tcW w:w="1643" w:type="dxa"/>
            <w:vAlign w:val="center"/>
          </w:tcPr>
          <w:p>
            <w:pPr>
              <w:pStyle w:val="13"/>
            </w:pPr>
            <w:r>
              <w:t>5.70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30.00</w:t>
            </w:r>
          </w:p>
        </w:tc>
        <w:tc>
          <w:tcPr>
            <w:tcW w:w="1643" w:type="dxa"/>
            <w:vAlign w:val="center"/>
          </w:tcPr>
          <w:p>
            <w:pPr>
              <w:pStyle w:val="17"/>
            </w:pPr>
          </w:p>
        </w:tc>
        <w:tc>
          <w:tcPr>
            <w:tcW w:w="1643" w:type="dxa"/>
            <w:vAlign w:val="center"/>
          </w:tcPr>
          <w:p>
            <w:pPr>
              <w:pStyle w:val="17"/>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2120803</w:t>
            </w:r>
          </w:p>
        </w:tc>
        <w:tc>
          <w:tcPr>
            <w:tcW w:w="1643" w:type="dxa"/>
            <w:vAlign w:val="center"/>
          </w:tcPr>
          <w:p>
            <w:pPr>
              <w:pStyle w:val="14"/>
            </w:pPr>
            <w:r>
              <w:t>城市建设支出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w:t>
            </w:r>
          </w:p>
        </w:tc>
        <w:tc>
          <w:tcPr>
            <w:tcW w:w="1643" w:type="dxa"/>
            <w:vAlign w:val="center"/>
          </w:tcPr>
          <w:p>
            <w:pPr>
              <w:pStyle w:val="17"/>
              <w:rPr>
                <w:rFonts w:hint="default" w:eastAsia="方正书宋_GBK"/>
                <w:lang w:val="en-US" w:eastAsia="zh-CN"/>
              </w:rPr>
            </w:pPr>
            <w:r>
              <w:rPr>
                <w:rFonts w:hint="eastAsia"/>
                <w:lang w:val="en-US" w:eastAsia="zh-CN"/>
              </w:rPr>
              <w:t>2.2</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rPr>
                <w:rFonts w:hint="eastAsia" w:eastAsia="方正书宋_GBK"/>
                <w:lang w:val="en-US" w:eastAsia="zh-CN"/>
              </w:rPr>
            </w:pPr>
            <w:r>
              <w:t>2.2</w:t>
            </w:r>
          </w:p>
        </w:tc>
        <w:tc>
          <w:tcPr>
            <w:tcW w:w="1643" w:type="dxa"/>
            <w:vAlign w:val="center"/>
          </w:tcPr>
          <w:p>
            <w:pPr>
              <w:pStyle w:val="13"/>
            </w:pPr>
            <w: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石家庄市藁城区科学技术和工业信息化局本级2022年单位预算信息公开情况说明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按照《预算法》、《地方预决算公开操作规程》和《关于进一步推进预算公开工作的实施意见》规定，现将石家庄市藁城区科学技术和工业信息化局本级2022年单位预算公开如下：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石家庄市藁城区科学技术和工业信息化局的主要职责是：</w:t>
      </w:r>
    </w:p>
    <w:p>
      <w:pPr>
        <w:pStyle w:val="19"/>
      </w:pPr>
      <w:r>
        <w:t>（一）提出全区新型工业化发展战略和政策，协调解决新型工业化进程中的重大问题，推进产业结构战略性调整和优化升级，推进信息化和工业化融合，促进民营经济发展。</w:t>
      </w:r>
    </w:p>
    <w:p>
      <w:pPr>
        <w:pStyle w:val="19"/>
      </w:pPr>
      <w:r>
        <w:t>（二）拟订并组织实施全区工业行业规划、计划和产业政策，提出优化产业布局、结构的政策建议，推进现代产业体系建设，贯彻落实相关地方性法规、政府规章，组织实施行业技术和标准，指导行业质量管理工作。</w:t>
      </w:r>
    </w:p>
    <w:p>
      <w:pPr>
        <w:pStyle w:val="19"/>
      </w:pPr>
      <w:r>
        <w:t>（三）监测、分析全区工业运行态势，统计并发布相关信息，进行预测预警和信息引导，协调解决行业运行发展中的有关问题并提出政策建议，负责工业用电监测，负责工业应急管理、产业安全有关工作。发挥工业相关行业协会纽带作用，加强对行业、企业发展态势的把握。</w:t>
      </w:r>
    </w:p>
    <w:p>
      <w:pPr>
        <w:pStyle w:val="19"/>
      </w:pPr>
      <w:r>
        <w:t>（四）贯彻国家政策和标准，拟订高新技术产业中涉及生物医药、新材料、信息产业等规划并组织实施；指导行业技术创新和技术进步，以先进适用技术改造提升传统产业；推进实施有关国家和省、市科技重大专项，推进相关科研成果产业化，推动全区软件业、信息服务业和新兴产业发展。</w:t>
      </w:r>
    </w:p>
    <w:p>
      <w:pPr>
        <w:pStyle w:val="19"/>
      </w:pPr>
      <w:r>
        <w:t>（五）牵头建立统一的区级科技管理平台和科研项目资金协调、评估、监管机制。会同有关部门提出优化配置科技资源的措施建议，推动多元化科技投入体系建设，协调管理区级财政科技计划（专项、基金等）并监督实施。</w:t>
      </w:r>
    </w:p>
    <w:p>
      <w:pPr>
        <w:pStyle w:val="31"/>
      </w:pPr>
      <w:r>
        <w:t>（六）牵头技术转移体系建设，拟订科技成果转移转化和促进产学研结合的相关政策措施并监督实施。指导科技服务业，技术市场和科技中介组织发展。统筹区域科技创新体系建设，促进区域创新发展、科技资源合理布局和协同创新能力建设。负责科技监督评价体系建设和相关科技评估管理，统筹科研诚信建设。组织实施创新调查和科技报告制度，承担全区科技保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石家庄市藁城区科学技术和工业信息化局本级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pStyle w:val="20"/>
      </w:pPr>
      <w:r>
        <w:rPr>
          <w:rFonts w:hint="eastAsia"/>
        </w:rPr>
        <w:t>1、</w:t>
      </w:r>
      <w:r>
        <w:t>收入说明</w:t>
      </w:r>
    </w:p>
    <w:p>
      <w:pPr>
        <w:pStyle w:val="20"/>
      </w:pPr>
      <w:r>
        <w:rPr>
          <w:rFonts w:hint="eastAsia"/>
        </w:rPr>
        <w:t>反映本</w:t>
      </w:r>
      <w:r>
        <w:rPr>
          <w:rFonts w:hint="eastAsia"/>
          <w:lang w:eastAsia="zh-CN"/>
        </w:rPr>
        <w:t>单位</w:t>
      </w:r>
      <w:r>
        <w:rPr>
          <w:rFonts w:hint="eastAsia"/>
        </w:rPr>
        <w:t>当年全部收入。2022年预算收入</w:t>
      </w:r>
      <w:r>
        <w:rPr>
          <w:rFonts w:hint="eastAsia"/>
          <w:lang w:val="en-US" w:eastAsia="zh-CN"/>
        </w:rPr>
        <w:t>2489.11</w:t>
      </w:r>
      <w:r>
        <w:rPr>
          <w:rFonts w:hint="eastAsia"/>
        </w:rPr>
        <w:t>万元，其中：一般公共预算收入</w:t>
      </w:r>
      <w:r>
        <w:rPr>
          <w:rFonts w:hint="eastAsia"/>
          <w:lang w:val="en-US" w:eastAsia="zh-CN"/>
        </w:rPr>
        <w:t>2459.11</w:t>
      </w:r>
      <w:r>
        <w:rPr>
          <w:rFonts w:hint="eastAsia"/>
        </w:rPr>
        <w:t>万元，基金预算收入</w:t>
      </w:r>
      <w:r>
        <w:rPr>
          <w:rFonts w:hint="eastAsia"/>
          <w:lang w:val="en-US" w:eastAsia="zh-CN"/>
        </w:rPr>
        <w:t>3</w:t>
      </w:r>
      <w:r>
        <w:rPr>
          <w:rFonts w:hint="eastAsia"/>
        </w:rPr>
        <w:t>0万元，财政专户核拨收入0万元，其他来源收入0万元。</w:t>
      </w:r>
    </w:p>
    <w:p>
      <w:pPr>
        <w:pStyle w:val="20"/>
      </w:pPr>
      <w:r>
        <w:rPr>
          <w:rFonts w:hint="eastAsia"/>
        </w:rPr>
        <w:t>2、</w:t>
      </w:r>
      <w:r>
        <w:t>支出说明</w:t>
      </w:r>
    </w:p>
    <w:p>
      <w:pPr>
        <w:pStyle w:val="20"/>
      </w:pPr>
      <w:r>
        <w:rPr>
          <w:rFonts w:hint="eastAsia"/>
        </w:rPr>
        <w:t>收支预算总表支出栏、基本支出表、项目支出表按经济分类和支出功能分类科目编制，反映本</w:t>
      </w:r>
      <w:r>
        <w:rPr>
          <w:rFonts w:hint="eastAsia"/>
          <w:lang w:eastAsia="zh-CN"/>
        </w:rPr>
        <w:t>单位</w:t>
      </w:r>
      <w:r>
        <w:rPr>
          <w:rFonts w:hint="eastAsia"/>
        </w:rPr>
        <w:t>预算中支出预算的总体情况。2022年</w:t>
      </w:r>
      <w:r>
        <w:rPr>
          <w:rFonts w:hint="eastAsia"/>
          <w:lang w:eastAsia="zh-CN"/>
        </w:rPr>
        <w:t>单位</w:t>
      </w:r>
      <w:r>
        <w:rPr>
          <w:rFonts w:hint="eastAsia"/>
        </w:rPr>
        <w:t>支出预算为</w:t>
      </w:r>
      <w:r>
        <w:rPr>
          <w:rFonts w:hint="eastAsia"/>
          <w:lang w:val="en-US" w:eastAsia="zh-CN"/>
        </w:rPr>
        <w:t>2489.11</w:t>
      </w:r>
      <w:r>
        <w:rPr>
          <w:rFonts w:hint="eastAsia"/>
        </w:rPr>
        <w:t>万元，其中基本支出</w:t>
      </w:r>
      <w:r>
        <w:rPr>
          <w:rFonts w:hint="eastAsia"/>
          <w:lang w:val="en-US" w:eastAsia="zh-CN"/>
        </w:rPr>
        <w:t>724.29</w:t>
      </w:r>
      <w:r>
        <w:rPr>
          <w:rFonts w:hint="eastAsia"/>
        </w:rPr>
        <w:t>万元，包括人员经费</w:t>
      </w:r>
      <w:r>
        <w:rPr>
          <w:rFonts w:hint="eastAsia"/>
          <w:lang w:val="en-US" w:eastAsia="zh-CN"/>
        </w:rPr>
        <w:t>668.92</w:t>
      </w:r>
      <w:r>
        <w:rPr>
          <w:rFonts w:hint="eastAsia"/>
        </w:rPr>
        <w:t>万元和日常公用经费</w:t>
      </w:r>
      <w:r>
        <w:rPr>
          <w:rFonts w:hint="eastAsia"/>
          <w:lang w:val="en-US" w:eastAsia="zh-CN"/>
        </w:rPr>
        <w:t>55.37</w:t>
      </w:r>
      <w:r>
        <w:rPr>
          <w:rFonts w:hint="eastAsia"/>
        </w:rPr>
        <w:t>万元；项目支出</w:t>
      </w:r>
      <w:r>
        <w:rPr>
          <w:rFonts w:hint="eastAsia"/>
          <w:lang w:val="en-US" w:eastAsia="zh-CN"/>
        </w:rPr>
        <w:t>1764.82</w:t>
      </w:r>
      <w:r>
        <w:rPr>
          <w:rFonts w:hint="eastAsia"/>
        </w:rPr>
        <w:t>万元，主要为</w:t>
      </w:r>
      <w:r>
        <w:rPr>
          <w:rFonts w:hint="eastAsia"/>
          <w:lang w:eastAsia="zh-CN"/>
        </w:rPr>
        <w:t>科学技术支出</w:t>
      </w:r>
      <w:r>
        <w:rPr>
          <w:rFonts w:hint="eastAsia"/>
          <w:lang w:val="en-US" w:eastAsia="zh-CN"/>
        </w:rPr>
        <w:t>726.84</w:t>
      </w:r>
      <w:r>
        <w:rPr>
          <w:rFonts w:hint="eastAsia"/>
        </w:rPr>
        <w:t>万元，</w:t>
      </w:r>
      <w:r>
        <w:rPr>
          <w:rFonts w:hint="eastAsia"/>
          <w:lang w:eastAsia="zh-CN"/>
        </w:rPr>
        <w:t>城乡社区支出</w:t>
      </w:r>
      <w:r>
        <w:rPr>
          <w:rFonts w:hint="eastAsia"/>
          <w:lang w:val="en-US" w:eastAsia="zh-CN"/>
        </w:rPr>
        <w:t>30</w:t>
      </w:r>
      <w:r>
        <w:rPr>
          <w:rFonts w:hint="eastAsia"/>
        </w:rPr>
        <w:t>万元，</w:t>
      </w:r>
      <w:r>
        <w:rPr>
          <w:rFonts w:hint="eastAsia"/>
          <w:lang w:eastAsia="zh-CN"/>
        </w:rPr>
        <w:t>资源勘探工业信息等支出</w:t>
      </w:r>
      <w:r>
        <w:rPr>
          <w:rFonts w:hint="eastAsia"/>
          <w:lang w:val="en-US" w:eastAsia="zh-CN"/>
        </w:rPr>
        <w:t>1007.98</w:t>
      </w:r>
      <w:r>
        <w:rPr>
          <w:rFonts w:hint="eastAsia"/>
        </w:rPr>
        <w:t>万元；其他支出0万元。</w:t>
      </w:r>
    </w:p>
    <w:p>
      <w:pPr>
        <w:pStyle w:val="20"/>
      </w:pPr>
      <w:r>
        <w:rPr>
          <w:rFonts w:hint="eastAsia"/>
        </w:rPr>
        <w:t>3、</w:t>
      </w:r>
      <w:r>
        <w:t>比上年增减情况</w:t>
      </w:r>
    </w:p>
    <w:p>
      <w:pPr>
        <w:pStyle w:val="20"/>
      </w:pPr>
      <w:r>
        <w:rPr>
          <w:rFonts w:hint="eastAsia"/>
        </w:rPr>
        <w:t>2022年</w:t>
      </w:r>
      <w:r>
        <w:rPr>
          <w:rFonts w:hint="eastAsia"/>
          <w:lang w:eastAsia="zh-CN"/>
        </w:rPr>
        <w:t>单位</w:t>
      </w:r>
      <w:r>
        <w:rPr>
          <w:rFonts w:hint="eastAsia"/>
        </w:rPr>
        <w:t>预算收支安排</w:t>
      </w:r>
      <w:r>
        <w:rPr>
          <w:rFonts w:hint="eastAsia"/>
          <w:lang w:val="en-US" w:eastAsia="zh-CN"/>
        </w:rPr>
        <w:t>2489.11</w:t>
      </w:r>
      <w:r>
        <w:rPr>
          <w:rFonts w:hint="eastAsia"/>
        </w:rPr>
        <w:t>万元，较2021年增加</w:t>
      </w:r>
      <w:r>
        <w:rPr>
          <w:rFonts w:hint="eastAsia"/>
          <w:lang w:val="en-US" w:eastAsia="zh-CN"/>
        </w:rPr>
        <w:t>1532.29</w:t>
      </w:r>
      <w:r>
        <w:rPr>
          <w:rFonts w:hint="eastAsia"/>
        </w:rPr>
        <w:t>万元，其中：基本支出</w:t>
      </w:r>
      <w:r>
        <w:rPr>
          <w:rFonts w:hint="eastAsia"/>
          <w:lang w:eastAsia="zh-CN"/>
        </w:rPr>
        <w:t>增加</w:t>
      </w:r>
      <w:r>
        <w:rPr>
          <w:rFonts w:hint="eastAsia"/>
          <w:lang w:val="en-US" w:eastAsia="zh-CN"/>
        </w:rPr>
        <w:t>134.2</w:t>
      </w:r>
      <w:r>
        <w:rPr>
          <w:rFonts w:hint="eastAsia"/>
        </w:rPr>
        <w:t>万元，主要是人员</w:t>
      </w:r>
      <w:r>
        <w:rPr>
          <w:rFonts w:hint="eastAsia"/>
          <w:lang w:eastAsia="zh-CN"/>
        </w:rPr>
        <w:t>增多</w:t>
      </w:r>
      <w:r>
        <w:rPr>
          <w:rFonts w:hint="eastAsia"/>
        </w:rPr>
        <w:t>，相应</w:t>
      </w:r>
      <w:r>
        <w:rPr>
          <w:rFonts w:hint="eastAsia"/>
          <w:lang w:eastAsia="zh-CN"/>
        </w:rPr>
        <w:t>增加</w:t>
      </w:r>
      <w:r>
        <w:rPr>
          <w:rFonts w:hint="eastAsia"/>
        </w:rPr>
        <w:t>人员经费和日常公用经费；项目支出增加</w:t>
      </w:r>
      <w:r>
        <w:rPr>
          <w:rFonts w:hint="eastAsia"/>
          <w:lang w:val="en-US" w:eastAsia="zh-CN"/>
        </w:rPr>
        <w:t>1398.09</w:t>
      </w:r>
      <w:r>
        <w:rPr>
          <w:rFonts w:hint="eastAsia"/>
        </w:rPr>
        <w:t>万元，主要是增加</w:t>
      </w:r>
      <w:r>
        <w:rPr>
          <w:rFonts w:hint="eastAsia"/>
          <w:lang w:eastAsia="zh-CN"/>
        </w:rPr>
        <w:t>资源勘探等工业资金</w:t>
      </w:r>
      <w:r>
        <w:rPr>
          <w:rFonts w:hint="eastAsia"/>
        </w:rPr>
        <w:t>、</w:t>
      </w:r>
      <w:r>
        <w:rPr>
          <w:rFonts w:hint="eastAsia"/>
          <w:lang w:eastAsia="zh-CN"/>
        </w:rPr>
        <w:t>科学技术</w:t>
      </w:r>
      <w:r>
        <w:rPr>
          <w:rFonts w:hint="eastAsia"/>
        </w:rPr>
        <w:t>资金；其他支出无增减变化。</w:t>
      </w:r>
    </w:p>
    <w:p>
      <w:pPr>
        <w:pStyle w:val="20"/>
        <w:ind w:left="0" w:leftChars="0" w:firstLine="0" w:firstLineChars="0"/>
      </w:pP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1"/>
        <w:rPr>
          <w:rFonts w:hint="eastAsia" w:ascii="Times New Roman" w:hAnsi="Times New Roman" w:eastAsia="仿宋" w:cs="Times New Roman"/>
          <w:sz w:val="32"/>
          <w:szCs w:val="32"/>
        </w:rPr>
      </w:pPr>
      <w:r>
        <w:rPr>
          <w:rFonts w:hint="eastAsia" w:ascii="Times New Roman" w:hAnsi="Times New Roman" w:eastAsia="方正仿宋_GBK" w:cs="Times New Roman"/>
          <w:sz w:val="28"/>
          <w:szCs w:val="24"/>
          <w:lang w:val="en-US" w:eastAsia="uk-UA" w:bidi="ar-SA"/>
        </w:rPr>
        <w:t>2022年，我</w:t>
      </w:r>
      <w:r>
        <w:rPr>
          <w:rFonts w:hint="eastAsia"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55.37</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万元，主要用于保证机关正常运转的办公及印刷费、邮电费、差旅费、会议费、福利费、办公用房水电费、日常维修费等支出。</w:t>
      </w:r>
    </w:p>
    <w:p>
      <w:pPr>
        <w:spacing w:line="460" w:lineRule="exact"/>
        <w:ind w:firstLine="640" w:firstLineChars="200"/>
        <w:rPr>
          <w:rFonts w:ascii="仿宋" w:hAnsi="仿宋" w:eastAsia="仿宋"/>
          <w:b/>
          <w:sz w:val="32"/>
          <w:szCs w:val="32"/>
        </w:rPr>
      </w:pPr>
      <w:r>
        <w:rPr>
          <w:rFonts w:ascii="黑体" w:hAnsi="黑体" w:eastAsia="黑体" w:cs="黑体"/>
          <w:color w:val="000000"/>
          <w:sz w:val="32"/>
        </w:rPr>
        <w:t>四、财政拨款“三公”经费预算情况及增减变化原因</w:t>
      </w:r>
    </w:p>
    <w:p>
      <w:pPr>
        <w:spacing w:line="460" w:lineRule="exact"/>
        <w:ind w:firstLine="560" w:firstLineChars="200"/>
      </w:pPr>
      <w:r>
        <w:rPr>
          <w:rFonts w:hint="eastAsia" w:ascii="Times New Roman" w:hAnsi="Times New Roman" w:eastAsia="方正仿宋_GBK" w:cs="Times New Roman"/>
          <w:sz w:val="28"/>
          <w:szCs w:val="24"/>
          <w:lang w:val="en-US" w:eastAsia="uk-UA" w:bidi="ar-SA"/>
        </w:rPr>
        <w:t>2022年，我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财政拨款“三公”经费预算安排</w:t>
      </w:r>
      <w:r>
        <w:rPr>
          <w:rFonts w:hint="eastAsia" w:ascii="Times New Roman" w:hAnsi="Times New Roman" w:eastAsia="方正仿宋_GBK"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w:t>
      </w:r>
      <w:r>
        <w:rPr>
          <w:rFonts w:hint="eastAsia" w:ascii="Times New Roman" w:hAnsi="Times New Roman" w:eastAsia="方正仿宋_GBK"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2.2</w:t>
      </w:r>
      <w:r>
        <w:rPr>
          <w:rFonts w:hint="eastAsia"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1、服务工业经济发展资金绩效目标表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1.对办公设备和生活设施进行日常维护，逐步改善办公条件，保障正常的工作秩序。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按计划，将成本控制在14.85万元以内</w:t>
            </w:r>
          </w:p>
        </w:tc>
        <w:tc>
          <w:tcPr>
            <w:tcW w:w="2466" w:type="dxa"/>
            <w:vAlign w:val="center"/>
          </w:tcPr>
          <w:p>
            <w:pPr>
              <w:pStyle w:val="28"/>
            </w:pPr>
            <w:r>
              <w:t>≤14.85万元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局设备维修的次数</w:t>
            </w:r>
          </w:p>
        </w:tc>
        <w:tc>
          <w:tcPr>
            <w:tcW w:w="2466" w:type="dxa"/>
            <w:vAlign w:val="center"/>
          </w:tcPr>
          <w:p>
            <w:pPr>
              <w:pStyle w:val="28"/>
            </w:pPr>
            <w:r>
              <w:t>局设备因老化或损坏，得到维修的次数</w:t>
            </w:r>
          </w:p>
        </w:tc>
        <w:tc>
          <w:tcPr>
            <w:tcW w:w="2466" w:type="dxa"/>
            <w:vAlign w:val="center"/>
          </w:tcPr>
          <w:p>
            <w:pPr>
              <w:pStyle w:val="28"/>
            </w:pPr>
            <w:r>
              <w:t>≥1次</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质量合格</w:t>
            </w:r>
          </w:p>
        </w:tc>
        <w:tc>
          <w:tcPr>
            <w:tcW w:w="2466" w:type="dxa"/>
            <w:vAlign w:val="center"/>
          </w:tcPr>
          <w:p>
            <w:pPr>
              <w:pStyle w:val="28"/>
            </w:pPr>
            <w:r>
              <w:t>局设备老化或损坏，维修人员的及时维修</w:t>
            </w:r>
          </w:p>
        </w:tc>
        <w:tc>
          <w:tcPr>
            <w:tcW w:w="2466" w:type="dxa"/>
            <w:vAlign w:val="center"/>
          </w:tcPr>
          <w:p>
            <w:pPr>
              <w:pStyle w:val="28"/>
            </w:pPr>
            <w:r>
              <w:t>局维修人员的及时维修</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466" w:type="dxa"/>
            <w:vAlign w:val="center"/>
          </w:tcPr>
          <w:p>
            <w:pPr>
              <w:pStyle w:val="28"/>
            </w:pPr>
            <w:r>
              <w:t>财务及时将维修人员的报账单进行报账的效率</w:t>
            </w:r>
          </w:p>
        </w:tc>
        <w:tc>
          <w:tcPr>
            <w:tcW w:w="2466" w:type="dxa"/>
            <w:vAlign w:val="center"/>
          </w:tcPr>
          <w:p>
            <w:pPr>
              <w:pStyle w:val="28"/>
            </w:pPr>
            <w:r>
              <w:t>及时拨付，不跨月</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招聘的劳务派遣人员对工作的完成度</w:t>
            </w:r>
          </w:p>
        </w:tc>
        <w:tc>
          <w:tcPr>
            <w:tcW w:w="2466" w:type="dxa"/>
            <w:vAlign w:val="center"/>
          </w:tcPr>
          <w:p>
            <w:pPr>
              <w:pStyle w:val="28"/>
            </w:pPr>
            <w:r>
              <w:t>在岗劳务派遣人员对工作的完成度</w:t>
            </w:r>
          </w:p>
        </w:tc>
        <w:tc>
          <w:tcPr>
            <w:tcW w:w="2466" w:type="dxa"/>
            <w:vAlign w:val="center"/>
          </w:tcPr>
          <w:p>
            <w:pPr>
              <w:pStyle w:val="28"/>
            </w:pPr>
            <w:r>
              <w:t>评价结果</w:t>
            </w:r>
          </w:p>
        </w:tc>
        <w:tc>
          <w:tcPr>
            <w:tcW w:w="2466" w:type="dxa"/>
            <w:vAlign w:val="center"/>
          </w:tcPr>
          <w:p>
            <w:pPr>
              <w:pStyle w:val="28"/>
            </w:pPr>
            <w:r>
              <w:t>单位对相关人员的评价结果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内部办公人员对建筑环境满意度</w:t>
            </w:r>
          </w:p>
        </w:tc>
        <w:tc>
          <w:tcPr>
            <w:tcW w:w="2466" w:type="dxa"/>
            <w:vAlign w:val="center"/>
          </w:tcPr>
          <w:p>
            <w:pPr>
              <w:pStyle w:val="28"/>
            </w:pPr>
            <w:r>
              <w:t>内部办公人员对建筑环境满意度</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2、工业企业分类综合评价管理平台云主机服务费绩效目标表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1.确保平台正常运行。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按合同，租赁的云平台主机数量</w:t>
            </w:r>
          </w:p>
        </w:tc>
        <w:tc>
          <w:tcPr>
            <w:tcW w:w="2466" w:type="dxa"/>
            <w:vAlign w:val="center"/>
          </w:tcPr>
          <w:p>
            <w:pPr>
              <w:pStyle w:val="28"/>
            </w:pPr>
            <w:r>
              <w:t>按合同，我局租赁1个云平台主机</w:t>
            </w:r>
          </w:p>
        </w:tc>
        <w:tc>
          <w:tcPr>
            <w:tcW w:w="2466" w:type="dxa"/>
            <w:vAlign w:val="center"/>
          </w:tcPr>
          <w:p>
            <w:pPr>
              <w:pStyle w:val="28"/>
            </w:pPr>
            <w:r>
              <w:t>1个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质量合格率</w:t>
            </w:r>
          </w:p>
        </w:tc>
        <w:tc>
          <w:tcPr>
            <w:tcW w:w="2466" w:type="dxa"/>
            <w:vAlign w:val="center"/>
          </w:tcPr>
          <w:p>
            <w:pPr>
              <w:pStyle w:val="28"/>
            </w:pPr>
            <w:r>
              <w:t>第三方公司负责提供云主机及安全防护服务</w:t>
            </w:r>
          </w:p>
        </w:tc>
        <w:tc>
          <w:tcPr>
            <w:tcW w:w="2466" w:type="dxa"/>
            <w:vAlign w:val="center"/>
          </w:tcPr>
          <w:p>
            <w:pPr>
              <w:pStyle w:val="28"/>
            </w:pPr>
            <w:r>
              <w:t>平台正常使用</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按时拨付</w:t>
            </w:r>
          </w:p>
        </w:tc>
        <w:tc>
          <w:tcPr>
            <w:tcW w:w="2466" w:type="dxa"/>
            <w:vAlign w:val="center"/>
          </w:tcPr>
          <w:p>
            <w:pPr>
              <w:pStyle w:val="28"/>
            </w:pPr>
            <w:r>
              <w:t>按合同约定按时拨付</w:t>
            </w:r>
          </w:p>
        </w:tc>
        <w:tc>
          <w:tcPr>
            <w:tcW w:w="2466" w:type="dxa"/>
            <w:vAlign w:val="center"/>
          </w:tcPr>
          <w:p>
            <w:pPr>
              <w:pStyle w:val="28"/>
            </w:pPr>
            <w:r>
              <w:t>＜30天</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按合同约定费用</w:t>
            </w:r>
          </w:p>
        </w:tc>
        <w:tc>
          <w:tcPr>
            <w:tcW w:w="2466" w:type="dxa"/>
            <w:vAlign w:val="center"/>
          </w:tcPr>
          <w:p>
            <w:pPr>
              <w:pStyle w:val="28"/>
            </w:pPr>
            <w:r>
              <w:t>2.9万元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分类管理</w:t>
            </w:r>
          </w:p>
        </w:tc>
        <w:tc>
          <w:tcPr>
            <w:tcW w:w="2466" w:type="dxa"/>
            <w:vAlign w:val="center"/>
          </w:tcPr>
          <w:p>
            <w:pPr>
              <w:pStyle w:val="28"/>
            </w:pPr>
            <w:r>
              <w:t>根据评价类型分类管理企业</w:t>
            </w:r>
          </w:p>
        </w:tc>
        <w:tc>
          <w:tcPr>
            <w:tcW w:w="2466" w:type="dxa"/>
            <w:vAlign w:val="center"/>
          </w:tcPr>
          <w:p>
            <w:pPr>
              <w:pStyle w:val="28"/>
            </w:pPr>
            <w:r>
              <w:t>按A、B、C、D类管理企业</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≥0.9%</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3、科技研究与开发绩效目标表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1.获得一批技术成果和新产品，培养一批科技技术人才和技术团队，助力企业提升科技创新能力。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科技计划项目立项数量</w:t>
            </w:r>
          </w:p>
        </w:tc>
        <w:tc>
          <w:tcPr>
            <w:tcW w:w="2466" w:type="dxa"/>
            <w:vAlign w:val="center"/>
          </w:tcPr>
          <w:p>
            <w:pPr>
              <w:pStyle w:val="28"/>
            </w:pPr>
            <w:r>
              <w:t>全年支持企事业单位科学技术研究与开发计划项目立项个数</w:t>
            </w:r>
          </w:p>
        </w:tc>
        <w:tc>
          <w:tcPr>
            <w:tcW w:w="2466" w:type="dxa"/>
            <w:vAlign w:val="center"/>
          </w:tcPr>
          <w:p>
            <w:pPr>
              <w:pStyle w:val="28"/>
            </w:pPr>
            <w:r>
              <w:t>科技计划项目立项数量15个，新技术、新产品、新申报知识产权数量大于等于20项。</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合格率</w:t>
            </w:r>
          </w:p>
        </w:tc>
        <w:tc>
          <w:tcPr>
            <w:tcW w:w="2466" w:type="dxa"/>
            <w:vAlign w:val="center"/>
          </w:tcPr>
          <w:p>
            <w:pPr>
              <w:pStyle w:val="28"/>
            </w:pPr>
            <w:r>
              <w:t>全年研发的新技术、新产品数量和新申报知识产权(专利、软著)质量</w:t>
            </w:r>
          </w:p>
        </w:tc>
        <w:tc>
          <w:tcPr>
            <w:tcW w:w="2466" w:type="dxa"/>
            <w:vAlign w:val="center"/>
          </w:tcPr>
          <w:p>
            <w:pPr>
              <w:pStyle w:val="28"/>
            </w:pPr>
            <w:r>
              <w:t>产品质量合格率</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科技计划项目在2022年6月底前完成拨付工作。</w:t>
            </w:r>
          </w:p>
        </w:tc>
        <w:tc>
          <w:tcPr>
            <w:tcW w:w="2466" w:type="dxa"/>
            <w:vAlign w:val="center"/>
          </w:tcPr>
          <w:p>
            <w:pPr>
              <w:pStyle w:val="28"/>
            </w:pPr>
            <w:r>
              <w:t>完成科技计划项目的申报、评审、资金拨付工作的时间</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开展项目申报、评审或评估、招标、监督检查、项目验收及绩效评价、科技统计、计划管理系统维护等工作所发生的费用</w:t>
            </w:r>
          </w:p>
        </w:tc>
        <w:tc>
          <w:tcPr>
            <w:tcW w:w="2466" w:type="dxa"/>
            <w:vAlign w:val="center"/>
          </w:tcPr>
          <w:p>
            <w:pPr>
              <w:pStyle w:val="28"/>
            </w:pPr>
            <w:r>
              <w:t>≤15万元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直接带动项目承担单位科研经费投入数量</w:t>
            </w:r>
          </w:p>
        </w:tc>
        <w:tc>
          <w:tcPr>
            <w:tcW w:w="2466" w:type="dxa"/>
            <w:vAlign w:val="center"/>
          </w:tcPr>
          <w:p>
            <w:pPr>
              <w:pStyle w:val="28"/>
            </w:pPr>
            <w:r>
              <w:t>项目承担单位项目实施期间直接投入科研经费数额</w:t>
            </w:r>
          </w:p>
        </w:tc>
        <w:tc>
          <w:tcPr>
            <w:tcW w:w="2466" w:type="dxa"/>
            <w:vAlign w:val="center"/>
          </w:tcPr>
          <w:p>
            <w:pPr>
              <w:pStyle w:val="28"/>
            </w:pPr>
            <w:r>
              <w:t>≥500万元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满意企事业单位个数除以获支持企事业单位个数乘以百分之百</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1.用来招聘劳务派遣人员7名，支付相关服务费以及社保费、工资等.</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工资发放率</w:t>
            </w:r>
          </w:p>
        </w:tc>
        <w:tc>
          <w:tcPr>
            <w:tcW w:w="2466" w:type="dxa"/>
            <w:vAlign w:val="center"/>
          </w:tcPr>
          <w:p>
            <w:pPr>
              <w:pStyle w:val="28"/>
            </w:pPr>
            <w:r>
              <w:t>实际发放工资占应发工资的比例</w:t>
            </w:r>
          </w:p>
        </w:tc>
        <w:tc>
          <w:tcPr>
            <w:tcW w:w="2466" w:type="dxa"/>
            <w:vAlign w:val="center"/>
          </w:tcPr>
          <w:p>
            <w:pPr>
              <w:pStyle w:val="28"/>
            </w:pPr>
            <w:r>
              <w:t>100百分比</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覆盖人数</w:t>
            </w:r>
          </w:p>
        </w:tc>
        <w:tc>
          <w:tcPr>
            <w:tcW w:w="2466" w:type="dxa"/>
            <w:vAlign w:val="center"/>
          </w:tcPr>
          <w:p>
            <w:pPr>
              <w:pStyle w:val="28"/>
            </w:pPr>
            <w:r>
              <w:t>发放工资以及缴纳的人数</w:t>
            </w:r>
          </w:p>
        </w:tc>
        <w:tc>
          <w:tcPr>
            <w:tcW w:w="2466" w:type="dxa"/>
            <w:vAlign w:val="center"/>
          </w:tcPr>
          <w:p>
            <w:pPr>
              <w:pStyle w:val="28"/>
            </w:pPr>
            <w:r>
              <w:t>6人</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按向有关领导的批示，招聘6人，每人每月3600元的工资。</w:t>
            </w:r>
          </w:p>
        </w:tc>
        <w:tc>
          <w:tcPr>
            <w:tcW w:w="2466" w:type="dxa"/>
            <w:vAlign w:val="center"/>
          </w:tcPr>
          <w:p>
            <w:pPr>
              <w:pStyle w:val="28"/>
            </w:pPr>
            <w:r>
              <w:t>≤32.85万元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每月按时发放工资</w:t>
            </w:r>
          </w:p>
        </w:tc>
        <w:tc>
          <w:tcPr>
            <w:tcW w:w="2466" w:type="dxa"/>
            <w:vAlign w:val="center"/>
          </w:tcPr>
          <w:p>
            <w:pPr>
              <w:pStyle w:val="28"/>
            </w:pPr>
            <w:r>
              <w:t>按时发放工资</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招聘的劳务派遣人员对工作的完成度</w:t>
            </w:r>
          </w:p>
        </w:tc>
        <w:tc>
          <w:tcPr>
            <w:tcW w:w="2466" w:type="dxa"/>
            <w:vAlign w:val="center"/>
          </w:tcPr>
          <w:p>
            <w:pPr>
              <w:pStyle w:val="28"/>
            </w:pPr>
            <w:r>
              <w:t>在岗劳务派遣人员对工作的完成度</w:t>
            </w:r>
          </w:p>
        </w:tc>
        <w:tc>
          <w:tcPr>
            <w:tcW w:w="2466" w:type="dxa"/>
            <w:vAlign w:val="center"/>
          </w:tcPr>
          <w:p>
            <w:pPr>
              <w:pStyle w:val="28"/>
            </w:pPr>
            <w:r>
              <w:t>评价结果</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建筑环境满意度</w:t>
            </w:r>
          </w:p>
        </w:tc>
        <w:tc>
          <w:tcPr>
            <w:tcW w:w="2466" w:type="dxa"/>
            <w:vAlign w:val="center"/>
          </w:tcPr>
          <w:p>
            <w:pPr>
              <w:pStyle w:val="28"/>
            </w:pPr>
            <w:r>
              <w:t>内部办公人员对建筑环境满意度</w:t>
            </w:r>
          </w:p>
        </w:tc>
        <w:tc>
          <w:tcPr>
            <w:tcW w:w="2466" w:type="dxa"/>
            <w:vAlign w:val="center"/>
          </w:tcPr>
          <w:p>
            <w:pPr>
              <w:pStyle w:val="28"/>
            </w:pPr>
            <w:r>
              <w:t>内部办公人员对建筑环境满意度</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5、石财教[2021]78号关于下达2021年高新技术企业奖励性后补助专项资金的通知绩效目标表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1.激发企业开展科技创新活动.</w:t>
            </w:r>
          </w:p>
          <w:p>
            <w:pPr>
              <w:pStyle w:val="28"/>
            </w:pPr>
            <w:r>
              <w:t>2.促进企业增加研发投入。</w:t>
            </w:r>
          </w:p>
          <w:p>
            <w:pPr>
              <w:pStyle w:val="28"/>
            </w:pPr>
            <w:r>
              <w:t>3.带动全区更多企业成长为高新技术企业。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资助单位数量</w:t>
            </w:r>
          </w:p>
        </w:tc>
        <w:tc>
          <w:tcPr>
            <w:tcW w:w="2466" w:type="dxa"/>
            <w:vAlign w:val="center"/>
          </w:tcPr>
          <w:p>
            <w:pPr>
              <w:pStyle w:val="28"/>
            </w:pPr>
            <w:r>
              <w:t>下发企业奖励补助的单位数量</w:t>
            </w:r>
          </w:p>
        </w:tc>
        <w:tc>
          <w:tcPr>
            <w:tcW w:w="2466" w:type="dxa"/>
            <w:vAlign w:val="center"/>
          </w:tcPr>
          <w:p>
            <w:pPr>
              <w:pStyle w:val="28"/>
            </w:pPr>
            <w:r>
              <w:t>≥22个</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专利申请量（件）</w:t>
            </w:r>
          </w:p>
        </w:tc>
        <w:tc>
          <w:tcPr>
            <w:tcW w:w="2466" w:type="dxa"/>
            <w:vAlign w:val="center"/>
          </w:tcPr>
          <w:p>
            <w:pPr>
              <w:pStyle w:val="28"/>
            </w:pPr>
            <w:r>
              <w:t>2022年我区申请各项专利总件数</w:t>
            </w:r>
          </w:p>
        </w:tc>
        <w:tc>
          <w:tcPr>
            <w:tcW w:w="2466" w:type="dxa"/>
            <w:vAlign w:val="center"/>
          </w:tcPr>
          <w:p>
            <w:pPr>
              <w:pStyle w:val="28"/>
            </w:pPr>
            <w:r>
              <w:t>2022年我区申请各项专利总件数达到400以上</w:t>
            </w:r>
          </w:p>
        </w:tc>
        <w:tc>
          <w:tcPr>
            <w:tcW w:w="2466" w:type="dxa"/>
            <w:vAlign w:val="center"/>
          </w:tcPr>
          <w:p>
            <w:pPr>
              <w:pStyle w:val="28"/>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项目支持金额</w:t>
            </w:r>
          </w:p>
        </w:tc>
        <w:tc>
          <w:tcPr>
            <w:tcW w:w="2466" w:type="dxa"/>
            <w:vAlign w:val="center"/>
          </w:tcPr>
          <w:p>
            <w:pPr>
              <w:pStyle w:val="28"/>
            </w:pPr>
            <w:r>
              <w:t>项目支持资金不超标准</w:t>
            </w:r>
          </w:p>
        </w:tc>
        <w:tc>
          <w:tcPr>
            <w:tcW w:w="2466" w:type="dxa"/>
            <w:vAlign w:val="center"/>
          </w:tcPr>
          <w:p>
            <w:pPr>
              <w:pStyle w:val="28"/>
            </w:pPr>
            <w:r>
              <w:t>300万元</w:t>
            </w:r>
          </w:p>
        </w:tc>
        <w:tc>
          <w:tcPr>
            <w:tcW w:w="2466" w:type="dxa"/>
            <w:vAlign w:val="center"/>
          </w:tcPr>
          <w:p>
            <w:pPr>
              <w:pStyle w:val="28"/>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新增高新技术企业数量</w:t>
            </w:r>
          </w:p>
        </w:tc>
        <w:tc>
          <w:tcPr>
            <w:tcW w:w="2466" w:type="dxa"/>
            <w:vAlign w:val="center"/>
          </w:tcPr>
          <w:p>
            <w:pPr>
              <w:pStyle w:val="28"/>
            </w:pPr>
            <w:r>
              <w:t>2020年新增高新技术企业的数量</w:t>
            </w:r>
          </w:p>
        </w:tc>
        <w:tc>
          <w:tcPr>
            <w:tcW w:w="2466" w:type="dxa"/>
            <w:vAlign w:val="center"/>
          </w:tcPr>
          <w:p>
            <w:pPr>
              <w:pStyle w:val="28"/>
            </w:pPr>
            <w:r>
              <w:t>≥10家</w:t>
            </w:r>
          </w:p>
        </w:tc>
        <w:tc>
          <w:tcPr>
            <w:tcW w:w="2466" w:type="dxa"/>
            <w:vAlign w:val="center"/>
          </w:tcPr>
          <w:p>
            <w:pPr>
              <w:pStyle w:val="28"/>
            </w:pPr>
            <w:r>
              <w:t>有关认定文件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接受我局所提供服务的满意程度</w:t>
            </w:r>
          </w:p>
        </w:tc>
        <w:tc>
          <w:tcPr>
            <w:tcW w:w="2466" w:type="dxa"/>
            <w:vAlign w:val="center"/>
          </w:tcPr>
          <w:p>
            <w:pPr>
              <w:pStyle w:val="28"/>
            </w:pPr>
            <w:r>
              <w:t>≥90%</w:t>
            </w:r>
          </w:p>
        </w:tc>
        <w:tc>
          <w:tcPr>
            <w:tcW w:w="2466" w:type="dxa"/>
            <w:vAlign w:val="center"/>
          </w:tcPr>
          <w:p>
            <w:pPr>
              <w:pStyle w:val="28"/>
            </w:pPr>
            <w:r>
              <w:t>企业满意度调查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6、石财教【2021】16号关于下达2021年科研专项资金的通知—重点研发计划234万元绩效目标表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1.激发企业开展科技创新活动，促进企业增加研发投入。</w:t>
            </w:r>
          </w:p>
          <w:p>
            <w:pPr>
              <w:pStyle w:val="28"/>
            </w:pPr>
            <w:r>
              <w:t>2.带动全区更多企业成长为高新技术企业。</w:t>
            </w:r>
          </w:p>
          <w:p>
            <w:pPr>
              <w:pStyle w:val="28"/>
            </w:pPr>
            <w:r>
              <w:t>3.增加藁城区经济活力，创造更多就业岗位，促进社会和谐发展。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资助单位数量</w:t>
            </w:r>
          </w:p>
        </w:tc>
        <w:tc>
          <w:tcPr>
            <w:tcW w:w="2466" w:type="dxa"/>
            <w:vAlign w:val="center"/>
          </w:tcPr>
          <w:p>
            <w:pPr>
              <w:pStyle w:val="28"/>
            </w:pPr>
            <w:r>
              <w:t>下发企业奖励性后补助的单位数量</w:t>
            </w:r>
          </w:p>
        </w:tc>
        <w:tc>
          <w:tcPr>
            <w:tcW w:w="2466" w:type="dxa"/>
            <w:vAlign w:val="center"/>
          </w:tcPr>
          <w:p>
            <w:pPr>
              <w:pStyle w:val="28"/>
            </w:pPr>
            <w:r>
              <w:t>≥13个</w:t>
            </w:r>
          </w:p>
        </w:tc>
        <w:tc>
          <w:tcPr>
            <w:tcW w:w="2466" w:type="dxa"/>
            <w:vAlign w:val="center"/>
          </w:tcPr>
          <w:p>
            <w:pPr>
              <w:pStyle w:val="28"/>
            </w:pPr>
            <w:r>
              <w:t>有关财务票据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项目支持金额</w:t>
            </w:r>
          </w:p>
        </w:tc>
        <w:tc>
          <w:tcPr>
            <w:tcW w:w="2466" w:type="dxa"/>
            <w:vAlign w:val="center"/>
          </w:tcPr>
          <w:p>
            <w:pPr>
              <w:pStyle w:val="28"/>
            </w:pPr>
            <w:r>
              <w:t>项目支持资金总额不超过25万元</w:t>
            </w:r>
          </w:p>
        </w:tc>
        <w:tc>
          <w:tcPr>
            <w:tcW w:w="2466" w:type="dxa"/>
            <w:vAlign w:val="center"/>
          </w:tcPr>
          <w:p>
            <w:pPr>
              <w:pStyle w:val="28"/>
            </w:pPr>
            <w:r>
              <w:t>≤25万元</w:t>
            </w:r>
          </w:p>
        </w:tc>
        <w:tc>
          <w:tcPr>
            <w:tcW w:w="2466" w:type="dxa"/>
            <w:vAlign w:val="center"/>
          </w:tcPr>
          <w:p>
            <w:pPr>
              <w:pStyle w:val="28"/>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专项资金按时拨付率</w:t>
            </w:r>
          </w:p>
        </w:tc>
        <w:tc>
          <w:tcPr>
            <w:tcW w:w="2466" w:type="dxa"/>
            <w:vAlign w:val="center"/>
          </w:tcPr>
          <w:p>
            <w:pPr>
              <w:pStyle w:val="28"/>
            </w:pPr>
            <w:r>
              <w:t>专项资金按照拨付进度完成</w:t>
            </w:r>
          </w:p>
        </w:tc>
        <w:tc>
          <w:tcPr>
            <w:tcW w:w="2466" w:type="dxa"/>
            <w:vAlign w:val="center"/>
          </w:tcPr>
          <w:p>
            <w:pPr>
              <w:pStyle w:val="28"/>
            </w:pPr>
            <w:r>
              <w:t>及时高效拨付专项资金</w:t>
            </w:r>
          </w:p>
        </w:tc>
        <w:tc>
          <w:tcPr>
            <w:tcW w:w="2466" w:type="dxa"/>
            <w:vAlign w:val="center"/>
          </w:tcPr>
          <w:p>
            <w:pPr>
              <w:pStyle w:val="28"/>
            </w:pPr>
            <w:r>
              <w:t>财务数据及银行回单等凭证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新增高新技术企业数量</w:t>
            </w:r>
          </w:p>
        </w:tc>
        <w:tc>
          <w:tcPr>
            <w:tcW w:w="2466" w:type="dxa"/>
            <w:vAlign w:val="center"/>
          </w:tcPr>
          <w:p>
            <w:pPr>
              <w:pStyle w:val="28"/>
            </w:pPr>
            <w:r>
              <w:t>2020年新增高新技术企业的数量</w:t>
            </w:r>
          </w:p>
        </w:tc>
        <w:tc>
          <w:tcPr>
            <w:tcW w:w="2466" w:type="dxa"/>
            <w:vAlign w:val="center"/>
          </w:tcPr>
          <w:p>
            <w:pPr>
              <w:pStyle w:val="28"/>
            </w:pPr>
            <w:r>
              <w:t>≥10家</w:t>
            </w:r>
          </w:p>
        </w:tc>
        <w:tc>
          <w:tcPr>
            <w:tcW w:w="2466" w:type="dxa"/>
            <w:vAlign w:val="center"/>
          </w:tcPr>
          <w:p>
            <w:pPr>
              <w:pStyle w:val="28"/>
            </w:pPr>
            <w:r>
              <w:t>有关认定文件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接受我局所提供服务的满意程度</w:t>
            </w:r>
          </w:p>
        </w:tc>
        <w:tc>
          <w:tcPr>
            <w:tcW w:w="2466" w:type="dxa"/>
            <w:vAlign w:val="center"/>
          </w:tcPr>
          <w:p>
            <w:pPr>
              <w:pStyle w:val="28"/>
            </w:pPr>
            <w:r>
              <w:t>≥99百分比</w:t>
            </w:r>
          </w:p>
        </w:tc>
        <w:tc>
          <w:tcPr>
            <w:tcW w:w="2466" w:type="dxa"/>
            <w:vAlign w:val="center"/>
          </w:tcPr>
          <w:p>
            <w:pPr>
              <w:pStyle w:val="28"/>
            </w:pPr>
            <w:r>
              <w:t>企业满意度调查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7、石财金[2021]39号下达2021年省级工业转型升级（技改）专项资金（第一批）绩效目标表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1.树培一批主业突出的规模以上工业企业。</w:t>
            </w:r>
          </w:p>
          <w:p>
            <w:pPr>
              <w:pStyle w:val="28"/>
            </w:pPr>
            <w:r>
              <w:t>2.树培一批辐射明显的规模以上工业企业。</w:t>
            </w:r>
          </w:p>
          <w:p>
            <w:pPr>
              <w:pStyle w:val="28"/>
            </w:pPr>
            <w:r>
              <w:t>3.树培一批规模以上工业企业。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培育新增规模以上工业企业数量</w:t>
            </w:r>
          </w:p>
        </w:tc>
        <w:tc>
          <w:tcPr>
            <w:tcW w:w="2466" w:type="dxa"/>
            <w:vAlign w:val="center"/>
          </w:tcPr>
          <w:p>
            <w:pPr>
              <w:pStyle w:val="28"/>
            </w:pPr>
            <w:r>
              <w:t>培育连续两年在统的新增规模以上工业企业数量</w:t>
            </w:r>
          </w:p>
        </w:tc>
        <w:tc>
          <w:tcPr>
            <w:tcW w:w="2466" w:type="dxa"/>
            <w:vAlign w:val="center"/>
          </w:tcPr>
          <w:p>
            <w:pPr>
              <w:pStyle w:val="28"/>
            </w:pPr>
            <w:r>
              <w:t>≥32家</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达到相关要求</w:t>
            </w:r>
          </w:p>
        </w:tc>
        <w:tc>
          <w:tcPr>
            <w:tcW w:w="2466" w:type="dxa"/>
            <w:vAlign w:val="center"/>
          </w:tcPr>
          <w:p>
            <w:pPr>
              <w:pStyle w:val="28"/>
            </w:pPr>
            <w:r>
              <w:t>资金管理规范，使用合规</w:t>
            </w:r>
          </w:p>
        </w:tc>
        <w:tc>
          <w:tcPr>
            <w:tcW w:w="2466" w:type="dxa"/>
            <w:vAlign w:val="center"/>
          </w:tcPr>
          <w:p>
            <w:pPr>
              <w:pStyle w:val="28"/>
            </w:pPr>
            <w:r>
              <w:t>100百分比</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奖励标准</w:t>
            </w:r>
          </w:p>
        </w:tc>
        <w:tc>
          <w:tcPr>
            <w:tcW w:w="2466" w:type="dxa"/>
            <w:vAlign w:val="center"/>
          </w:tcPr>
          <w:p>
            <w:pPr>
              <w:pStyle w:val="28"/>
            </w:pPr>
            <w:r>
              <w:t>按照上年营业收入低于5000万元的企业奖励5万元，超过5000万元的企业奖励10万元的标准，对符合条件的企业实行分档奖励</w:t>
            </w:r>
          </w:p>
        </w:tc>
        <w:tc>
          <w:tcPr>
            <w:tcW w:w="2466" w:type="dxa"/>
            <w:vAlign w:val="center"/>
          </w:tcPr>
          <w:p>
            <w:pPr>
              <w:pStyle w:val="28"/>
            </w:pPr>
            <w:r>
              <w:t>100百分比</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工业企业升规入统积极性</w:t>
            </w:r>
          </w:p>
        </w:tc>
        <w:tc>
          <w:tcPr>
            <w:tcW w:w="2466" w:type="dxa"/>
            <w:vAlign w:val="center"/>
          </w:tcPr>
          <w:p>
            <w:pPr>
              <w:pStyle w:val="28"/>
            </w:pPr>
            <w:r>
              <w:t>引导和激励工业企业升规入统积极性提高</w:t>
            </w:r>
          </w:p>
        </w:tc>
        <w:tc>
          <w:tcPr>
            <w:tcW w:w="2466" w:type="dxa"/>
            <w:vAlign w:val="center"/>
          </w:tcPr>
          <w:p>
            <w:pPr>
              <w:pStyle w:val="28"/>
            </w:pPr>
            <w:r>
              <w:t>完成年度目标任务</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企业满意度（100%）</w:t>
            </w:r>
          </w:p>
        </w:tc>
        <w:tc>
          <w:tcPr>
            <w:tcW w:w="2466" w:type="dxa"/>
            <w:vAlign w:val="center"/>
          </w:tcPr>
          <w:p>
            <w:pPr>
              <w:pStyle w:val="28"/>
            </w:pPr>
            <w:r>
              <w:t>调查中满意和比较满意的企业数占调查总企业数的比率</w:t>
            </w:r>
          </w:p>
        </w:tc>
        <w:tc>
          <w:tcPr>
            <w:tcW w:w="2466" w:type="dxa"/>
            <w:vAlign w:val="center"/>
          </w:tcPr>
          <w:p>
            <w:pPr>
              <w:pStyle w:val="28"/>
            </w:pPr>
            <w:r>
              <w:t>≥90百分比</w:t>
            </w:r>
          </w:p>
        </w:tc>
        <w:tc>
          <w:tcPr>
            <w:tcW w:w="2466" w:type="dxa"/>
            <w:vAlign w:val="center"/>
          </w:tcPr>
          <w:p>
            <w:pPr>
              <w:pStyle w:val="28"/>
            </w:pPr>
            <w:r>
              <w:t>有关文件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8、石财金[2021]50号下达2021年省级工业转型升级（技改）专项资金（第四批）绩效目标表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1.支持一批工业节能低碳等先进技术装备项目的示范和推广应用</w:t>
            </w:r>
          </w:p>
          <w:p>
            <w:pPr>
              <w:pStyle w:val="28"/>
            </w:pPr>
            <w:r>
              <w:t>2.着力构建高效、清洁、低碳、循环的绿色制造体系</w:t>
            </w:r>
          </w:p>
          <w:p>
            <w:pPr>
              <w:pStyle w:val="28"/>
            </w:pPr>
            <w:r>
              <w:t>3.支持一批工业节水、资源综合利用等先进技术装备项目的示范和推广应用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支持企业数量</w:t>
            </w:r>
          </w:p>
        </w:tc>
        <w:tc>
          <w:tcPr>
            <w:tcW w:w="2466" w:type="dxa"/>
            <w:vAlign w:val="center"/>
          </w:tcPr>
          <w:p>
            <w:pPr>
              <w:pStyle w:val="28"/>
            </w:pPr>
            <w:r>
              <w:t>支持企业的数量</w:t>
            </w:r>
          </w:p>
        </w:tc>
        <w:tc>
          <w:tcPr>
            <w:tcW w:w="2466" w:type="dxa"/>
            <w:vAlign w:val="center"/>
          </w:tcPr>
          <w:p>
            <w:pPr>
              <w:pStyle w:val="28"/>
            </w:pPr>
            <w:r>
              <w:t>2个</w:t>
            </w:r>
          </w:p>
        </w:tc>
        <w:tc>
          <w:tcPr>
            <w:tcW w:w="2466" w:type="dxa"/>
            <w:vAlign w:val="center"/>
          </w:tcPr>
          <w:p>
            <w:pPr>
              <w:pStyle w:val="28"/>
            </w:pPr>
            <w:r>
              <w:t>按照石财金【2021】50号文支持工业绿色制造省级项目企业2家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项目技术装备具有先进示范推广作用</w:t>
            </w:r>
          </w:p>
        </w:tc>
        <w:tc>
          <w:tcPr>
            <w:tcW w:w="2466" w:type="dxa"/>
            <w:vAlign w:val="center"/>
          </w:tcPr>
          <w:p>
            <w:pPr>
              <w:pStyle w:val="28"/>
            </w:pPr>
            <w:r>
              <w:t>所支持的企业的项目在工业节能低碳、节水、资源综合利用等领域具有示范的推广作用</w:t>
            </w:r>
          </w:p>
        </w:tc>
        <w:tc>
          <w:tcPr>
            <w:tcW w:w="2466" w:type="dxa"/>
            <w:vAlign w:val="center"/>
          </w:tcPr>
          <w:p>
            <w:pPr>
              <w:pStyle w:val="28"/>
            </w:pPr>
            <w:r>
              <w:t>所支持的企业的项目在工业节能低碳、节水、资源综合利用等领域具有示范的推广作用</w:t>
            </w:r>
          </w:p>
        </w:tc>
        <w:tc>
          <w:tcPr>
            <w:tcW w:w="2466" w:type="dxa"/>
            <w:vAlign w:val="center"/>
          </w:tcPr>
          <w:p>
            <w:pPr>
              <w:pStyle w:val="28"/>
            </w:pPr>
            <w:r>
              <w:t>节能领域、节水领域、资源综合利用领域具有示范推广价值。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单个项目补贴金额</w:t>
            </w:r>
          </w:p>
        </w:tc>
        <w:tc>
          <w:tcPr>
            <w:tcW w:w="2466" w:type="dxa"/>
            <w:vAlign w:val="center"/>
          </w:tcPr>
          <w:p>
            <w:pPr>
              <w:pStyle w:val="28"/>
            </w:pPr>
            <w:r>
              <w:t>单个项目补贴的金额</w:t>
            </w:r>
          </w:p>
        </w:tc>
        <w:tc>
          <w:tcPr>
            <w:tcW w:w="2466" w:type="dxa"/>
            <w:vAlign w:val="center"/>
          </w:tcPr>
          <w:p>
            <w:pPr>
              <w:pStyle w:val="28"/>
            </w:pPr>
            <w:r>
              <w:t>≤500万元</w:t>
            </w:r>
          </w:p>
        </w:tc>
        <w:tc>
          <w:tcPr>
            <w:tcW w:w="2466" w:type="dxa"/>
            <w:vAlign w:val="center"/>
          </w:tcPr>
          <w:p>
            <w:pPr>
              <w:pStyle w:val="28"/>
            </w:pPr>
            <w:r>
              <w:t>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资金按时下达</w:t>
            </w:r>
          </w:p>
        </w:tc>
        <w:tc>
          <w:tcPr>
            <w:tcW w:w="2466" w:type="dxa"/>
            <w:vAlign w:val="center"/>
          </w:tcPr>
          <w:p>
            <w:pPr>
              <w:pStyle w:val="28"/>
            </w:pPr>
            <w:r>
              <w:t>支持资金下达时间</w:t>
            </w:r>
          </w:p>
        </w:tc>
        <w:tc>
          <w:tcPr>
            <w:tcW w:w="2466" w:type="dxa"/>
            <w:vAlign w:val="center"/>
          </w:tcPr>
          <w:p>
            <w:pPr>
              <w:pStyle w:val="28"/>
            </w:pPr>
            <w:r>
              <w:t>及时下达专项资金</w:t>
            </w:r>
          </w:p>
        </w:tc>
        <w:tc>
          <w:tcPr>
            <w:tcW w:w="2466" w:type="dxa"/>
            <w:vAlign w:val="center"/>
          </w:tcPr>
          <w:p>
            <w:pPr>
              <w:pStyle w:val="28"/>
            </w:pPr>
            <w:r>
              <w:t>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着力构建高效、清洁低碳、循环的绿色制造体系</w:t>
            </w:r>
          </w:p>
        </w:tc>
        <w:tc>
          <w:tcPr>
            <w:tcW w:w="2466" w:type="dxa"/>
            <w:vAlign w:val="center"/>
          </w:tcPr>
          <w:p>
            <w:pPr>
              <w:pStyle w:val="28"/>
            </w:pPr>
            <w:r>
              <w:t>支持一批工业节能低碳、节水、资源综合利用等先进技术装备项目的示范和推广应用。</w:t>
            </w:r>
          </w:p>
        </w:tc>
        <w:tc>
          <w:tcPr>
            <w:tcW w:w="2466" w:type="dxa"/>
            <w:vAlign w:val="center"/>
          </w:tcPr>
          <w:p>
            <w:pPr>
              <w:pStyle w:val="28"/>
            </w:pPr>
            <w:r>
              <w:t>支持一批工业节能低碳、节水、资源综合利用等先进技术装备项目的示范和推广应用。</w:t>
            </w:r>
          </w:p>
        </w:tc>
        <w:tc>
          <w:tcPr>
            <w:tcW w:w="2466" w:type="dxa"/>
            <w:vAlign w:val="center"/>
          </w:tcPr>
          <w:p>
            <w:pPr>
              <w:pStyle w:val="28"/>
            </w:pPr>
            <w:r>
              <w:t>发挥财政资金引导作用，进一步着力构建高效、清洁的绿色制造体系。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支持的企业的满意度</w:t>
            </w:r>
          </w:p>
        </w:tc>
        <w:tc>
          <w:tcPr>
            <w:tcW w:w="2466" w:type="dxa"/>
            <w:vAlign w:val="center"/>
          </w:tcPr>
          <w:p>
            <w:pPr>
              <w:pStyle w:val="28"/>
            </w:pPr>
            <w:r>
              <w:t>≥90百分比</w:t>
            </w:r>
          </w:p>
        </w:tc>
        <w:tc>
          <w:tcPr>
            <w:tcW w:w="2466" w:type="dxa"/>
            <w:vAlign w:val="center"/>
          </w:tcPr>
          <w:p>
            <w:pPr>
              <w:pStyle w:val="28"/>
            </w:pPr>
            <w:r>
              <w:t>企业满意</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9、石财金[2021]50号下达2021年省级工业转型升级（技改）专项资金（第四批）—推动药品国际化项目绩效目标表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1.支持企业开展药品国际化认证</w:t>
            </w:r>
          </w:p>
          <w:p>
            <w:pPr>
              <w:pStyle w:val="28"/>
            </w:pPr>
            <w:r>
              <w:t>2.实现在欧美等发达国家注册并上市销售</w:t>
            </w:r>
          </w:p>
          <w:p>
            <w:pPr>
              <w:pStyle w:val="28"/>
            </w:pPr>
            <w:r>
              <w:t>3.加快我省医药产业提档升级</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支持企业数量</w:t>
            </w:r>
          </w:p>
        </w:tc>
        <w:tc>
          <w:tcPr>
            <w:tcW w:w="2466" w:type="dxa"/>
            <w:vAlign w:val="center"/>
          </w:tcPr>
          <w:p>
            <w:pPr>
              <w:pStyle w:val="28"/>
            </w:pPr>
            <w:r>
              <w:t>获得资金支持企业的个数</w:t>
            </w:r>
          </w:p>
        </w:tc>
        <w:tc>
          <w:tcPr>
            <w:tcW w:w="2466" w:type="dxa"/>
            <w:vAlign w:val="center"/>
          </w:tcPr>
          <w:p>
            <w:pPr>
              <w:pStyle w:val="28"/>
            </w:pPr>
            <w:r>
              <w:t>1个</w:t>
            </w:r>
          </w:p>
        </w:tc>
        <w:tc>
          <w:tcPr>
            <w:tcW w:w="2466" w:type="dxa"/>
            <w:vAlign w:val="center"/>
          </w:tcPr>
          <w:p>
            <w:pPr>
              <w:pStyle w:val="28"/>
            </w:pPr>
            <w:r>
              <w:t>有关财务数据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药品国际化认证</w:t>
            </w:r>
          </w:p>
        </w:tc>
        <w:tc>
          <w:tcPr>
            <w:tcW w:w="2466" w:type="dxa"/>
            <w:vAlign w:val="center"/>
          </w:tcPr>
          <w:p>
            <w:pPr>
              <w:pStyle w:val="28"/>
            </w:pPr>
            <w:r>
              <w:t>支持企业开展国际化药品认证</w:t>
            </w:r>
          </w:p>
        </w:tc>
        <w:tc>
          <w:tcPr>
            <w:tcW w:w="2466" w:type="dxa"/>
            <w:vAlign w:val="center"/>
          </w:tcPr>
          <w:p>
            <w:pPr>
              <w:pStyle w:val="28"/>
            </w:pPr>
            <w:r>
              <w:t>支持企业开展国际化药品认证</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资金按时下达</w:t>
            </w:r>
          </w:p>
        </w:tc>
        <w:tc>
          <w:tcPr>
            <w:tcW w:w="2466" w:type="dxa"/>
            <w:vAlign w:val="center"/>
          </w:tcPr>
          <w:p>
            <w:pPr>
              <w:pStyle w:val="28"/>
            </w:pPr>
            <w:r>
              <w:t>资金及时高效下达</w:t>
            </w:r>
          </w:p>
        </w:tc>
        <w:tc>
          <w:tcPr>
            <w:tcW w:w="2466" w:type="dxa"/>
            <w:vAlign w:val="center"/>
          </w:tcPr>
          <w:p>
            <w:pPr>
              <w:pStyle w:val="28"/>
            </w:pPr>
            <w:r>
              <w:t>资金及时高效的下达</w:t>
            </w:r>
          </w:p>
        </w:tc>
        <w:tc>
          <w:tcPr>
            <w:tcW w:w="2466" w:type="dxa"/>
            <w:vAlign w:val="center"/>
          </w:tcPr>
          <w:p>
            <w:pPr>
              <w:pStyle w:val="28"/>
            </w:pPr>
            <w:r>
              <w:t>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补贴金额</w:t>
            </w:r>
          </w:p>
        </w:tc>
        <w:tc>
          <w:tcPr>
            <w:tcW w:w="2466" w:type="dxa"/>
            <w:vAlign w:val="center"/>
          </w:tcPr>
          <w:p>
            <w:pPr>
              <w:pStyle w:val="28"/>
            </w:pPr>
            <w:r>
              <w:t>项目补贴金额</w:t>
            </w:r>
          </w:p>
        </w:tc>
        <w:tc>
          <w:tcPr>
            <w:tcW w:w="2466" w:type="dxa"/>
            <w:vAlign w:val="center"/>
          </w:tcPr>
          <w:p>
            <w:pPr>
              <w:pStyle w:val="28"/>
            </w:pPr>
            <w:r>
              <w:t>107.5万元</w:t>
            </w:r>
          </w:p>
        </w:tc>
        <w:tc>
          <w:tcPr>
            <w:tcW w:w="2466" w:type="dxa"/>
            <w:vAlign w:val="center"/>
          </w:tcPr>
          <w:p>
            <w:pPr>
              <w:pStyle w:val="28"/>
            </w:pPr>
            <w:r>
              <w:t>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药品国际化程度提升</w:t>
            </w:r>
          </w:p>
        </w:tc>
        <w:tc>
          <w:tcPr>
            <w:tcW w:w="2466" w:type="dxa"/>
            <w:vAlign w:val="center"/>
          </w:tcPr>
          <w:p>
            <w:pPr>
              <w:pStyle w:val="28"/>
            </w:pPr>
            <w:r>
              <w:t>药品国际化程度提升</w:t>
            </w:r>
          </w:p>
        </w:tc>
        <w:tc>
          <w:tcPr>
            <w:tcW w:w="2466" w:type="dxa"/>
            <w:vAlign w:val="center"/>
          </w:tcPr>
          <w:p>
            <w:pPr>
              <w:pStyle w:val="28"/>
            </w:pPr>
            <w:r>
              <w:t>进一步提升</w:t>
            </w:r>
          </w:p>
        </w:tc>
        <w:tc>
          <w:tcPr>
            <w:tcW w:w="2466" w:type="dxa"/>
            <w:vAlign w:val="center"/>
          </w:tcPr>
          <w:p>
            <w:pPr>
              <w:pStyle w:val="28"/>
            </w:pPr>
            <w:r>
              <w:t>进一步提升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企业满意度</w:t>
            </w:r>
          </w:p>
        </w:tc>
        <w:tc>
          <w:tcPr>
            <w:tcW w:w="2466" w:type="dxa"/>
            <w:vAlign w:val="center"/>
          </w:tcPr>
          <w:p>
            <w:pPr>
              <w:pStyle w:val="28"/>
            </w:pPr>
            <w:r>
              <w:t>≥100百分比</w:t>
            </w:r>
          </w:p>
        </w:tc>
        <w:tc>
          <w:tcPr>
            <w:tcW w:w="2466" w:type="dxa"/>
            <w:vAlign w:val="center"/>
          </w:tcPr>
          <w:p>
            <w:pPr>
              <w:pStyle w:val="28"/>
            </w:pPr>
            <w:r>
              <w:t>企业满意</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10、石财金【2021】21号下达2020年度新增规上工业企业奖励资金绩效目标表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1.用于新增规上工业企业的奖励。</w:t>
            </w:r>
          </w:p>
          <w:p>
            <w:pPr>
              <w:pStyle w:val="28"/>
            </w:pPr>
            <w:r>
              <w:t>2.支持新增规上工业的开发建设。</w:t>
            </w:r>
          </w:p>
          <w:p>
            <w:pPr>
              <w:pStyle w:val="28"/>
            </w:pPr>
            <w:r>
              <w:t>3.带动企业积极入规的热情。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完成省下达的14家任务</w:t>
            </w:r>
          </w:p>
        </w:tc>
        <w:tc>
          <w:tcPr>
            <w:tcW w:w="2466" w:type="dxa"/>
            <w:vAlign w:val="center"/>
          </w:tcPr>
          <w:p>
            <w:pPr>
              <w:pStyle w:val="28"/>
            </w:pPr>
            <w:r>
              <w:t>超额完成省市下达任务</w:t>
            </w:r>
          </w:p>
        </w:tc>
        <w:tc>
          <w:tcPr>
            <w:tcW w:w="2466" w:type="dxa"/>
            <w:vAlign w:val="center"/>
          </w:tcPr>
          <w:p>
            <w:pPr>
              <w:pStyle w:val="28"/>
            </w:pPr>
            <w:r>
              <w:t>≥14家</w:t>
            </w:r>
          </w:p>
        </w:tc>
        <w:tc>
          <w:tcPr>
            <w:tcW w:w="2466" w:type="dxa"/>
            <w:vAlign w:val="center"/>
          </w:tcPr>
          <w:p>
            <w:pPr>
              <w:pStyle w:val="28"/>
            </w:pPr>
            <w:r>
              <w:t>有关通知文件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达到规上入统标准</w:t>
            </w:r>
          </w:p>
        </w:tc>
        <w:tc>
          <w:tcPr>
            <w:tcW w:w="2466" w:type="dxa"/>
            <w:vAlign w:val="center"/>
          </w:tcPr>
          <w:p>
            <w:pPr>
              <w:pStyle w:val="28"/>
            </w:pPr>
            <w:r>
              <w:t>达到规上企业营业收入标准</w:t>
            </w:r>
          </w:p>
        </w:tc>
        <w:tc>
          <w:tcPr>
            <w:tcW w:w="2466" w:type="dxa"/>
            <w:vAlign w:val="center"/>
          </w:tcPr>
          <w:p>
            <w:pPr>
              <w:pStyle w:val="28"/>
            </w:pPr>
            <w:r>
              <w:t>≥2000万元</w:t>
            </w:r>
          </w:p>
        </w:tc>
        <w:tc>
          <w:tcPr>
            <w:tcW w:w="2466" w:type="dxa"/>
            <w:vAlign w:val="center"/>
          </w:tcPr>
          <w:p>
            <w:pPr>
              <w:pStyle w:val="28"/>
            </w:pPr>
            <w:r>
              <w:t>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及时拨付资金</w:t>
            </w:r>
          </w:p>
        </w:tc>
        <w:tc>
          <w:tcPr>
            <w:tcW w:w="2466" w:type="dxa"/>
            <w:vAlign w:val="center"/>
          </w:tcPr>
          <w:p>
            <w:pPr>
              <w:pStyle w:val="28"/>
            </w:pPr>
            <w:r>
              <w:t>及时拨付</w:t>
            </w:r>
          </w:p>
        </w:tc>
        <w:tc>
          <w:tcPr>
            <w:tcW w:w="2466" w:type="dxa"/>
            <w:vAlign w:val="center"/>
          </w:tcPr>
          <w:p>
            <w:pPr>
              <w:pStyle w:val="28"/>
            </w:pPr>
            <w:r>
              <w:t>100%</w:t>
            </w:r>
          </w:p>
        </w:tc>
        <w:tc>
          <w:tcPr>
            <w:tcW w:w="2466" w:type="dxa"/>
            <w:vAlign w:val="center"/>
          </w:tcPr>
          <w:p>
            <w:pPr>
              <w:pStyle w:val="28"/>
            </w:pPr>
            <w:r>
              <w:t>拨付资金文件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在预算资金可控范围内</w:t>
            </w:r>
          </w:p>
        </w:tc>
        <w:tc>
          <w:tcPr>
            <w:tcW w:w="2466" w:type="dxa"/>
            <w:vAlign w:val="center"/>
          </w:tcPr>
          <w:p>
            <w:pPr>
              <w:pStyle w:val="28"/>
            </w:pPr>
            <w:r>
              <w:t>≤210万元</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入统企业贡献总量</w:t>
            </w:r>
          </w:p>
        </w:tc>
        <w:tc>
          <w:tcPr>
            <w:tcW w:w="2466" w:type="dxa"/>
            <w:vAlign w:val="center"/>
          </w:tcPr>
          <w:p>
            <w:pPr>
              <w:pStyle w:val="28"/>
            </w:pPr>
            <w:r>
              <w:t>新增规上企业每家贡献2000万元以上总量</w:t>
            </w:r>
          </w:p>
        </w:tc>
        <w:tc>
          <w:tcPr>
            <w:tcW w:w="2466" w:type="dxa"/>
            <w:vAlign w:val="center"/>
          </w:tcPr>
          <w:p>
            <w:pPr>
              <w:pStyle w:val="28"/>
            </w:pPr>
            <w:r>
              <w:t>≥2000万元</w:t>
            </w:r>
          </w:p>
        </w:tc>
        <w:tc>
          <w:tcPr>
            <w:tcW w:w="2466" w:type="dxa"/>
            <w:vAlign w:val="center"/>
          </w:tcPr>
          <w:p>
            <w:pPr>
              <w:pStyle w:val="28"/>
            </w:pPr>
            <w:r>
              <w:t>统计局发布标准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企业满意度调查</w:t>
            </w:r>
          </w:p>
        </w:tc>
        <w:tc>
          <w:tcPr>
            <w:tcW w:w="2466" w:type="dxa"/>
            <w:vAlign w:val="center"/>
          </w:tcPr>
          <w:p>
            <w:pPr>
              <w:pStyle w:val="28"/>
            </w:pPr>
            <w:r>
              <w:t>入统企业满意度调查</w:t>
            </w:r>
          </w:p>
        </w:tc>
        <w:tc>
          <w:tcPr>
            <w:tcW w:w="2466" w:type="dxa"/>
            <w:vAlign w:val="center"/>
          </w:tcPr>
          <w:p>
            <w:pPr>
              <w:pStyle w:val="28"/>
            </w:pPr>
            <w:r>
              <w:t>≥90%</w:t>
            </w:r>
          </w:p>
        </w:tc>
        <w:tc>
          <w:tcPr>
            <w:tcW w:w="2466" w:type="dxa"/>
            <w:vAlign w:val="center"/>
          </w:tcPr>
          <w:p>
            <w:pPr>
              <w:pStyle w:val="28"/>
            </w:pPr>
            <w:r>
              <w:t>调查问券</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11、石财金【2021】33号下达8月份焦化去产能职工安置和待岗基本生活保障资金绩效目标表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1.对资金的使用严格遵循财经纪律，专款专用，确保资金使用效率。</w:t>
            </w:r>
          </w:p>
          <w:p>
            <w:pPr>
              <w:pStyle w:val="28"/>
            </w:pPr>
            <w:r>
              <w:t>2.贯彻区焦化去产能领导小组会议决定。</w:t>
            </w:r>
          </w:p>
          <w:p>
            <w:pPr>
              <w:pStyle w:val="28"/>
            </w:pPr>
            <w:r>
              <w:t>3.推进焦化关停后续工作的进行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成本指标</w:t>
            </w:r>
          </w:p>
        </w:tc>
        <w:tc>
          <w:tcPr>
            <w:tcW w:w="2466" w:type="dxa"/>
            <w:vAlign w:val="center"/>
          </w:tcPr>
          <w:p>
            <w:pPr>
              <w:pStyle w:val="28"/>
            </w:pPr>
            <w:r>
              <w:t>资金发放成本</w:t>
            </w:r>
          </w:p>
        </w:tc>
        <w:tc>
          <w:tcPr>
            <w:tcW w:w="2466" w:type="dxa"/>
            <w:vAlign w:val="center"/>
          </w:tcPr>
          <w:p>
            <w:pPr>
              <w:pStyle w:val="28"/>
            </w:pPr>
            <w:r>
              <w:t>按计划，将成本控制在25268186万元内</w:t>
            </w:r>
            <w:r>
              <w:tab/>
            </w:r>
          </w:p>
          <w:p>
            <w:pPr>
              <w:pStyle w:val="28"/>
            </w:pPr>
          </w:p>
        </w:tc>
        <w:tc>
          <w:tcPr>
            <w:tcW w:w="2466" w:type="dxa"/>
            <w:vAlign w:val="center"/>
          </w:tcPr>
          <w:p>
            <w:pPr>
              <w:pStyle w:val="28"/>
            </w:pPr>
            <w:r>
              <w:t>≤102万元</w:t>
            </w:r>
          </w:p>
        </w:tc>
        <w:tc>
          <w:tcPr>
            <w:tcW w:w="2466" w:type="dxa"/>
            <w:vAlign w:val="center"/>
          </w:tcPr>
          <w:p>
            <w:pPr>
              <w:pStyle w:val="28"/>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资金发放数量</w:t>
            </w:r>
          </w:p>
        </w:tc>
        <w:tc>
          <w:tcPr>
            <w:tcW w:w="2466" w:type="dxa"/>
            <w:vAlign w:val="center"/>
          </w:tcPr>
          <w:p>
            <w:pPr>
              <w:pStyle w:val="28"/>
            </w:pPr>
            <w:r>
              <w:t>发放的资金应等于财政下拨的资金</w:t>
            </w:r>
          </w:p>
        </w:tc>
        <w:tc>
          <w:tcPr>
            <w:tcW w:w="2466" w:type="dxa"/>
            <w:vAlign w:val="center"/>
          </w:tcPr>
          <w:p>
            <w:pPr>
              <w:pStyle w:val="28"/>
            </w:pPr>
            <w:r>
              <w:t>102万元</w:t>
            </w:r>
          </w:p>
        </w:tc>
        <w:tc>
          <w:tcPr>
            <w:tcW w:w="2466" w:type="dxa"/>
            <w:vAlign w:val="center"/>
          </w:tcPr>
          <w:p>
            <w:pPr>
              <w:pStyle w:val="28"/>
            </w:pPr>
            <w:r>
              <w:t>财政授权支付凭证及有关账目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资金发放及时</w:t>
            </w:r>
          </w:p>
        </w:tc>
        <w:tc>
          <w:tcPr>
            <w:tcW w:w="2466" w:type="dxa"/>
            <w:vAlign w:val="center"/>
          </w:tcPr>
          <w:p>
            <w:pPr>
              <w:pStyle w:val="28"/>
            </w:pPr>
            <w:r>
              <w:t>资金发放及时</w:t>
            </w:r>
          </w:p>
        </w:tc>
        <w:tc>
          <w:tcPr>
            <w:tcW w:w="2466" w:type="dxa"/>
            <w:vAlign w:val="center"/>
          </w:tcPr>
          <w:p>
            <w:pPr>
              <w:pStyle w:val="28"/>
            </w:pPr>
            <w:r>
              <w:t>及时高效发放给企业资金</w:t>
            </w:r>
          </w:p>
        </w:tc>
        <w:tc>
          <w:tcPr>
            <w:tcW w:w="2466" w:type="dxa"/>
            <w:vAlign w:val="center"/>
          </w:tcPr>
          <w:p>
            <w:pPr>
              <w:pStyle w:val="28"/>
            </w:pPr>
            <w:r>
              <w:t>财务数据及银行回单等凭证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确保社会稳定</w:t>
            </w:r>
          </w:p>
        </w:tc>
        <w:tc>
          <w:tcPr>
            <w:tcW w:w="2466" w:type="dxa"/>
            <w:vAlign w:val="center"/>
          </w:tcPr>
          <w:p>
            <w:pPr>
              <w:pStyle w:val="28"/>
            </w:pPr>
            <w:r>
              <w:t>用于企业职工安置，维护社会稳定</w:t>
            </w:r>
          </w:p>
        </w:tc>
        <w:tc>
          <w:tcPr>
            <w:tcW w:w="2466" w:type="dxa"/>
            <w:vAlign w:val="center"/>
          </w:tcPr>
          <w:p>
            <w:pPr>
              <w:pStyle w:val="28"/>
            </w:pPr>
            <w:r>
              <w:t>用于企业职工安置，维护社会稳定</w:t>
            </w:r>
          </w:p>
        </w:tc>
        <w:tc>
          <w:tcPr>
            <w:tcW w:w="2466" w:type="dxa"/>
            <w:vAlign w:val="center"/>
          </w:tcPr>
          <w:p>
            <w:pPr>
              <w:pStyle w:val="28"/>
            </w:pPr>
            <w:r>
              <w:t>确保社会大局稳定和谐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县（区）政府对帮助企业解决上述问题情况进行总结</w:t>
            </w:r>
          </w:p>
        </w:tc>
        <w:tc>
          <w:tcPr>
            <w:tcW w:w="2466" w:type="dxa"/>
            <w:vAlign w:val="center"/>
          </w:tcPr>
          <w:p>
            <w:pPr>
              <w:pStyle w:val="28"/>
            </w:pPr>
            <w:r>
              <w:t>≥90百分比</w:t>
            </w:r>
          </w:p>
        </w:tc>
        <w:tc>
          <w:tcPr>
            <w:tcW w:w="2466" w:type="dxa"/>
            <w:vAlign w:val="center"/>
          </w:tcPr>
          <w:p>
            <w:pPr>
              <w:pStyle w:val="28"/>
            </w:pPr>
            <w:r>
              <w:t>由县（区）政府对此项工作进行综合评定</w:t>
            </w:r>
          </w:p>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12、石财金【2021】44号下达2021年省级工业转型升级（技改）专项资金（第三批）——制造业高质量发展综合评价奖励资金绩效目标表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1.按照围绕立足新发展阶段，贯彻新发展理念。</w:t>
            </w:r>
          </w:p>
          <w:p>
            <w:pPr>
              <w:pStyle w:val="28"/>
            </w:pPr>
            <w:r>
              <w:t>2.构建新发展格局的战略部署。</w:t>
            </w:r>
          </w:p>
          <w:p>
            <w:pPr>
              <w:pStyle w:val="28"/>
            </w:pPr>
            <w:r>
              <w:t>3.引导加快工业高质量发展。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奖励我区资金金额</w:t>
            </w:r>
          </w:p>
        </w:tc>
        <w:tc>
          <w:tcPr>
            <w:tcW w:w="2466" w:type="dxa"/>
            <w:vAlign w:val="center"/>
          </w:tcPr>
          <w:p>
            <w:pPr>
              <w:pStyle w:val="28"/>
            </w:pPr>
            <w:r>
              <w:t>我区在河北省综合得分排名第二，奖励200万元。</w:t>
            </w:r>
          </w:p>
        </w:tc>
        <w:tc>
          <w:tcPr>
            <w:tcW w:w="2466" w:type="dxa"/>
            <w:vAlign w:val="center"/>
          </w:tcPr>
          <w:p>
            <w:pPr>
              <w:pStyle w:val="28"/>
            </w:pPr>
            <w:r>
              <w:t>≥200万元</w:t>
            </w:r>
          </w:p>
        </w:tc>
        <w:tc>
          <w:tcPr>
            <w:tcW w:w="2466" w:type="dxa"/>
            <w:vAlign w:val="center"/>
          </w:tcPr>
          <w:p>
            <w:pPr>
              <w:pStyle w:val="28"/>
            </w:pPr>
            <w:r>
              <w:t>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综合评价质量</w:t>
            </w:r>
          </w:p>
        </w:tc>
        <w:tc>
          <w:tcPr>
            <w:tcW w:w="2466" w:type="dxa"/>
            <w:vAlign w:val="center"/>
          </w:tcPr>
          <w:p>
            <w:pPr>
              <w:pStyle w:val="28"/>
            </w:pPr>
            <w:r>
              <w:t>评价结果符合河北省工业高质量发展综合评价指标体系</w:t>
            </w:r>
          </w:p>
        </w:tc>
        <w:tc>
          <w:tcPr>
            <w:tcW w:w="2466" w:type="dxa"/>
            <w:vAlign w:val="center"/>
          </w:tcPr>
          <w:p>
            <w:pPr>
              <w:pStyle w:val="28"/>
            </w:pPr>
            <w:r>
              <w:t>严格按照河北省工业高质量发展综合评价指标体系进行评价</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市县出台资金管理使用办法后，严格按照办法要求时间支出资金。</w:t>
            </w:r>
          </w:p>
        </w:tc>
        <w:tc>
          <w:tcPr>
            <w:tcW w:w="2466" w:type="dxa"/>
            <w:vAlign w:val="center"/>
          </w:tcPr>
          <w:p>
            <w:pPr>
              <w:pStyle w:val="28"/>
            </w:pPr>
            <w:bookmarkStart w:id="1" w:name="_GoBack"/>
            <w:bookmarkEnd w:id="1"/>
            <w:r>
              <w:rPr>
                <w:rFonts w:hint="eastAsia"/>
                <w:lang w:eastAsia="zh-CN"/>
              </w:rPr>
              <w:t>截至2022年</w:t>
            </w:r>
            <w:r>
              <w:t>12月底前，支出奖励资金。</w:t>
            </w:r>
          </w:p>
        </w:tc>
        <w:tc>
          <w:tcPr>
            <w:tcW w:w="2466" w:type="dxa"/>
            <w:vAlign w:val="center"/>
          </w:tcPr>
          <w:p>
            <w:pPr>
              <w:pStyle w:val="28"/>
            </w:pPr>
            <w:r>
              <w:t>2022年12月31日</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支出资金金额不超过200万元</w:t>
            </w:r>
          </w:p>
        </w:tc>
        <w:tc>
          <w:tcPr>
            <w:tcW w:w="2466" w:type="dxa"/>
            <w:vAlign w:val="center"/>
          </w:tcPr>
          <w:p>
            <w:pPr>
              <w:pStyle w:val="28"/>
            </w:pPr>
            <w:r>
              <w:t>奖励资金金额将不会超过200万元整。</w:t>
            </w:r>
          </w:p>
        </w:tc>
        <w:tc>
          <w:tcPr>
            <w:tcW w:w="2466" w:type="dxa"/>
            <w:vAlign w:val="center"/>
          </w:tcPr>
          <w:p>
            <w:pPr>
              <w:pStyle w:val="28"/>
            </w:pPr>
            <w:r>
              <w:t>≤200万元</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引导市县工业高质量发展</w:t>
            </w:r>
          </w:p>
        </w:tc>
        <w:tc>
          <w:tcPr>
            <w:tcW w:w="2466" w:type="dxa"/>
            <w:vAlign w:val="center"/>
          </w:tcPr>
          <w:p>
            <w:pPr>
              <w:pStyle w:val="28"/>
            </w:pPr>
            <w:r>
              <w:t>以评价指标体系为工作指引，提升工业发展质效、优化产业结构，引导工业围绕五大发展理念健康发展。</w:t>
            </w:r>
          </w:p>
        </w:tc>
        <w:tc>
          <w:tcPr>
            <w:tcW w:w="2466" w:type="dxa"/>
            <w:vAlign w:val="center"/>
          </w:tcPr>
          <w:p>
            <w:pPr>
              <w:pStyle w:val="28"/>
            </w:pPr>
            <w:r>
              <w:t>以评价指标体系为工作指引，提升工业发展质效、优化产业结构，引导工业围绕五大发展理念健康发展。</w:t>
            </w:r>
          </w:p>
        </w:tc>
        <w:tc>
          <w:tcPr>
            <w:tcW w:w="2466" w:type="dxa"/>
            <w:vAlign w:val="center"/>
          </w:tcPr>
          <w:p>
            <w:pPr>
              <w:pStyle w:val="28"/>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满意度</w:t>
            </w:r>
          </w:p>
        </w:tc>
        <w:tc>
          <w:tcPr>
            <w:tcW w:w="2466" w:type="dxa"/>
            <w:vAlign w:val="center"/>
          </w:tcPr>
          <w:p>
            <w:pPr>
              <w:pStyle w:val="28"/>
            </w:pPr>
            <w:r>
              <w:t>调查中，满意的数量占总数的比率</w:t>
            </w:r>
          </w:p>
        </w:tc>
        <w:tc>
          <w:tcPr>
            <w:tcW w:w="2466" w:type="dxa"/>
            <w:vAlign w:val="center"/>
          </w:tcPr>
          <w:p>
            <w:pPr>
              <w:pStyle w:val="28"/>
            </w:pPr>
            <w:r>
              <w:t>≥100%</w:t>
            </w:r>
          </w:p>
        </w:tc>
        <w:tc>
          <w:tcPr>
            <w:tcW w:w="2466" w:type="dxa"/>
            <w:vAlign w:val="center"/>
          </w:tcPr>
          <w:p>
            <w:pPr>
              <w:pStyle w:val="28"/>
            </w:pPr>
            <w:r>
              <w:t>有关文件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13、智城公司实施的安防小区、疫情封控圈等项目电费绩效目标表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1.帮助藁城区推进数字经济,智慧城市等方面规划建设,构建智慧化管理体系.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智能化应用平台数量</w:t>
            </w:r>
          </w:p>
        </w:tc>
        <w:tc>
          <w:tcPr>
            <w:tcW w:w="2466" w:type="dxa"/>
            <w:vAlign w:val="center"/>
          </w:tcPr>
          <w:p>
            <w:pPr>
              <w:pStyle w:val="28"/>
            </w:pPr>
            <w:r>
              <w:t>至少保障4个智能化平台不断电，续航稳定</w:t>
            </w:r>
          </w:p>
        </w:tc>
        <w:tc>
          <w:tcPr>
            <w:tcW w:w="2466" w:type="dxa"/>
            <w:vAlign w:val="center"/>
          </w:tcPr>
          <w:p>
            <w:pPr>
              <w:pStyle w:val="28"/>
            </w:pPr>
            <w:r>
              <w:t>≥4个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质量合格率</w:t>
            </w:r>
          </w:p>
        </w:tc>
        <w:tc>
          <w:tcPr>
            <w:tcW w:w="2466" w:type="dxa"/>
            <w:vAlign w:val="center"/>
          </w:tcPr>
          <w:p>
            <w:pPr>
              <w:pStyle w:val="28"/>
            </w:pPr>
            <w:r>
              <w:t>保障智诚公司已建设完成的智能化应用平台不断电</w:t>
            </w:r>
          </w:p>
        </w:tc>
        <w:tc>
          <w:tcPr>
            <w:tcW w:w="2466" w:type="dxa"/>
            <w:vAlign w:val="center"/>
          </w:tcPr>
          <w:p>
            <w:pPr>
              <w:pStyle w:val="28"/>
            </w:pPr>
            <w:r>
              <w:t>保障智能化应用平台的运营效率</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资金在规定时间内下达率</w:t>
            </w:r>
          </w:p>
        </w:tc>
        <w:tc>
          <w:tcPr>
            <w:tcW w:w="2466" w:type="dxa"/>
            <w:vAlign w:val="center"/>
          </w:tcPr>
          <w:p>
            <w:pPr>
              <w:pStyle w:val="28"/>
            </w:pPr>
            <w:r>
              <w:t>在2022年度,下达的资金/资金数*100%</w:t>
            </w:r>
          </w:p>
        </w:tc>
        <w:tc>
          <w:tcPr>
            <w:tcW w:w="2466" w:type="dxa"/>
            <w:vAlign w:val="center"/>
          </w:tcPr>
          <w:p>
            <w:pPr>
              <w:pStyle w:val="28"/>
            </w:pPr>
            <w:r>
              <w:t>资金能够及时拨付到位</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按计划,将成本控制在100万元内</w:t>
            </w:r>
          </w:p>
        </w:tc>
        <w:tc>
          <w:tcPr>
            <w:tcW w:w="2466" w:type="dxa"/>
            <w:vAlign w:val="center"/>
          </w:tcPr>
          <w:p>
            <w:pPr>
              <w:pStyle w:val="28"/>
            </w:pPr>
            <w:r>
              <w:t>≤100万元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可持续发展</w:t>
            </w:r>
          </w:p>
        </w:tc>
        <w:tc>
          <w:tcPr>
            <w:tcW w:w="2466" w:type="dxa"/>
            <w:vAlign w:val="center"/>
          </w:tcPr>
          <w:p>
            <w:pPr>
              <w:pStyle w:val="28"/>
            </w:pPr>
            <w:r>
              <w:t>使可持续发展时间2年以上</w:t>
            </w:r>
          </w:p>
        </w:tc>
        <w:tc>
          <w:tcPr>
            <w:tcW w:w="2466" w:type="dxa"/>
            <w:vAlign w:val="center"/>
          </w:tcPr>
          <w:p>
            <w:pPr>
              <w:pStyle w:val="28"/>
            </w:pPr>
            <w:r>
              <w:t>使得可持续发展时间2年以上</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14、智慧城市服务费绩效目标表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1.帮助藁城区推进数字经济,智慧城市等方面规划建设,构建智慧化管理体系.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聘请专家数量</w:t>
            </w:r>
          </w:p>
        </w:tc>
        <w:tc>
          <w:tcPr>
            <w:tcW w:w="2466" w:type="dxa"/>
            <w:vAlign w:val="center"/>
          </w:tcPr>
          <w:p>
            <w:pPr>
              <w:pStyle w:val="28"/>
            </w:pPr>
            <w:r>
              <w:t>聘请专家的标准控制在1500元/位</w:t>
            </w:r>
          </w:p>
        </w:tc>
        <w:tc>
          <w:tcPr>
            <w:tcW w:w="2466" w:type="dxa"/>
            <w:vAlign w:val="center"/>
          </w:tcPr>
          <w:p>
            <w:pPr>
              <w:pStyle w:val="28"/>
            </w:pPr>
            <w:r>
              <w:t>聘请专家数量</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运营效率</w:t>
            </w:r>
          </w:p>
        </w:tc>
        <w:tc>
          <w:tcPr>
            <w:tcW w:w="2466" w:type="dxa"/>
            <w:vAlign w:val="center"/>
          </w:tcPr>
          <w:p>
            <w:pPr>
              <w:pStyle w:val="28"/>
            </w:pPr>
            <w:r>
              <w:t>聘请专家，为信息化平台提供人才智力支持</w:t>
            </w:r>
          </w:p>
        </w:tc>
        <w:tc>
          <w:tcPr>
            <w:tcW w:w="2466" w:type="dxa"/>
            <w:vAlign w:val="center"/>
          </w:tcPr>
          <w:p>
            <w:pPr>
              <w:pStyle w:val="28"/>
            </w:pPr>
            <w:r>
              <w:t>使信息化平台的运营效率提高</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及时拨付</w:t>
            </w:r>
          </w:p>
        </w:tc>
        <w:tc>
          <w:tcPr>
            <w:tcW w:w="2466" w:type="dxa"/>
            <w:vAlign w:val="center"/>
          </w:tcPr>
          <w:p>
            <w:pPr>
              <w:pStyle w:val="28"/>
            </w:pPr>
            <w:r>
              <w:t>在2022年度,下达的资金/资金数*100%</w:t>
            </w:r>
          </w:p>
        </w:tc>
        <w:tc>
          <w:tcPr>
            <w:tcW w:w="2466" w:type="dxa"/>
            <w:vAlign w:val="center"/>
          </w:tcPr>
          <w:p>
            <w:pPr>
              <w:pStyle w:val="28"/>
            </w:pPr>
            <w:r>
              <w:t>资金能够及时拨付到位</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按计划,将成本控制在30万元内</w:t>
            </w:r>
          </w:p>
        </w:tc>
        <w:tc>
          <w:tcPr>
            <w:tcW w:w="2466" w:type="dxa"/>
            <w:vAlign w:val="center"/>
          </w:tcPr>
          <w:p>
            <w:pPr>
              <w:pStyle w:val="28"/>
            </w:pPr>
            <w:r>
              <w:t>≤30万元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可持续发展</w:t>
            </w:r>
          </w:p>
        </w:tc>
        <w:tc>
          <w:tcPr>
            <w:tcW w:w="2466" w:type="dxa"/>
            <w:vAlign w:val="center"/>
          </w:tcPr>
          <w:p>
            <w:pPr>
              <w:pStyle w:val="28"/>
            </w:pPr>
            <w:r>
              <w:t>使可持续发展时间2年以上</w:t>
            </w:r>
          </w:p>
        </w:tc>
        <w:tc>
          <w:tcPr>
            <w:tcW w:w="2466" w:type="dxa"/>
            <w:vAlign w:val="center"/>
          </w:tcPr>
          <w:p>
            <w:pPr>
              <w:pStyle w:val="28"/>
            </w:pPr>
            <w:r>
              <w:t>使得可持续发展时间2年以上</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15、智慧城市运营指挥中心运营费绩效目标表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1.帮助藁城区推进数字经济,智慧城市等方面规划建设,构建智慧化管理体系.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保障平台数量</w:t>
            </w:r>
          </w:p>
        </w:tc>
        <w:tc>
          <w:tcPr>
            <w:tcW w:w="2466" w:type="dxa"/>
            <w:vAlign w:val="center"/>
          </w:tcPr>
          <w:p>
            <w:pPr>
              <w:pStyle w:val="28"/>
            </w:pPr>
            <w:r>
              <w:t>至少保障4个智能化平台不断电，续航稳定</w:t>
            </w:r>
          </w:p>
        </w:tc>
        <w:tc>
          <w:tcPr>
            <w:tcW w:w="2466" w:type="dxa"/>
            <w:vAlign w:val="center"/>
          </w:tcPr>
          <w:p>
            <w:pPr>
              <w:pStyle w:val="28"/>
            </w:pPr>
            <w:r>
              <w:t>≥4个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质量合格率</w:t>
            </w:r>
          </w:p>
        </w:tc>
        <w:tc>
          <w:tcPr>
            <w:tcW w:w="2466" w:type="dxa"/>
            <w:vAlign w:val="center"/>
          </w:tcPr>
          <w:p>
            <w:pPr>
              <w:pStyle w:val="28"/>
            </w:pPr>
            <w:r>
              <w:t>保障智诚公司已建设完成的智能化应用平台不断电</w:t>
            </w:r>
          </w:p>
        </w:tc>
        <w:tc>
          <w:tcPr>
            <w:tcW w:w="2466" w:type="dxa"/>
            <w:vAlign w:val="center"/>
          </w:tcPr>
          <w:p>
            <w:pPr>
              <w:pStyle w:val="28"/>
            </w:pPr>
            <w:r>
              <w:t>单位（文字描述平台的运营效率</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在2022年度,下达的资金/资金数*100%</w:t>
            </w:r>
          </w:p>
        </w:tc>
        <w:tc>
          <w:tcPr>
            <w:tcW w:w="2466" w:type="dxa"/>
            <w:vAlign w:val="center"/>
          </w:tcPr>
          <w:p>
            <w:pPr>
              <w:pStyle w:val="28"/>
            </w:pPr>
            <w:r>
              <w:t>资金能够及时拨付到位</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按计划,将成本控制在152万元内</w:t>
            </w:r>
          </w:p>
        </w:tc>
        <w:tc>
          <w:tcPr>
            <w:tcW w:w="2466" w:type="dxa"/>
            <w:vAlign w:val="center"/>
          </w:tcPr>
          <w:p>
            <w:pPr>
              <w:pStyle w:val="28"/>
            </w:pPr>
            <w:r>
              <w:t>≤152万元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可持续发展</w:t>
            </w:r>
          </w:p>
        </w:tc>
        <w:tc>
          <w:tcPr>
            <w:tcW w:w="2466" w:type="dxa"/>
            <w:vAlign w:val="center"/>
          </w:tcPr>
          <w:p>
            <w:pPr>
              <w:pStyle w:val="28"/>
            </w:pPr>
            <w:r>
              <w:t>使可持续发展时间2年以上</w:t>
            </w:r>
          </w:p>
        </w:tc>
        <w:tc>
          <w:tcPr>
            <w:tcW w:w="2466" w:type="dxa"/>
            <w:vAlign w:val="center"/>
          </w:tcPr>
          <w:p>
            <w:pPr>
              <w:pStyle w:val="28"/>
            </w:pPr>
            <w:r>
              <w:t>使得可持续发展时间2年以上</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16、中关村天合石家庄藁城区科技成果转化工作站绩效目标表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1.完成工作站用房装饰装修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服务企业数量</w:t>
            </w:r>
          </w:p>
        </w:tc>
        <w:tc>
          <w:tcPr>
            <w:tcW w:w="2466" w:type="dxa"/>
            <w:vAlign w:val="center"/>
          </w:tcPr>
          <w:p>
            <w:pPr>
              <w:pStyle w:val="28"/>
            </w:pPr>
            <w:r>
              <w:t>工作站提供服务的企业数量</w:t>
            </w:r>
          </w:p>
        </w:tc>
        <w:tc>
          <w:tcPr>
            <w:tcW w:w="2466" w:type="dxa"/>
            <w:vAlign w:val="center"/>
          </w:tcPr>
          <w:p>
            <w:pPr>
              <w:pStyle w:val="28"/>
            </w:pPr>
            <w:r>
              <w:t>≥30家</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工作站使用时间</w:t>
            </w:r>
          </w:p>
        </w:tc>
        <w:tc>
          <w:tcPr>
            <w:tcW w:w="2466" w:type="dxa"/>
            <w:vAlign w:val="center"/>
          </w:tcPr>
          <w:p>
            <w:pPr>
              <w:pStyle w:val="28"/>
            </w:pPr>
            <w:r>
              <w:t>工作站用房使用时间预计最少可以使用5年以上</w:t>
            </w:r>
          </w:p>
        </w:tc>
        <w:tc>
          <w:tcPr>
            <w:tcW w:w="2466" w:type="dxa"/>
            <w:vAlign w:val="center"/>
          </w:tcPr>
          <w:p>
            <w:pPr>
              <w:pStyle w:val="28"/>
            </w:pPr>
            <w:r>
              <w:t>工作站的建筑质量达标，使用时间最少5年</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完成时间</w:t>
            </w:r>
          </w:p>
        </w:tc>
        <w:tc>
          <w:tcPr>
            <w:tcW w:w="2466" w:type="dxa"/>
            <w:vAlign w:val="center"/>
          </w:tcPr>
          <w:p>
            <w:pPr>
              <w:pStyle w:val="28"/>
            </w:pPr>
            <w:r>
              <w:t>全部工程完成时间</w:t>
            </w:r>
          </w:p>
        </w:tc>
        <w:tc>
          <w:tcPr>
            <w:tcW w:w="2466" w:type="dxa"/>
            <w:vAlign w:val="center"/>
          </w:tcPr>
          <w:p>
            <w:pPr>
              <w:pStyle w:val="28"/>
            </w:pPr>
            <w:r>
              <w:t>全部工程在8月底完成</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工程费用总额50%金额</w:t>
            </w:r>
          </w:p>
        </w:tc>
        <w:tc>
          <w:tcPr>
            <w:tcW w:w="2466" w:type="dxa"/>
            <w:vAlign w:val="center"/>
          </w:tcPr>
          <w:p>
            <w:pPr>
              <w:pStyle w:val="28"/>
            </w:pPr>
            <w:r>
              <w:t>≤1.84万元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建成的工作站更好去服务企业</w:t>
            </w:r>
          </w:p>
        </w:tc>
        <w:tc>
          <w:tcPr>
            <w:tcW w:w="2466" w:type="dxa"/>
            <w:vAlign w:val="center"/>
          </w:tcPr>
          <w:p>
            <w:pPr>
              <w:pStyle w:val="28"/>
            </w:pPr>
            <w:r>
              <w:t>预计工作站一年可以服务30家企业以上</w:t>
            </w:r>
          </w:p>
        </w:tc>
        <w:tc>
          <w:tcPr>
            <w:tcW w:w="2466" w:type="dxa"/>
            <w:vAlign w:val="center"/>
          </w:tcPr>
          <w:p>
            <w:pPr>
              <w:pStyle w:val="28"/>
            </w:pPr>
            <w:r>
              <w:t>更好的服务企业</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满意企事业单位个数除以获支持企事业单位个数乘以百分之百</w:t>
            </w:r>
          </w:p>
        </w:tc>
        <w:tc>
          <w:tcPr>
            <w:tcW w:w="2466" w:type="dxa"/>
            <w:vAlign w:val="center"/>
          </w:tcPr>
          <w:p>
            <w:pPr>
              <w:pStyle w:val="28"/>
            </w:pPr>
            <w:r>
              <w:t>&gt;90%</w:t>
            </w:r>
          </w:p>
        </w:tc>
        <w:tc>
          <w:tcPr>
            <w:tcW w:w="2466" w:type="dxa"/>
            <w:vAlign w:val="center"/>
          </w:tcPr>
          <w:p>
            <w:pPr>
              <w:pStyle w:val="28"/>
            </w:pPr>
            <w:r>
              <w:t>满意度调查</w:t>
            </w:r>
          </w:p>
        </w:tc>
      </w:tr>
    </w:tbl>
    <w:p>
      <w:pPr>
        <w:pStyle w:val="26"/>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2022年，石家庄市藁城区科学技术和工业信息化局本级安排政府采购预算0.00万元。具体内容见下表。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石家庄市藁城区科学技术和工业信息化局本级上年末固定资产金额为</w:t>
      </w:r>
      <w:r>
        <w:rPr>
          <w:rFonts w:hint="eastAsia" w:eastAsia="方正仿宋_GBK" w:cs="Times New Roman"/>
          <w:b w:val="0"/>
          <w:color w:val="000000"/>
          <w:sz w:val="28"/>
          <w:lang w:val="en-US" w:eastAsia="zh-CN"/>
        </w:rPr>
        <w:t>537.35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537.35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3718.96</w:t>
            </w:r>
          </w:p>
        </w:tc>
        <w:tc>
          <w:tcPr>
            <w:tcW w:w="4933" w:type="dxa"/>
            <w:vAlign w:val="center"/>
          </w:tcPr>
          <w:p>
            <w:pPr>
              <w:pStyle w:val="13"/>
              <w:rPr>
                <w:rFonts w:hint="default" w:eastAsia="方正书宋_GBK"/>
                <w:lang w:val="en-US" w:eastAsia="zh-CN"/>
              </w:rPr>
            </w:pPr>
            <w:r>
              <w:rPr>
                <w:rFonts w:hint="eastAsia"/>
                <w:lang w:val="en-US" w:eastAsia="zh-CN"/>
              </w:rP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3718.96</w:t>
            </w:r>
          </w:p>
        </w:tc>
        <w:tc>
          <w:tcPr>
            <w:tcW w:w="4933" w:type="dxa"/>
            <w:vAlign w:val="center"/>
          </w:tcPr>
          <w:p>
            <w:pPr>
              <w:pStyle w:val="13"/>
              <w:rPr>
                <w:rFonts w:hint="default" w:eastAsia="方正书宋_GBK"/>
                <w:lang w:val="en-US" w:eastAsia="zh-CN"/>
              </w:rPr>
            </w:pPr>
            <w:r>
              <w:rPr>
                <w:rFonts w:hint="eastAsia"/>
                <w:lang w:val="en-US" w:eastAsia="zh-CN"/>
              </w:rP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rPr>
                <w:rFonts w:hint="default" w:eastAsia="方正书宋_GBK"/>
                <w:lang w:val="en-US" w:eastAsia="zh-CN"/>
              </w:rPr>
            </w:pPr>
            <w:r>
              <w:rPr>
                <w:rFonts w:hint="eastAsia"/>
                <w:lang w:val="en-US" w:eastAsia="zh-CN"/>
              </w:rP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613</w:t>
            </w:r>
          </w:p>
        </w:tc>
        <w:tc>
          <w:tcPr>
            <w:tcW w:w="4933" w:type="dxa"/>
            <w:vAlign w:val="center"/>
          </w:tcPr>
          <w:p>
            <w:pPr>
              <w:pStyle w:val="13"/>
              <w:rPr>
                <w:rFonts w:hint="default" w:eastAsia="方正书宋_GBK"/>
                <w:lang w:val="en-US" w:eastAsia="zh-CN"/>
              </w:rPr>
            </w:pPr>
            <w:r>
              <w:rPr>
                <w:rFonts w:hint="eastAsia"/>
                <w:lang w:val="en-US" w:eastAsia="zh-CN"/>
              </w:rPr>
              <w:t>191.80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Courier New"/>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10022FF" w:usb1="C000E47F" w:usb2="00000029" w:usb3="00000000" w:csb0="200001DF" w:csb1="2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A516D"/>
    <w:rsid w:val="0F206E7B"/>
    <w:rsid w:val="1314796F"/>
    <w:rsid w:val="14486022"/>
    <w:rsid w:val="17B904D1"/>
    <w:rsid w:val="1E8619E7"/>
    <w:rsid w:val="2214169D"/>
    <w:rsid w:val="2D587A68"/>
    <w:rsid w:val="352F1F24"/>
    <w:rsid w:val="38D9260A"/>
    <w:rsid w:val="3B8E5EB1"/>
    <w:rsid w:val="3C17521D"/>
    <w:rsid w:val="3D857137"/>
    <w:rsid w:val="41111278"/>
    <w:rsid w:val="47FF2A16"/>
    <w:rsid w:val="4DE249EB"/>
    <w:rsid w:val="4E377356"/>
    <w:rsid w:val="4EFD3C47"/>
    <w:rsid w:val="5152053C"/>
    <w:rsid w:val="597A25D0"/>
    <w:rsid w:val="65160654"/>
    <w:rsid w:val="659C5590"/>
    <w:rsid w:val="6E235C0B"/>
    <w:rsid w:val="6F54435D"/>
    <w:rsid w:val="70E702B6"/>
    <w:rsid w:val="7BE15F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7ed9371-39ef-4bac-a544-c4887c1bbd5d"/>
    <w:qFormat/>
    <w:uiPriority w:val="0"/>
    <w:rPr>
      <w:rFonts w:ascii="Times New Roman" w:hAnsi="Times New Roman" w:eastAsia="Times New Roman" w:cstheme="minorBidi"/>
      <w:sz w:val="24"/>
      <w:szCs w:val="24"/>
      <w:lang w:val="en-US" w:eastAsia="uk-UA" w:bidi="ar-SA"/>
    </w:rPr>
  </w:style>
  <w:style w:type="paragraph" w:customStyle="1" w:styleId="27">
    <w:name w:val="单元格样式1_c920de81-07d3-4abc-8808-29c45e57ebfa"/>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713e1389-3038-475f-bd9a-f5ee162fe1e5"/>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6bf1140-53e0-45be-a4c7-20972ab45ba5"/>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2022-02-14T17:44:25Z</dcterms:created>
  <dcterms:modified xsi:type="dcterms:W3CDTF">2022-02-14T09:44:25Z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2022-02-14T17:44:07Z</dcterms:created>
  <dcterms:modified xsi:type="dcterms:W3CDTF">2022-02-14T09:44:07Z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2022-02-14T17:44:14Z</dcterms:created>
  <dcterms:modified xsi:type="dcterms:W3CDTF">2022-02-14T09:44:14Z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2022-02-14T17:44:19Z</dcterms:created>
  <dcterms:modified xsi:type="dcterms:W3CDTF">2022-02-14T09:44:19Z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bb8832-bd54-4803-8184-02f7d52061d7}">
  <ds:schemaRefs/>
</ds:datastoreItem>
</file>

<file path=customXml/itemProps3.xml><?xml version="1.0" encoding="utf-8"?>
<ds:datastoreItem xmlns:ds="http://schemas.openxmlformats.org/officeDocument/2006/customXml" ds:itemID="{c3c54319-02f0-404f-8543-2b51d2d429b3}">
  <ds:schemaRefs/>
</ds:datastoreItem>
</file>

<file path=customXml/itemProps4.xml><?xml version="1.0" encoding="utf-8"?>
<ds:datastoreItem xmlns:ds="http://schemas.openxmlformats.org/officeDocument/2006/customXml" ds:itemID="{4739cef6-64a7-46cd-b73f-ee9aa3837c5f}">
  <ds:schemaRefs/>
</ds:datastoreItem>
</file>

<file path=customXml/itemProps5.xml><?xml version="1.0" encoding="utf-8"?>
<ds:datastoreItem xmlns:ds="http://schemas.openxmlformats.org/officeDocument/2006/customXml" ds:itemID="{c55e584e-2f04-4816-a4a8-01607a55a61b}">
  <ds:schemaRefs/>
</ds:datastoreItem>
</file>

<file path=customXml/itemProps6.xml><?xml version="1.0" encoding="utf-8"?>
<ds:datastoreItem xmlns:ds="http://schemas.openxmlformats.org/officeDocument/2006/customXml" ds:itemID="{2e683665-2ae5-4d3d-95b8-bf27ad81d860}">
  <ds:schemaRefs/>
</ds:datastoreItem>
</file>

<file path=customXml/itemProps7.xml><?xml version="1.0" encoding="utf-8"?>
<ds:datastoreItem xmlns:ds="http://schemas.openxmlformats.org/officeDocument/2006/customXml" ds:itemID="{dc2cd32f-4ef7-4e4f-bc77-f675b766aa0b}">
  <ds:schemaRefs/>
</ds:datastoreItem>
</file>

<file path=customXml/itemProps8.xml><?xml version="1.0" encoding="utf-8"?>
<ds:datastoreItem xmlns:ds="http://schemas.openxmlformats.org/officeDocument/2006/customXml" ds:itemID="{d03f5ce0-20be-4677-a10f-236303a018f5}">
  <ds:schemaRefs/>
</ds:datastoreItem>
</file>

<file path=customXml/itemProps9.xml><?xml version="1.0" encoding="utf-8"?>
<ds:datastoreItem xmlns:ds="http://schemas.openxmlformats.org/officeDocument/2006/customXml" ds:itemID="{441169dc-c684-4552-83f7-127eb9affcc3}">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2022-02-14T17:44:00Z</dcterms:created>
  <dc:creator>Administrator</dc:creator>
  <cp:lastModifiedBy>Administrator</cp:lastModifiedBy>
  <dcterms:modified xsi:type="dcterms:W3CDTF">2024-02-23T01:37:58Z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