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eastAsia="黑体"/>
          <w:lang w:eastAsia="zh-CN"/>
        </w:rPr>
      </w:pPr>
      <w:r>
        <w:rPr>
          <w:rFonts w:hint="eastAsia" w:ascii="黑体" w:hAnsi="黑体" w:eastAsia="黑体" w:cs="黑体"/>
          <w:b w:val="0"/>
          <w:bCs w:val="0"/>
          <w:sz w:val="44"/>
          <w:szCs w:val="44"/>
        </w:rPr>
        <w:t>中共石家庄市藁城区委党史研究室</w:t>
      </w:r>
      <w:r>
        <w:rPr>
          <w:rFonts w:hint="eastAsia" w:ascii="黑体" w:hAnsi="黑体" w:eastAsia="黑体" w:cs="黑体"/>
          <w:b w:val="0"/>
          <w:bCs w:val="0"/>
          <w:sz w:val="44"/>
          <w:szCs w:val="44"/>
          <w:lang w:eastAsia="zh-CN"/>
        </w:rPr>
        <w:t>部门所属单位</w:t>
      </w:r>
      <w:r>
        <w:rPr>
          <w:rFonts w:hint="eastAsia" w:ascii="黑体" w:hAnsi="黑体" w:eastAsia="黑体" w:cs="黑体"/>
          <w:b w:val="0"/>
          <w:bCs w:val="0"/>
          <w:color w:val="000000"/>
          <w:sz w:val="44"/>
          <w:szCs w:val="44"/>
        </w:rPr>
        <w:t>2022年</w:t>
      </w:r>
      <w:r>
        <w:rPr>
          <w:rFonts w:hint="eastAsia" w:ascii="黑体" w:hAnsi="黑体" w:eastAsia="黑体" w:cs="黑体"/>
          <w:b w:val="0"/>
          <w:bCs w:val="0"/>
          <w:color w:val="000000"/>
          <w:sz w:val="44"/>
          <w:szCs w:val="44"/>
          <w:lang w:eastAsia="zh-CN"/>
        </w:rPr>
        <w:t>单位</w:t>
      </w:r>
      <w:r>
        <w:rPr>
          <w:rFonts w:hint="eastAsia" w:ascii="黑体" w:hAnsi="黑体" w:eastAsia="黑体" w:cs="黑体"/>
          <w:b w:val="0"/>
          <w:bCs w:val="0"/>
          <w:color w:val="000000"/>
          <w:sz w:val="44"/>
          <w:szCs w:val="44"/>
        </w:rPr>
        <w:t>预算</w:t>
      </w:r>
      <w:r>
        <w:rPr>
          <w:rFonts w:hint="eastAsia" w:ascii="黑体" w:hAnsi="黑体" w:eastAsia="黑体" w:cs="黑体"/>
          <w:b w:val="0"/>
          <w:bCs w:val="0"/>
          <w:color w:val="000000"/>
          <w:sz w:val="44"/>
          <w:szCs w:val="44"/>
          <w:lang w:eastAsia="zh-CN"/>
        </w:rPr>
        <w:t>公开</w:t>
      </w:r>
    </w:p>
    <w:p>
      <w:pPr>
        <w:spacing w:before="0" w:after="0" w:line="240" w:lineRule="auto"/>
        <w:ind w:firstLine="0"/>
        <w:jc w:val="center"/>
        <w:outlineLvl w:val="9"/>
      </w:pPr>
      <w:r>
        <w:rPr>
          <w:rFonts w:ascii="黑体" w:hAnsi="黑体" w:eastAsia="黑体" w:cs="黑体"/>
          <w:b/>
          <w:color w:val="000000"/>
          <w:sz w:val="30"/>
        </w:rPr>
        <w:t xml:space="preserve"> </w:t>
      </w:r>
    </w:p>
    <w:p/>
    <w:p>
      <w:pPr>
        <w:spacing w:before="0" w:after="0" w:line="240" w:lineRule="auto"/>
        <w:ind w:firstLine="0"/>
        <w:jc w:val="center"/>
        <w:outlineLvl w:val="9"/>
      </w:pP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一、中共石家庄市藁城区委党史研究室本级收支预算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bookmarkStart w:id="1" w:name="_GoBack"/>
      <w:bookmarkEnd w:id="1"/>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一、中共石家庄市藁城区委党史研究室本级收支预算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283001中共石家庄市藁城区委党史研究室本级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77.78</w:t>
            </w:r>
          </w:p>
        </w:tc>
        <w:tc>
          <w:tcPr>
            <w:tcW w:w="2959" w:type="dxa"/>
            <w:vAlign w:val="center"/>
          </w:tcPr>
          <w:p>
            <w:pPr>
              <w:pStyle w:val="14"/>
            </w:pPr>
            <w:r>
              <w:t>一、一般公共服务支出</w:t>
            </w:r>
          </w:p>
        </w:tc>
        <w:tc>
          <w:tcPr>
            <w:tcW w:w="2959" w:type="dxa"/>
            <w:vAlign w:val="center"/>
          </w:tcPr>
          <w:p>
            <w:pPr>
              <w:pStyle w:val="13"/>
            </w:pPr>
            <w:r>
              <w:t>77.78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77.78</w:t>
            </w:r>
          </w:p>
        </w:tc>
        <w:tc>
          <w:tcPr>
            <w:tcW w:w="2959" w:type="dxa"/>
            <w:vAlign w:val="center"/>
          </w:tcPr>
          <w:p>
            <w:pPr>
              <w:pStyle w:val="16"/>
            </w:pPr>
            <w:r>
              <w:t>本年支出合计</w:t>
            </w:r>
          </w:p>
        </w:tc>
        <w:tc>
          <w:tcPr>
            <w:tcW w:w="2959" w:type="dxa"/>
            <w:vAlign w:val="center"/>
          </w:tcPr>
          <w:p>
            <w:pPr>
              <w:pStyle w:val="17"/>
            </w:pPr>
            <w:r>
              <w:t>77.78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77.78</w:t>
            </w:r>
          </w:p>
        </w:tc>
        <w:tc>
          <w:tcPr>
            <w:tcW w:w="2959" w:type="dxa"/>
            <w:vAlign w:val="center"/>
          </w:tcPr>
          <w:p>
            <w:pPr>
              <w:pStyle w:val="16"/>
            </w:pPr>
            <w:r>
              <w:t>支出总计</w:t>
            </w:r>
          </w:p>
        </w:tc>
        <w:tc>
          <w:tcPr>
            <w:tcW w:w="2959" w:type="dxa"/>
            <w:vAlign w:val="center"/>
          </w:tcPr>
          <w:p>
            <w:pPr>
              <w:pStyle w:val="17"/>
            </w:pPr>
            <w:r>
              <w:t>77.78</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283001中共石家庄市藁城区委党史研究室本级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77.78</w:t>
            </w:r>
          </w:p>
        </w:tc>
        <w:tc>
          <w:tcPr>
            <w:tcW w:w="758" w:type="dxa"/>
            <w:vAlign w:val="center"/>
          </w:tcPr>
          <w:p>
            <w:pPr>
              <w:pStyle w:val="17"/>
            </w:pPr>
            <w:r>
              <w:t>77.78</w:t>
            </w:r>
          </w:p>
        </w:tc>
        <w:tc>
          <w:tcPr>
            <w:tcW w:w="758" w:type="dxa"/>
            <w:vAlign w:val="center"/>
          </w:tcPr>
          <w:p>
            <w:pPr>
              <w:pStyle w:val="17"/>
            </w:pPr>
            <w:r>
              <w:t>77.78</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77.78</w:t>
            </w:r>
          </w:p>
        </w:tc>
        <w:tc>
          <w:tcPr>
            <w:tcW w:w="758" w:type="dxa"/>
            <w:vAlign w:val="center"/>
          </w:tcPr>
          <w:p>
            <w:pPr>
              <w:pStyle w:val="13"/>
            </w:pPr>
            <w:r>
              <w:t>77.78</w:t>
            </w:r>
          </w:p>
        </w:tc>
        <w:tc>
          <w:tcPr>
            <w:tcW w:w="758" w:type="dxa"/>
            <w:vAlign w:val="center"/>
          </w:tcPr>
          <w:p>
            <w:pPr>
              <w:pStyle w:val="13"/>
            </w:pPr>
            <w:r>
              <w:t>77.78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20136</w:t>
            </w:r>
          </w:p>
        </w:tc>
        <w:tc>
          <w:tcPr>
            <w:tcW w:w="758" w:type="dxa"/>
            <w:vAlign w:val="center"/>
          </w:tcPr>
          <w:p>
            <w:pPr>
              <w:pStyle w:val="14"/>
            </w:pPr>
            <w:r>
              <w:t>其他共产党事务支出</w:t>
            </w:r>
          </w:p>
        </w:tc>
        <w:tc>
          <w:tcPr>
            <w:tcW w:w="758" w:type="dxa"/>
            <w:vAlign w:val="center"/>
          </w:tcPr>
          <w:p>
            <w:pPr>
              <w:pStyle w:val="13"/>
            </w:pPr>
            <w:r>
              <w:t>77.78</w:t>
            </w:r>
          </w:p>
        </w:tc>
        <w:tc>
          <w:tcPr>
            <w:tcW w:w="758" w:type="dxa"/>
            <w:vAlign w:val="center"/>
          </w:tcPr>
          <w:p>
            <w:pPr>
              <w:pStyle w:val="13"/>
            </w:pPr>
            <w:r>
              <w:t>77.78</w:t>
            </w:r>
          </w:p>
        </w:tc>
        <w:tc>
          <w:tcPr>
            <w:tcW w:w="758" w:type="dxa"/>
            <w:vAlign w:val="center"/>
          </w:tcPr>
          <w:p>
            <w:pPr>
              <w:pStyle w:val="13"/>
            </w:pPr>
            <w:r>
              <w:t>77.78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2013601</w:t>
            </w:r>
          </w:p>
        </w:tc>
        <w:tc>
          <w:tcPr>
            <w:tcW w:w="758" w:type="dxa"/>
            <w:vAlign w:val="center"/>
          </w:tcPr>
          <w:p>
            <w:pPr>
              <w:pStyle w:val="14"/>
            </w:pPr>
            <w:r>
              <w:t>行政运行</w:t>
            </w:r>
          </w:p>
        </w:tc>
        <w:tc>
          <w:tcPr>
            <w:tcW w:w="758" w:type="dxa"/>
            <w:vAlign w:val="center"/>
          </w:tcPr>
          <w:p>
            <w:pPr>
              <w:pStyle w:val="13"/>
            </w:pPr>
            <w:r>
              <w:t>70.13</w:t>
            </w:r>
          </w:p>
        </w:tc>
        <w:tc>
          <w:tcPr>
            <w:tcW w:w="758" w:type="dxa"/>
            <w:vAlign w:val="center"/>
          </w:tcPr>
          <w:p>
            <w:pPr>
              <w:pStyle w:val="13"/>
            </w:pPr>
            <w:r>
              <w:t>70.13</w:t>
            </w:r>
          </w:p>
        </w:tc>
        <w:tc>
          <w:tcPr>
            <w:tcW w:w="758" w:type="dxa"/>
            <w:vAlign w:val="center"/>
          </w:tcPr>
          <w:p>
            <w:pPr>
              <w:pStyle w:val="13"/>
            </w:pPr>
            <w:r>
              <w:t>70.13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2013602</w:t>
            </w:r>
          </w:p>
        </w:tc>
        <w:tc>
          <w:tcPr>
            <w:tcW w:w="758" w:type="dxa"/>
            <w:vAlign w:val="center"/>
          </w:tcPr>
          <w:p>
            <w:pPr>
              <w:pStyle w:val="14"/>
            </w:pPr>
            <w:r>
              <w:t>一般行政管理事务</w:t>
            </w:r>
          </w:p>
        </w:tc>
        <w:tc>
          <w:tcPr>
            <w:tcW w:w="758" w:type="dxa"/>
            <w:vAlign w:val="center"/>
          </w:tcPr>
          <w:p>
            <w:pPr>
              <w:pStyle w:val="13"/>
            </w:pPr>
            <w:r>
              <w:t>7.65</w:t>
            </w:r>
          </w:p>
        </w:tc>
        <w:tc>
          <w:tcPr>
            <w:tcW w:w="758" w:type="dxa"/>
            <w:vAlign w:val="center"/>
          </w:tcPr>
          <w:p>
            <w:pPr>
              <w:pStyle w:val="13"/>
            </w:pPr>
            <w:r>
              <w:t>7.65</w:t>
            </w:r>
          </w:p>
        </w:tc>
        <w:tc>
          <w:tcPr>
            <w:tcW w:w="758" w:type="dxa"/>
            <w:vAlign w:val="center"/>
          </w:tcPr>
          <w:p>
            <w:pPr>
              <w:pStyle w:val="13"/>
            </w:pPr>
            <w:r>
              <w:t>7.65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283001中共石家庄市藁城区委党史研究室本级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77.78</w:t>
            </w:r>
          </w:p>
        </w:tc>
        <w:tc>
          <w:tcPr>
            <w:tcW w:w="1095" w:type="dxa"/>
            <w:vAlign w:val="center"/>
          </w:tcPr>
          <w:p>
            <w:pPr>
              <w:pStyle w:val="17"/>
            </w:pPr>
            <w:r>
              <w:t>70.13</w:t>
            </w:r>
          </w:p>
        </w:tc>
        <w:tc>
          <w:tcPr>
            <w:tcW w:w="1095" w:type="dxa"/>
            <w:vAlign w:val="center"/>
          </w:tcPr>
          <w:p>
            <w:pPr>
              <w:pStyle w:val="17"/>
            </w:pPr>
            <w:r>
              <w:t>7.65</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77.78</w:t>
            </w:r>
          </w:p>
        </w:tc>
        <w:tc>
          <w:tcPr>
            <w:tcW w:w="1095" w:type="dxa"/>
            <w:vAlign w:val="center"/>
          </w:tcPr>
          <w:p>
            <w:pPr>
              <w:pStyle w:val="13"/>
            </w:pPr>
            <w:r>
              <w:t>70.13</w:t>
            </w:r>
          </w:p>
        </w:tc>
        <w:tc>
          <w:tcPr>
            <w:tcW w:w="1095" w:type="dxa"/>
            <w:vAlign w:val="center"/>
          </w:tcPr>
          <w:p>
            <w:pPr>
              <w:pStyle w:val="13"/>
            </w:pPr>
            <w:r>
              <w:t>7.65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20136</w:t>
            </w:r>
          </w:p>
        </w:tc>
        <w:tc>
          <w:tcPr>
            <w:tcW w:w="1095" w:type="dxa"/>
            <w:vAlign w:val="center"/>
          </w:tcPr>
          <w:p>
            <w:pPr>
              <w:pStyle w:val="14"/>
            </w:pPr>
            <w:r>
              <w:t>其他共产党事务支出</w:t>
            </w:r>
          </w:p>
        </w:tc>
        <w:tc>
          <w:tcPr>
            <w:tcW w:w="1095" w:type="dxa"/>
            <w:vAlign w:val="center"/>
          </w:tcPr>
          <w:p>
            <w:pPr>
              <w:pStyle w:val="13"/>
            </w:pPr>
            <w:r>
              <w:t>77.78</w:t>
            </w:r>
          </w:p>
        </w:tc>
        <w:tc>
          <w:tcPr>
            <w:tcW w:w="1095" w:type="dxa"/>
            <w:vAlign w:val="center"/>
          </w:tcPr>
          <w:p>
            <w:pPr>
              <w:pStyle w:val="13"/>
            </w:pPr>
            <w:r>
              <w:t>70.13</w:t>
            </w:r>
          </w:p>
        </w:tc>
        <w:tc>
          <w:tcPr>
            <w:tcW w:w="1095" w:type="dxa"/>
            <w:vAlign w:val="center"/>
          </w:tcPr>
          <w:p>
            <w:pPr>
              <w:pStyle w:val="13"/>
            </w:pPr>
            <w:r>
              <w:t>7.65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2013601</w:t>
            </w:r>
          </w:p>
        </w:tc>
        <w:tc>
          <w:tcPr>
            <w:tcW w:w="1095" w:type="dxa"/>
            <w:vAlign w:val="center"/>
          </w:tcPr>
          <w:p>
            <w:pPr>
              <w:pStyle w:val="14"/>
            </w:pPr>
            <w:r>
              <w:t>行政运行</w:t>
            </w:r>
          </w:p>
        </w:tc>
        <w:tc>
          <w:tcPr>
            <w:tcW w:w="1095" w:type="dxa"/>
            <w:vAlign w:val="center"/>
          </w:tcPr>
          <w:p>
            <w:pPr>
              <w:pStyle w:val="13"/>
            </w:pPr>
            <w:r>
              <w:t>70.13</w:t>
            </w:r>
          </w:p>
        </w:tc>
        <w:tc>
          <w:tcPr>
            <w:tcW w:w="1095" w:type="dxa"/>
            <w:vAlign w:val="center"/>
          </w:tcPr>
          <w:p>
            <w:pPr>
              <w:pStyle w:val="13"/>
            </w:pPr>
            <w:r>
              <w:t>70.13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2013602</w:t>
            </w:r>
          </w:p>
        </w:tc>
        <w:tc>
          <w:tcPr>
            <w:tcW w:w="1095" w:type="dxa"/>
            <w:vAlign w:val="center"/>
          </w:tcPr>
          <w:p>
            <w:pPr>
              <w:pStyle w:val="14"/>
            </w:pPr>
            <w:r>
              <w:t>一般行政管理事务</w:t>
            </w:r>
          </w:p>
        </w:tc>
        <w:tc>
          <w:tcPr>
            <w:tcW w:w="1095" w:type="dxa"/>
            <w:vAlign w:val="center"/>
          </w:tcPr>
          <w:p>
            <w:pPr>
              <w:pStyle w:val="13"/>
            </w:pPr>
            <w:r>
              <w:t>7.65</w:t>
            </w:r>
          </w:p>
        </w:tc>
        <w:tc>
          <w:tcPr>
            <w:tcW w:w="1095" w:type="dxa"/>
            <w:vAlign w:val="center"/>
          </w:tcPr>
          <w:p>
            <w:pPr>
              <w:pStyle w:val="13"/>
            </w:pPr>
          </w:p>
        </w:tc>
        <w:tc>
          <w:tcPr>
            <w:tcW w:w="1095" w:type="dxa"/>
            <w:vAlign w:val="center"/>
          </w:tcPr>
          <w:p>
            <w:pPr>
              <w:pStyle w:val="13"/>
            </w:pPr>
            <w:r>
              <w:t>7.65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283001中共石家庄市藁城区委党史研究室本级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77.78</w:t>
            </w:r>
          </w:p>
        </w:tc>
        <w:tc>
          <w:tcPr>
            <w:tcW w:w="1232" w:type="dxa"/>
            <w:vAlign w:val="center"/>
          </w:tcPr>
          <w:p>
            <w:pPr>
              <w:pStyle w:val="14"/>
            </w:pPr>
            <w:r>
              <w:t>一、一般公共服务支出</w:t>
            </w:r>
          </w:p>
        </w:tc>
        <w:tc>
          <w:tcPr>
            <w:tcW w:w="1232" w:type="dxa"/>
            <w:vAlign w:val="center"/>
          </w:tcPr>
          <w:p>
            <w:pPr>
              <w:pStyle w:val="13"/>
            </w:pPr>
            <w:r>
              <w:t>77.78</w:t>
            </w:r>
          </w:p>
        </w:tc>
        <w:tc>
          <w:tcPr>
            <w:tcW w:w="1232" w:type="dxa"/>
            <w:vAlign w:val="center"/>
          </w:tcPr>
          <w:p>
            <w:pPr>
              <w:pStyle w:val="13"/>
            </w:pPr>
            <w:r>
              <w:t>77.78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77.78</w:t>
            </w:r>
          </w:p>
        </w:tc>
        <w:tc>
          <w:tcPr>
            <w:tcW w:w="1232" w:type="dxa"/>
            <w:vAlign w:val="center"/>
          </w:tcPr>
          <w:p>
            <w:pPr>
              <w:pStyle w:val="16"/>
            </w:pPr>
            <w:r>
              <w:t>本年支出合计</w:t>
            </w:r>
          </w:p>
        </w:tc>
        <w:tc>
          <w:tcPr>
            <w:tcW w:w="1232" w:type="dxa"/>
            <w:vAlign w:val="center"/>
          </w:tcPr>
          <w:p>
            <w:pPr>
              <w:pStyle w:val="17"/>
            </w:pPr>
            <w:r>
              <w:t>77.78</w:t>
            </w:r>
          </w:p>
        </w:tc>
        <w:tc>
          <w:tcPr>
            <w:tcW w:w="1232" w:type="dxa"/>
            <w:vAlign w:val="center"/>
          </w:tcPr>
          <w:p>
            <w:pPr>
              <w:pStyle w:val="17"/>
            </w:pPr>
            <w:r>
              <w:t>77.78</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77.78</w:t>
            </w:r>
          </w:p>
        </w:tc>
        <w:tc>
          <w:tcPr>
            <w:tcW w:w="1232" w:type="dxa"/>
            <w:vAlign w:val="center"/>
          </w:tcPr>
          <w:p>
            <w:pPr>
              <w:pStyle w:val="16"/>
            </w:pPr>
            <w:r>
              <w:t>支出总计</w:t>
            </w:r>
          </w:p>
        </w:tc>
        <w:tc>
          <w:tcPr>
            <w:tcW w:w="1232" w:type="dxa"/>
            <w:vAlign w:val="center"/>
          </w:tcPr>
          <w:p>
            <w:pPr>
              <w:pStyle w:val="17"/>
            </w:pPr>
            <w:r>
              <w:t>77.78</w:t>
            </w:r>
          </w:p>
        </w:tc>
        <w:tc>
          <w:tcPr>
            <w:tcW w:w="1232" w:type="dxa"/>
            <w:vAlign w:val="center"/>
          </w:tcPr>
          <w:p>
            <w:pPr>
              <w:pStyle w:val="17"/>
            </w:pPr>
            <w:r>
              <w:t>77.78</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283001中共石家庄市藁城区委党史研究室本级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77.78</w:t>
            </w:r>
          </w:p>
        </w:tc>
        <w:tc>
          <w:tcPr>
            <w:tcW w:w="1643" w:type="dxa"/>
            <w:vAlign w:val="center"/>
          </w:tcPr>
          <w:p>
            <w:pPr>
              <w:pStyle w:val="17"/>
            </w:pPr>
            <w:r>
              <w:t>70.13</w:t>
            </w:r>
          </w:p>
        </w:tc>
        <w:tc>
          <w:tcPr>
            <w:tcW w:w="1643" w:type="dxa"/>
            <w:vAlign w:val="center"/>
          </w:tcPr>
          <w:p>
            <w:pPr>
              <w:pStyle w:val="17"/>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77.78</w:t>
            </w:r>
          </w:p>
        </w:tc>
        <w:tc>
          <w:tcPr>
            <w:tcW w:w="1643" w:type="dxa"/>
            <w:vAlign w:val="center"/>
          </w:tcPr>
          <w:p>
            <w:pPr>
              <w:pStyle w:val="13"/>
            </w:pPr>
            <w:r>
              <w:t>70.13</w:t>
            </w:r>
          </w:p>
        </w:tc>
        <w:tc>
          <w:tcPr>
            <w:tcW w:w="1643" w:type="dxa"/>
            <w:vAlign w:val="center"/>
          </w:tcPr>
          <w:p>
            <w:pPr>
              <w:pStyle w:val="13"/>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20136</w:t>
            </w:r>
          </w:p>
        </w:tc>
        <w:tc>
          <w:tcPr>
            <w:tcW w:w="1643" w:type="dxa"/>
            <w:vAlign w:val="center"/>
          </w:tcPr>
          <w:p>
            <w:pPr>
              <w:pStyle w:val="14"/>
            </w:pPr>
            <w:r>
              <w:t>其他共产党事务支出</w:t>
            </w:r>
          </w:p>
        </w:tc>
        <w:tc>
          <w:tcPr>
            <w:tcW w:w="1643" w:type="dxa"/>
            <w:vAlign w:val="center"/>
          </w:tcPr>
          <w:p>
            <w:pPr>
              <w:pStyle w:val="13"/>
            </w:pPr>
            <w:r>
              <w:t>77.78</w:t>
            </w:r>
          </w:p>
        </w:tc>
        <w:tc>
          <w:tcPr>
            <w:tcW w:w="1643" w:type="dxa"/>
            <w:vAlign w:val="center"/>
          </w:tcPr>
          <w:p>
            <w:pPr>
              <w:pStyle w:val="13"/>
            </w:pPr>
            <w:r>
              <w:t>70.13</w:t>
            </w:r>
          </w:p>
        </w:tc>
        <w:tc>
          <w:tcPr>
            <w:tcW w:w="1643" w:type="dxa"/>
            <w:vAlign w:val="center"/>
          </w:tcPr>
          <w:p>
            <w:pPr>
              <w:pStyle w:val="13"/>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2013601</w:t>
            </w:r>
          </w:p>
        </w:tc>
        <w:tc>
          <w:tcPr>
            <w:tcW w:w="1643" w:type="dxa"/>
            <w:vAlign w:val="center"/>
          </w:tcPr>
          <w:p>
            <w:pPr>
              <w:pStyle w:val="14"/>
            </w:pPr>
            <w:r>
              <w:t>行政运行</w:t>
            </w:r>
          </w:p>
        </w:tc>
        <w:tc>
          <w:tcPr>
            <w:tcW w:w="1643" w:type="dxa"/>
            <w:vAlign w:val="center"/>
          </w:tcPr>
          <w:p>
            <w:pPr>
              <w:pStyle w:val="13"/>
            </w:pPr>
            <w:r>
              <w:t>70.13</w:t>
            </w:r>
          </w:p>
        </w:tc>
        <w:tc>
          <w:tcPr>
            <w:tcW w:w="1643" w:type="dxa"/>
            <w:vAlign w:val="center"/>
          </w:tcPr>
          <w:p>
            <w:pPr>
              <w:pStyle w:val="13"/>
            </w:pPr>
            <w:r>
              <w:t>70.13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2013602</w:t>
            </w:r>
          </w:p>
        </w:tc>
        <w:tc>
          <w:tcPr>
            <w:tcW w:w="1643" w:type="dxa"/>
            <w:vAlign w:val="center"/>
          </w:tcPr>
          <w:p>
            <w:pPr>
              <w:pStyle w:val="14"/>
            </w:pPr>
            <w:r>
              <w:t>一般行政管理事务</w:t>
            </w:r>
          </w:p>
        </w:tc>
        <w:tc>
          <w:tcPr>
            <w:tcW w:w="1643" w:type="dxa"/>
            <w:vAlign w:val="center"/>
          </w:tcPr>
          <w:p>
            <w:pPr>
              <w:pStyle w:val="13"/>
            </w:pPr>
            <w:r>
              <w:t>7.65</w:t>
            </w:r>
          </w:p>
        </w:tc>
        <w:tc>
          <w:tcPr>
            <w:tcW w:w="1643" w:type="dxa"/>
            <w:vAlign w:val="center"/>
          </w:tcPr>
          <w:p>
            <w:pPr>
              <w:pStyle w:val="13"/>
            </w:pPr>
          </w:p>
        </w:tc>
        <w:tc>
          <w:tcPr>
            <w:tcW w:w="1643" w:type="dxa"/>
            <w:vAlign w:val="center"/>
          </w:tcPr>
          <w:p>
            <w:pPr>
              <w:pStyle w:val="13"/>
            </w:pPr>
            <w:r>
              <w:t>7.65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283001中共石家庄市藁城区委党史研究室本级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70.13</w:t>
            </w:r>
          </w:p>
        </w:tc>
        <w:tc>
          <w:tcPr>
            <w:tcW w:w="1643" w:type="dxa"/>
            <w:vAlign w:val="center"/>
          </w:tcPr>
          <w:p>
            <w:pPr>
              <w:pStyle w:val="17"/>
            </w:pPr>
            <w:r>
              <w:t>63.49</w:t>
            </w:r>
          </w:p>
        </w:tc>
        <w:tc>
          <w:tcPr>
            <w:tcW w:w="1643" w:type="dxa"/>
            <w:vAlign w:val="center"/>
          </w:tcPr>
          <w:p>
            <w:pPr>
              <w:pStyle w:val="17"/>
            </w:pPr>
            <w:r>
              <w:t>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62.57</w:t>
            </w:r>
          </w:p>
        </w:tc>
        <w:tc>
          <w:tcPr>
            <w:tcW w:w="1643" w:type="dxa"/>
            <w:vAlign w:val="center"/>
          </w:tcPr>
          <w:p>
            <w:pPr>
              <w:pStyle w:val="13"/>
            </w:pPr>
            <w:r>
              <w:t>62.57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13.83</w:t>
            </w:r>
          </w:p>
        </w:tc>
        <w:tc>
          <w:tcPr>
            <w:tcW w:w="1643" w:type="dxa"/>
            <w:vAlign w:val="center"/>
          </w:tcPr>
          <w:p>
            <w:pPr>
              <w:pStyle w:val="13"/>
            </w:pPr>
            <w:r>
              <w:t>13.83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27.35</w:t>
            </w:r>
          </w:p>
        </w:tc>
        <w:tc>
          <w:tcPr>
            <w:tcW w:w="1643" w:type="dxa"/>
            <w:vAlign w:val="center"/>
          </w:tcPr>
          <w:p>
            <w:pPr>
              <w:pStyle w:val="13"/>
            </w:pPr>
            <w:r>
              <w:t>27.35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1.15</w:t>
            </w:r>
          </w:p>
        </w:tc>
        <w:tc>
          <w:tcPr>
            <w:tcW w:w="1643" w:type="dxa"/>
            <w:vAlign w:val="center"/>
          </w:tcPr>
          <w:p>
            <w:pPr>
              <w:pStyle w:val="13"/>
            </w:pPr>
            <w:r>
              <w:t>1.15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5.45</w:t>
            </w:r>
          </w:p>
        </w:tc>
        <w:tc>
          <w:tcPr>
            <w:tcW w:w="1643" w:type="dxa"/>
            <w:vAlign w:val="center"/>
          </w:tcPr>
          <w:p>
            <w:pPr>
              <w:pStyle w:val="13"/>
            </w:pPr>
            <w:r>
              <w:t>5.45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2.86</w:t>
            </w:r>
          </w:p>
        </w:tc>
        <w:tc>
          <w:tcPr>
            <w:tcW w:w="1643" w:type="dxa"/>
            <w:vAlign w:val="center"/>
          </w:tcPr>
          <w:p>
            <w:pPr>
              <w:pStyle w:val="13"/>
            </w:pPr>
            <w:r>
              <w:t>2.86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2.21</w:t>
            </w:r>
          </w:p>
        </w:tc>
        <w:tc>
          <w:tcPr>
            <w:tcW w:w="1643" w:type="dxa"/>
            <w:vAlign w:val="center"/>
          </w:tcPr>
          <w:p>
            <w:pPr>
              <w:pStyle w:val="13"/>
            </w:pPr>
            <w:r>
              <w:t>2.21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5.21</w:t>
            </w:r>
          </w:p>
        </w:tc>
        <w:tc>
          <w:tcPr>
            <w:tcW w:w="1643" w:type="dxa"/>
            <w:vAlign w:val="center"/>
          </w:tcPr>
          <w:p>
            <w:pPr>
              <w:pStyle w:val="13"/>
            </w:pPr>
            <w:r>
              <w:t>5.21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4.52</w:t>
            </w:r>
          </w:p>
        </w:tc>
        <w:tc>
          <w:tcPr>
            <w:tcW w:w="1643" w:type="dxa"/>
            <w:vAlign w:val="center"/>
          </w:tcPr>
          <w:p>
            <w:pPr>
              <w:pStyle w:val="13"/>
            </w:pPr>
            <w:r>
              <w:t>4.52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6.63</w:t>
            </w:r>
          </w:p>
        </w:tc>
        <w:tc>
          <w:tcPr>
            <w:tcW w:w="1643" w:type="dxa"/>
            <w:vAlign w:val="center"/>
          </w:tcPr>
          <w:p>
            <w:pPr>
              <w:pStyle w:val="13"/>
            </w:pPr>
          </w:p>
        </w:tc>
        <w:tc>
          <w:tcPr>
            <w:tcW w:w="1643" w:type="dxa"/>
            <w:vAlign w:val="center"/>
          </w:tcPr>
          <w:p>
            <w:pPr>
              <w:pStyle w:val="13"/>
            </w:pPr>
            <w:r>
              <w:t>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1.20</w:t>
            </w:r>
          </w:p>
        </w:tc>
        <w:tc>
          <w:tcPr>
            <w:tcW w:w="1643" w:type="dxa"/>
            <w:vAlign w:val="center"/>
          </w:tcPr>
          <w:p>
            <w:pPr>
              <w:pStyle w:val="13"/>
            </w:pPr>
          </w:p>
        </w:tc>
        <w:tc>
          <w:tcPr>
            <w:tcW w:w="1643"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1.98</w:t>
            </w:r>
          </w:p>
        </w:tc>
        <w:tc>
          <w:tcPr>
            <w:tcW w:w="1643" w:type="dxa"/>
            <w:vAlign w:val="center"/>
          </w:tcPr>
          <w:p>
            <w:pPr>
              <w:pStyle w:val="13"/>
            </w:pPr>
          </w:p>
        </w:tc>
        <w:tc>
          <w:tcPr>
            <w:tcW w:w="1643" w:type="dxa"/>
            <w:vAlign w:val="center"/>
          </w:tcPr>
          <w:p>
            <w:pPr>
              <w:pStyle w:val="13"/>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0.31</w:t>
            </w:r>
          </w:p>
        </w:tc>
        <w:tc>
          <w:tcPr>
            <w:tcW w:w="1643" w:type="dxa"/>
            <w:vAlign w:val="center"/>
          </w:tcPr>
          <w:p>
            <w:pPr>
              <w:pStyle w:val="13"/>
            </w:pPr>
          </w:p>
        </w:tc>
        <w:tc>
          <w:tcPr>
            <w:tcW w:w="1643" w:type="dxa"/>
            <w:vAlign w:val="center"/>
          </w:tcPr>
          <w:p>
            <w:pPr>
              <w:pStyle w:val="13"/>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0.35</w:t>
            </w:r>
          </w:p>
        </w:tc>
        <w:tc>
          <w:tcPr>
            <w:tcW w:w="1643" w:type="dxa"/>
            <w:vAlign w:val="center"/>
          </w:tcPr>
          <w:p>
            <w:pPr>
              <w:pStyle w:val="13"/>
            </w:pPr>
          </w:p>
        </w:tc>
        <w:tc>
          <w:tcPr>
            <w:tcW w:w="1643" w:type="dxa"/>
            <w:vAlign w:val="center"/>
          </w:tcPr>
          <w:p>
            <w:pPr>
              <w:pStyle w:val="13"/>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2.28</w:t>
            </w:r>
          </w:p>
        </w:tc>
        <w:tc>
          <w:tcPr>
            <w:tcW w:w="1643" w:type="dxa"/>
            <w:vAlign w:val="center"/>
          </w:tcPr>
          <w:p>
            <w:pPr>
              <w:pStyle w:val="13"/>
            </w:pPr>
          </w:p>
        </w:tc>
        <w:tc>
          <w:tcPr>
            <w:tcW w:w="1643" w:type="dxa"/>
            <w:vAlign w:val="center"/>
          </w:tcPr>
          <w:p>
            <w:pPr>
              <w:pStyle w:val="13"/>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0.51</w:t>
            </w:r>
          </w:p>
        </w:tc>
        <w:tc>
          <w:tcPr>
            <w:tcW w:w="1643" w:type="dxa"/>
            <w:vAlign w:val="center"/>
          </w:tcPr>
          <w:p>
            <w:pPr>
              <w:pStyle w:val="13"/>
            </w:pPr>
          </w:p>
        </w:tc>
        <w:tc>
          <w:tcPr>
            <w:tcW w:w="1643" w:type="dxa"/>
            <w:vAlign w:val="center"/>
          </w:tcPr>
          <w:p>
            <w:pPr>
              <w:pStyle w:val="13"/>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0.92</w:t>
            </w:r>
          </w:p>
        </w:tc>
        <w:tc>
          <w:tcPr>
            <w:tcW w:w="1643" w:type="dxa"/>
            <w:vAlign w:val="center"/>
          </w:tcPr>
          <w:p>
            <w:pPr>
              <w:pStyle w:val="13"/>
            </w:pPr>
            <w:r>
              <w:t>0.92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0.92</w:t>
            </w:r>
          </w:p>
        </w:tc>
        <w:tc>
          <w:tcPr>
            <w:tcW w:w="1643" w:type="dxa"/>
            <w:vAlign w:val="center"/>
          </w:tcPr>
          <w:p>
            <w:pPr>
              <w:pStyle w:val="13"/>
            </w:pPr>
            <w:r>
              <w:t>0.92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283001中共石家庄市藁城区委党史研究室本级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283001中共石家庄市藁城区委党史研究室本级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283001中共石家庄市藁城区委党史研究室本级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中共石家庄市藁城区委党史研究室本级2022年单位预算信息公开情况说明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按照《预算法》、《地方预决算公开操作规程》和《关于进一步推进预算公开工作的实施意见》规定，现将中共石家庄市藁城区委党史研究室本级2022年单位预算公开如下：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在区委和上级党史研究部门的领号和指导下,全面贯彻执行党的基本路线,以马列主义、毛泽东思想、邓小平理论和“三个代表”重要思想、科学发展观和习近平新时代中国特色社会主义思想为指导,坚持历史唯物主义，全面深入地开展全区党史资料的征集、研究、整理和宣传、教育工作。</w:t>
      </w:r>
    </w:p>
    <w:p>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2、做好党史资料的研究工作。按照辩证唯物主义史观,以对党对人民负责的态度,认真、踏实做好党史资料的研究工作,达到去伪存真、去粗取精的目的,使写出的觉史真实、可靠,符合历史史实。</w:t>
      </w:r>
    </w:p>
    <w:p>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3、搞好党史专题、文章及论文的撰写工作。把党史中重大历史事件、重要会议、重要问题、重要人物写成专题、介绍文章或论文,使党史资料完整、系统,增加史料的使用价值。</w:t>
      </w:r>
    </w:p>
    <w:p>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4、编纂、出版党史资料书刊。把党的各个时期的党史大事记、专题资料集、组织史资料、党史人物传记及觉的地方历史编纂成书出版,使党史资料成为反映历史、提供镜鉴、教育人民的生动教材。</w:t>
      </w:r>
    </w:p>
    <w:p>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5、对征集到的各和资料认真考证、核实、整理,分类编目立卷,实行科学管理,进行专题研究;编写出版党史资料或专题研究丛书，充分发挥党史资料的作用。</w:t>
      </w:r>
    </w:p>
    <w:p>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6、积极动员、组织全区党政机关、企事业单位搞好党史资料征集、宣传协作工作。</w:t>
      </w:r>
    </w:p>
    <w:p>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pPr>
      <w:r>
        <w:rPr>
          <w:rFonts w:hint="eastAsia" w:ascii="仿宋" w:hAnsi="仿宋" w:eastAsia="仿宋" w:cs="仿宋"/>
          <w:sz w:val="32"/>
          <w:szCs w:val="32"/>
        </w:rPr>
        <w:t>7、承担区委交办的其他工作。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中共石家庄市藁城区委党史研究室</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keepNext w:val="0"/>
        <w:keepLines w:val="0"/>
        <w:pageBreakBefore w:val="0"/>
        <w:widowControl/>
        <w:kinsoku/>
        <w:wordWrap/>
        <w:overflowPunct/>
        <w:topLinePunct w:val="0"/>
        <w:autoSpaceDE/>
        <w:autoSpaceDN/>
        <w:bidi w:val="0"/>
        <w:adjustRightInd/>
        <w:snapToGrid/>
        <w:spacing w:line="360" w:lineRule="auto"/>
        <w:ind w:firstLine="641"/>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left="640" w:leftChars="0" w:firstLine="641" w:firstLineChars="0"/>
        <w:jc w:val="left"/>
        <w:textAlignment w:val="auto"/>
        <w:outlineLvl w:val="2"/>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当年全部收入。2022年预算收入</w:t>
      </w:r>
      <w:r>
        <w:rPr>
          <w:rFonts w:hint="eastAsia" w:ascii="Times New Roman" w:hAnsi="Times New Roman" w:eastAsia="仿宋" w:cs="Times New Roman"/>
          <w:sz w:val="32"/>
          <w:szCs w:val="32"/>
          <w:lang w:val="en-US" w:eastAsia="zh-CN"/>
        </w:rPr>
        <w:t>77.78</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77.78</w:t>
      </w:r>
      <w:r>
        <w:rPr>
          <w:rFonts w:hint="eastAsia" w:ascii="Times New Roman" w:hAnsi="Times New Roman" w:eastAsia="仿宋" w:cs="Times New Roman"/>
          <w:sz w:val="32"/>
          <w:szCs w:val="32"/>
        </w:rPr>
        <w:t>万元，基金预算收入0万元，财政专户核拨收入0万元，其他来源收入0万元。</w:t>
      </w:r>
    </w:p>
    <w:p>
      <w:pPr>
        <w:keepNext w:val="0"/>
        <w:keepLines w:val="0"/>
        <w:pageBreakBefore w:val="0"/>
        <w:widowControl/>
        <w:kinsoku/>
        <w:wordWrap/>
        <w:overflowPunct/>
        <w:topLinePunct w:val="0"/>
        <w:autoSpaceDE/>
        <w:autoSpaceDN/>
        <w:bidi w:val="0"/>
        <w:adjustRightInd/>
        <w:snapToGrid/>
        <w:spacing w:line="360" w:lineRule="auto"/>
        <w:ind w:firstLine="641"/>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left="640" w:leftChars="0" w:firstLine="641" w:firstLineChars="0"/>
        <w:jc w:val="left"/>
        <w:textAlignment w:val="auto"/>
        <w:outlineLvl w:val="2"/>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ascii="Times New Roman" w:hAnsi="Times New Roman" w:eastAsia="仿宋" w:cs="Times New Roman"/>
          <w:sz w:val="32"/>
          <w:szCs w:val="32"/>
          <w:lang w:val="en-US" w:eastAsia="zh-CN"/>
        </w:rPr>
        <w:t>77.78</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70.13</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63.49</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6.63</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7.65</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出版《中国共产党藁城历史》（第二卷）</w:t>
      </w:r>
      <w:r>
        <w:rPr>
          <w:rFonts w:hint="eastAsia" w:ascii="Times New Roman" w:hAnsi="Times New Roman" w:eastAsia="仿宋" w:cs="Times New Roman"/>
          <w:sz w:val="32"/>
          <w:szCs w:val="32"/>
          <w:lang w:val="en-US" w:eastAsia="zh-CN"/>
        </w:rPr>
        <w:t>印刷</w:t>
      </w:r>
      <w:r>
        <w:rPr>
          <w:rFonts w:hint="eastAsia" w:ascii="Times New Roman" w:hAnsi="Times New Roman" w:eastAsia="仿宋" w:cs="Times New Roman"/>
          <w:sz w:val="32"/>
          <w:szCs w:val="32"/>
          <w:lang w:eastAsia="zh-CN"/>
        </w:rPr>
        <w:t>经费</w:t>
      </w:r>
      <w:r>
        <w:rPr>
          <w:rFonts w:hint="eastAsia" w:ascii="Times New Roman" w:hAnsi="Times New Roman" w:eastAsia="仿宋" w:cs="Times New Roman"/>
          <w:sz w:val="32"/>
          <w:szCs w:val="32"/>
          <w:lang w:val="en-US" w:eastAsia="zh-CN"/>
        </w:rPr>
        <w:t>7.65万元</w:t>
      </w:r>
      <w:r>
        <w:rPr>
          <w:rFonts w:hint="eastAsia" w:ascii="Times New Roman" w:hAnsi="Times New Roman" w:eastAsia="仿宋" w:cs="Times New Roman"/>
          <w:sz w:val="32"/>
          <w:szCs w:val="32"/>
        </w:rPr>
        <w:t>；其他支出0万元。</w:t>
      </w:r>
    </w:p>
    <w:p>
      <w:pPr>
        <w:keepNext w:val="0"/>
        <w:keepLines w:val="0"/>
        <w:pageBreakBefore w:val="0"/>
        <w:widowControl/>
        <w:numPr>
          <w:ilvl w:val="0"/>
          <w:numId w:val="0"/>
        </w:numPr>
        <w:kinsoku/>
        <w:wordWrap/>
        <w:overflowPunct/>
        <w:topLinePunct w:val="0"/>
        <w:autoSpaceDE/>
        <w:autoSpaceDN/>
        <w:bidi w:val="0"/>
        <w:adjustRightInd/>
        <w:snapToGrid/>
        <w:spacing w:line="360" w:lineRule="auto"/>
        <w:ind w:left="0" w:leftChars="0" w:firstLine="544" w:firstLineChars="170"/>
        <w:textAlignment w:val="auto"/>
        <w:rPr>
          <w:rFonts w:ascii="Times New Roman" w:hAnsi="Times New Roman" w:eastAsia="仿宋" w:cs="Times New Roman"/>
          <w:sz w:val="32"/>
          <w:szCs w:val="32"/>
        </w:rPr>
      </w:pPr>
      <w:r>
        <w:rPr>
          <w:rFonts w:hint="eastAsia" w:eastAsia="仿宋" w:cs="Times New Roman"/>
          <w:sz w:val="32"/>
          <w:szCs w:val="32"/>
          <w:lang w:val="en-US" w:eastAsia="zh-CN"/>
        </w:rPr>
        <w:t>3、</w:t>
      </w:r>
      <w:r>
        <w:rPr>
          <w:rFonts w:ascii="Times New Roman" w:hAnsi="Times New Roman" w:eastAsia="仿宋" w:cs="Times New Roman"/>
          <w:sz w:val="32"/>
          <w:szCs w:val="32"/>
        </w:rPr>
        <w:t>比上年增减情况</w:t>
      </w:r>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left="640" w:leftChars="0" w:firstLine="641" w:firstLineChars="0"/>
        <w:jc w:val="left"/>
        <w:textAlignment w:val="auto"/>
        <w:outlineLvl w:val="2"/>
      </w:pPr>
      <w:r>
        <w:rPr>
          <w:rFonts w:hint="eastAsia" w:ascii="Times New Roman" w:hAnsi="Times New Roman" w:eastAsia="仿宋" w:cs="Times New Roman"/>
          <w:sz w:val="32"/>
          <w:szCs w:val="32"/>
        </w:rPr>
        <w:t>2022年</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预算收支安排</w:t>
      </w:r>
      <w:r>
        <w:rPr>
          <w:rFonts w:hint="eastAsia" w:ascii="Times New Roman" w:hAnsi="Times New Roman" w:eastAsia="仿宋" w:cs="Times New Roman"/>
          <w:sz w:val="32"/>
          <w:szCs w:val="32"/>
          <w:lang w:val="en-US" w:eastAsia="zh-CN"/>
        </w:rPr>
        <w:t>77.78</w:t>
      </w:r>
      <w:r>
        <w:rPr>
          <w:rFonts w:hint="eastAsia" w:ascii="Times New Roman" w:hAnsi="Times New Roman" w:eastAsia="仿宋" w:cs="Times New Roman"/>
          <w:sz w:val="32"/>
          <w:szCs w:val="32"/>
        </w:rPr>
        <w:t>万元，较2021年增加</w:t>
      </w:r>
      <w:r>
        <w:rPr>
          <w:rFonts w:hint="eastAsia" w:ascii="Times New Roman" w:hAnsi="Times New Roman" w:eastAsia="仿宋" w:cs="Times New Roman"/>
          <w:sz w:val="32"/>
          <w:szCs w:val="32"/>
          <w:lang w:val="en-US" w:eastAsia="zh-CN"/>
        </w:rPr>
        <w:t>24.77</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19.12</w:t>
      </w:r>
      <w:r>
        <w:rPr>
          <w:rFonts w:hint="eastAsia" w:ascii="Times New Roman" w:hAnsi="Times New Roman" w:eastAsia="仿宋" w:cs="Times New Roman"/>
          <w:sz w:val="32"/>
          <w:szCs w:val="32"/>
        </w:rPr>
        <w:t>万元，主要是人员</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ascii="Times New Roman" w:hAnsi="Times New Roman" w:eastAsia="仿宋" w:cs="Times New Roman"/>
          <w:sz w:val="32"/>
          <w:szCs w:val="32"/>
          <w:lang w:val="en-US" w:eastAsia="zh-CN"/>
        </w:rPr>
        <w:t>5.65</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出版《中国共产党藁城历史》（第二卷）印刷</w:t>
      </w:r>
      <w:r>
        <w:rPr>
          <w:rFonts w:hint="eastAsia" w:ascii="Times New Roman" w:hAnsi="Times New Roman" w:eastAsia="仿宋" w:cs="Times New Roman"/>
          <w:sz w:val="32"/>
          <w:szCs w:val="32"/>
        </w:rPr>
        <w:t>资金；其他支出无增减变化。</w:t>
      </w:r>
    </w:p>
    <w:p>
      <w:pPr>
        <w:keepNext w:val="0"/>
        <w:keepLines w:val="0"/>
        <w:pageBreakBefore w:val="0"/>
        <w:widowControl/>
        <w:numPr>
          <w:ilvl w:val="0"/>
          <w:numId w:val="1"/>
        </w:numPr>
        <w:kinsoku/>
        <w:wordWrap/>
        <w:overflowPunct/>
        <w:topLinePunct w:val="0"/>
        <w:autoSpaceDE/>
        <w:autoSpaceDN/>
        <w:bidi w:val="0"/>
        <w:adjustRightInd/>
        <w:snapToGrid/>
        <w:spacing w:before="10" w:after="10" w:line="360" w:lineRule="auto"/>
        <w:ind w:firstLine="640"/>
        <w:jc w:val="left"/>
        <w:textAlignment w:val="auto"/>
        <w:outlineLvl w:val="5"/>
        <w:rPr>
          <w:rFonts w:ascii="黑体" w:hAnsi="黑体" w:eastAsia="黑体" w:cs="黑体"/>
          <w:color w:val="000000"/>
          <w:sz w:val="32"/>
        </w:rPr>
      </w:pPr>
      <w:r>
        <w:rPr>
          <w:rFonts w:ascii="黑体" w:hAnsi="黑体" w:eastAsia="黑体" w:cs="黑体"/>
          <w:color w:val="000000"/>
          <w:sz w:val="32"/>
        </w:rPr>
        <w:t>机关运行经费安排情况</w:t>
      </w:r>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left="641" w:leftChars="267" w:firstLine="640" w:firstLineChars="200"/>
        <w:jc w:val="left"/>
        <w:textAlignment w:val="auto"/>
        <w:outlineLvl w:val="2"/>
      </w:pPr>
      <w:r>
        <w:rPr>
          <w:rFonts w:hint="eastAsia" w:ascii="Times New Roman" w:hAnsi="Times New Roman" w:eastAsia="仿宋" w:cs="Times New Roman"/>
          <w:sz w:val="32"/>
          <w:szCs w:val="32"/>
        </w:rPr>
        <w:t>2022年，我</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机关运行经费共计安排</w:t>
      </w:r>
      <w:r>
        <w:rPr>
          <w:rFonts w:hint="eastAsia" w:ascii="Times New Roman" w:hAnsi="Times New Roman" w:eastAsia="仿宋" w:cs="Times New Roman"/>
          <w:sz w:val="32"/>
          <w:szCs w:val="32"/>
          <w:lang w:val="en-US" w:eastAsia="zh-CN"/>
        </w:rPr>
        <w:t>6.63</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万元，主要用于保证机关正常运转的办公及印刷费、邮电费、差旅费、会议费、福利费、专用材料及一般设备购置费、日常维修费等支出。</w:t>
      </w:r>
    </w:p>
    <w:p>
      <w:pPr>
        <w:keepNext w:val="0"/>
        <w:keepLines w:val="0"/>
        <w:pageBreakBefore w:val="0"/>
        <w:widowControl/>
        <w:numPr>
          <w:ilvl w:val="0"/>
          <w:numId w:val="1"/>
        </w:numPr>
        <w:kinsoku/>
        <w:wordWrap/>
        <w:overflowPunct/>
        <w:topLinePunct w:val="0"/>
        <w:autoSpaceDE/>
        <w:autoSpaceDN/>
        <w:bidi w:val="0"/>
        <w:adjustRightInd/>
        <w:snapToGrid/>
        <w:spacing w:before="10" w:after="10" w:line="360" w:lineRule="auto"/>
        <w:ind w:left="0" w:leftChars="0" w:firstLine="640" w:firstLineChars="0"/>
        <w:jc w:val="left"/>
        <w:textAlignment w:val="auto"/>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left="641" w:leftChars="0" w:firstLine="640" w:firstLineChars="200"/>
        <w:jc w:val="left"/>
        <w:textAlignment w:val="auto"/>
        <w:outlineLvl w:val="5"/>
      </w:pPr>
      <w:r>
        <w:rPr>
          <w:rFonts w:hint="eastAsia" w:ascii="Times New Roman" w:hAnsi="Times New Roman" w:eastAsia="仿宋" w:cs="Times New Roman"/>
          <w:sz w:val="32"/>
          <w:szCs w:val="32"/>
        </w:rPr>
        <w:t>2022年</w:t>
      </w:r>
      <w:r>
        <w:rPr>
          <w:rFonts w:hint="eastAsia" w:eastAsia="仿宋" w:cs="Times New Roman"/>
          <w:sz w:val="32"/>
          <w:szCs w:val="32"/>
          <w:lang w:eastAsia="zh-CN"/>
        </w:rPr>
        <w:t>本</w:t>
      </w:r>
      <w:r>
        <w:rPr>
          <w:rFonts w:hint="eastAsia" w:eastAsia="仿宋" w:cs="Times New Roman"/>
          <w:sz w:val="32"/>
          <w:szCs w:val="32"/>
          <w:lang w:val="en-US" w:eastAsia="zh-CN"/>
        </w:rPr>
        <w:t>单位</w:t>
      </w:r>
      <w:r>
        <w:rPr>
          <w:rFonts w:hint="eastAsia" w:ascii="Times New Roman" w:hAnsi="Times New Roman" w:eastAsia="仿宋" w:cs="Times New Roman"/>
          <w:sz w:val="32"/>
          <w:szCs w:val="32"/>
        </w:rPr>
        <w:t>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万元（其中：公务用车购置费0万元，公务用车运行维护费0万元)；公务接待费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eastAsia="仿宋" w:cs="Times New Roman"/>
          <w:sz w:val="32"/>
          <w:szCs w:val="32"/>
          <w:lang w:eastAsia="zh-CN"/>
        </w:rPr>
        <w:t>与</w:t>
      </w:r>
      <w:r>
        <w:rPr>
          <w:rFonts w:hint="eastAsia" w:eastAsia="仿宋" w:cs="Times New Roman"/>
          <w:sz w:val="32"/>
          <w:szCs w:val="32"/>
          <w:lang w:val="en-US" w:eastAsia="zh-CN"/>
        </w:rPr>
        <w:t>2021年相比，</w:t>
      </w:r>
      <w:r>
        <w:rPr>
          <w:rFonts w:hint="eastAsia" w:ascii="Times New Roman" w:hAnsi="Times New Roman" w:eastAsia="仿宋" w:cs="Times New Roman"/>
          <w:sz w:val="32"/>
          <w:szCs w:val="32"/>
        </w:rPr>
        <w:t>“三公”经费与上年持平，无增减变化。</w:t>
      </w: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1、出版《中国共产党藁城历史》（第二卷）绩效目标表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书籍份数</w:t>
            </w:r>
          </w:p>
        </w:tc>
        <w:tc>
          <w:tcPr>
            <w:tcW w:w="2466" w:type="dxa"/>
            <w:vAlign w:val="center"/>
          </w:tcPr>
          <w:p>
            <w:pPr>
              <w:pStyle w:val="28"/>
            </w:pPr>
            <w:r>
              <w:t>印制《中国共产党藁城历史》（第二卷）份数</w:t>
            </w:r>
          </w:p>
        </w:tc>
        <w:tc>
          <w:tcPr>
            <w:tcW w:w="2466" w:type="dxa"/>
            <w:vAlign w:val="center"/>
          </w:tcPr>
          <w:p>
            <w:pPr>
              <w:pStyle w:val="28"/>
            </w:pPr>
            <w:r>
              <w:t>≥2000份</w:t>
            </w:r>
          </w:p>
        </w:tc>
        <w:tc>
          <w:tcPr>
            <w:tcW w:w="2466" w:type="dxa"/>
            <w:vAlign w:val="center"/>
          </w:tcPr>
          <w:p>
            <w:pPr>
              <w:pStyle w:val="28"/>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书籍质量</w:t>
            </w:r>
          </w:p>
        </w:tc>
        <w:tc>
          <w:tcPr>
            <w:tcW w:w="2466" w:type="dxa"/>
            <w:vAlign w:val="center"/>
          </w:tcPr>
          <w:p>
            <w:pPr>
              <w:pStyle w:val="28"/>
            </w:pPr>
            <w:r>
              <w:t>内容准确率</w:t>
            </w:r>
          </w:p>
        </w:tc>
        <w:tc>
          <w:tcPr>
            <w:tcW w:w="2466" w:type="dxa"/>
            <w:vAlign w:val="center"/>
          </w:tcPr>
          <w:p>
            <w:pPr>
              <w:pStyle w:val="28"/>
            </w:pPr>
            <w:r>
              <w:t>≥100%</w:t>
            </w:r>
          </w:p>
        </w:tc>
        <w:tc>
          <w:tcPr>
            <w:tcW w:w="2466" w:type="dxa"/>
            <w:vAlign w:val="center"/>
          </w:tcPr>
          <w:p>
            <w:pPr>
              <w:pStyle w:val="28"/>
            </w:pPr>
            <w:r>
              <w:t>上级要求，书籍内容准确无误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出版时间</w:t>
            </w:r>
          </w:p>
        </w:tc>
        <w:tc>
          <w:tcPr>
            <w:tcW w:w="2466" w:type="dxa"/>
            <w:vAlign w:val="center"/>
          </w:tcPr>
          <w:p>
            <w:pPr>
              <w:pStyle w:val="28"/>
            </w:pPr>
            <w:r>
              <w:t>2022年6月底完成书籍出版</w:t>
            </w:r>
          </w:p>
        </w:tc>
        <w:tc>
          <w:tcPr>
            <w:tcW w:w="2466" w:type="dxa"/>
            <w:vAlign w:val="center"/>
          </w:tcPr>
          <w:p>
            <w:pPr>
              <w:pStyle w:val="28"/>
            </w:pPr>
            <w:r>
              <w:t>≤12月</w:t>
            </w:r>
          </w:p>
        </w:tc>
        <w:tc>
          <w:tcPr>
            <w:tcW w:w="2466" w:type="dxa"/>
            <w:vAlign w:val="center"/>
          </w:tcPr>
          <w:p>
            <w:pPr>
              <w:pStyle w:val="28"/>
            </w:pPr>
            <w:r>
              <w:t>上级要求，书籍2022年底前完成出版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出版成本控制</w:t>
            </w:r>
          </w:p>
        </w:tc>
        <w:tc>
          <w:tcPr>
            <w:tcW w:w="2466" w:type="dxa"/>
            <w:vAlign w:val="center"/>
          </w:tcPr>
          <w:p>
            <w:pPr>
              <w:pStyle w:val="28"/>
            </w:pPr>
            <w:r>
              <w:t>出版控制在预算成本内</w:t>
            </w:r>
          </w:p>
        </w:tc>
        <w:tc>
          <w:tcPr>
            <w:tcW w:w="2466" w:type="dxa"/>
            <w:vAlign w:val="center"/>
          </w:tcPr>
          <w:p>
            <w:pPr>
              <w:pStyle w:val="28"/>
            </w:pPr>
            <w:r>
              <w:t>出版控制在预算成本内</w:t>
            </w:r>
          </w:p>
        </w:tc>
        <w:tc>
          <w:tcPr>
            <w:tcW w:w="2466" w:type="dxa"/>
            <w:vAlign w:val="center"/>
          </w:tcPr>
          <w:p>
            <w:pPr>
              <w:pStyle w:val="28"/>
            </w:pPr>
            <w:r>
              <w:t>各环节按上级要求进行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留存史料，资政参考</w:t>
            </w:r>
          </w:p>
        </w:tc>
        <w:tc>
          <w:tcPr>
            <w:tcW w:w="2466" w:type="dxa"/>
            <w:vAlign w:val="center"/>
          </w:tcPr>
          <w:p>
            <w:pPr>
              <w:pStyle w:val="28"/>
            </w:pPr>
            <w:r>
              <w:t>对藁城党史研究提供重要参考，持续发挥作用</w:t>
            </w:r>
          </w:p>
        </w:tc>
        <w:tc>
          <w:tcPr>
            <w:tcW w:w="2466" w:type="dxa"/>
            <w:vAlign w:val="center"/>
          </w:tcPr>
          <w:p>
            <w:pPr>
              <w:pStyle w:val="28"/>
            </w:pPr>
            <w:r>
              <w:t>≥20年</w:t>
            </w:r>
          </w:p>
        </w:tc>
        <w:tc>
          <w:tcPr>
            <w:tcW w:w="2466" w:type="dxa"/>
            <w:vAlign w:val="center"/>
          </w:tcPr>
          <w:p>
            <w:pPr>
              <w:pStyle w:val="28"/>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满意度率</w:t>
            </w:r>
          </w:p>
        </w:tc>
        <w:tc>
          <w:tcPr>
            <w:tcW w:w="2466" w:type="dxa"/>
            <w:vAlign w:val="center"/>
          </w:tcPr>
          <w:p>
            <w:pPr>
              <w:pStyle w:val="28"/>
            </w:pPr>
            <w:r>
              <w:t>对重大党史问题进行研究和总结，汲取经验教训，进行党内教育，指导我们党的革命、建设、改革事业不断发展。</w:t>
            </w:r>
          </w:p>
        </w:tc>
        <w:tc>
          <w:tcPr>
            <w:tcW w:w="2466" w:type="dxa"/>
            <w:vAlign w:val="center"/>
          </w:tcPr>
          <w:p>
            <w:pPr>
              <w:pStyle w:val="28"/>
            </w:pPr>
            <w:r>
              <w:t>≥100%</w:t>
            </w:r>
          </w:p>
        </w:tc>
        <w:tc>
          <w:tcPr>
            <w:tcW w:w="2466" w:type="dxa"/>
            <w:vAlign w:val="center"/>
          </w:tcPr>
          <w:p>
            <w:pPr>
              <w:pStyle w:val="28"/>
            </w:pPr>
            <w:r>
              <w:t>文件</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2022年，中共石家庄市藁城区委党史研究室本级安排政府采购预算0.00万元。具体内容见下表。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283001中共石家庄市藁城区委党史研究室本级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中共石家庄市藁城区委党史研究室本级上年末固定资产金额为0.00万元（详见下表）。本年度拟购置固定资产总额为0.00万元，已按要求列入政府采购预算，详见政府采购预算表。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283001中共石家庄市藁城区委党史研究室本级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区县级部门</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D4A1468"/>
    <w:multiLevelType w:val="singleLevel"/>
    <w:tmpl w:val="6D4A1468"/>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JmZTNkZjM0ZmIzNDI2OWQwMmEwZGMzMTA5Yjc2ZGEifQ=="/>
  </w:docVars>
  <w:rsids>
    <w:rsidRoot w:val="00000000"/>
    <w:rsid w:val="00960E63"/>
    <w:rsid w:val="011136CA"/>
    <w:rsid w:val="020F19F8"/>
    <w:rsid w:val="02893161"/>
    <w:rsid w:val="02C0289A"/>
    <w:rsid w:val="033E7049"/>
    <w:rsid w:val="06A9605C"/>
    <w:rsid w:val="086C0ABA"/>
    <w:rsid w:val="0B0B11BF"/>
    <w:rsid w:val="0DA20700"/>
    <w:rsid w:val="0E19065A"/>
    <w:rsid w:val="0E334732"/>
    <w:rsid w:val="103F0BFF"/>
    <w:rsid w:val="10B0636C"/>
    <w:rsid w:val="15DF1D91"/>
    <w:rsid w:val="19CC38D3"/>
    <w:rsid w:val="1A8B3DCF"/>
    <w:rsid w:val="2134202E"/>
    <w:rsid w:val="21CF527D"/>
    <w:rsid w:val="22AD1941"/>
    <w:rsid w:val="239375D2"/>
    <w:rsid w:val="240C3E2D"/>
    <w:rsid w:val="248A774E"/>
    <w:rsid w:val="261B35FD"/>
    <w:rsid w:val="272B49D4"/>
    <w:rsid w:val="28AC0793"/>
    <w:rsid w:val="2F6C2963"/>
    <w:rsid w:val="32313940"/>
    <w:rsid w:val="33A361F5"/>
    <w:rsid w:val="35F007A9"/>
    <w:rsid w:val="363D1CA7"/>
    <w:rsid w:val="37223CEA"/>
    <w:rsid w:val="374A5122"/>
    <w:rsid w:val="3AF960D4"/>
    <w:rsid w:val="3B2B7DCD"/>
    <w:rsid w:val="3B733B55"/>
    <w:rsid w:val="3C2B1347"/>
    <w:rsid w:val="3FAC6431"/>
    <w:rsid w:val="4107088B"/>
    <w:rsid w:val="426E3AEE"/>
    <w:rsid w:val="4278408E"/>
    <w:rsid w:val="429477A0"/>
    <w:rsid w:val="43376A8B"/>
    <w:rsid w:val="43BC5C09"/>
    <w:rsid w:val="43C223C8"/>
    <w:rsid w:val="45B336CF"/>
    <w:rsid w:val="47EA59D9"/>
    <w:rsid w:val="4925365D"/>
    <w:rsid w:val="49C76436"/>
    <w:rsid w:val="4B4372D2"/>
    <w:rsid w:val="4E4C1056"/>
    <w:rsid w:val="4F09783D"/>
    <w:rsid w:val="4F735176"/>
    <w:rsid w:val="51E51FF7"/>
    <w:rsid w:val="56D92A8B"/>
    <w:rsid w:val="57252D4E"/>
    <w:rsid w:val="5AAD2CAE"/>
    <w:rsid w:val="5E6207C0"/>
    <w:rsid w:val="607D1936"/>
    <w:rsid w:val="629455DD"/>
    <w:rsid w:val="62AF3583"/>
    <w:rsid w:val="638D4724"/>
    <w:rsid w:val="67483D3F"/>
    <w:rsid w:val="675A1111"/>
    <w:rsid w:val="68D56682"/>
    <w:rsid w:val="69F77A41"/>
    <w:rsid w:val="6AB44BAE"/>
    <w:rsid w:val="6C2643AA"/>
    <w:rsid w:val="6E111556"/>
    <w:rsid w:val="6E8B4CF2"/>
    <w:rsid w:val="6ECA0105"/>
    <w:rsid w:val="6F020848"/>
    <w:rsid w:val="7192418D"/>
    <w:rsid w:val="73653F5F"/>
    <w:rsid w:val="73713C93"/>
    <w:rsid w:val="75147FF4"/>
    <w:rsid w:val="759F704B"/>
    <w:rsid w:val="78536337"/>
    <w:rsid w:val="7A515E24"/>
    <w:rsid w:val="7BB60CA9"/>
    <w:rsid w:val="7CE53D0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499737ba-ccd6-42bb-808e-e084232014f9"/>
    <w:qFormat/>
    <w:uiPriority w:val="0"/>
    <w:rPr>
      <w:rFonts w:ascii="Times New Roman" w:hAnsi="Times New Roman" w:eastAsia="Times New Roman" w:cs="Times New Roman"/>
      <w:sz w:val="24"/>
      <w:szCs w:val="24"/>
      <w:lang w:val="en-US" w:eastAsia="uk-UA" w:bidi="ar-SA"/>
    </w:rPr>
  </w:style>
  <w:style w:type="paragraph" w:customStyle="1" w:styleId="27">
    <w:name w:val="单元格样式1_7d7d49c0-7315-48d0-a666-7671da6af4a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02501efb-c994-49ad-8d29-396136184bcf"/>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819d0e01-caf0-472a-8365-66a066b4f2fc"/>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2022-02-14T17:25:46Z</dcterms:created>
  <dcterms:modified xsi:type="dcterms:W3CDTF">2022-02-14T09:25:46Z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2022-02-14T17:25:39Z</dcterms:created>
  <dcterms:modified xsi:type="dcterms:W3CDTF">2022-02-14T09:25:38Z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2022-02-14T17:25:40Z</dcterms:created>
  <dcterms:modified xsi:type="dcterms:W3CDTF">2022-02-14T09:25:40Z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2022-02-14T17:25:45Z</dcterms:created>
  <dcterms:modified xsi:type="dcterms:W3CDTF">2022-02-14T09:25:44Z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bae3722-984b-4f59-ad92-2e86eac15fcd}">
  <ds:schemaRefs/>
</ds:datastoreItem>
</file>

<file path=customXml/itemProps2.xml><?xml version="1.0" encoding="utf-8"?>
<ds:datastoreItem xmlns:ds="http://schemas.openxmlformats.org/officeDocument/2006/customXml" ds:itemID="{626e4ae0-cd86-4afb-86cd-72e85413e2e9}">
  <ds:schemaRefs/>
</ds:datastoreItem>
</file>

<file path=customXml/itemProps3.xml><?xml version="1.0" encoding="utf-8"?>
<ds:datastoreItem xmlns:ds="http://schemas.openxmlformats.org/officeDocument/2006/customXml" ds:itemID="{f1f804c0-6143-4802-ad5e-e59238a77562}">
  <ds:schemaRefs/>
</ds:datastoreItem>
</file>

<file path=customXml/itemProps4.xml><?xml version="1.0" encoding="utf-8"?>
<ds:datastoreItem xmlns:ds="http://schemas.openxmlformats.org/officeDocument/2006/customXml" ds:itemID="{fedfeb63-0da2-4fd0-9ee6-19906e0296be}">
  <ds:schemaRefs/>
</ds:datastoreItem>
</file>

<file path=customXml/itemProps5.xml><?xml version="1.0" encoding="utf-8"?>
<ds:datastoreItem xmlns:ds="http://schemas.openxmlformats.org/officeDocument/2006/customXml" ds:itemID="{f5d939a2-2946-4abe-8217-14e3d0d89fbf}">
  <ds:schemaRefs/>
</ds:datastoreItem>
</file>

<file path=customXml/itemProps6.xml><?xml version="1.0" encoding="utf-8"?>
<ds:datastoreItem xmlns:ds="http://schemas.openxmlformats.org/officeDocument/2006/customXml" ds:itemID="{49fa48a7-5293-42cb-8fed-bd5a9a58fdb4}">
  <ds:schemaRefs/>
</ds:datastoreItem>
</file>

<file path=customXml/itemProps7.xml><?xml version="1.0" encoding="utf-8"?>
<ds:datastoreItem xmlns:ds="http://schemas.openxmlformats.org/officeDocument/2006/customXml" ds:itemID="{b62e304b-2865-427c-b512-202c7d362657}">
  <ds:schemaRefs/>
</ds:datastoreItem>
</file>

<file path=customXml/itemProps8.xml><?xml version="1.0" encoding="utf-8"?>
<ds:datastoreItem xmlns:ds="http://schemas.openxmlformats.org/officeDocument/2006/customXml" ds:itemID="{de75e63f-a6bd-4fe7-936e-ea025752fe54}">
  <ds:schemaRefs/>
</ds:datastoreItem>
</file>

<file path=docProps/app.xml><?xml version="1.0" encoding="utf-8"?>
<Properties xmlns="http://schemas.openxmlformats.org/officeDocument/2006/extended-properties" xmlns:vt="http://schemas.openxmlformats.org/officeDocument/2006/docPropsVTypes">
  <Pages>59</Pages>
  <Words>11473</Words>
  <Characters>12910</Characters>
  <TotalTime>2</TotalTime>
  <ScaleCrop>false</ScaleCrop>
  <LinksUpToDate>false</LinksUpToDate>
  <CharactersWithSpaces>13179</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2022-02-14T17:25:00Z</dcterms:created>
  <dc:creator>222</dc:creator>
  <cp:lastModifiedBy>Administrator</cp:lastModifiedBy>
  <dcterms:modified xsi:type="dcterms:W3CDTF">2023-09-06T06:22:39Z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0DBC3E7C43E54E30B5C0851DCC2397C3</vt:lpwstr>
  </property>
</Properties>
</file>