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rPr>
          <w:rFonts w:hint="eastAsia" w:ascii="黑体" w:hAnsi="黑体" w:eastAsia="黑体" w:cs="黑体"/>
          <w:b/>
          <w:color w:val="000000"/>
          <w:sz w:val="44"/>
          <w:lang w:val="en-US" w:eastAsia="zh-CN"/>
        </w:rPr>
      </w:pPr>
      <w:bookmarkStart w:id="0" w:name="_Toc19107"/>
      <w:r>
        <w:rPr>
          <w:rFonts w:hint="eastAsia" w:ascii="黑体" w:hAnsi="黑体" w:eastAsia="黑体" w:cs="黑体"/>
          <w:b/>
          <w:color w:val="000000"/>
          <w:sz w:val="44"/>
          <w:lang w:eastAsia="zh-CN"/>
        </w:rPr>
        <w:t>中共藁城区委统战部所属单位</w:t>
      </w:r>
      <w:r>
        <w:rPr>
          <w:rFonts w:hint="eastAsia" w:ascii="黑体" w:hAnsi="黑体" w:eastAsia="黑体" w:cs="黑体"/>
          <w:b/>
          <w:color w:val="000000"/>
          <w:sz w:val="44"/>
          <w:lang w:val="en-US" w:eastAsia="zh-CN"/>
        </w:rPr>
        <w:t>2022年单位预算公开</w:t>
      </w:r>
      <w:bookmarkEnd w:id="0"/>
    </w:p>
    <w:p>
      <w:pPr>
        <w:spacing w:before="0" w:after="0" w:line="240" w:lineRule="auto"/>
        <w:ind w:firstLine="0"/>
        <w:jc w:val="center"/>
        <w:outlineLvl w:val="9"/>
        <w:rPr>
          <w:rFonts w:hint="eastAsia" w:ascii="黑体" w:hAnsi="黑体" w:eastAsia="黑体" w:cs="黑体"/>
          <w:b/>
          <w:color w:val="000000"/>
          <w:sz w:val="44"/>
          <w:lang w:val="en-US" w:eastAsia="zh-CN"/>
        </w:rPr>
      </w:pPr>
    </w:p>
    <w:sdt>
      <w:sdtPr>
        <w:rPr>
          <w:rFonts w:ascii="宋体" w:hAnsi="宋体" w:eastAsia="宋体" w:cstheme="minorBidi"/>
          <w:sz w:val="21"/>
          <w:szCs w:val="24"/>
          <w:lang w:val="en-US" w:eastAsia="uk-UA" w:bidi="ar-SA"/>
        </w:rPr>
        <w:id w:val="147480146"/>
        <w15:color w:val="DBDBDB"/>
        <w:docPartObj>
          <w:docPartGallery w:val="Table of Contents"/>
          <w:docPartUnique/>
        </w:docPartObj>
      </w:sdtPr>
      <w:sdtEndPr>
        <w:rPr>
          <w:rFonts w:hint="eastAsia" w:ascii="黑体" w:hAnsi="黑体" w:eastAsia="黑体" w:cs="黑体"/>
          <w:color w:val="000000"/>
          <w:sz w:val="24"/>
          <w:szCs w:val="24"/>
          <w:lang w:val="en-US" w:eastAsia="zh-CN" w:bidi="ar-SA"/>
        </w:rPr>
      </w:sdtEndPr>
      <w:sdtContent>
        <w:p>
          <w:pPr>
            <w:spacing w:before="0" w:beforeLines="0" w:after="0" w:afterLines="0" w:line="240" w:lineRule="auto"/>
            <w:ind w:left="0" w:leftChars="0" w:right="0" w:rightChars="0" w:firstLine="0" w:firstLineChars="0"/>
            <w:jc w:val="center"/>
          </w:pPr>
          <w:r>
            <w:rPr>
              <w:rFonts w:ascii="宋体" w:hAnsi="宋体" w:eastAsia="宋体"/>
              <w:sz w:val="21"/>
            </w:rPr>
            <w:t>目录</w:t>
          </w:r>
        </w:p>
        <w:p>
          <w:pPr>
            <w:pStyle w:val="3"/>
            <w:tabs>
              <w:tab w:val="right" w:leader="dot" w:pos="14800"/>
            </w:tabs>
          </w:pPr>
          <w:r>
            <w:rPr>
              <w:rFonts w:hint="eastAsia" w:ascii="黑体" w:hAnsi="黑体" w:eastAsia="黑体" w:cs="黑体"/>
              <w:b/>
              <w:color w:val="000000"/>
              <w:sz w:val="44"/>
              <w:lang w:val="en-US" w:eastAsia="zh-CN"/>
            </w:rPr>
            <w:fldChar w:fldCharType="begin"/>
          </w:r>
          <w:r>
            <w:rPr>
              <w:rFonts w:hint="eastAsia" w:ascii="黑体" w:hAnsi="黑体" w:eastAsia="黑体" w:cs="黑体"/>
              <w:b/>
              <w:color w:val="000000"/>
              <w:sz w:val="44"/>
              <w:lang w:val="en-US" w:eastAsia="zh-CN"/>
            </w:rPr>
            <w:instrText xml:space="preserve">TOC \o "1-1" \h \u </w:instrText>
          </w:r>
          <w:r>
            <w:rPr>
              <w:rFonts w:hint="eastAsia" w:ascii="黑体" w:hAnsi="黑体" w:eastAsia="黑体" w:cs="黑体"/>
              <w:b/>
              <w:color w:val="000000"/>
              <w:sz w:val="44"/>
              <w:lang w:val="en-US" w:eastAsia="zh-CN"/>
            </w:rPr>
            <w:fldChar w:fldCharType="separate"/>
          </w:r>
          <w:r>
            <w:rPr>
              <w:rFonts w:hint="eastAsia" w:ascii="黑体" w:hAnsi="黑体" w:eastAsia="黑体" w:cs="黑体"/>
              <w:color w:val="000000"/>
              <w:lang w:val="en-US" w:eastAsia="zh-CN"/>
            </w:rPr>
            <w:fldChar w:fldCharType="begin"/>
          </w:r>
          <w:r>
            <w:rPr>
              <w:rFonts w:hint="eastAsia" w:ascii="黑体" w:hAnsi="黑体" w:eastAsia="黑体" w:cs="黑体"/>
              <w:lang w:val="en-US" w:eastAsia="zh-CN"/>
            </w:rPr>
            <w:instrText xml:space="preserve"> HYPERLINK \l _Toc19107 </w:instrText>
          </w:r>
          <w:r>
            <w:rPr>
              <w:rFonts w:hint="eastAsia" w:ascii="黑体" w:hAnsi="黑体" w:eastAsia="黑体" w:cs="黑体"/>
              <w:lang w:val="en-US" w:eastAsia="zh-CN"/>
            </w:rPr>
            <w:fldChar w:fldCharType="separate"/>
          </w:r>
          <w:r>
            <w:rPr>
              <w:rFonts w:hint="eastAsia" w:ascii="黑体" w:hAnsi="黑体" w:eastAsia="黑体" w:cs="黑体"/>
              <w:lang w:eastAsia="zh-CN"/>
            </w:rPr>
            <w:t>中共藁城区委统战部所属单位</w:t>
          </w:r>
          <w:r>
            <w:rPr>
              <w:rFonts w:hint="eastAsia" w:ascii="黑体" w:hAnsi="黑体" w:eastAsia="黑体" w:cs="黑体"/>
              <w:lang w:val="en-US" w:eastAsia="zh-CN"/>
            </w:rPr>
            <w:t>2022年单位预算公开</w:t>
          </w:r>
          <w:r>
            <w:tab/>
          </w:r>
          <w:r>
            <w:fldChar w:fldCharType="begin"/>
          </w:r>
          <w:r>
            <w:instrText xml:space="preserve"> PAGEREF _Toc19107 \h </w:instrText>
          </w:r>
          <w:r>
            <w:fldChar w:fldCharType="separate"/>
          </w:r>
          <w:r>
            <w:t>1</w:t>
          </w:r>
          <w:r>
            <w:fldChar w:fldCharType="end"/>
          </w:r>
          <w:r>
            <w:rPr>
              <w:rFonts w:hint="eastAsia" w:ascii="黑体" w:hAnsi="黑体" w:eastAsia="黑体" w:cs="黑体"/>
              <w:color w:val="000000"/>
              <w:lang w:val="en-US" w:eastAsia="zh-CN"/>
            </w:rPr>
            <w:fldChar w:fldCharType="end"/>
          </w:r>
        </w:p>
        <w:p>
          <w:pPr>
            <w:pStyle w:val="3"/>
            <w:tabs>
              <w:tab w:val="right" w:leader="dot" w:pos="14800"/>
            </w:tabs>
          </w:pPr>
          <w:r>
            <w:rPr>
              <w:rFonts w:hint="eastAsia" w:ascii="黑体" w:hAnsi="黑体" w:eastAsia="黑体" w:cs="黑体"/>
              <w:color w:val="000000"/>
              <w:lang w:val="en-US" w:eastAsia="zh-CN"/>
            </w:rPr>
            <w:fldChar w:fldCharType="begin"/>
          </w:r>
          <w:r>
            <w:rPr>
              <w:rFonts w:hint="eastAsia" w:ascii="黑体" w:hAnsi="黑体" w:eastAsia="黑体" w:cs="黑体"/>
              <w:lang w:val="en-US" w:eastAsia="zh-CN"/>
            </w:rPr>
            <w:instrText xml:space="preserve"> HYPERLINK \l _Toc12713 </w:instrText>
          </w:r>
          <w:r>
            <w:rPr>
              <w:rFonts w:hint="eastAsia" w:ascii="黑体" w:hAnsi="黑体" w:eastAsia="黑体" w:cs="黑体"/>
              <w:lang w:val="en-US" w:eastAsia="zh-CN"/>
            </w:rPr>
            <w:fldChar w:fldCharType="separate"/>
          </w:r>
          <w:r>
            <w:rPr>
              <w:rFonts w:ascii="方正小标宋_GBK" w:hAnsi="方正小标宋_GBK" w:eastAsia="方正小标宋_GBK" w:cs="方正小标宋_GBK"/>
            </w:rPr>
            <w:t>单位预算收支总表</w:t>
          </w:r>
          <w:r>
            <w:tab/>
          </w:r>
          <w:r>
            <w:fldChar w:fldCharType="begin"/>
          </w:r>
          <w:r>
            <w:instrText xml:space="preserve"> PAGEREF _Toc12713 \h </w:instrText>
          </w:r>
          <w:r>
            <w:fldChar w:fldCharType="separate"/>
          </w:r>
          <w:r>
            <w:t>3</w:t>
          </w:r>
          <w:r>
            <w:fldChar w:fldCharType="end"/>
          </w:r>
          <w:r>
            <w:rPr>
              <w:rFonts w:hint="eastAsia" w:ascii="黑体" w:hAnsi="黑体" w:eastAsia="黑体" w:cs="黑体"/>
              <w:color w:val="000000"/>
              <w:lang w:val="en-US" w:eastAsia="zh-CN"/>
            </w:rPr>
            <w:fldChar w:fldCharType="end"/>
          </w:r>
        </w:p>
        <w:p>
          <w:pPr>
            <w:pStyle w:val="3"/>
            <w:tabs>
              <w:tab w:val="right" w:leader="dot" w:pos="14800"/>
            </w:tabs>
          </w:pPr>
          <w:r>
            <w:rPr>
              <w:rFonts w:hint="eastAsia" w:ascii="黑体" w:hAnsi="黑体" w:eastAsia="黑体" w:cs="黑体"/>
              <w:color w:val="000000"/>
              <w:lang w:val="en-US" w:eastAsia="zh-CN"/>
            </w:rPr>
            <w:fldChar w:fldCharType="begin"/>
          </w:r>
          <w:r>
            <w:rPr>
              <w:rFonts w:hint="eastAsia" w:ascii="黑体" w:hAnsi="黑体" w:eastAsia="黑体" w:cs="黑体"/>
              <w:lang w:val="en-US" w:eastAsia="zh-CN"/>
            </w:rPr>
            <w:instrText xml:space="preserve"> HYPERLINK \l _Toc5427 </w:instrText>
          </w:r>
          <w:r>
            <w:rPr>
              <w:rFonts w:hint="eastAsia" w:ascii="黑体" w:hAnsi="黑体" w:eastAsia="黑体" w:cs="黑体"/>
              <w:lang w:val="en-US" w:eastAsia="zh-CN"/>
            </w:rPr>
            <w:fldChar w:fldCharType="separate"/>
          </w:r>
          <w:r>
            <w:rPr>
              <w:rFonts w:ascii="方正小标宋_GBK" w:hAnsi="方正小标宋_GBK" w:eastAsia="方正小标宋_GBK" w:cs="方正小标宋_GBK"/>
            </w:rPr>
            <w:t>单位预算收入总表</w:t>
          </w:r>
          <w:r>
            <w:tab/>
          </w:r>
          <w:r>
            <w:fldChar w:fldCharType="begin"/>
          </w:r>
          <w:r>
            <w:instrText xml:space="preserve"> PAGEREF _Toc5427 \h </w:instrText>
          </w:r>
          <w:r>
            <w:fldChar w:fldCharType="separate"/>
          </w:r>
          <w:r>
            <w:t>6</w:t>
          </w:r>
          <w:r>
            <w:fldChar w:fldCharType="end"/>
          </w:r>
          <w:r>
            <w:rPr>
              <w:rFonts w:hint="eastAsia" w:ascii="黑体" w:hAnsi="黑体" w:eastAsia="黑体" w:cs="黑体"/>
              <w:color w:val="000000"/>
              <w:lang w:val="en-US" w:eastAsia="zh-CN"/>
            </w:rPr>
            <w:fldChar w:fldCharType="end"/>
          </w:r>
        </w:p>
        <w:p>
          <w:pPr>
            <w:pStyle w:val="3"/>
            <w:tabs>
              <w:tab w:val="right" w:leader="dot" w:pos="14800"/>
            </w:tabs>
          </w:pPr>
          <w:r>
            <w:rPr>
              <w:rFonts w:hint="eastAsia" w:ascii="黑体" w:hAnsi="黑体" w:eastAsia="黑体" w:cs="黑体"/>
              <w:color w:val="000000"/>
              <w:lang w:val="en-US" w:eastAsia="zh-CN"/>
            </w:rPr>
            <w:fldChar w:fldCharType="begin"/>
          </w:r>
          <w:r>
            <w:rPr>
              <w:rFonts w:hint="eastAsia" w:ascii="黑体" w:hAnsi="黑体" w:eastAsia="黑体" w:cs="黑体"/>
              <w:lang w:val="en-US" w:eastAsia="zh-CN"/>
            </w:rPr>
            <w:instrText xml:space="preserve"> HYPERLINK \l _Toc2933 </w:instrText>
          </w:r>
          <w:r>
            <w:rPr>
              <w:rFonts w:hint="eastAsia" w:ascii="黑体" w:hAnsi="黑体" w:eastAsia="黑体" w:cs="黑体"/>
              <w:lang w:val="en-US" w:eastAsia="zh-CN"/>
            </w:rPr>
            <w:fldChar w:fldCharType="separate"/>
          </w:r>
          <w:r>
            <w:rPr>
              <w:rFonts w:ascii="方正小标宋_GBK" w:hAnsi="方正小标宋_GBK" w:eastAsia="方正小标宋_GBK" w:cs="方正小标宋_GBK"/>
            </w:rPr>
            <w:t>单位预算支出总表</w:t>
          </w:r>
          <w:r>
            <w:tab/>
          </w:r>
          <w:r>
            <w:fldChar w:fldCharType="begin"/>
          </w:r>
          <w:r>
            <w:instrText xml:space="preserve"> PAGEREF _Toc2933 \h </w:instrText>
          </w:r>
          <w:r>
            <w:fldChar w:fldCharType="separate"/>
          </w:r>
          <w:r>
            <w:t>8</w:t>
          </w:r>
          <w:r>
            <w:fldChar w:fldCharType="end"/>
          </w:r>
          <w:r>
            <w:rPr>
              <w:rFonts w:hint="eastAsia" w:ascii="黑体" w:hAnsi="黑体" w:eastAsia="黑体" w:cs="黑体"/>
              <w:color w:val="000000"/>
              <w:lang w:val="en-US" w:eastAsia="zh-CN"/>
            </w:rPr>
            <w:fldChar w:fldCharType="end"/>
          </w:r>
        </w:p>
        <w:p>
          <w:pPr>
            <w:pStyle w:val="3"/>
            <w:tabs>
              <w:tab w:val="right" w:leader="dot" w:pos="14800"/>
            </w:tabs>
          </w:pPr>
          <w:r>
            <w:rPr>
              <w:rFonts w:hint="eastAsia" w:ascii="黑体" w:hAnsi="黑体" w:eastAsia="黑体" w:cs="黑体"/>
              <w:color w:val="000000"/>
              <w:lang w:val="en-US" w:eastAsia="zh-CN"/>
            </w:rPr>
            <w:fldChar w:fldCharType="begin"/>
          </w:r>
          <w:r>
            <w:rPr>
              <w:rFonts w:hint="eastAsia" w:ascii="黑体" w:hAnsi="黑体" w:eastAsia="黑体" w:cs="黑体"/>
              <w:lang w:val="en-US" w:eastAsia="zh-CN"/>
            </w:rPr>
            <w:instrText xml:space="preserve"> HYPERLINK \l _Toc17922 </w:instrText>
          </w:r>
          <w:r>
            <w:rPr>
              <w:rFonts w:hint="eastAsia" w:ascii="黑体" w:hAnsi="黑体" w:eastAsia="黑体" w:cs="黑体"/>
              <w:lang w:val="en-US" w:eastAsia="zh-CN"/>
            </w:rPr>
            <w:fldChar w:fldCharType="separate"/>
          </w:r>
          <w:r>
            <w:rPr>
              <w:rFonts w:ascii="方正小标宋_GBK" w:hAnsi="方正小标宋_GBK" w:eastAsia="方正小标宋_GBK" w:cs="方正小标宋_GBK"/>
            </w:rPr>
            <w:t>单位预算财政拨款收支总表</w:t>
          </w:r>
          <w:r>
            <w:tab/>
          </w:r>
          <w:r>
            <w:fldChar w:fldCharType="begin"/>
          </w:r>
          <w:r>
            <w:instrText xml:space="preserve"> PAGEREF _Toc17922 \h </w:instrText>
          </w:r>
          <w:r>
            <w:fldChar w:fldCharType="separate"/>
          </w:r>
          <w:r>
            <w:t>9</w:t>
          </w:r>
          <w:r>
            <w:fldChar w:fldCharType="end"/>
          </w:r>
          <w:r>
            <w:rPr>
              <w:rFonts w:hint="eastAsia" w:ascii="黑体" w:hAnsi="黑体" w:eastAsia="黑体" w:cs="黑体"/>
              <w:color w:val="000000"/>
              <w:lang w:val="en-US" w:eastAsia="zh-CN"/>
            </w:rPr>
            <w:fldChar w:fldCharType="end"/>
          </w:r>
        </w:p>
        <w:p>
          <w:pPr>
            <w:pStyle w:val="3"/>
            <w:tabs>
              <w:tab w:val="right" w:leader="dot" w:pos="14800"/>
            </w:tabs>
          </w:pPr>
          <w:r>
            <w:rPr>
              <w:rFonts w:hint="eastAsia" w:ascii="黑体" w:hAnsi="黑体" w:eastAsia="黑体" w:cs="黑体"/>
              <w:color w:val="000000"/>
              <w:lang w:val="en-US" w:eastAsia="zh-CN"/>
            </w:rPr>
            <w:fldChar w:fldCharType="begin"/>
          </w:r>
          <w:r>
            <w:rPr>
              <w:rFonts w:hint="eastAsia" w:ascii="黑体" w:hAnsi="黑体" w:eastAsia="黑体" w:cs="黑体"/>
              <w:lang w:val="en-US" w:eastAsia="zh-CN"/>
            </w:rPr>
            <w:instrText xml:space="preserve"> HYPERLINK \l _Toc32403 </w:instrText>
          </w:r>
          <w:r>
            <w:rPr>
              <w:rFonts w:hint="eastAsia" w:ascii="黑体" w:hAnsi="黑体" w:eastAsia="黑体" w:cs="黑体"/>
              <w:lang w:val="en-US" w:eastAsia="zh-CN"/>
            </w:rPr>
            <w:fldChar w:fldCharType="separate"/>
          </w:r>
          <w:r>
            <w:rPr>
              <w:rFonts w:ascii="方正小标宋_GBK" w:hAnsi="方正小标宋_GBK" w:eastAsia="方正小标宋_GBK" w:cs="方正小标宋_GBK"/>
            </w:rPr>
            <w:t>单位预算一般公共预算财政拨款支出表</w:t>
          </w:r>
          <w:r>
            <w:tab/>
          </w:r>
          <w:r>
            <w:fldChar w:fldCharType="begin"/>
          </w:r>
          <w:r>
            <w:instrText xml:space="preserve"> PAGEREF _Toc32403 \h </w:instrText>
          </w:r>
          <w:r>
            <w:fldChar w:fldCharType="separate"/>
          </w:r>
          <w:r>
            <w:t>16</w:t>
          </w:r>
          <w:r>
            <w:fldChar w:fldCharType="end"/>
          </w:r>
          <w:r>
            <w:rPr>
              <w:rFonts w:hint="eastAsia" w:ascii="黑体" w:hAnsi="黑体" w:eastAsia="黑体" w:cs="黑体"/>
              <w:color w:val="000000"/>
              <w:lang w:val="en-US" w:eastAsia="zh-CN"/>
            </w:rPr>
            <w:fldChar w:fldCharType="end"/>
          </w:r>
        </w:p>
        <w:p>
          <w:pPr>
            <w:pStyle w:val="3"/>
            <w:tabs>
              <w:tab w:val="right" w:leader="dot" w:pos="14800"/>
            </w:tabs>
          </w:pPr>
          <w:r>
            <w:rPr>
              <w:rFonts w:hint="eastAsia" w:ascii="黑体" w:hAnsi="黑体" w:eastAsia="黑体" w:cs="黑体"/>
              <w:color w:val="000000"/>
              <w:lang w:val="en-US" w:eastAsia="zh-CN"/>
            </w:rPr>
            <w:fldChar w:fldCharType="begin"/>
          </w:r>
          <w:r>
            <w:rPr>
              <w:rFonts w:hint="eastAsia" w:ascii="黑体" w:hAnsi="黑体" w:eastAsia="黑体" w:cs="黑体"/>
              <w:lang w:val="en-US" w:eastAsia="zh-CN"/>
            </w:rPr>
            <w:instrText xml:space="preserve"> HYPERLINK \l _Toc7075 </w:instrText>
          </w:r>
          <w:r>
            <w:rPr>
              <w:rFonts w:hint="eastAsia" w:ascii="黑体" w:hAnsi="黑体" w:eastAsia="黑体" w:cs="黑体"/>
              <w:lang w:val="en-US" w:eastAsia="zh-CN"/>
            </w:rPr>
            <w:fldChar w:fldCharType="separate"/>
          </w:r>
          <w:r>
            <w:rPr>
              <w:rFonts w:ascii="方正小标宋_GBK" w:hAnsi="方正小标宋_GBK" w:eastAsia="方正小标宋_GBK" w:cs="方正小标宋_GBK"/>
            </w:rPr>
            <w:t>单位预算一般公共预算财政拨款基本支出表</w:t>
          </w:r>
          <w:r>
            <w:tab/>
          </w:r>
          <w:r>
            <w:fldChar w:fldCharType="begin"/>
          </w:r>
          <w:r>
            <w:instrText xml:space="preserve"> PAGEREF _Toc7075 \h </w:instrText>
          </w:r>
          <w:r>
            <w:fldChar w:fldCharType="separate"/>
          </w:r>
          <w:r>
            <w:t>17</w:t>
          </w:r>
          <w:r>
            <w:fldChar w:fldCharType="end"/>
          </w:r>
          <w:r>
            <w:rPr>
              <w:rFonts w:hint="eastAsia" w:ascii="黑体" w:hAnsi="黑体" w:eastAsia="黑体" w:cs="黑体"/>
              <w:color w:val="000000"/>
              <w:lang w:val="en-US" w:eastAsia="zh-CN"/>
            </w:rPr>
            <w:fldChar w:fldCharType="end"/>
          </w:r>
        </w:p>
        <w:p>
          <w:pPr>
            <w:pStyle w:val="3"/>
            <w:tabs>
              <w:tab w:val="right" w:leader="dot" w:pos="14800"/>
            </w:tabs>
          </w:pPr>
          <w:r>
            <w:rPr>
              <w:rFonts w:hint="eastAsia" w:ascii="黑体" w:hAnsi="黑体" w:eastAsia="黑体" w:cs="黑体"/>
              <w:color w:val="000000"/>
              <w:lang w:val="en-US" w:eastAsia="zh-CN"/>
            </w:rPr>
            <w:fldChar w:fldCharType="begin"/>
          </w:r>
          <w:r>
            <w:rPr>
              <w:rFonts w:hint="eastAsia" w:ascii="黑体" w:hAnsi="黑体" w:eastAsia="黑体" w:cs="黑体"/>
              <w:lang w:val="en-US" w:eastAsia="zh-CN"/>
            </w:rPr>
            <w:instrText xml:space="preserve"> HYPERLINK \l _Toc12758 </w:instrText>
          </w:r>
          <w:r>
            <w:rPr>
              <w:rFonts w:hint="eastAsia" w:ascii="黑体" w:hAnsi="黑体" w:eastAsia="黑体" w:cs="黑体"/>
              <w:lang w:val="en-US" w:eastAsia="zh-CN"/>
            </w:rPr>
            <w:fldChar w:fldCharType="separate"/>
          </w:r>
          <w:r>
            <w:rPr>
              <w:rFonts w:ascii="方正小标宋_GBK" w:hAnsi="方正小标宋_GBK" w:eastAsia="方正小标宋_GBK" w:cs="方正小标宋_GBK"/>
            </w:rPr>
            <w:t>单位预算政府基金预算财政拨款支出表</w:t>
          </w:r>
          <w:r>
            <w:tab/>
          </w:r>
          <w:r>
            <w:fldChar w:fldCharType="begin"/>
          </w:r>
          <w:r>
            <w:instrText xml:space="preserve"> PAGEREF _Toc12758 \h </w:instrText>
          </w:r>
          <w:r>
            <w:fldChar w:fldCharType="separate"/>
          </w:r>
          <w:r>
            <w:t>19</w:t>
          </w:r>
          <w:r>
            <w:fldChar w:fldCharType="end"/>
          </w:r>
          <w:r>
            <w:rPr>
              <w:rFonts w:hint="eastAsia" w:ascii="黑体" w:hAnsi="黑体" w:eastAsia="黑体" w:cs="黑体"/>
              <w:color w:val="000000"/>
              <w:lang w:val="en-US" w:eastAsia="zh-CN"/>
            </w:rPr>
            <w:fldChar w:fldCharType="end"/>
          </w:r>
        </w:p>
        <w:p>
          <w:pPr>
            <w:pStyle w:val="3"/>
            <w:tabs>
              <w:tab w:val="right" w:leader="dot" w:pos="14800"/>
            </w:tabs>
          </w:pPr>
          <w:r>
            <w:rPr>
              <w:rFonts w:hint="eastAsia" w:ascii="黑体" w:hAnsi="黑体" w:eastAsia="黑体" w:cs="黑体"/>
              <w:color w:val="000000"/>
              <w:lang w:val="en-US" w:eastAsia="zh-CN"/>
            </w:rPr>
            <w:fldChar w:fldCharType="begin"/>
          </w:r>
          <w:r>
            <w:rPr>
              <w:rFonts w:hint="eastAsia" w:ascii="黑体" w:hAnsi="黑体" w:eastAsia="黑体" w:cs="黑体"/>
              <w:lang w:val="en-US" w:eastAsia="zh-CN"/>
            </w:rPr>
            <w:instrText xml:space="preserve"> HYPERLINK \l _Toc8711 </w:instrText>
          </w:r>
          <w:r>
            <w:rPr>
              <w:rFonts w:hint="eastAsia" w:ascii="黑体" w:hAnsi="黑体" w:eastAsia="黑体" w:cs="黑体"/>
              <w:lang w:val="en-US" w:eastAsia="zh-CN"/>
            </w:rPr>
            <w:fldChar w:fldCharType="separate"/>
          </w:r>
          <w:r>
            <w:rPr>
              <w:rFonts w:ascii="方正小标宋_GBK" w:hAnsi="方正小标宋_GBK" w:eastAsia="方正小标宋_GBK" w:cs="方正小标宋_GBK"/>
            </w:rPr>
            <w:t>单位预算国有资本经营预算财政拨款支出表</w:t>
          </w:r>
          <w:r>
            <w:tab/>
          </w:r>
          <w:r>
            <w:fldChar w:fldCharType="begin"/>
          </w:r>
          <w:r>
            <w:instrText xml:space="preserve"> PAGEREF _Toc8711 \h </w:instrText>
          </w:r>
          <w:r>
            <w:fldChar w:fldCharType="separate"/>
          </w:r>
          <w:r>
            <w:t>20</w:t>
          </w:r>
          <w:r>
            <w:fldChar w:fldCharType="end"/>
          </w:r>
          <w:r>
            <w:rPr>
              <w:rFonts w:hint="eastAsia" w:ascii="黑体" w:hAnsi="黑体" w:eastAsia="黑体" w:cs="黑体"/>
              <w:color w:val="000000"/>
              <w:lang w:val="en-US" w:eastAsia="zh-CN"/>
            </w:rPr>
            <w:fldChar w:fldCharType="end"/>
          </w:r>
        </w:p>
        <w:p>
          <w:pPr>
            <w:pStyle w:val="3"/>
            <w:tabs>
              <w:tab w:val="right" w:leader="dot" w:pos="14800"/>
            </w:tabs>
          </w:pPr>
          <w:r>
            <w:rPr>
              <w:rFonts w:hint="eastAsia" w:ascii="黑体" w:hAnsi="黑体" w:eastAsia="黑体" w:cs="黑体"/>
              <w:color w:val="000000"/>
              <w:lang w:val="en-US" w:eastAsia="zh-CN"/>
            </w:rPr>
            <w:fldChar w:fldCharType="begin"/>
          </w:r>
          <w:r>
            <w:rPr>
              <w:rFonts w:hint="eastAsia" w:ascii="黑体" w:hAnsi="黑体" w:eastAsia="黑体" w:cs="黑体"/>
              <w:lang w:val="en-US" w:eastAsia="zh-CN"/>
            </w:rPr>
            <w:instrText xml:space="preserve"> HYPERLINK \l _Toc2119 </w:instrText>
          </w:r>
          <w:r>
            <w:rPr>
              <w:rFonts w:hint="eastAsia" w:ascii="黑体" w:hAnsi="黑体" w:eastAsia="黑体" w:cs="黑体"/>
              <w:lang w:val="en-US" w:eastAsia="zh-CN"/>
            </w:rPr>
            <w:fldChar w:fldCharType="separate"/>
          </w:r>
          <w:r>
            <w:rPr>
              <w:rFonts w:ascii="方正小标宋_GBK" w:hAnsi="方正小标宋_GBK" w:eastAsia="方正小标宋_GBK" w:cs="方正小标宋_GBK"/>
            </w:rPr>
            <w:t>单位预算财政拨款“三公”经费支出表</w:t>
          </w:r>
          <w:r>
            <w:tab/>
          </w:r>
          <w:r>
            <w:fldChar w:fldCharType="begin"/>
          </w:r>
          <w:r>
            <w:instrText xml:space="preserve"> PAGEREF _Toc2119 \h </w:instrText>
          </w:r>
          <w:r>
            <w:fldChar w:fldCharType="separate"/>
          </w:r>
          <w:r>
            <w:t>21</w:t>
          </w:r>
          <w:r>
            <w:fldChar w:fldCharType="end"/>
          </w:r>
          <w:r>
            <w:rPr>
              <w:rFonts w:hint="eastAsia" w:ascii="黑体" w:hAnsi="黑体" w:eastAsia="黑体" w:cs="黑体"/>
              <w:color w:val="000000"/>
              <w:lang w:val="en-US" w:eastAsia="zh-CN"/>
            </w:rPr>
            <w:fldChar w:fldCharType="end"/>
          </w:r>
        </w:p>
        <w:p>
          <w:pPr>
            <w:pStyle w:val="3"/>
            <w:tabs>
              <w:tab w:val="right" w:leader="dot" w:pos="14800"/>
            </w:tabs>
          </w:pPr>
          <w:r>
            <w:rPr>
              <w:rFonts w:hint="eastAsia" w:ascii="黑体" w:hAnsi="黑体" w:eastAsia="黑体" w:cs="黑体"/>
              <w:color w:val="000000"/>
              <w:lang w:val="en-US" w:eastAsia="zh-CN"/>
            </w:rPr>
            <w:fldChar w:fldCharType="begin"/>
          </w:r>
          <w:r>
            <w:rPr>
              <w:rFonts w:hint="eastAsia" w:ascii="黑体" w:hAnsi="黑体" w:eastAsia="黑体" w:cs="黑体"/>
              <w:lang w:val="en-US" w:eastAsia="zh-CN"/>
            </w:rPr>
            <w:instrText xml:space="preserve"> HYPERLINK \l _Toc896 </w:instrText>
          </w:r>
          <w:r>
            <w:rPr>
              <w:rFonts w:hint="eastAsia" w:ascii="黑体" w:hAnsi="黑体" w:eastAsia="黑体" w:cs="黑体"/>
              <w:lang w:val="en-US" w:eastAsia="zh-CN"/>
            </w:rPr>
            <w:fldChar w:fldCharType="separate"/>
          </w:r>
          <w:r>
            <w:rPr>
              <w:rFonts w:ascii="方正小标宋_GBK" w:hAnsi="方正小标宋_GBK" w:eastAsia="方正小标宋_GBK" w:cs="方正小标宋_GBK"/>
            </w:rPr>
            <w:t>中国共产党石家庄市藁城区委员会统战部本级2022年单位预算信息公开情况说明</w:t>
          </w:r>
          <w:r>
            <w:tab/>
          </w:r>
          <w:r>
            <w:fldChar w:fldCharType="begin"/>
          </w:r>
          <w:r>
            <w:instrText xml:space="preserve"> PAGEREF _Toc896 \h </w:instrText>
          </w:r>
          <w:r>
            <w:fldChar w:fldCharType="separate"/>
          </w:r>
          <w:r>
            <w:t>22</w:t>
          </w:r>
          <w:r>
            <w:fldChar w:fldCharType="end"/>
          </w:r>
          <w:r>
            <w:rPr>
              <w:rFonts w:hint="eastAsia" w:ascii="黑体" w:hAnsi="黑体" w:eastAsia="黑体" w:cs="黑体"/>
              <w:color w:val="000000"/>
              <w:lang w:val="en-US" w:eastAsia="zh-CN"/>
            </w:rPr>
            <w:fldChar w:fldCharType="end"/>
          </w:r>
        </w:p>
        <w:p>
          <w:pPr>
            <w:pStyle w:val="3"/>
            <w:tabs>
              <w:tab w:val="right" w:leader="dot" w:pos="14800"/>
            </w:tabs>
          </w:pPr>
          <w:r>
            <w:rPr>
              <w:rFonts w:hint="eastAsia" w:ascii="黑体" w:hAnsi="黑体" w:eastAsia="黑体" w:cs="黑体"/>
              <w:color w:val="000000"/>
              <w:lang w:val="en-US" w:eastAsia="zh-CN"/>
            </w:rPr>
            <w:fldChar w:fldCharType="begin"/>
          </w:r>
          <w:r>
            <w:rPr>
              <w:rFonts w:hint="eastAsia" w:ascii="黑体" w:hAnsi="黑体" w:eastAsia="黑体" w:cs="黑体"/>
              <w:lang w:val="en-US" w:eastAsia="zh-CN"/>
            </w:rPr>
            <w:instrText xml:space="preserve"> HYPERLINK \l _Toc20630 </w:instrText>
          </w:r>
          <w:r>
            <w:rPr>
              <w:rFonts w:hint="eastAsia" w:ascii="黑体" w:hAnsi="黑体" w:eastAsia="黑体" w:cs="黑体"/>
              <w:lang w:val="en-US" w:eastAsia="zh-CN"/>
            </w:rPr>
            <w:fldChar w:fldCharType="separate"/>
          </w:r>
          <w:r>
            <w:rPr>
              <w:rFonts w:ascii="黑体" w:hAnsi="黑体" w:eastAsia="黑体" w:cs="黑体"/>
            </w:rPr>
            <w:t>一、单位职责及机构设置情况</w:t>
          </w:r>
          <w:r>
            <w:tab/>
          </w:r>
          <w:r>
            <w:fldChar w:fldCharType="begin"/>
          </w:r>
          <w:r>
            <w:instrText xml:space="preserve"> PAGEREF _Toc20630 \h </w:instrText>
          </w:r>
          <w:r>
            <w:fldChar w:fldCharType="separate"/>
          </w:r>
          <w:r>
            <w:t>22</w:t>
          </w:r>
          <w:r>
            <w:fldChar w:fldCharType="end"/>
          </w:r>
          <w:r>
            <w:rPr>
              <w:rFonts w:hint="eastAsia" w:ascii="黑体" w:hAnsi="黑体" w:eastAsia="黑体" w:cs="黑体"/>
              <w:color w:val="000000"/>
              <w:lang w:val="en-US" w:eastAsia="zh-CN"/>
            </w:rPr>
            <w:fldChar w:fldCharType="end"/>
          </w:r>
        </w:p>
        <w:p>
          <w:pPr>
            <w:pStyle w:val="3"/>
            <w:tabs>
              <w:tab w:val="right" w:leader="dot" w:pos="14800"/>
            </w:tabs>
          </w:pPr>
          <w:r>
            <w:rPr>
              <w:rFonts w:hint="eastAsia" w:ascii="黑体" w:hAnsi="黑体" w:eastAsia="黑体" w:cs="黑体"/>
              <w:color w:val="000000"/>
              <w:lang w:val="en-US" w:eastAsia="zh-CN"/>
            </w:rPr>
            <w:fldChar w:fldCharType="begin"/>
          </w:r>
          <w:r>
            <w:rPr>
              <w:rFonts w:hint="eastAsia" w:ascii="黑体" w:hAnsi="黑体" w:eastAsia="黑体" w:cs="黑体"/>
              <w:lang w:val="en-US" w:eastAsia="zh-CN"/>
            </w:rPr>
            <w:instrText xml:space="preserve"> HYPERLINK \l _Toc4866 </w:instrText>
          </w:r>
          <w:r>
            <w:rPr>
              <w:rFonts w:hint="eastAsia" w:ascii="黑体" w:hAnsi="黑体" w:eastAsia="黑体" w:cs="黑体"/>
              <w:lang w:val="en-US" w:eastAsia="zh-CN"/>
            </w:rPr>
            <w:fldChar w:fldCharType="separate"/>
          </w:r>
          <w:r>
            <w:rPr>
              <w:rFonts w:ascii="黑体" w:hAnsi="黑体" w:eastAsia="黑体" w:cs="黑体"/>
            </w:rPr>
            <w:t>二、单位预算安排的总体情况</w:t>
          </w:r>
          <w:r>
            <w:tab/>
          </w:r>
          <w:r>
            <w:fldChar w:fldCharType="begin"/>
          </w:r>
          <w:r>
            <w:instrText xml:space="preserve"> PAGEREF _Toc4866 \h </w:instrText>
          </w:r>
          <w:r>
            <w:fldChar w:fldCharType="separate"/>
          </w:r>
          <w:r>
            <w:t>24</w:t>
          </w:r>
          <w:r>
            <w:fldChar w:fldCharType="end"/>
          </w:r>
          <w:r>
            <w:rPr>
              <w:rFonts w:hint="eastAsia" w:ascii="黑体" w:hAnsi="黑体" w:eastAsia="黑体" w:cs="黑体"/>
              <w:color w:val="000000"/>
              <w:lang w:val="en-US" w:eastAsia="zh-CN"/>
            </w:rPr>
            <w:fldChar w:fldCharType="end"/>
          </w:r>
        </w:p>
        <w:p>
          <w:pPr>
            <w:pStyle w:val="3"/>
            <w:tabs>
              <w:tab w:val="right" w:leader="dot" w:pos="14800"/>
            </w:tabs>
          </w:pPr>
          <w:r>
            <w:rPr>
              <w:rFonts w:hint="eastAsia" w:ascii="黑体" w:hAnsi="黑体" w:eastAsia="黑体" w:cs="黑体"/>
              <w:color w:val="000000"/>
              <w:lang w:val="en-US" w:eastAsia="zh-CN"/>
            </w:rPr>
            <w:fldChar w:fldCharType="begin"/>
          </w:r>
          <w:r>
            <w:rPr>
              <w:rFonts w:hint="eastAsia" w:ascii="黑体" w:hAnsi="黑体" w:eastAsia="黑体" w:cs="黑体"/>
              <w:lang w:val="en-US" w:eastAsia="zh-CN"/>
            </w:rPr>
            <w:instrText xml:space="preserve"> HYPERLINK \l _Toc23782 </w:instrText>
          </w:r>
          <w:r>
            <w:rPr>
              <w:rFonts w:hint="eastAsia" w:ascii="黑体" w:hAnsi="黑体" w:eastAsia="黑体" w:cs="黑体"/>
              <w:lang w:val="en-US" w:eastAsia="zh-CN"/>
            </w:rPr>
            <w:fldChar w:fldCharType="separate"/>
          </w:r>
          <w:r>
            <w:rPr>
              <w:rFonts w:ascii="黑体" w:hAnsi="黑体" w:eastAsia="黑体" w:cs="黑体"/>
            </w:rPr>
            <w:t>三、机关运行经费安排情况</w:t>
          </w:r>
          <w:r>
            <w:tab/>
          </w:r>
          <w:r>
            <w:fldChar w:fldCharType="begin"/>
          </w:r>
          <w:r>
            <w:instrText xml:space="preserve"> PAGEREF _Toc23782 \h </w:instrText>
          </w:r>
          <w:r>
            <w:fldChar w:fldCharType="separate"/>
          </w:r>
          <w:r>
            <w:t>25</w:t>
          </w:r>
          <w:r>
            <w:fldChar w:fldCharType="end"/>
          </w:r>
          <w:r>
            <w:rPr>
              <w:rFonts w:hint="eastAsia" w:ascii="黑体" w:hAnsi="黑体" w:eastAsia="黑体" w:cs="黑体"/>
              <w:color w:val="000000"/>
              <w:lang w:val="en-US" w:eastAsia="zh-CN"/>
            </w:rPr>
            <w:fldChar w:fldCharType="end"/>
          </w:r>
        </w:p>
        <w:p>
          <w:pPr>
            <w:pStyle w:val="3"/>
            <w:tabs>
              <w:tab w:val="right" w:leader="dot" w:pos="14800"/>
            </w:tabs>
          </w:pPr>
          <w:r>
            <w:rPr>
              <w:rFonts w:hint="eastAsia" w:ascii="黑体" w:hAnsi="黑体" w:eastAsia="黑体" w:cs="黑体"/>
              <w:color w:val="000000"/>
              <w:lang w:val="en-US" w:eastAsia="zh-CN"/>
            </w:rPr>
            <w:fldChar w:fldCharType="begin"/>
          </w:r>
          <w:r>
            <w:rPr>
              <w:rFonts w:hint="eastAsia" w:ascii="黑体" w:hAnsi="黑体" w:eastAsia="黑体" w:cs="黑体"/>
              <w:lang w:val="en-US" w:eastAsia="zh-CN"/>
            </w:rPr>
            <w:instrText xml:space="preserve"> HYPERLINK \l _Toc24886 </w:instrText>
          </w:r>
          <w:r>
            <w:rPr>
              <w:rFonts w:hint="eastAsia" w:ascii="黑体" w:hAnsi="黑体" w:eastAsia="黑体" w:cs="黑体"/>
              <w:lang w:val="en-US" w:eastAsia="zh-CN"/>
            </w:rPr>
            <w:fldChar w:fldCharType="separate"/>
          </w:r>
          <w:r>
            <w:rPr>
              <w:rFonts w:ascii="黑体" w:hAnsi="黑体" w:eastAsia="黑体" w:cs="黑体"/>
            </w:rPr>
            <w:t>四、财政拨款“三公”经费预算情况及增减变化原因</w:t>
          </w:r>
          <w:r>
            <w:tab/>
          </w:r>
          <w:r>
            <w:fldChar w:fldCharType="begin"/>
          </w:r>
          <w:r>
            <w:instrText xml:space="preserve"> PAGEREF _Toc24886 \h </w:instrText>
          </w:r>
          <w:r>
            <w:fldChar w:fldCharType="separate"/>
          </w:r>
          <w:r>
            <w:t>26</w:t>
          </w:r>
          <w:r>
            <w:fldChar w:fldCharType="end"/>
          </w:r>
          <w:r>
            <w:rPr>
              <w:rFonts w:hint="eastAsia" w:ascii="黑体" w:hAnsi="黑体" w:eastAsia="黑体" w:cs="黑体"/>
              <w:color w:val="000000"/>
              <w:lang w:val="en-US" w:eastAsia="zh-CN"/>
            </w:rPr>
            <w:fldChar w:fldCharType="end"/>
          </w:r>
        </w:p>
        <w:p>
          <w:pPr>
            <w:pStyle w:val="3"/>
            <w:tabs>
              <w:tab w:val="right" w:leader="dot" w:pos="14800"/>
            </w:tabs>
          </w:pPr>
          <w:r>
            <w:rPr>
              <w:rFonts w:hint="eastAsia" w:ascii="黑体" w:hAnsi="黑体" w:eastAsia="黑体" w:cs="黑体"/>
              <w:color w:val="000000"/>
              <w:lang w:val="en-US" w:eastAsia="zh-CN"/>
            </w:rPr>
            <w:fldChar w:fldCharType="begin"/>
          </w:r>
          <w:r>
            <w:rPr>
              <w:rFonts w:hint="eastAsia" w:ascii="黑体" w:hAnsi="黑体" w:eastAsia="黑体" w:cs="黑体"/>
              <w:lang w:val="en-US" w:eastAsia="zh-CN"/>
            </w:rPr>
            <w:instrText xml:space="preserve"> HYPERLINK \l _Toc11777 </w:instrText>
          </w:r>
          <w:r>
            <w:rPr>
              <w:rFonts w:hint="eastAsia" w:ascii="黑体" w:hAnsi="黑体" w:eastAsia="黑体" w:cs="黑体"/>
              <w:lang w:val="en-US" w:eastAsia="zh-CN"/>
            </w:rPr>
            <w:fldChar w:fldCharType="separate"/>
          </w:r>
          <w:r>
            <w:rPr>
              <w:rFonts w:ascii="黑体" w:hAnsi="黑体" w:eastAsia="黑体" w:cs="黑体"/>
            </w:rPr>
            <w:t>五、预算绩效信息</w:t>
          </w:r>
          <w:r>
            <w:tab/>
          </w:r>
          <w:r>
            <w:fldChar w:fldCharType="begin"/>
          </w:r>
          <w:r>
            <w:instrText xml:space="preserve"> PAGEREF _Toc11777 \h </w:instrText>
          </w:r>
          <w:r>
            <w:fldChar w:fldCharType="separate"/>
          </w:r>
          <w:r>
            <w:t>26</w:t>
          </w:r>
          <w:r>
            <w:fldChar w:fldCharType="end"/>
          </w:r>
          <w:r>
            <w:rPr>
              <w:rFonts w:hint="eastAsia" w:ascii="黑体" w:hAnsi="黑体" w:eastAsia="黑体" w:cs="黑体"/>
              <w:color w:val="000000"/>
              <w:lang w:val="en-US" w:eastAsia="zh-CN"/>
            </w:rPr>
            <w:fldChar w:fldCharType="end"/>
          </w:r>
        </w:p>
        <w:p>
          <w:pPr>
            <w:pStyle w:val="3"/>
            <w:tabs>
              <w:tab w:val="right" w:leader="dot" w:pos="14800"/>
            </w:tabs>
          </w:pPr>
          <w:r>
            <w:rPr>
              <w:rFonts w:hint="eastAsia" w:ascii="黑体" w:hAnsi="黑体" w:eastAsia="黑体" w:cs="黑体"/>
              <w:color w:val="000000"/>
              <w:lang w:val="en-US" w:eastAsia="zh-CN"/>
            </w:rPr>
            <w:fldChar w:fldCharType="begin"/>
          </w:r>
          <w:r>
            <w:rPr>
              <w:rFonts w:hint="eastAsia" w:ascii="黑体" w:hAnsi="黑体" w:eastAsia="黑体" w:cs="黑体"/>
              <w:lang w:val="en-US" w:eastAsia="zh-CN"/>
            </w:rPr>
            <w:instrText xml:space="preserve"> HYPERLINK \l _Toc31579 </w:instrText>
          </w:r>
          <w:r>
            <w:rPr>
              <w:rFonts w:hint="eastAsia" w:ascii="黑体" w:hAnsi="黑体" w:eastAsia="黑体" w:cs="黑体"/>
              <w:lang w:val="en-US" w:eastAsia="zh-CN"/>
            </w:rPr>
            <w:fldChar w:fldCharType="separate"/>
          </w:r>
          <w:r>
            <w:rPr>
              <w:rFonts w:ascii="黑体" w:hAnsi="黑体" w:eastAsia="黑体" w:cs="黑体"/>
            </w:rPr>
            <w:t>六、政府采购预算情况</w:t>
          </w:r>
          <w:r>
            <w:tab/>
          </w:r>
          <w:r>
            <w:fldChar w:fldCharType="begin"/>
          </w:r>
          <w:r>
            <w:instrText xml:space="preserve"> PAGEREF _Toc31579 \h </w:instrText>
          </w:r>
          <w:r>
            <w:fldChar w:fldCharType="separate"/>
          </w:r>
          <w:r>
            <w:t>31</w:t>
          </w:r>
          <w:r>
            <w:fldChar w:fldCharType="end"/>
          </w:r>
          <w:r>
            <w:rPr>
              <w:rFonts w:hint="eastAsia" w:ascii="黑体" w:hAnsi="黑体" w:eastAsia="黑体" w:cs="黑体"/>
              <w:color w:val="000000"/>
              <w:lang w:val="en-US" w:eastAsia="zh-CN"/>
            </w:rPr>
            <w:fldChar w:fldCharType="end"/>
          </w:r>
        </w:p>
        <w:p>
          <w:pPr>
            <w:pStyle w:val="3"/>
            <w:tabs>
              <w:tab w:val="right" w:leader="dot" w:pos="14800"/>
            </w:tabs>
          </w:pPr>
          <w:r>
            <w:rPr>
              <w:rFonts w:hint="eastAsia" w:ascii="黑体" w:hAnsi="黑体" w:eastAsia="黑体" w:cs="黑体"/>
              <w:color w:val="000000"/>
              <w:lang w:val="en-US" w:eastAsia="zh-CN"/>
            </w:rPr>
            <w:fldChar w:fldCharType="begin"/>
          </w:r>
          <w:r>
            <w:rPr>
              <w:rFonts w:hint="eastAsia" w:ascii="黑体" w:hAnsi="黑体" w:eastAsia="黑体" w:cs="黑体"/>
              <w:lang w:val="en-US" w:eastAsia="zh-CN"/>
            </w:rPr>
            <w:instrText xml:space="preserve"> HYPERLINK \l _Toc30021 </w:instrText>
          </w:r>
          <w:r>
            <w:rPr>
              <w:rFonts w:hint="eastAsia" w:ascii="黑体" w:hAnsi="黑体" w:eastAsia="黑体" w:cs="黑体"/>
              <w:lang w:val="en-US" w:eastAsia="zh-CN"/>
            </w:rPr>
            <w:fldChar w:fldCharType="separate"/>
          </w:r>
          <w:r>
            <w:rPr>
              <w:rFonts w:ascii="黑体" w:hAnsi="黑体" w:eastAsia="黑体" w:cs="黑体"/>
            </w:rPr>
            <w:t>七、国有资产信息</w:t>
          </w:r>
          <w:r>
            <w:tab/>
          </w:r>
          <w:r>
            <w:fldChar w:fldCharType="begin"/>
          </w:r>
          <w:r>
            <w:instrText xml:space="preserve"> PAGEREF _Toc30021 \h </w:instrText>
          </w:r>
          <w:r>
            <w:fldChar w:fldCharType="separate"/>
          </w:r>
          <w:r>
            <w:t>31</w:t>
          </w:r>
          <w:r>
            <w:fldChar w:fldCharType="end"/>
          </w:r>
          <w:r>
            <w:rPr>
              <w:rFonts w:hint="eastAsia" w:ascii="黑体" w:hAnsi="黑体" w:eastAsia="黑体" w:cs="黑体"/>
              <w:color w:val="000000"/>
              <w:lang w:val="en-US" w:eastAsia="zh-CN"/>
            </w:rPr>
            <w:fldChar w:fldCharType="end"/>
          </w:r>
        </w:p>
        <w:p>
          <w:pPr>
            <w:pStyle w:val="3"/>
            <w:tabs>
              <w:tab w:val="right" w:leader="dot" w:pos="14800"/>
            </w:tabs>
          </w:pPr>
          <w:r>
            <w:rPr>
              <w:rFonts w:hint="eastAsia" w:ascii="黑体" w:hAnsi="黑体" w:eastAsia="黑体" w:cs="黑体"/>
              <w:color w:val="000000"/>
              <w:lang w:val="en-US" w:eastAsia="zh-CN"/>
            </w:rPr>
            <w:fldChar w:fldCharType="begin"/>
          </w:r>
          <w:r>
            <w:rPr>
              <w:rFonts w:hint="eastAsia" w:ascii="黑体" w:hAnsi="黑体" w:eastAsia="黑体" w:cs="黑体"/>
              <w:lang w:val="en-US" w:eastAsia="zh-CN"/>
            </w:rPr>
            <w:instrText xml:space="preserve"> HYPERLINK \l _Toc10771 </w:instrText>
          </w:r>
          <w:r>
            <w:rPr>
              <w:rFonts w:hint="eastAsia" w:ascii="黑体" w:hAnsi="黑体" w:eastAsia="黑体" w:cs="黑体"/>
              <w:lang w:val="en-US" w:eastAsia="zh-CN"/>
            </w:rPr>
            <w:fldChar w:fldCharType="separate"/>
          </w:r>
          <w:r>
            <w:rPr>
              <w:rFonts w:ascii="黑体" w:hAnsi="黑体" w:eastAsia="黑体" w:cs="黑体"/>
            </w:rPr>
            <w:t>八、名词解释</w:t>
          </w:r>
          <w:r>
            <w:tab/>
          </w:r>
          <w:r>
            <w:fldChar w:fldCharType="begin"/>
          </w:r>
          <w:r>
            <w:instrText xml:space="preserve"> PAGEREF _Toc10771 \h </w:instrText>
          </w:r>
          <w:r>
            <w:fldChar w:fldCharType="separate"/>
          </w:r>
          <w:r>
            <w:t>32</w:t>
          </w:r>
          <w:r>
            <w:fldChar w:fldCharType="end"/>
          </w:r>
          <w:r>
            <w:rPr>
              <w:rFonts w:hint="eastAsia" w:ascii="黑体" w:hAnsi="黑体" w:eastAsia="黑体" w:cs="黑体"/>
              <w:color w:val="000000"/>
              <w:lang w:val="en-US" w:eastAsia="zh-CN"/>
            </w:rPr>
            <w:fldChar w:fldCharType="end"/>
          </w:r>
        </w:p>
        <w:p>
          <w:pPr>
            <w:pStyle w:val="3"/>
            <w:tabs>
              <w:tab w:val="right" w:leader="dot" w:pos="14800"/>
            </w:tabs>
          </w:pPr>
          <w:r>
            <w:rPr>
              <w:rFonts w:hint="eastAsia" w:ascii="黑体" w:hAnsi="黑体" w:eastAsia="黑体" w:cs="黑体"/>
              <w:color w:val="000000"/>
              <w:lang w:val="en-US" w:eastAsia="zh-CN"/>
            </w:rPr>
            <w:fldChar w:fldCharType="begin"/>
          </w:r>
          <w:r>
            <w:rPr>
              <w:rFonts w:hint="eastAsia" w:ascii="黑体" w:hAnsi="黑体" w:eastAsia="黑体" w:cs="黑体"/>
              <w:lang w:val="en-US" w:eastAsia="zh-CN"/>
            </w:rPr>
            <w:instrText xml:space="preserve"> HYPERLINK \l _Toc2748 </w:instrText>
          </w:r>
          <w:r>
            <w:rPr>
              <w:rFonts w:hint="eastAsia" w:ascii="黑体" w:hAnsi="黑体" w:eastAsia="黑体" w:cs="黑体"/>
              <w:lang w:val="en-US" w:eastAsia="zh-CN"/>
            </w:rPr>
            <w:fldChar w:fldCharType="separate"/>
          </w:r>
          <w:r>
            <w:rPr>
              <w:rFonts w:ascii="黑体" w:hAnsi="黑体" w:eastAsia="黑体" w:cs="黑体"/>
            </w:rPr>
            <w:t>九、其他需要说明的事项</w:t>
          </w:r>
          <w:r>
            <w:tab/>
          </w:r>
          <w:r>
            <w:fldChar w:fldCharType="begin"/>
          </w:r>
          <w:r>
            <w:instrText xml:space="preserve"> PAGEREF _Toc2748 \h </w:instrText>
          </w:r>
          <w:r>
            <w:fldChar w:fldCharType="separate"/>
          </w:r>
          <w:r>
            <w:t>33</w:t>
          </w:r>
          <w:r>
            <w:fldChar w:fldCharType="end"/>
          </w:r>
          <w:r>
            <w:rPr>
              <w:rFonts w:hint="eastAsia" w:ascii="黑体" w:hAnsi="黑体" w:eastAsia="黑体" w:cs="黑体"/>
              <w:color w:val="000000"/>
              <w:lang w:val="en-US" w:eastAsia="zh-CN"/>
            </w:rPr>
            <w:fldChar w:fldCharType="end"/>
          </w:r>
        </w:p>
        <w:p>
          <w:pPr>
            <w:spacing w:before="0" w:after="0" w:line="240" w:lineRule="auto"/>
            <w:ind w:firstLine="0"/>
            <w:jc w:val="center"/>
            <w:outlineLvl w:val="9"/>
            <w:rPr>
              <w:rFonts w:hint="eastAsia" w:ascii="黑体" w:hAnsi="黑体" w:eastAsia="黑体" w:cs="黑体"/>
              <w:b/>
              <w:color w:val="000000"/>
              <w:sz w:val="44"/>
              <w:lang w:val="en-US" w:eastAsia="zh-CN"/>
            </w:rPr>
          </w:pPr>
          <w:r>
            <w:rPr>
              <w:rFonts w:hint="eastAsia" w:ascii="黑体" w:hAnsi="黑体" w:eastAsia="黑体" w:cs="黑体"/>
              <w:color w:val="000000"/>
              <w:lang w:val="en-US" w:eastAsia="zh-CN"/>
            </w:rPr>
            <w:fldChar w:fldCharType="end"/>
          </w:r>
        </w:p>
      </w:sdtContent>
    </w:sdt>
    <w:p>
      <w:pPr>
        <w:spacing w:before="0" w:after="0" w:line="240" w:lineRule="auto"/>
        <w:ind w:firstLine="0"/>
        <w:jc w:val="both"/>
        <w:outlineLvl w:val="9"/>
        <w:rPr>
          <w:rFonts w:hint="eastAsia" w:ascii="黑体" w:hAnsi="黑体" w:eastAsia="黑体" w:cs="黑体"/>
          <w:b/>
          <w:color w:val="000000"/>
          <w:sz w:val="44"/>
          <w:lang w:val="en-US" w:eastAsia="zh-CN"/>
        </w:rPr>
      </w:pPr>
    </w:p>
    <w:p>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rPr>
          <w:rFonts w:ascii="方正小标宋_GBK" w:hAnsi="方正小标宋_GBK" w:eastAsia="方正小标宋_GBK" w:cs="方正小标宋_GBK"/>
          <w:color w:val="000000"/>
          <w:sz w:val="36"/>
        </w:rPr>
      </w:pPr>
    </w:p>
    <w:p>
      <w:pPr>
        <w:spacing w:before="0" w:after="0" w:line="240" w:lineRule="auto"/>
        <w:ind w:firstLine="0"/>
        <w:jc w:val="center"/>
        <w:outlineLvl w:val="0"/>
        <w:rPr>
          <w:rFonts w:ascii="方正小标宋_GBK" w:hAnsi="方正小标宋_GBK" w:eastAsia="方正小标宋_GBK" w:cs="方正小标宋_GBK"/>
          <w:color w:val="000000"/>
          <w:sz w:val="36"/>
        </w:rPr>
      </w:pPr>
    </w:p>
    <w:p>
      <w:pPr>
        <w:spacing w:before="0" w:after="0" w:line="240" w:lineRule="auto"/>
        <w:ind w:firstLine="0"/>
        <w:jc w:val="center"/>
        <w:outlineLvl w:val="0"/>
        <w:rPr>
          <w:rFonts w:ascii="方正小标宋_GBK" w:hAnsi="方正小标宋_GBK" w:eastAsia="方正小标宋_GBK" w:cs="方正小标宋_GBK"/>
          <w:color w:val="000000"/>
          <w:sz w:val="36"/>
        </w:rPr>
      </w:pPr>
    </w:p>
    <w:p>
      <w:pPr>
        <w:spacing w:before="0" w:after="0" w:line="240" w:lineRule="auto"/>
        <w:ind w:firstLine="0"/>
        <w:jc w:val="center"/>
        <w:outlineLvl w:val="0"/>
        <w:rPr>
          <w:rFonts w:ascii="方正小标宋_GBK" w:hAnsi="方正小标宋_GBK" w:eastAsia="方正小标宋_GBK" w:cs="方正小标宋_GBK"/>
          <w:color w:val="000000"/>
          <w:sz w:val="36"/>
        </w:rPr>
      </w:pPr>
    </w:p>
    <w:p>
      <w:pPr>
        <w:spacing w:before="0" w:after="0" w:line="240" w:lineRule="auto"/>
        <w:ind w:firstLine="0"/>
        <w:jc w:val="center"/>
        <w:outlineLvl w:val="0"/>
        <w:rPr>
          <w:rFonts w:ascii="方正小标宋_GBK" w:hAnsi="方正小标宋_GBK" w:eastAsia="方正小标宋_GBK" w:cs="方正小标宋_GBK"/>
          <w:color w:val="000000"/>
          <w:sz w:val="36"/>
        </w:rPr>
      </w:pPr>
    </w:p>
    <w:p>
      <w:pPr>
        <w:spacing w:before="0" w:after="0" w:line="240" w:lineRule="auto"/>
        <w:ind w:firstLine="0"/>
        <w:jc w:val="center"/>
        <w:outlineLvl w:val="0"/>
        <w:rPr>
          <w:rFonts w:ascii="方正小标宋_GBK" w:hAnsi="方正小标宋_GBK" w:eastAsia="方正小标宋_GBK" w:cs="方正小标宋_GBK"/>
          <w:color w:val="000000"/>
          <w:sz w:val="36"/>
        </w:rPr>
      </w:pPr>
    </w:p>
    <w:p>
      <w:pPr>
        <w:spacing w:before="0" w:after="0" w:line="240" w:lineRule="auto"/>
        <w:ind w:firstLine="0"/>
        <w:jc w:val="center"/>
        <w:outlineLvl w:val="0"/>
      </w:pPr>
      <w:bookmarkStart w:id="20" w:name="_GoBack"/>
      <w:bookmarkEnd w:id="20"/>
      <w:bookmarkStart w:id="1" w:name="_Toc12713"/>
      <w:r>
        <w:rPr>
          <w:rFonts w:ascii="方正小标宋_GBK" w:hAnsi="方正小标宋_GBK" w:eastAsia="方正小标宋_GBK" w:cs="方正小标宋_GBK"/>
          <w:color w:val="000000"/>
          <w:sz w:val="36"/>
        </w:rPr>
        <w:t>单位预算收支总表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213001中国共产党石家庄市藁城区委员会统战部本级</w:t>
            </w:r>
          </w:p>
        </w:tc>
        <w:tc>
          <w:tcPr>
            <w:tcW w:w="2126" w:type="dxa"/>
            <w:tcBorders>
              <w:top w:val="single" w:color="FFFFFF" w:sz="6" w:space="0"/>
              <w:left w:val="single" w:color="FFFFFF" w:sz="6" w:space="0"/>
              <w:right w:val="single" w:color="FFFFFF" w:sz="6" w:space="0"/>
            </w:tcBorders>
            <w:vAlign w:val="center"/>
          </w:tcPr>
          <w:p>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183.01</w:t>
            </w:r>
          </w:p>
        </w:tc>
        <w:tc>
          <w:tcPr>
            <w:tcW w:w="4535" w:type="dxa"/>
            <w:vAlign w:val="center"/>
          </w:tcPr>
          <w:p>
            <w:pPr>
              <w:pStyle w:val="14"/>
            </w:pPr>
            <w:r>
              <w:t>一、一般公共服务支出</w:t>
            </w:r>
          </w:p>
        </w:tc>
        <w:tc>
          <w:tcPr>
            <w:tcW w:w="2126" w:type="dxa"/>
            <w:vAlign w:val="center"/>
          </w:tcPr>
          <w:p>
            <w:pPr>
              <w:pStyle w:val="13"/>
            </w:pPr>
            <w:r>
              <w:t>183.01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183.01</w:t>
            </w:r>
          </w:p>
        </w:tc>
        <w:tc>
          <w:tcPr>
            <w:tcW w:w="4535" w:type="dxa"/>
            <w:vAlign w:val="center"/>
          </w:tcPr>
          <w:p>
            <w:pPr>
              <w:pStyle w:val="16"/>
            </w:pPr>
            <w:r>
              <w:t>本年支出合计</w:t>
            </w:r>
          </w:p>
        </w:tc>
        <w:tc>
          <w:tcPr>
            <w:tcW w:w="2126" w:type="dxa"/>
            <w:vAlign w:val="center"/>
          </w:tcPr>
          <w:p>
            <w:pPr>
              <w:pStyle w:val="17"/>
            </w:pPr>
            <w:r>
              <w:t>183.01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183.01</w:t>
            </w:r>
          </w:p>
        </w:tc>
        <w:tc>
          <w:tcPr>
            <w:tcW w:w="4535" w:type="dxa"/>
            <w:vAlign w:val="center"/>
          </w:tcPr>
          <w:p>
            <w:pPr>
              <w:pStyle w:val="16"/>
            </w:pPr>
            <w:r>
              <w:t>支出总计</w:t>
            </w:r>
          </w:p>
        </w:tc>
        <w:tc>
          <w:tcPr>
            <w:tcW w:w="2126" w:type="dxa"/>
            <w:vAlign w:val="center"/>
          </w:tcPr>
          <w:p>
            <w:pPr>
              <w:pStyle w:val="17"/>
            </w:pPr>
            <w:r>
              <w:t>183.01</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0"/>
      </w:pPr>
      <w:bookmarkStart w:id="2" w:name="_Toc5427"/>
      <w:r>
        <w:rPr>
          <w:rFonts w:ascii="方正小标宋_GBK" w:hAnsi="方正小标宋_GBK" w:eastAsia="方正小标宋_GBK" w:cs="方正小标宋_GBK"/>
          <w:color w:val="000000"/>
          <w:sz w:val="36"/>
        </w:rPr>
        <w:t>单位预算收入总表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213001中国共产党石家庄市藁城区委员会统战部本级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183.01</w:t>
            </w:r>
          </w:p>
        </w:tc>
        <w:tc>
          <w:tcPr>
            <w:tcW w:w="1134" w:type="dxa"/>
            <w:vAlign w:val="center"/>
          </w:tcPr>
          <w:p>
            <w:pPr>
              <w:pStyle w:val="17"/>
            </w:pPr>
            <w:r>
              <w:t>183.01</w:t>
            </w:r>
          </w:p>
        </w:tc>
        <w:tc>
          <w:tcPr>
            <w:tcW w:w="1134" w:type="dxa"/>
            <w:vAlign w:val="center"/>
          </w:tcPr>
          <w:p>
            <w:pPr>
              <w:pStyle w:val="17"/>
            </w:pPr>
            <w:r>
              <w:t>183.01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183.01</w:t>
            </w:r>
          </w:p>
        </w:tc>
        <w:tc>
          <w:tcPr>
            <w:tcW w:w="1134" w:type="dxa"/>
            <w:vAlign w:val="center"/>
          </w:tcPr>
          <w:p>
            <w:pPr>
              <w:pStyle w:val="13"/>
            </w:pPr>
            <w:r>
              <w:t>183.01</w:t>
            </w:r>
          </w:p>
        </w:tc>
        <w:tc>
          <w:tcPr>
            <w:tcW w:w="1134" w:type="dxa"/>
            <w:vAlign w:val="center"/>
          </w:tcPr>
          <w:p>
            <w:pPr>
              <w:pStyle w:val="13"/>
            </w:pPr>
            <w:r>
              <w:t>183.01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20134</w:t>
            </w:r>
          </w:p>
        </w:tc>
        <w:tc>
          <w:tcPr>
            <w:tcW w:w="1559" w:type="dxa"/>
            <w:vAlign w:val="center"/>
          </w:tcPr>
          <w:p>
            <w:pPr>
              <w:pStyle w:val="14"/>
            </w:pPr>
            <w:r>
              <w:t>统战事务</w:t>
            </w:r>
          </w:p>
        </w:tc>
        <w:tc>
          <w:tcPr>
            <w:tcW w:w="1134" w:type="dxa"/>
            <w:vAlign w:val="center"/>
          </w:tcPr>
          <w:p>
            <w:pPr>
              <w:pStyle w:val="13"/>
            </w:pPr>
            <w:r>
              <w:t>183.01</w:t>
            </w:r>
          </w:p>
        </w:tc>
        <w:tc>
          <w:tcPr>
            <w:tcW w:w="1134" w:type="dxa"/>
            <w:vAlign w:val="center"/>
          </w:tcPr>
          <w:p>
            <w:pPr>
              <w:pStyle w:val="13"/>
            </w:pPr>
            <w:r>
              <w:t>183.01</w:t>
            </w:r>
          </w:p>
        </w:tc>
        <w:tc>
          <w:tcPr>
            <w:tcW w:w="1134" w:type="dxa"/>
            <w:vAlign w:val="center"/>
          </w:tcPr>
          <w:p>
            <w:pPr>
              <w:pStyle w:val="13"/>
            </w:pPr>
            <w:r>
              <w:t>183.01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2013401</w:t>
            </w:r>
          </w:p>
        </w:tc>
        <w:tc>
          <w:tcPr>
            <w:tcW w:w="1559" w:type="dxa"/>
            <w:vAlign w:val="center"/>
          </w:tcPr>
          <w:p>
            <w:pPr>
              <w:pStyle w:val="14"/>
            </w:pPr>
            <w:r>
              <w:t>行政运行</w:t>
            </w:r>
          </w:p>
        </w:tc>
        <w:tc>
          <w:tcPr>
            <w:tcW w:w="1134" w:type="dxa"/>
            <w:vAlign w:val="center"/>
          </w:tcPr>
          <w:p>
            <w:pPr>
              <w:pStyle w:val="13"/>
            </w:pPr>
            <w:r>
              <w:t>155.77</w:t>
            </w:r>
          </w:p>
        </w:tc>
        <w:tc>
          <w:tcPr>
            <w:tcW w:w="1134" w:type="dxa"/>
            <w:vAlign w:val="center"/>
          </w:tcPr>
          <w:p>
            <w:pPr>
              <w:pStyle w:val="13"/>
            </w:pPr>
            <w:r>
              <w:t>155.77</w:t>
            </w:r>
          </w:p>
        </w:tc>
        <w:tc>
          <w:tcPr>
            <w:tcW w:w="1134" w:type="dxa"/>
            <w:vAlign w:val="center"/>
          </w:tcPr>
          <w:p>
            <w:pPr>
              <w:pStyle w:val="13"/>
            </w:pPr>
            <w:r>
              <w:t>155.77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2013402</w:t>
            </w:r>
          </w:p>
        </w:tc>
        <w:tc>
          <w:tcPr>
            <w:tcW w:w="1559" w:type="dxa"/>
            <w:vAlign w:val="center"/>
          </w:tcPr>
          <w:p>
            <w:pPr>
              <w:pStyle w:val="14"/>
            </w:pPr>
            <w:r>
              <w:t>一般行政管理事务</w:t>
            </w:r>
          </w:p>
        </w:tc>
        <w:tc>
          <w:tcPr>
            <w:tcW w:w="1134" w:type="dxa"/>
            <w:vAlign w:val="center"/>
          </w:tcPr>
          <w:p>
            <w:pPr>
              <w:pStyle w:val="13"/>
            </w:pPr>
            <w:r>
              <w:t>17.00</w:t>
            </w:r>
          </w:p>
        </w:tc>
        <w:tc>
          <w:tcPr>
            <w:tcW w:w="1134" w:type="dxa"/>
            <w:vAlign w:val="center"/>
          </w:tcPr>
          <w:p>
            <w:pPr>
              <w:pStyle w:val="13"/>
            </w:pPr>
            <w:r>
              <w:t>17.00</w:t>
            </w:r>
          </w:p>
        </w:tc>
        <w:tc>
          <w:tcPr>
            <w:tcW w:w="1134" w:type="dxa"/>
            <w:vAlign w:val="center"/>
          </w:tcPr>
          <w:p>
            <w:pPr>
              <w:pStyle w:val="13"/>
            </w:pPr>
            <w:r>
              <w:t>17.00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2013404</w:t>
            </w:r>
          </w:p>
        </w:tc>
        <w:tc>
          <w:tcPr>
            <w:tcW w:w="1559" w:type="dxa"/>
            <w:vAlign w:val="center"/>
          </w:tcPr>
          <w:p>
            <w:pPr>
              <w:pStyle w:val="14"/>
            </w:pPr>
            <w:r>
              <w:t>宗教事务</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2013405</w:t>
            </w:r>
          </w:p>
        </w:tc>
        <w:tc>
          <w:tcPr>
            <w:tcW w:w="1559" w:type="dxa"/>
            <w:vAlign w:val="center"/>
          </w:tcPr>
          <w:p>
            <w:pPr>
              <w:pStyle w:val="14"/>
            </w:pPr>
            <w:r>
              <w:t>华侨事务</w:t>
            </w:r>
          </w:p>
        </w:tc>
        <w:tc>
          <w:tcPr>
            <w:tcW w:w="1134" w:type="dxa"/>
            <w:vAlign w:val="center"/>
          </w:tcPr>
          <w:p>
            <w:pPr>
              <w:pStyle w:val="13"/>
            </w:pPr>
            <w:r>
              <w:t>0.24</w:t>
            </w:r>
          </w:p>
        </w:tc>
        <w:tc>
          <w:tcPr>
            <w:tcW w:w="1134" w:type="dxa"/>
            <w:vAlign w:val="center"/>
          </w:tcPr>
          <w:p>
            <w:pPr>
              <w:pStyle w:val="13"/>
            </w:pPr>
            <w:r>
              <w:t>0.24</w:t>
            </w:r>
          </w:p>
        </w:tc>
        <w:tc>
          <w:tcPr>
            <w:tcW w:w="1134" w:type="dxa"/>
            <w:vAlign w:val="center"/>
          </w:tcPr>
          <w:p>
            <w:pPr>
              <w:pStyle w:val="13"/>
            </w:pPr>
            <w:r>
              <w:t>0.24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0"/>
      </w:pPr>
      <w:bookmarkStart w:id="3" w:name="_Toc2933"/>
      <w:r>
        <w:rPr>
          <w:rFonts w:ascii="方正小标宋_GBK" w:hAnsi="方正小标宋_GBK" w:eastAsia="方正小标宋_GBK" w:cs="方正小标宋_GBK"/>
          <w:color w:val="000000"/>
          <w:sz w:val="36"/>
        </w:rPr>
        <w:t>单位预算支出总表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213001中国共产党石家庄市藁城区委员会统战部本级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183.01</w:t>
            </w:r>
          </w:p>
        </w:tc>
        <w:tc>
          <w:tcPr>
            <w:tcW w:w="1361" w:type="dxa"/>
            <w:vAlign w:val="center"/>
          </w:tcPr>
          <w:p>
            <w:pPr>
              <w:pStyle w:val="17"/>
            </w:pPr>
            <w:r>
              <w:t>155.77</w:t>
            </w:r>
          </w:p>
        </w:tc>
        <w:tc>
          <w:tcPr>
            <w:tcW w:w="1361" w:type="dxa"/>
            <w:vAlign w:val="center"/>
          </w:tcPr>
          <w:p>
            <w:pPr>
              <w:pStyle w:val="17"/>
            </w:pPr>
            <w:r>
              <w:t>27.24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183.01</w:t>
            </w:r>
          </w:p>
        </w:tc>
        <w:tc>
          <w:tcPr>
            <w:tcW w:w="1361" w:type="dxa"/>
            <w:vAlign w:val="center"/>
          </w:tcPr>
          <w:p>
            <w:pPr>
              <w:pStyle w:val="13"/>
            </w:pPr>
            <w:r>
              <w:t>155.77</w:t>
            </w:r>
          </w:p>
        </w:tc>
        <w:tc>
          <w:tcPr>
            <w:tcW w:w="1361" w:type="dxa"/>
            <w:vAlign w:val="center"/>
          </w:tcPr>
          <w:p>
            <w:pPr>
              <w:pStyle w:val="13"/>
            </w:pPr>
            <w:r>
              <w:t>27.24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20134</w:t>
            </w:r>
          </w:p>
        </w:tc>
        <w:tc>
          <w:tcPr>
            <w:tcW w:w="4535" w:type="dxa"/>
            <w:vAlign w:val="center"/>
          </w:tcPr>
          <w:p>
            <w:pPr>
              <w:pStyle w:val="14"/>
            </w:pPr>
            <w:r>
              <w:t>统战事务</w:t>
            </w:r>
          </w:p>
        </w:tc>
        <w:tc>
          <w:tcPr>
            <w:tcW w:w="1361" w:type="dxa"/>
            <w:vAlign w:val="center"/>
          </w:tcPr>
          <w:p>
            <w:pPr>
              <w:pStyle w:val="13"/>
            </w:pPr>
            <w:r>
              <w:t>183.01</w:t>
            </w:r>
          </w:p>
        </w:tc>
        <w:tc>
          <w:tcPr>
            <w:tcW w:w="1361" w:type="dxa"/>
            <w:vAlign w:val="center"/>
          </w:tcPr>
          <w:p>
            <w:pPr>
              <w:pStyle w:val="13"/>
            </w:pPr>
            <w:r>
              <w:t>155.77</w:t>
            </w:r>
          </w:p>
        </w:tc>
        <w:tc>
          <w:tcPr>
            <w:tcW w:w="1361" w:type="dxa"/>
            <w:vAlign w:val="center"/>
          </w:tcPr>
          <w:p>
            <w:pPr>
              <w:pStyle w:val="13"/>
            </w:pPr>
            <w:r>
              <w:t>27.24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2013401</w:t>
            </w:r>
          </w:p>
        </w:tc>
        <w:tc>
          <w:tcPr>
            <w:tcW w:w="4535" w:type="dxa"/>
            <w:vAlign w:val="center"/>
          </w:tcPr>
          <w:p>
            <w:pPr>
              <w:pStyle w:val="14"/>
            </w:pPr>
            <w:r>
              <w:t>行政运行</w:t>
            </w:r>
          </w:p>
        </w:tc>
        <w:tc>
          <w:tcPr>
            <w:tcW w:w="1361" w:type="dxa"/>
            <w:vAlign w:val="center"/>
          </w:tcPr>
          <w:p>
            <w:pPr>
              <w:pStyle w:val="13"/>
            </w:pPr>
            <w:r>
              <w:t>155.77</w:t>
            </w:r>
          </w:p>
        </w:tc>
        <w:tc>
          <w:tcPr>
            <w:tcW w:w="1361" w:type="dxa"/>
            <w:vAlign w:val="center"/>
          </w:tcPr>
          <w:p>
            <w:pPr>
              <w:pStyle w:val="13"/>
            </w:pPr>
            <w:r>
              <w:t>155.77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2013402</w:t>
            </w:r>
          </w:p>
        </w:tc>
        <w:tc>
          <w:tcPr>
            <w:tcW w:w="4535" w:type="dxa"/>
            <w:vAlign w:val="center"/>
          </w:tcPr>
          <w:p>
            <w:pPr>
              <w:pStyle w:val="14"/>
            </w:pPr>
            <w:r>
              <w:t>一般行政管理事务</w:t>
            </w:r>
          </w:p>
        </w:tc>
        <w:tc>
          <w:tcPr>
            <w:tcW w:w="1361" w:type="dxa"/>
            <w:vAlign w:val="center"/>
          </w:tcPr>
          <w:p>
            <w:pPr>
              <w:pStyle w:val="13"/>
            </w:pPr>
            <w:r>
              <w:t>17.00</w:t>
            </w:r>
          </w:p>
        </w:tc>
        <w:tc>
          <w:tcPr>
            <w:tcW w:w="1361" w:type="dxa"/>
            <w:vAlign w:val="center"/>
          </w:tcPr>
          <w:p>
            <w:pPr>
              <w:pStyle w:val="13"/>
            </w:pPr>
          </w:p>
        </w:tc>
        <w:tc>
          <w:tcPr>
            <w:tcW w:w="1361" w:type="dxa"/>
            <w:vAlign w:val="center"/>
          </w:tcPr>
          <w:p>
            <w:pPr>
              <w:pStyle w:val="13"/>
            </w:pPr>
            <w:r>
              <w:t>17.00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2013404</w:t>
            </w:r>
          </w:p>
        </w:tc>
        <w:tc>
          <w:tcPr>
            <w:tcW w:w="4535" w:type="dxa"/>
            <w:vAlign w:val="center"/>
          </w:tcPr>
          <w:p>
            <w:pPr>
              <w:pStyle w:val="14"/>
            </w:pPr>
            <w:r>
              <w:t>宗教事务</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2013405</w:t>
            </w:r>
          </w:p>
        </w:tc>
        <w:tc>
          <w:tcPr>
            <w:tcW w:w="4535" w:type="dxa"/>
            <w:vAlign w:val="center"/>
          </w:tcPr>
          <w:p>
            <w:pPr>
              <w:pStyle w:val="14"/>
            </w:pPr>
            <w:r>
              <w:t>华侨事务</w:t>
            </w:r>
          </w:p>
        </w:tc>
        <w:tc>
          <w:tcPr>
            <w:tcW w:w="1361" w:type="dxa"/>
            <w:vAlign w:val="center"/>
          </w:tcPr>
          <w:p>
            <w:pPr>
              <w:pStyle w:val="13"/>
            </w:pPr>
            <w:r>
              <w:t>0.24</w:t>
            </w:r>
          </w:p>
        </w:tc>
        <w:tc>
          <w:tcPr>
            <w:tcW w:w="1361" w:type="dxa"/>
            <w:vAlign w:val="center"/>
          </w:tcPr>
          <w:p>
            <w:pPr>
              <w:pStyle w:val="13"/>
            </w:pPr>
          </w:p>
        </w:tc>
        <w:tc>
          <w:tcPr>
            <w:tcW w:w="1361" w:type="dxa"/>
            <w:vAlign w:val="center"/>
          </w:tcPr>
          <w:p>
            <w:pPr>
              <w:pStyle w:val="13"/>
            </w:pPr>
            <w:r>
              <w:t>0.24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0"/>
      </w:pPr>
      <w:bookmarkStart w:id="4" w:name="_Toc17922"/>
      <w:r>
        <w:rPr>
          <w:rFonts w:ascii="方正小标宋_GBK" w:hAnsi="方正小标宋_GBK" w:eastAsia="方正小标宋_GBK" w:cs="方正小标宋_GBK"/>
          <w:color w:val="000000"/>
          <w:sz w:val="36"/>
        </w:rPr>
        <w:t>单位预算财政拨款收支总表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213001中国共产党石家庄市藁城区委员会统战部本级</w:t>
            </w:r>
          </w:p>
        </w:tc>
        <w:tc>
          <w:tcPr>
            <w:tcW w:w="3402" w:type="dxa"/>
            <w:tcBorders>
              <w:top w:val="single" w:color="FFFFFF" w:sz="6" w:space="0"/>
              <w:left w:val="single" w:color="FFFFFF" w:sz="6" w:space="0"/>
              <w:right w:val="single" w:color="FFFFFF" w:sz="6" w:space="0"/>
            </w:tcBorders>
            <w:vAlign w:val="center"/>
          </w:tcPr>
          <w:p>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183.01</w:t>
            </w:r>
          </w:p>
        </w:tc>
        <w:tc>
          <w:tcPr>
            <w:tcW w:w="3402" w:type="dxa"/>
            <w:vAlign w:val="center"/>
          </w:tcPr>
          <w:p>
            <w:pPr>
              <w:pStyle w:val="14"/>
            </w:pPr>
            <w:r>
              <w:t>一、一般公共服务支出</w:t>
            </w:r>
          </w:p>
        </w:tc>
        <w:tc>
          <w:tcPr>
            <w:tcW w:w="1474" w:type="dxa"/>
            <w:vAlign w:val="center"/>
          </w:tcPr>
          <w:p>
            <w:pPr>
              <w:pStyle w:val="13"/>
            </w:pPr>
            <w:r>
              <w:t>183.01</w:t>
            </w:r>
          </w:p>
        </w:tc>
        <w:tc>
          <w:tcPr>
            <w:tcW w:w="1474" w:type="dxa"/>
            <w:vAlign w:val="center"/>
          </w:tcPr>
          <w:p>
            <w:pPr>
              <w:pStyle w:val="13"/>
            </w:pPr>
            <w:r>
              <w:t>183.01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6"/>
            </w:pPr>
            <w:r>
              <w:t>本年收入合计</w:t>
            </w:r>
          </w:p>
        </w:tc>
        <w:tc>
          <w:tcPr>
            <w:tcW w:w="1474" w:type="dxa"/>
            <w:vAlign w:val="center"/>
          </w:tcPr>
          <w:p>
            <w:pPr>
              <w:pStyle w:val="17"/>
            </w:pPr>
            <w:r>
              <w:t>183.01</w:t>
            </w:r>
          </w:p>
        </w:tc>
        <w:tc>
          <w:tcPr>
            <w:tcW w:w="3402" w:type="dxa"/>
            <w:vAlign w:val="center"/>
          </w:tcPr>
          <w:p>
            <w:pPr>
              <w:pStyle w:val="16"/>
            </w:pPr>
            <w:r>
              <w:t>本年支出合计</w:t>
            </w:r>
          </w:p>
        </w:tc>
        <w:tc>
          <w:tcPr>
            <w:tcW w:w="1474" w:type="dxa"/>
            <w:vAlign w:val="center"/>
          </w:tcPr>
          <w:p>
            <w:pPr>
              <w:pStyle w:val="17"/>
            </w:pPr>
            <w:r>
              <w:t>183.01</w:t>
            </w:r>
          </w:p>
        </w:tc>
        <w:tc>
          <w:tcPr>
            <w:tcW w:w="1474" w:type="dxa"/>
            <w:vAlign w:val="center"/>
          </w:tcPr>
          <w:p>
            <w:pPr>
              <w:pStyle w:val="17"/>
            </w:pPr>
            <w:r>
              <w:t>183.01</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6"/>
            </w:pPr>
            <w:r>
              <w:t>收入总计</w:t>
            </w:r>
          </w:p>
        </w:tc>
        <w:tc>
          <w:tcPr>
            <w:tcW w:w="1474" w:type="dxa"/>
            <w:vAlign w:val="center"/>
          </w:tcPr>
          <w:p>
            <w:pPr>
              <w:pStyle w:val="17"/>
            </w:pPr>
            <w:r>
              <w:t>183.01</w:t>
            </w:r>
          </w:p>
        </w:tc>
        <w:tc>
          <w:tcPr>
            <w:tcW w:w="3402" w:type="dxa"/>
            <w:vAlign w:val="center"/>
          </w:tcPr>
          <w:p>
            <w:pPr>
              <w:pStyle w:val="16"/>
            </w:pPr>
            <w:r>
              <w:t>支出总计</w:t>
            </w:r>
          </w:p>
        </w:tc>
        <w:tc>
          <w:tcPr>
            <w:tcW w:w="1474" w:type="dxa"/>
            <w:vAlign w:val="center"/>
          </w:tcPr>
          <w:p>
            <w:pPr>
              <w:pStyle w:val="17"/>
            </w:pPr>
            <w:r>
              <w:t>183.01</w:t>
            </w:r>
          </w:p>
        </w:tc>
        <w:tc>
          <w:tcPr>
            <w:tcW w:w="1474" w:type="dxa"/>
            <w:vAlign w:val="center"/>
          </w:tcPr>
          <w:p>
            <w:pPr>
              <w:pStyle w:val="17"/>
            </w:pPr>
            <w:r>
              <w:t>183.01</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0"/>
      </w:pPr>
      <w:bookmarkStart w:id="5" w:name="_Toc32403"/>
      <w:r>
        <w:rPr>
          <w:rFonts w:ascii="方正小标宋_GBK" w:hAnsi="方正小标宋_GBK" w:eastAsia="方正小标宋_GBK" w:cs="方正小标宋_GBK"/>
          <w:color w:val="000000"/>
          <w:sz w:val="36"/>
        </w:rPr>
        <w:t>单位预算一般公共预算财政拨款支出表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213001中国共产党石家庄市藁城区委员会统战部本级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183.01</w:t>
            </w:r>
          </w:p>
        </w:tc>
        <w:tc>
          <w:tcPr>
            <w:tcW w:w="2551" w:type="dxa"/>
            <w:vAlign w:val="center"/>
          </w:tcPr>
          <w:p>
            <w:pPr>
              <w:pStyle w:val="17"/>
            </w:pPr>
            <w:r>
              <w:t>155.77</w:t>
            </w:r>
          </w:p>
        </w:tc>
        <w:tc>
          <w:tcPr>
            <w:tcW w:w="2551" w:type="dxa"/>
            <w:vAlign w:val="center"/>
          </w:tcPr>
          <w:p>
            <w:pPr>
              <w:pStyle w:val="17"/>
            </w:pPr>
            <w:r>
              <w:t>27.24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183.01</w:t>
            </w:r>
          </w:p>
        </w:tc>
        <w:tc>
          <w:tcPr>
            <w:tcW w:w="2551" w:type="dxa"/>
            <w:vAlign w:val="center"/>
          </w:tcPr>
          <w:p>
            <w:pPr>
              <w:pStyle w:val="13"/>
            </w:pPr>
            <w:r>
              <w:t>155.77</w:t>
            </w:r>
          </w:p>
        </w:tc>
        <w:tc>
          <w:tcPr>
            <w:tcW w:w="2551" w:type="dxa"/>
            <w:vAlign w:val="center"/>
          </w:tcPr>
          <w:p>
            <w:pPr>
              <w:pStyle w:val="13"/>
            </w:pPr>
            <w:r>
              <w:t>27.24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20134</w:t>
            </w:r>
          </w:p>
        </w:tc>
        <w:tc>
          <w:tcPr>
            <w:tcW w:w="4535" w:type="dxa"/>
            <w:vAlign w:val="center"/>
          </w:tcPr>
          <w:p>
            <w:pPr>
              <w:pStyle w:val="14"/>
            </w:pPr>
            <w:r>
              <w:t>统战事务</w:t>
            </w:r>
          </w:p>
        </w:tc>
        <w:tc>
          <w:tcPr>
            <w:tcW w:w="2551" w:type="dxa"/>
            <w:vAlign w:val="center"/>
          </w:tcPr>
          <w:p>
            <w:pPr>
              <w:pStyle w:val="13"/>
            </w:pPr>
            <w:r>
              <w:t>183.01</w:t>
            </w:r>
          </w:p>
        </w:tc>
        <w:tc>
          <w:tcPr>
            <w:tcW w:w="2551" w:type="dxa"/>
            <w:vAlign w:val="center"/>
          </w:tcPr>
          <w:p>
            <w:pPr>
              <w:pStyle w:val="13"/>
            </w:pPr>
            <w:r>
              <w:t>155.77</w:t>
            </w:r>
          </w:p>
        </w:tc>
        <w:tc>
          <w:tcPr>
            <w:tcW w:w="2551" w:type="dxa"/>
            <w:vAlign w:val="center"/>
          </w:tcPr>
          <w:p>
            <w:pPr>
              <w:pStyle w:val="13"/>
            </w:pPr>
            <w:r>
              <w:t>27.24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2013401</w:t>
            </w:r>
          </w:p>
        </w:tc>
        <w:tc>
          <w:tcPr>
            <w:tcW w:w="4535" w:type="dxa"/>
            <w:vAlign w:val="center"/>
          </w:tcPr>
          <w:p>
            <w:pPr>
              <w:pStyle w:val="14"/>
            </w:pPr>
            <w:r>
              <w:t>行政运行</w:t>
            </w:r>
          </w:p>
        </w:tc>
        <w:tc>
          <w:tcPr>
            <w:tcW w:w="2551" w:type="dxa"/>
            <w:vAlign w:val="center"/>
          </w:tcPr>
          <w:p>
            <w:pPr>
              <w:pStyle w:val="13"/>
            </w:pPr>
            <w:r>
              <w:t>155.77</w:t>
            </w:r>
          </w:p>
        </w:tc>
        <w:tc>
          <w:tcPr>
            <w:tcW w:w="2551" w:type="dxa"/>
            <w:vAlign w:val="center"/>
          </w:tcPr>
          <w:p>
            <w:pPr>
              <w:pStyle w:val="13"/>
            </w:pPr>
            <w:r>
              <w:t>155.77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2013402</w:t>
            </w:r>
          </w:p>
        </w:tc>
        <w:tc>
          <w:tcPr>
            <w:tcW w:w="4535" w:type="dxa"/>
            <w:vAlign w:val="center"/>
          </w:tcPr>
          <w:p>
            <w:pPr>
              <w:pStyle w:val="14"/>
            </w:pPr>
            <w:r>
              <w:t>一般行政管理事务</w:t>
            </w:r>
          </w:p>
        </w:tc>
        <w:tc>
          <w:tcPr>
            <w:tcW w:w="2551" w:type="dxa"/>
            <w:vAlign w:val="center"/>
          </w:tcPr>
          <w:p>
            <w:pPr>
              <w:pStyle w:val="13"/>
            </w:pPr>
            <w:r>
              <w:t>17.00</w:t>
            </w:r>
          </w:p>
        </w:tc>
        <w:tc>
          <w:tcPr>
            <w:tcW w:w="2551" w:type="dxa"/>
            <w:vAlign w:val="center"/>
          </w:tcPr>
          <w:p>
            <w:pPr>
              <w:pStyle w:val="13"/>
            </w:pPr>
          </w:p>
        </w:tc>
        <w:tc>
          <w:tcPr>
            <w:tcW w:w="2551" w:type="dxa"/>
            <w:vAlign w:val="center"/>
          </w:tcPr>
          <w:p>
            <w:pPr>
              <w:pStyle w:val="13"/>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2013404</w:t>
            </w:r>
          </w:p>
        </w:tc>
        <w:tc>
          <w:tcPr>
            <w:tcW w:w="4535" w:type="dxa"/>
            <w:vAlign w:val="center"/>
          </w:tcPr>
          <w:p>
            <w:pPr>
              <w:pStyle w:val="14"/>
            </w:pPr>
            <w:r>
              <w:t>宗教事务</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2013405</w:t>
            </w:r>
          </w:p>
        </w:tc>
        <w:tc>
          <w:tcPr>
            <w:tcW w:w="4535" w:type="dxa"/>
            <w:vAlign w:val="center"/>
          </w:tcPr>
          <w:p>
            <w:pPr>
              <w:pStyle w:val="14"/>
            </w:pPr>
            <w:r>
              <w:t>华侨事务</w:t>
            </w:r>
          </w:p>
        </w:tc>
        <w:tc>
          <w:tcPr>
            <w:tcW w:w="2551" w:type="dxa"/>
            <w:vAlign w:val="center"/>
          </w:tcPr>
          <w:p>
            <w:pPr>
              <w:pStyle w:val="13"/>
            </w:pPr>
            <w:r>
              <w:t>0.24</w:t>
            </w:r>
          </w:p>
        </w:tc>
        <w:tc>
          <w:tcPr>
            <w:tcW w:w="2551" w:type="dxa"/>
            <w:vAlign w:val="center"/>
          </w:tcPr>
          <w:p>
            <w:pPr>
              <w:pStyle w:val="13"/>
            </w:pPr>
          </w:p>
        </w:tc>
        <w:tc>
          <w:tcPr>
            <w:tcW w:w="2551" w:type="dxa"/>
            <w:vAlign w:val="center"/>
          </w:tcPr>
          <w:p>
            <w:pPr>
              <w:pStyle w:val="13"/>
            </w:pPr>
            <w:r>
              <w:t>0.24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0"/>
      </w:pPr>
      <w:bookmarkStart w:id="6" w:name="_Toc7075"/>
      <w:r>
        <w:rPr>
          <w:rFonts w:ascii="方正小标宋_GBK" w:hAnsi="方正小标宋_GBK" w:eastAsia="方正小标宋_GBK" w:cs="方正小标宋_GBK"/>
          <w:color w:val="000000"/>
          <w:sz w:val="36"/>
        </w:rPr>
        <w:t>单位预算一般公共预算财政拨款基本支出表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213001中国共产党石家庄市藁城区委员会统战部本级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155.77</w:t>
            </w:r>
          </w:p>
        </w:tc>
        <w:tc>
          <w:tcPr>
            <w:tcW w:w="2551" w:type="dxa"/>
            <w:vAlign w:val="center"/>
          </w:tcPr>
          <w:p>
            <w:pPr>
              <w:pStyle w:val="17"/>
            </w:pPr>
            <w:r>
              <w:t>140.35</w:t>
            </w:r>
          </w:p>
        </w:tc>
        <w:tc>
          <w:tcPr>
            <w:tcW w:w="2551" w:type="dxa"/>
            <w:vAlign w:val="center"/>
          </w:tcPr>
          <w:p>
            <w:pPr>
              <w:pStyle w:val="17"/>
            </w:pPr>
            <w:r>
              <w:t>15.41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140.35</w:t>
            </w:r>
          </w:p>
        </w:tc>
        <w:tc>
          <w:tcPr>
            <w:tcW w:w="2551" w:type="dxa"/>
            <w:vAlign w:val="center"/>
          </w:tcPr>
          <w:p>
            <w:pPr>
              <w:pStyle w:val="13"/>
            </w:pPr>
            <w:r>
              <w:t>140.35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34.94</w:t>
            </w:r>
          </w:p>
        </w:tc>
        <w:tc>
          <w:tcPr>
            <w:tcW w:w="2551" w:type="dxa"/>
            <w:vAlign w:val="center"/>
          </w:tcPr>
          <w:p>
            <w:pPr>
              <w:pStyle w:val="13"/>
            </w:pPr>
            <w:r>
              <w:t>34.94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57.23</w:t>
            </w:r>
          </w:p>
        </w:tc>
        <w:tc>
          <w:tcPr>
            <w:tcW w:w="2551" w:type="dxa"/>
            <w:vAlign w:val="center"/>
          </w:tcPr>
          <w:p>
            <w:pPr>
              <w:pStyle w:val="13"/>
            </w:pPr>
            <w:r>
              <w:t>57.23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2.91</w:t>
            </w:r>
          </w:p>
        </w:tc>
        <w:tc>
          <w:tcPr>
            <w:tcW w:w="2551" w:type="dxa"/>
            <w:vAlign w:val="center"/>
          </w:tcPr>
          <w:p>
            <w:pPr>
              <w:pStyle w:val="13"/>
            </w:pPr>
            <w:r>
              <w:t>2.91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12.59</w:t>
            </w:r>
          </w:p>
        </w:tc>
        <w:tc>
          <w:tcPr>
            <w:tcW w:w="2551" w:type="dxa"/>
            <w:vAlign w:val="center"/>
          </w:tcPr>
          <w:p>
            <w:pPr>
              <w:pStyle w:val="13"/>
            </w:pPr>
            <w:r>
              <w:t>12.59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6.61</w:t>
            </w:r>
          </w:p>
        </w:tc>
        <w:tc>
          <w:tcPr>
            <w:tcW w:w="2551" w:type="dxa"/>
            <w:vAlign w:val="center"/>
          </w:tcPr>
          <w:p>
            <w:pPr>
              <w:pStyle w:val="13"/>
            </w:pPr>
            <w:r>
              <w:t>6.61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5.11</w:t>
            </w:r>
          </w:p>
        </w:tc>
        <w:tc>
          <w:tcPr>
            <w:tcW w:w="2551" w:type="dxa"/>
            <w:vAlign w:val="center"/>
          </w:tcPr>
          <w:p>
            <w:pPr>
              <w:pStyle w:val="13"/>
            </w:pPr>
            <w:r>
              <w:t>5.11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10.54</w:t>
            </w:r>
          </w:p>
        </w:tc>
        <w:tc>
          <w:tcPr>
            <w:tcW w:w="2551" w:type="dxa"/>
            <w:vAlign w:val="center"/>
          </w:tcPr>
          <w:p>
            <w:pPr>
              <w:pStyle w:val="13"/>
            </w:pPr>
            <w:r>
              <w:t>10.54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10.43</w:t>
            </w:r>
          </w:p>
        </w:tc>
        <w:tc>
          <w:tcPr>
            <w:tcW w:w="2551" w:type="dxa"/>
            <w:vAlign w:val="center"/>
          </w:tcPr>
          <w:p>
            <w:pPr>
              <w:pStyle w:val="13"/>
            </w:pPr>
            <w:r>
              <w:t>10.43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15.41</w:t>
            </w:r>
          </w:p>
        </w:tc>
        <w:tc>
          <w:tcPr>
            <w:tcW w:w="2551" w:type="dxa"/>
            <w:vAlign w:val="center"/>
          </w:tcPr>
          <w:p>
            <w:pPr>
              <w:pStyle w:val="13"/>
            </w:pPr>
          </w:p>
        </w:tc>
        <w:tc>
          <w:tcPr>
            <w:tcW w:w="2551" w:type="dxa"/>
            <w:vAlign w:val="center"/>
          </w:tcPr>
          <w:p>
            <w:pPr>
              <w:pStyle w:val="13"/>
            </w:pPr>
            <w:r>
              <w:t>15.41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2.40</w:t>
            </w:r>
          </w:p>
        </w:tc>
        <w:tc>
          <w:tcPr>
            <w:tcW w:w="2551" w:type="dxa"/>
            <w:vAlign w:val="center"/>
          </w:tcPr>
          <w:p>
            <w:pPr>
              <w:pStyle w:val="13"/>
            </w:pPr>
          </w:p>
        </w:tc>
        <w:tc>
          <w:tcPr>
            <w:tcW w:w="2551" w:type="dxa"/>
            <w:vAlign w:val="center"/>
          </w:tcPr>
          <w:p>
            <w:pPr>
              <w:pStyle w:val="13"/>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4.51</w:t>
            </w:r>
          </w:p>
        </w:tc>
        <w:tc>
          <w:tcPr>
            <w:tcW w:w="2551" w:type="dxa"/>
            <w:vAlign w:val="center"/>
          </w:tcPr>
          <w:p>
            <w:pPr>
              <w:pStyle w:val="13"/>
            </w:pPr>
          </w:p>
        </w:tc>
        <w:tc>
          <w:tcPr>
            <w:tcW w:w="2551" w:type="dxa"/>
            <w:vAlign w:val="center"/>
          </w:tcPr>
          <w:p>
            <w:pPr>
              <w:pStyle w:val="13"/>
            </w:pPr>
            <w:r>
              <w:t>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0.74</w:t>
            </w:r>
          </w:p>
        </w:tc>
        <w:tc>
          <w:tcPr>
            <w:tcW w:w="2551" w:type="dxa"/>
            <w:vAlign w:val="center"/>
          </w:tcPr>
          <w:p>
            <w:pPr>
              <w:pStyle w:val="13"/>
            </w:pPr>
          </w:p>
        </w:tc>
        <w:tc>
          <w:tcPr>
            <w:tcW w:w="2551" w:type="dxa"/>
            <w:vAlign w:val="center"/>
          </w:tcPr>
          <w:p>
            <w:pPr>
              <w:pStyle w:val="13"/>
            </w:pPr>
            <w:r>
              <w:t>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0.87</w:t>
            </w:r>
          </w:p>
        </w:tc>
        <w:tc>
          <w:tcPr>
            <w:tcW w:w="2551" w:type="dxa"/>
            <w:vAlign w:val="center"/>
          </w:tcPr>
          <w:p>
            <w:pPr>
              <w:pStyle w:val="13"/>
            </w:pPr>
          </w:p>
        </w:tc>
        <w:tc>
          <w:tcPr>
            <w:tcW w:w="2551" w:type="dxa"/>
            <w:vAlign w:val="center"/>
          </w:tcPr>
          <w:p>
            <w:pPr>
              <w:pStyle w:val="13"/>
            </w:pPr>
            <w:r>
              <w:t>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6.12</w:t>
            </w:r>
          </w:p>
        </w:tc>
        <w:tc>
          <w:tcPr>
            <w:tcW w:w="2551" w:type="dxa"/>
            <w:vAlign w:val="center"/>
          </w:tcPr>
          <w:p>
            <w:pPr>
              <w:pStyle w:val="13"/>
            </w:pPr>
          </w:p>
        </w:tc>
        <w:tc>
          <w:tcPr>
            <w:tcW w:w="2551" w:type="dxa"/>
            <w:vAlign w:val="center"/>
          </w:tcPr>
          <w:p>
            <w:pPr>
              <w:pStyle w:val="13"/>
            </w:pPr>
            <w:r>
              <w:t>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0.76</w:t>
            </w:r>
          </w:p>
        </w:tc>
        <w:tc>
          <w:tcPr>
            <w:tcW w:w="2551" w:type="dxa"/>
            <w:vAlign w:val="center"/>
          </w:tcPr>
          <w:p>
            <w:pPr>
              <w:pStyle w:val="13"/>
            </w:pPr>
          </w:p>
        </w:tc>
        <w:tc>
          <w:tcPr>
            <w:tcW w:w="2551" w:type="dxa"/>
            <w:vAlign w:val="center"/>
          </w:tcPr>
          <w:p>
            <w:pPr>
              <w:pStyle w:val="13"/>
            </w:pPr>
            <w:r>
              <w:t>0.76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0"/>
      </w:pPr>
      <w:bookmarkStart w:id="7" w:name="_Toc12758"/>
      <w:r>
        <w:rPr>
          <w:rFonts w:ascii="方正小标宋_GBK" w:hAnsi="方正小标宋_GBK" w:eastAsia="方正小标宋_GBK" w:cs="方正小标宋_GBK"/>
          <w:color w:val="000000"/>
          <w:sz w:val="36"/>
        </w:rPr>
        <w:t>单位预算政府基金预算财政拨款支出表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213001中国共产党石家庄市藁城区委员会统战部本级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0"/>
      </w:pPr>
      <w:bookmarkStart w:id="8" w:name="_Toc8711"/>
      <w:r>
        <w:rPr>
          <w:rFonts w:ascii="方正小标宋_GBK" w:hAnsi="方正小标宋_GBK" w:eastAsia="方正小标宋_GBK" w:cs="方正小标宋_GBK"/>
          <w:color w:val="000000"/>
          <w:sz w:val="36"/>
        </w:rPr>
        <w:t>单位预算国有资本经营预算财政拨款支出表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213001中国共产党石家庄市藁城区委员会统战部本级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0"/>
      </w:pPr>
      <w:bookmarkStart w:id="9" w:name="_Toc2119"/>
      <w:r>
        <w:rPr>
          <w:rFonts w:ascii="方正小标宋_GBK" w:hAnsi="方正小标宋_GBK" w:eastAsia="方正小标宋_GBK" w:cs="方正小标宋_GBK"/>
          <w:color w:val="000000"/>
          <w:sz w:val="36"/>
        </w:rPr>
        <w:t>单位预算财政拨款“三公”经费支出表</w:t>
      </w:r>
      <w:bookmarkEnd w:id="9"/>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213001中国共产党石家庄市藁城区委员会统战部本级</w:t>
            </w:r>
          </w:p>
        </w:tc>
        <w:tc>
          <w:tcPr>
            <w:tcW w:w="2381" w:type="dxa"/>
            <w:tcBorders>
              <w:top w:val="single" w:color="FFFFFF" w:sz="6" w:space="0"/>
              <w:left w:val="single" w:color="FFFFFF" w:sz="6" w:space="0"/>
              <w:right w:val="single" w:color="FFFFFF" w:sz="6" w:space="0"/>
            </w:tcBorders>
            <w:vAlign w:val="center"/>
          </w:tcPr>
          <w:p>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pPr>
      <w:bookmarkStart w:id="10" w:name="_Toc896"/>
      <w:r>
        <w:rPr>
          <w:rFonts w:ascii="方正小标宋_GBK" w:hAnsi="方正小标宋_GBK" w:eastAsia="方正小标宋_GBK" w:cs="方正小标宋_GBK"/>
          <w:b w:val="0"/>
          <w:color w:val="000000"/>
          <w:sz w:val="44"/>
        </w:rPr>
        <w:t>中国共产党石家庄市藁城区委员会统战部本级2022年单位预算信息公开情况说明</w:t>
      </w:r>
      <w:bookmarkEnd w:id="10"/>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按照《预算法》、《地方预决算公开操作规程》和《关于进一步推进预算公开工作的实施意见》规定，现将中国共产党石家庄市藁城区委员会统战部本级2022年单位预算公开如下：</w:t>
      </w:r>
    </w:p>
    <w:p>
      <w:pPr>
        <w:spacing w:before="10" w:after="10" w:line="240" w:lineRule="auto"/>
        <w:ind w:firstLine="640"/>
        <w:jc w:val="left"/>
        <w:outlineLvl w:val="0"/>
      </w:pPr>
      <w:bookmarkStart w:id="11" w:name="_Toc20630"/>
      <w:r>
        <w:rPr>
          <w:rFonts w:ascii="黑体" w:hAnsi="黑体" w:eastAsia="黑体" w:cs="黑体"/>
          <w:color w:val="000000"/>
          <w:sz w:val="32"/>
        </w:rPr>
        <w:t>一、单位职责及机构设置情况</w:t>
      </w:r>
      <w:bookmarkEnd w:id="11"/>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一）贯彻落实加强党对统一战线工作集中统一领导的要求，发挥区委在统战工作方面的参谋机构、组织协调机构、具体执行机构、督促检查机构作用，了解情况、掌握政策、协调关系、安排人事、增进共识、加强团结，协调统一战线各方面关系，组织和落实中央和省委、市委及区委关于统一战线工作重大决策部署，巩固壮大最广泛的统一战线。</w:t>
      </w:r>
    </w:p>
    <w:p>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二）开展统一战线理论研究，贯彻落实统一战线工作的政策、地方性法规，深入调查研究，及时向区委报告统一战线工作情况并提出建议，统筹协调和指导各乡镇、石家庄经济技术开发区、藁城经济开发区和区直各部门统一战线工作。</w:t>
      </w:r>
    </w:p>
    <w:p>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三）负责发现、培养党外代表人士，负责党外人士的政治安排，会同有关部门做好安排党外人士担任政府和司法机关等领导职务的工作，协助民主党派、区工商联做好干部管理工作，反映和协调解决党外代表人士工作生活中的实际困难。</w:t>
      </w:r>
    </w:p>
    <w:p>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（四）贯彻落实党的宣传工作方针，统筹推进全区统一战线宣传工作，拟订全区统一战线宣传工作规划并组织实施，研判涉及统一战线的舆情并协调有关部门应对处置。</w:t>
      </w:r>
    </w:p>
    <w:p>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五）负责联系各民主党派，通报情况、反映意见，贯彻落实中国共产党领导的多党合作和政治协商制度以及对民主党派的方针政策，支持、帮助民主党派加强自身建设，做好支持民主党派履行职责、发挥作用的工作。</w:t>
      </w:r>
    </w:p>
    <w:p>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六）统一领导民族宗教工作，贯彻落实党的民族宗教工作方针和政策，拟订民族宗教工作的政策措施并督导落实，协调处理民族宗教工作中的重大问题，归口领导区民族宗教事务局，全面促进民族宗教事业发展，维护全区民族宗教领域和谐稳定。</w:t>
      </w:r>
    </w:p>
    <w:p>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七）负责联系、培养无党派代表人士，支持、帮助无党派人士加强自身建设，发挥作用。调查研究党外知识分子和新的社会阶层人士情况并提出政策建议，联系、培养党外知识分子和新的社会阶层表人士，开展思想政治工作，指导企业等有关单位和社会组织开展党外知识分子和新的社会阶层人士统战工作。</w:t>
      </w:r>
    </w:p>
    <w:p>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八）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人士健康成长。</w:t>
      </w:r>
    </w:p>
    <w:p>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九）统一领导全区海外统战工作，牵头开展港澳统战工作。贯彻落实党的海外统战工作政策措施，并组织协调、督促检查落实，对香港、澳门地区统一战线工作进行调查研究并提出意见建议。联系香港、澳门有关党派、团体及代表人士，联系海外有关社团及代表人士。做好统一战线外事管理工作。</w:t>
      </w:r>
    </w:p>
    <w:p>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十）统一管理全区侨务工作，贯彻落实党的侨务工作方针政策并组织协调，督促检查落实，调查研究侨情和侨务工作情况，管理侨务行政事务，统筹协调有关部门和社会团体涉侨工作，联系海外有关侨团和代表人士，指导推动涉侨宣传、文化交流、华文教育工作等，保护华侨和归侨侨眷在区内的合法权利和利益。</w:t>
      </w:r>
    </w:p>
    <w:p>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十一）负责全区涉台工作，贯彻执行党中央、国务院对台工作的方针政策。开展对台工作调查研究并结合我区实际提出对策和建议。组织、指导、管理、协调区委、区政府各部门的对台工作；检查了解各部门对党中央、国务院，省委、省政府，市委、市政府对台方针政策和区委、区政府有关对台工作指示贯彻落实情况。调查研究台湾形势和藁台经贸之间交流往来动向，提出对策建议。统筹协调涉台法律事务。会同有关部门统筹协调和指导对台经贸工作。组织重要台商的投资活动，参与区政府对台大型招商活动。协调、指导全区涉台金融、文化、学术、教育、科技、体育、卫生等领域的交流与合作及藁台人员往来工作。负责我区赴台交流事项的报批和赴台交流人员的行前指导及归后总结工作；负责来我区台胞的接待服务工作。负责全区对台宣传和涉台教育工作。指导全区宣传媒体涉台新闻报道工作；负责全区有关涉台事务的新闻发布；协调、处理区内涉台重大事件；负责对全区对台工作干部的培训工作。指导各民主党派、工商联和其他群众团体有关重点人士、重大活动方面的涉台工作。按中央有关规定，负责全区对台接触的组织实施。</w:t>
      </w:r>
    </w:p>
    <w:p>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（十二）负责统战系统干部的培训工作；协助做好民族宗教部门领导班子成员推荐工作；受区委委托，领导区工商联党组，指导区工商联工作。做好统一战线有关单位和团体的管理工作。</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（十三）完成区委交办的其他任务。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中国共产党石家庄市藁城区委员会统战部本级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0"/>
      </w:pPr>
      <w:bookmarkStart w:id="12" w:name="_Toc4866"/>
      <w:r>
        <w:rPr>
          <w:rFonts w:ascii="黑体" w:hAnsi="黑体" w:eastAsia="黑体" w:cs="黑体"/>
          <w:color w:val="000000"/>
          <w:sz w:val="32"/>
        </w:rPr>
        <w:t>二、单位预算安排的总体情况</w:t>
      </w:r>
      <w:bookmarkEnd w:id="12"/>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1、收入说明</w:t>
      </w:r>
    </w:p>
    <w:p>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反映本单位当年全部收入。2022年预算收入183.01万元，其中：一般公共预算收入183.01万元，基金预算收入0万元，财政专户核拨收入0万元，其他来源收入0万元。</w:t>
      </w:r>
    </w:p>
    <w:p>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2、支出说明</w:t>
      </w:r>
    </w:p>
    <w:p>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收支预算总表支出栏、基本支出表、项目支出表按经济分类和支出功能分类科目编制，反映本单位预算中支出预算的总体情况。2022年单位支出预算为183.01万元，其中基本支出155.77万元，包括人员经费140.35万元和日常公用经费15.41万元；项目支出27.24万元，主要为归国华侨退休职工生活补贴经费支出0.24万元；民营经济统战工作经费支出5万元；民主党派工作经费支出3.5万元；新的社会阶层人士统战工作经费支出5万元；知识分子联谊会活动经费支出3.5万元；民族宗教领域社会稳定专项经费支出10万元。</w:t>
      </w:r>
    </w:p>
    <w:p>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3、比上年增减情况</w:t>
      </w:r>
    </w:p>
    <w:p>
      <w:pPr>
        <w:spacing w:before="0" w:after="0" w:line="500" w:lineRule="exact"/>
        <w:ind w:firstLine="560"/>
        <w:jc w:val="left"/>
        <w:outlineLvl w:val="9"/>
        <w:rPr>
          <w:rFonts w:hint="eastAsia" w:ascii="Times New Roman" w:hAnsi="Times New Roman" w:eastAsia="方正仿宋_GBK" w:cs="Times New Roman"/>
          <w:b w:val="0"/>
          <w:color w:val="000000"/>
          <w:sz w:val="28"/>
          <w:lang w:val="en-US" w:eastAsia="zh-CN"/>
        </w:rPr>
      </w:pPr>
      <w:r>
        <w:rPr>
          <w:rFonts w:hint="eastAsia" w:ascii="Times New Roman" w:hAnsi="Times New Roman" w:eastAsia="方正仿宋_GBK" w:cs="Times New Roman"/>
          <w:b w:val="0"/>
          <w:color w:val="000000"/>
          <w:sz w:val="28"/>
          <w:lang w:val="en-US" w:eastAsia="zh-CN"/>
        </w:rPr>
        <w:t>2022年单位预算收支安排183.01万元，较2021年增加56.2万元，其中：基本支出增加45.2万元，主要是人员增加，相应增加人员经费和日常公用经费；项目支出增加11万元，主要是增加民营经济统战工作经费、民主党派工作经费、新的社会阶层人士统战工作经费、知识分子联谊会活动经费；其他支出无增减变化。</w:t>
      </w:r>
    </w:p>
    <w:p>
      <w:pPr>
        <w:spacing w:before="10" w:after="10" w:line="240" w:lineRule="auto"/>
        <w:ind w:firstLine="640"/>
        <w:jc w:val="left"/>
        <w:outlineLvl w:val="0"/>
      </w:pPr>
      <w:bookmarkStart w:id="13" w:name="_Toc23782"/>
      <w:r>
        <w:rPr>
          <w:rFonts w:ascii="黑体" w:hAnsi="黑体" w:eastAsia="黑体" w:cs="黑体"/>
          <w:color w:val="000000"/>
          <w:sz w:val="32"/>
        </w:rPr>
        <w:t>三、机关运行经费安排情况</w:t>
      </w:r>
      <w:bookmarkEnd w:id="13"/>
    </w:p>
    <w:p>
      <w:pPr>
        <w:pStyle w:val="33"/>
      </w:pPr>
      <w:r>
        <w:rPr>
          <w:rFonts w:hint="eastAsia" w:ascii="Times New Roman" w:hAnsi="Times New Roman" w:eastAsia="方正仿宋_GBK" w:cs="Times New Roman"/>
          <w:b w:val="0"/>
          <w:color w:val="000000"/>
          <w:sz w:val="28"/>
          <w:szCs w:val="24"/>
          <w:lang w:val="en-US" w:eastAsia="zh-CN" w:bidi="ar-SA"/>
        </w:rPr>
        <w:t>2022年，我单位机关运行经费共计安排15.41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240" w:lineRule="auto"/>
        <w:ind w:firstLine="640"/>
        <w:jc w:val="left"/>
        <w:outlineLvl w:val="0"/>
      </w:pPr>
      <w:bookmarkStart w:id="14" w:name="_Toc24886"/>
      <w:r>
        <w:rPr>
          <w:rFonts w:ascii="黑体" w:hAnsi="黑体" w:eastAsia="黑体" w:cs="黑体"/>
          <w:color w:val="000000"/>
          <w:sz w:val="32"/>
        </w:rPr>
        <w:t>四、财政拨款“三公”经费预算情况及增减变化原因</w:t>
      </w:r>
      <w:bookmarkEnd w:id="14"/>
    </w:p>
    <w:p>
      <w:pPr>
        <w:pStyle w:val="34"/>
        <w:rPr>
          <w:rFonts w:hint="eastAsia" w:ascii="Times New Roman" w:hAnsi="Times New Roman" w:eastAsia="方正仿宋_GBK" w:cs="Times New Roman"/>
          <w:b w:val="0"/>
          <w:color w:val="000000"/>
          <w:sz w:val="28"/>
          <w:szCs w:val="24"/>
          <w:lang w:val="en-US" w:eastAsia="zh-CN" w:bidi="ar-SA"/>
        </w:rPr>
      </w:pPr>
      <w:r>
        <w:rPr>
          <w:rFonts w:hint="eastAsia" w:ascii="Times New Roman" w:hAnsi="Times New Roman" w:eastAsia="方正仿宋_GBK" w:cs="Times New Roman"/>
          <w:b w:val="0"/>
          <w:color w:val="000000"/>
          <w:sz w:val="28"/>
          <w:szCs w:val="24"/>
          <w:lang w:val="en-US" w:eastAsia="zh-CN" w:bidi="ar-SA"/>
        </w:rPr>
        <w:t>2022年，我单位财政拨款“三公”经费预算安排0万元，其中：因公出国（境）费0万元；公务用车购置及运维费0万元（其中：公务用车购置费0万元，公务用车运行维护费0万元)；公务接待费0万元。“三公”经费与上年持平，无增减变化。</w:t>
      </w:r>
    </w:p>
    <w:p>
      <w:pPr>
        <w:spacing w:before="10" w:after="10" w:line="240" w:lineRule="auto"/>
        <w:ind w:firstLine="640"/>
        <w:jc w:val="left"/>
        <w:outlineLvl w:val="0"/>
      </w:pPr>
      <w:bookmarkStart w:id="15" w:name="_Toc11777"/>
      <w:r>
        <w:rPr>
          <w:rFonts w:ascii="黑体" w:hAnsi="黑体" w:eastAsia="黑体" w:cs="黑体"/>
          <w:color w:val="000000"/>
          <w:sz w:val="32"/>
        </w:rPr>
        <w:t>五、预算绩效信息</w:t>
      </w:r>
      <w:bookmarkEnd w:id="15"/>
    </w:p>
    <w:p>
      <w:pPr>
        <w:pStyle w:val="26"/>
        <w:spacing w:before="0" w:after="0"/>
        <w:ind w:firstLine="560"/>
        <w:jc w:val="left"/>
        <w:outlineLvl w:val="9"/>
      </w:pPr>
      <w:r>
        <w:rPr>
          <w:rFonts w:ascii="方正仿宋_GBK" w:hAnsi="方正仿宋_GBK" w:eastAsia="方正仿宋_GBK" w:cs="方正仿宋_GBK"/>
          <w:b/>
          <w:color w:val="000000"/>
          <w:sz w:val="28"/>
        </w:rPr>
        <w:t>1、归国华侨退休职工生活补贴经费绩效目标表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1.归侨职工退休补贴</w:t>
            </w:r>
          </w:p>
          <w:p>
            <w:pPr>
              <w:pStyle w:val="28"/>
            </w:pPr>
            <w:r>
              <w:t>2.使广大归侨退休职工的生活得到了基本保障，得到广大归侨侨眷和海外侨胞的衷心拥护和赞扬，较好的凝聚侨心</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归侨职工退休补贴人数</w:t>
            </w:r>
          </w:p>
        </w:tc>
        <w:tc>
          <w:tcPr>
            <w:tcW w:w="2835" w:type="dxa"/>
            <w:vAlign w:val="center"/>
          </w:tcPr>
          <w:p>
            <w:pPr>
              <w:pStyle w:val="28"/>
            </w:pPr>
            <w:r>
              <w:t>归侨职工退休补贴人数</w:t>
            </w:r>
          </w:p>
        </w:tc>
        <w:tc>
          <w:tcPr>
            <w:tcW w:w="2551" w:type="dxa"/>
            <w:vAlign w:val="center"/>
          </w:tcPr>
          <w:p>
            <w:pPr>
              <w:pStyle w:val="28"/>
            </w:pPr>
            <w:r>
              <w:t>2人</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是否全部按标准发放率</w:t>
            </w:r>
          </w:p>
        </w:tc>
        <w:tc>
          <w:tcPr>
            <w:tcW w:w="2835" w:type="dxa"/>
            <w:vAlign w:val="center"/>
          </w:tcPr>
          <w:p>
            <w:pPr>
              <w:pStyle w:val="28"/>
            </w:pPr>
            <w:r>
              <w:t>是否全部按标准发放率</w:t>
            </w:r>
          </w:p>
        </w:tc>
        <w:tc>
          <w:tcPr>
            <w:tcW w:w="2551" w:type="dxa"/>
            <w:vAlign w:val="center"/>
          </w:tcPr>
          <w:p>
            <w:pPr>
              <w:pStyle w:val="28"/>
            </w:pPr>
            <w:r>
              <w:t>100%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按照进度完成支出计划及时率</w:t>
            </w:r>
          </w:p>
        </w:tc>
        <w:tc>
          <w:tcPr>
            <w:tcW w:w="2835" w:type="dxa"/>
            <w:vAlign w:val="center"/>
          </w:tcPr>
          <w:p>
            <w:pPr>
              <w:pStyle w:val="28"/>
            </w:pPr>
            <w:r>
              <w:t>按照进度完成支出计划及时率</w:t>
            </w:r>
          </w:p>
        </w:tc>
        <w:tc>
          <w:tcPr>
            <w:tcW w:w="2551" w:type="dxa"/>
            <w:vAlign w:val="center"/>
          </w:tcPr>
          <w:p>
            <w:pPr>
              <w:pStyle w:val="28"/>
            </w:pPr>
            <w:r>
              <w:t>100%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预算成本</w:t>
            </w:r>
          </w:p>
        </w:tc>
        <w:tc>
          <w:tcPr>
            <w:tcW w:w="2835" w:type="dxa"/>
            <w:vAlign w:val="center"/>
          </w:tcPr>
          <w:p>
            <w:pPr>
              <w:pStyle w:val="28"/>
            </w:pPr>
            <w:r>
              <w:t>严格控制预算成本</w:t>
            </w:r>
          </w:p>
        </w:tc>
        <w:tc>
          <w:tcPr>
            <w:tcW w:w="2551" w:type="dxa"/>
            <w:vAlign w:val="center"/>
          </w:tcPr>
          <w:p>
            <w:pPr>
              <w:pStyle w:val="28"/>
            </w:pPr>
            <w:r>
              <w:t>不超过年度预算</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使归生活得到了基本保障</w:t>
            </w:r>
          </w:p>
        </w:tc>
        <w:tc>
          <w:tcPr>
            <w:tcW w:w="2835" w:type="dxa"/>
            <w:vAlign w:val="center"/>
          </w:tcPr>
          <w:p>
            <w:pPr>
              <w:pStyle w:val="28"/>
            </w:pPr>
            <w:r>
              <w:t>使广大归侨退休职工的生活得到了基本保障，得到广大归侨侨眷和海外侨胞的衷心拥护和赞扬，较好的凝聚侨心。</w:t>
            </w:r>
          </w:p>
        </w:tc>
        <w:tc>
          <w:tcPr>
            <w:tcW w:w="2551" w:type="dxa"/>
            <w:vAlign w:val="center"/>
          </w:tcPr>
          <w:p>
            <w:pPr>
              <w:pStyle w:val="28"/>
            </w:pPr>
            <w:r>
              <w:t>≥100%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归侨职工满意度</w:t>
            </w:r>
          </w:p>
        </w:tc>
        <w:tc>
          <w:tcPr>
            <w:tcW w:w="2835" w:type="dxa"/>
            <w:vAlign w:val="center"/>
          </w:tcPr>
          <w:p>
            <w:pPr>
              <w:pStyle w:val="28"/>
            </w:pPr>
            <w:r>
              <w:t>归侨职工对发放退休后生活补贴的满意度</w:t>
            </w:r>
          </w:p>
        </w:tc>
        <w:tc>
          <w:tcPr>
            <w:tcW w:w="2551" w:type="dxa"/>
            <w:vAlign w:val="center"/>
          </w:tcPr>
          <w:p>
            <w:pPr>
              <w:pStyle w:val="28"/>
            </w:pPr>
            <w:r>
              <w:t>≥90%</w:t>
            </w:r>
          </w:p>
        </w:tc>
        <w:tc>
          <w:tcPr>
            <w:tcW w:w="2268" w:type="dxa"/>
            <w:vAlign w:val="center"/>
          </w:tcPr>
          <w:p>
            <w:pPr>
              <w:pStyle w:val="28"/>
            </w:pPr>
            <w:r>
              <w:t>年度工作计划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2、民营经济统战工作经费绩效目标表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1.通过教育培训和思想引领，提升民营经济人士思想政治水平</w:t>
            </w:r>
          </w:p>
          <w:p>
            <w:pPr>
              <w:pStyle w:val="28"/>
            </w:pPr>
            <w:r>
              <w:t>2.通过调查研究，帮助解决实际困难，进一步优化营商环境，提升企业生产经营和管理水平，为全区经济社会高质量发展做出贡献</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组织开展爱国主义教育活动</w:t>
            </w:r>
          </w:p>
        </w:tc>
        <w:tc>
          <w:tcPr>
            <w:tcW w:w="2835" w:type="dxa"/>
            <w:vAlign w:val="center"/>
          </w:tcPr>
          <w:p>
            <w:pPr>
              <w:pStyle w:val="28"/>
            </w:pPr>
            <w:r>
              <w:t>引导民营经济人士增强爱党爱国情怀</w:t>
            </w:r>
          </w:p>
        </w:tc>
        <w:tc>
          <w:tcPr>
            <w:tcW w:w="2551" w:type="dxa"/>
            <w:vAlign w:val="center"/>
          </w:tcPr>
          <w:p>
            <w:pPr>
              <w:pStyle w:val="28"/>
            </w:pPr>
            <w:r>
              <w:t>≥3次</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数量指标</w:t>
            </w:r>
          </w:p>
        </w:tc>
        <w:tc>
          <w:tcPr>
            <w:tcW w:w="2835" w:type="dxa"/>
            <w:vAlign w:val="center"/>
          </w:tcPr>
          <w:p>
            <w:pPr>
              <w:pStyle w:val="28"/>
            </w:pPr>
            <w:r>
              <w:t>走访慰问民营企业</w:t>
            </w:r>
          </w:p>
        </w:tc>
        <w:tc>
          <w:tcPr>
            <w:tcW w:w="2835" w:type="dxa"/>
            <w:vAlign w:val="center"/>
          </w:tcPr>
          <w:p>
            <w:pPr>
              <w:pStyle w:val="28"/>
            </w:pPr>
            <w:r>
              <w:t>走访慰问民营企业，开展座谈会，进行调研</w:t>
            </w:r>
          </w:p>
        </w:tc>
        <w:tc>
          <w:tcPr>
            <w:tcW w:w="2551" w:type="dxa"/>
            <w:vAlign w:val="center"/>
          </w:tcPr>
          <w:p>
            <w:pPr>
              <w:pStyle w:val="28"/>
            </w:pPr>
            <w:r>
              <w:t>≥3次</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民营经济统战工作完成率</w:t>
            </w:r>
          </w:p>
        </w:tc>
        <w:tc>
          <w:tcPr>
            <w:tcW w:w="2835" w:type="dxa"/>
            <w:vAlign w:val="center"/>
          </w:tcPr>
          <w:p>
            <w:pPr>
              <w:pStyle w:val="28"/>
            </w:pPr>
            <w:r>
              <w:t>民营经济统战工作完成率</w:t>
            </w:r>
          </w:p>
        </w:tc>
        <w:tc>
          <w:tcPr>
            <w:tcW w:w="2551" w:type="dxa"/>
            <w:vAlign w:val="center"/>
          </w:tcPr>
          <w:p>
            <w:pPr>
              <w:pStyle w:val="28"/>
            </w:pPr>
            <w:r>
              <w:t>≥100%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按照进度完成支出计划</w:t>
            </w:r>
          </w:p>
        </w:tc>
        <w:tc>
          <w:tcPr>
            <w:tcW w:w="2835" w:type="dxa"/>
            <w:vAlign w:val="center"/>
          </w:tcPr>
          <w:p>
            <w:pPr>
              <w:pStyle w:val="28"/>
            </w:pPr>
            <w:r>
              <w:t>按照进度完成支出计划</w:t>
            </w:r>
          </w:p>
        </w:tc>
        <w:tc>
          <w:tcPr>
            <w:tcW w:w="2551" w:type="dxa"/>
            <w:vAlign w:val="center"/>
          </w:tcPr>
          <w:p>
            <w:pPr>
              <w:pStyle w:val="28"/>
            </w:pPr>
            <w:r>
              <w:t>≤12月</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预算成本</w:t>
            </w:r>
          </w:p>
        </w:tc>
        <w:tc>
          <w:tcPr>
            <w:tcW w:w="2835" w:type="dxa"/>
            <w:vAlign w:val="center"/>
          </w:tcPr>
          <w:p>
            <w:pPr>
              <w:pStyle w:val="28"/>
            </w:pPr>
            <w:r>
              <w:t>严格控制预算成本</w:t>
            </w:r>
          </w:p>
        </w:tc>
        <w:tc>
          <w:tcPr>
            <w:tcW w:w="2551" w:type="dxa"/>
            <w:vAlign w:val="center"/>
          </w:tcPr>
          <w:p>
            <w:pPr>
              <w:pStyle w:val="28"/>
            </w:pPr>
            <w:r>
              <w:t>≤5万元</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发展民营企业公益组织</w:t>
            </w:r>
          </w:p>
        </w:tc>
        <w:tc>
          <w:tcPr>
            <w:tcW w:w="2835" w:type="dxa"/>
            <w:vAlign w:val="center"/>
          </w:tcPr>
          <w:p>
            <w:pPr>
              <w:pStyle w:val="28"/>
            </w:pPr>
            <w:r>
              <w:t>组织民营企业开展公益慈善活动</w:t>
            </w:r>
          </w:p>
        </w:tc>
        <w:tc>
          <w:tcPr>
            <w:tcW w:w="2551" w:type="dxa"/>
            <w:vAlign w:val="center"/>
          </w:tcPr>
          <w:p>
            <w:pPr>
              <w:pStyle w:val="28"/>
            </w:pPr>
            <w:r>
              <w:t>≥3次</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通过民营经济人士调查问卷形式</w:t>
            </w:r>
          </w:p>
        </w:tc>
        <w:tc>
          <w:tcPr>
            <w:tcW w:w="2835" w:type="dxa"/>
            <w:vAlign w:val="center"/>
          </w:tcPr>
          <w:p>
            <w:pPr>
              <w:pStyle w:val="28"/>
            </w:pPr>
            <w:r>
              <w:t>满意度调查</w:t>
            </w:r>
          </w:p>
        </w:tc>
        <w:tc>
          <w:tcPr>
            <w:tcW w:w="2551" w:type="dxa"/>
            <w:vAlign w:val="center"/>
          </w:tcPr>
          <w:p>
            <w:pPr>
              <w:pStyle w:val="28"/>
            </w:pPr>
            <w:r>
              <w:t>≥90%</w:t>
            </w:r>
          </w:p>
        </w:tc>
        <w:tc>
          <w:tcPr>
            <w:tcW w:w="2268" w:type="dxa"/>
            <w:vAlign w:val="center"/>
          </w:tcPr>
          <w:p>
            <w:pPr>
              <w:pStyle w:val="28"/>
            </w:pPr>
            <w:r>
              <w:t>年度工作计划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3、民主党派工作经费绩效目标表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1.进一步加强中国共产党领导的多党合作和政治协商制度建设</w:t>
            </w:r>
          </w:p>
          <w:p>
            <w:pPr>
              <w:pStyle w:val="28"/>
            </w:pPr>
            <w:r>
              <w:t>2.充分发挥民主党派职能作用</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学习培训</w:t>
            </w:r>
          </w:p>
        </w:tc>
        <w:tc>
          <w:tcPr>
            <w:tcW w:w="2835" w:type="dxa"/>
            <w:vAlign w:val="center"/>
          </w:tcPr>
          <w:p>
            <w:pPr>
              <w:pStyle w:val="28"/>
            </w:pPr>
            <w:r>
              <w:t>每季度组织学习培训</w:t>
            </w:r>
          </w:p>
        </w:tc>
        <w:tc>
          <w:tcPr>
            <w:tcW w:w="2551" w:type="dxa"/>
            <w:vAlign w:val="center"/>
          </w:tcPr>
          <w:p>
            <w:pPr>
              <w:pStyle w:val="28"/>
            </w:pPr>
            <w:r>
              <w:t>≥4次</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组织调研视察活动</w:t>
            </w:r>
          </w:p>
        </w:tc>
        <w:tc>
          <w:tcPr>
            <w:tcW w:w="2835" w:type="dxa"/>
            <w:vAlign w:val="center"/>
          </w:tcPr>
          <w:p>
            <w:pPr>
              <w:pStyle w:val="28"/>
            </w:pPr>
            <w:r>
              <w:t>组织规划开展调研视察活动</w:t>
            </w:r>
          </w:p>
        </w:tc>
        <w:tc>
          <w:tcPr>
            <w:tcW w:w="2551" w:type="dxa"/>
            <w:vAlign w:val="center"/>
          </w:tcPr>
          <w:p>
            <w:pPr>
              <w:pStyle w:val="28"/>
            </w:pPr>
            <w:r>
              <w:t>≥5次</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按照进度完成支出计划</w:t>
            </w:r>
          </w:p>
        </w:tc>
        <w:tc>
          <w:tcPr>
            <w:tcW w:w="2835" w:type="dxa"/>
            <w:vAlign w:val="center"/>
          </w:tcPr>
          <w:p>
            <w:pPr>
              <w:pStyle w:val="28"/>
            </w:pPr>
            <w:r>
              <w:t>按照进度完成支出计划</w:t>
            </w:r>
          </w:p>
        </w:tc>
        <w:tc>
          <w:tcPr>
            <w:tcW w:w="2551" w:type="dxa"/>
            <w:vAlign w:val="center"/>
          </w:tcPr>
          <w:p>
            <w:pPr>
              <w:pStyle w:val="28"/>
            </w:pPr>
            <w:r>
              <w:t>≤12月</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预算控制数</w:t>
            </w:r>
          </w:p>
        </w:tc>
        <w:tc>
          <w:tcPr>
            <w:tcW w:w="2835" w:type="dxa"/>
            <w:vAlign w:val="center"/>
          </w:tcPr>
          <w:p>
            <w:pPr>
              <w:pStyle w:val="28"/>
            </w:pPr>
            <w:r>
              <w:t>厉行节约，基层调研、矛盾排查、政策宣传尽量减少开支</w:t>
            </w:r>
          </w:p>
        </w:tc>
        <w:tc>
          <w:tcPr>
            <w:tcW w:w="2551" w:type="dxa"/>
            <w:vAlign w:val="center"/>
          </w:tcPr>
          <w:p>
            <w:pPr>
              <w:pStyle w:val="28"/>
            </w:pPr>
            <w:r>
              <w:t>≤3.5万元</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组织开展社会服务活动</w:t>
            </w:r>
          </w:p>
        </w:tc>
        <w:tc>
          <w:tcPr>
            <w:tcW w:w="2835" w:type="dxa"/>
            <w:vAlign w:val="center"/>
          </w:tcPr>
          <w:p>
            <w:pPr>
              <w:pStyle w:val="28"/>
            </w:pPr>
            <w:r>
              <w:t>组织规划开展服务社会活动</w:t>
            </w:r>
          </w:p>
        </w:tc>
        <w:tc>
          <w:tcPr>
            <w:tcW w:w="2551" w:type="dxa"/>
            <w:vAlign w:val="center"/>
          </w:tcPr>
          <w:p>
            <w:pPr>
              <w:pStyle w:val="28"/>
            </w:pPr>
            <w:r>
              <w:t>≥3次</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通过民主党派调查问卷形式</w:t>
            </w:r>
          </w:p>
        </w:tc>
        <w:tc>
          <w:tcPr>
            <w:tcW w:w="2835" w:type="dxa"/>
            <w:vAlign w:val="center"/>
          </w:tcPr>
          <w:p>
            <w:pPr>
              <w:pStyle w:val="28"/>
            </w:pPr>
            <w:r>
              <w:t>提升思想政治水平和参政议政能力，加强自身建设</w:t>
            </w:r>
          </w:p>
        </w:tc>
        <w:tc>
          <w:tcPr>
            <w:tcW w:w="2551" w:type="dxa"/>
            <w:vAlign w:val="center"/>
          </w:tcPr>
          <w:p>
            <w:pPr>
              <w:pStyle w:val="28"/>
            </w:pPr>
            <w:r>
              <w:t>≥0.9%</w:t>
            </w:r>
          </w:p>
        </w:tc>
        <w:tc>
          <w:tcPr>
            <w:tcW w:w="2268" w:type="dxa"/>
            <w:vAlign w:val="center"/>
          </w:tcPr>
          <w:p>
            <w:pPr>
              <w:pStyle w:val="28"/>
            </w:pPr>
            <w:r>
              <w:t>年度工作计划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4、新的社会阶层人士统战工作经费绩效目标表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1.加强政治引领，提升思想政治水平</w:t>
            </w:r>
          </w:p>
          <w:p>
            <w:pPr>
              <w:pStyle w:val="28"/>
            </w:pPr>
            <w:r>
              <w:t>2.引导新的社会阶层人士关注民主、服务社会</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组织开展培训学习、服务社会活动</w:t>
            </w:r>
          </w:p>
        </w:tc>
        <w:tc>
          <w:tcPr>
            <w:tcW w:w="2835" w:type="dxa"/>
            <w:vAlign w:val="center"/>
          </w:tcPr>
          <w:p>
            <w:pPr>
              <w:pStyle w:val="28"/>
            </w:pPr>
            <w:r>
              <w:t>引导新的社会阶层人士关注民主、服务社会</w:t>
            </w:r>
          </w:p>
        </w:tc>
        <w:tc>
          <w:tcPr>
            <w:tcW w:w="2551" w:type="dxa"/>
            <w:vAlign w:val="center"/>
          </w:tcPr>
          <w:p>
            <w:pPr>
              <w:pStyle w:val="28"/>
            </w:pPr>
            <w:r>
              <w:t>≥4次</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数量指标</w:t>
            </w:r>
          </w:p>
        </w:tc>
        <w:tc>
          <w:tcPr>
            <w:tcW w:w="2835" w:type="dxa"/>
            <w:vAlign w:val="center"/>
          </w:tcPr>
          <w:p>
            <w:pPr>
              <w:pStyle w:val="28"/>
            </w:pPr>
            <w:r>
              <w:t>走访慰问新的社会阶层人士</w:t>
            </w:r>
          </w:p>
        </w:tc>
        <w:tc>
          <w:tcPr>
            <w:tcW w:w="2835" w:type="dxa"/>
            <w:vAlign w:val="center"/>
          </w:tcPr>
          <w:p>
            <w:pPr>
              <w:pStyle w:val="28"/>
            </w:pPr>
            <w:r>
              <w:t>走访慰问新的社会阶层人士，开展座谈会，进行调研</w:t>
            </w:r>
          </w:p>
        </w:tc>
        <w:tc>
          <w:tcPr>
            <w:tcW w:w="2551" w:type="dxa"/>
            <w:vAlign w:val="center"/>
          </w:tcPr>
          <w:p>
            <w:pPr>
              <w:pStyle w:val="28"/>
            </w:pPr>
            <w:r>
              <w:t>≥3次</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工作专干能力提高</w:t>
            </w:r>
          </w:p>
        </w:tc>
        <w:tc>
          <w:tcPr>
            <w:tcW w:w="2835" w:type="dxa"/>
            <w:vAlign w:val="center"/>
          </w:tcPr>
          <w:p>
            <w:pPr>
              <w:pStyle w:val="28"/>
            </w:pPr>
            <w:r>
              <w:t>工作专干能力提高</w:t>
            </w:r>
          </w:p>
        </w:tc>
        <w:tc>
          <w:tcPr>
            <w:tcW w:w="2551" w:type="dxa"/>
            <w:vAlign w:val="center"/>
          </w:tcPr>
          <w:p>
            <w:pPr>
              <w:pStyle w:val="28"/>
            </w:pPr>
            <w:r>
              <w:t>≥100%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按照进度完成支出计划</w:t>
            </w:r>
          </w:p>
        </w:tc>
        <w:tc>
          <w:tcPr>
            <w:tcW w:w="2835" w:type="dxa"/>
            <w:vAlign w:val="center"/>
          </w:tcPr>
          <w:p>
            <w:pPr>
              <w:pStyle w:val="28"/>
            </w:pPr>
            <w:r>
              <w:t>按照进度完成支出计划</w:t>
            </w:r>
          </w:p>
        </w:tc>
        <w:tc>
          <w:tcPr>
            <w:tcW w:w="2551" w:type="dxa"/>
            <w:vAlign w:val="center"/>
          </w:tcPr>
          <w:p>
            <w:pPr>
              <w:pStyle w:val="28"/>
            </w:pPr>
            <w:r>
              <w:t>≤12月</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预算成本</w:t>
            </w:r>
          </w:p>
        </w:tc>
        <w:tc>
          <w:tcPr>
            <w:tcW w:w="2835" w:type="dxa"/>
            <w:vAlign w:val="center"/>
          </w:tcPr>
          <w:p>
            <w:pPr>
              <w:pStyle w:val="28"/>
            </w:pPr>
            <w:r>
              <w:t>控制预算成本</w:t>
            </w:r>
          </w:p>
        </w:tc>
        <w:tc>
          <w:tcPr>
            <w:tcW w:w="2551" w:type="dxa"/>
            <w:vAlign w:val="center"/>
          </w:tcPr>
          <w:p>
            <w:pPr>
              <w:pStyle w:val="28"/>
            </w:pPr>
            <w:r>
              <w:t>≤5万元</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利用各种渠道扩大协商参与面</w:t>
            </w:r>
          </w:p>
        </w:tc>
        <w:tc>
          <w:tcPr>
            <w:tcW w:w="2835" w:type="dxa"/>
            <w:vAlign w:val="center"/>
          </w:tcPr>
          <w:p>
            <w:pPr>
              <w:pStyle w:val="28"/>
            </w:pPr>
            <w:r>
              <w:t>组织新的社会阶层人士参与到人大协商、政府协商、人民团体协商、基层协商以及社会组织协商中</w:t>
            </w:r>
          </w:p>
        </w:tc>
        <w:tc>
          <w:tcPr>
            <w:tcW w:w="2551" w:type="dxa"/>
            <w:vAlign w:val="center"/>
          </w:tcPr>
          <w:p>
            <w:pPr>
              <w:pStyle w:val="28"/>
            </w:pPr>
            <w:r>
              <w:t>举办社会调研、社会公益等活动不少于3次</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通过新的社会阶层人士调查问卷形式</w:t>
            </w:r>
          </w:p>
        </w:tc>
        <w:tc>
          <w:tcPr>
            <w:tcW w:w="2835" w:type="dxa"/>
            <w:vAlign w:val="center"/>
          </w:tcPr>
          <w:p>
            <w:pPr>
              <w:pStyle w:val="28"/>
            </w:pPr>
            <w:r>
              <w:t>满意度调查</w:t>
            </w:r>
          </w:p>
        </w:tc>
        <w:tc>
          <w:tcPr>
            <w:tcW w:w="2551" w:type="dxa"/>
            <w:vAlign w:val="center"/>
          </w:tcPr>
          <w:p>
            <w:pPr>
              <w:pStyle w:val="28"/>
            </w:pPr>
            <w:r>
              <w:t>≥90%</w:t>
            </w:r>
          </w:p>
        </w:tc>
        <w:tc>
          <w:tcPr>
            <w:tcW w:w="2268" w:type="dxa"/>
            <w:vAlign w:val="center"/>
          </w:tcPr>
          <w:p>
            <w:pPr>
              <w:pStyle w:val="28"/>
            </w:pPr>
            <w:r>
              <w:t>年度工作计划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5、知识分子联谊会活动经费绩效目标表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1.政治引领，培养人才，联谊交友</w:t>
            </w:r>
          </w:p>
          <w:p>
            <w:pPr>
              <w:pStyle w:val="28"/>
            </w:pPr>
            <w:r>
              <w:t>2.建言献策，服务社会</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组织开展爱国主义教育活动、知识分子联谊活动</w:t>
            </w:r>
          </w:p>
        </w:tc>
        <w:tc>
          <w:tcPr>
            <w:tcW w:w="2835" w:type="dxa"/>
            <w:vAlign w:val="center"/>
          </w:tcPr>
          <w:p>
            <w:pPr>
              <w:pStyle w:val="28"/>
            </w:pPr>
            <w:r>
              <w:t>每季度至少安排一次活动</w:t>
            </w:r>
          </w:p>
        </w:tc>
        <w:tc>
          <w:tcPr>
            <w:tcW w:w="2551" w:type="dxa"/>
            <w:vAlign w:val="center"/>
          </w:tcPr>
          <w:p>
            <w:pPr>
              <w:pStyle w:val="28"/>
            </w:pPr>
            <w:r>
              <w:t>≥4次</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联谊交友工作完成率</w:t>
            </w:r>
          </w:p>
        </w:tc>
        <w:tc>
          <w:tcPr>
            <w:tcW w:w="2835" w:type="dxa"/>
            <w:vAlign w:val="center"/>
          </w:tcPr>
          <w:p>
            <w:pPr>
              <w:pStyle w:val="28"/>
            </w:pPr>
            <w:r>
              <w:t>联谊交友工作完成率</w:t>
            </w:r>
          </w:p>
        </w:tc>
        <w:tc>
          <w:tcPr>
            <w:tcW w:w="2551" w:type="dxa"/>
            <w:vAlign w:val="center"/>
          </w:tcPr>
          <w:p>
            <w:pPr>
              <w:pStyle w:val="28"/>
            </w:pPr>
            <w:r>
              <w:t>≥100%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按照进度完成支出计划</w:t>
            </w:r>
          </w:p>
        </w:tc>
        <w:tc>
          <w:tcPr>
            <w:tcW w:w="2835" w:type="dxa"/>
            <w:vAlign w:val="center"/>
          </w:tcPr>
          <w:p>
            <w:pPr>
              <w:pStyle w:val="28"/>
            </w:pPr>
            <w:r>
              <w:t>按照进度完成支出计划</w:t>
            </w:r>
          </w:p>
        </w:tc>
        <w:tc>
          <w:tcPr>
            <w:tcW w:w="2551" w:type="dxa"/>
            <w:vAlign w:val="center"/>
          </w:tcPr>
          <w:p>
            <w:pPr>
              <w:pStyle w:val="28"/>
            </w:pPr>
            <w:r>
              <w:t>≤12月</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预算成本</w:t>
            </w:r>
          </w:p>
        </w:tc>
        <w:tc>
          <w:tcPr>
            <w:tcW w:w="2835" w:type="dxa"/>
            <w:vAlign w:val="center"/>
          </w:tcPr>
          <w:p>
            <w:pPr>
              <w:pStyle w:val="28"/>
            </w:pPr>
            <w:r>
              <w:t>严格控制预算成本</w:t>
            </w:r>
          </w:p>
        </w:tc>
        <w:tc>
          <w:tcPr>
            <w:tcW w:w="2551" w:type="dxa"/>
            <w:vAlign w:val="center"/>
          </w:tcPr>
          <w:p>
            <w:pPr>
              <w:pStyle w:val="28"/>
            </w:pPr>
            <w:r>
              <w:t>≤3.5万元</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组织开展服务社会活动</w:t>
            </w:r>
          </w:p>
        </w:tc>
        <w:tc>
          <w:tcPr>
            <w:tcW w:w="2835" w:type="dxa"/>
            <w:vAlign w:val="center"/>
          </w:tcPr>
          <w:p>
            <w:pPr>
              <w:pStyle w:val="28"/>
            </w:pPr>
            <w:r>
              <w:t>每季度至少安排一次活动</w:t>
            </w:r>
          </w:p>
        </w:tc>
        <w:tc>
          <w:tcPr>
            <w:tcW w:w="2551" w:type="dxa"/>
            <w:vAlign w:val="center"/>
          </w:tcPr>
          <w:p>
            <w:pPr>
              <w:pStyle w:val="28"/>
            </w:pPr>
            <w:r>
              <w:t>≥4次</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通过知识分子调查问卷形式</w:t>
            </w:r>
          </w:p>
        </w:tc>
        <w:tc>
          <w:tcPr>
            <w:tcW w:w="2835" w:type="dxa"/>
            <w:vAlign w:val="center"/>
          </w:tcPr>
          <w:p>
            <w:pPr>
              <w:pStyle w:val="28"/>
            </w:pPr>
            <w:r>
              <w:t>满意度调查</w:t>
            </w:r>
          </w:p>
        </w:tc>
        <w:tc>
          <w:tcPr>
            <w:tcW w:w="2551" w:type="dxa"/>
            <w:vAlign w:val="center"/>
          </w:tcPr>
          <w:p>
            <w:pPr>
              <w:pStyle w:val="28"/>
            </w:pPr>
            <w:r>
              <w:t>≥90%</w:t>
            </w:r>
          </w:p>
        </w:tc>
        <w:tc>
          <w:tcPr>
            <w:tcW w:w="2268" w:type="dxa"/>
            <w:vAlign w:val="center"/>
          </w:tcPr>
          <w:p>
            <w:pPr>
              <w:pStyle w:val="28"/>
            </w:pPr>
            <w:r>
              <w:t>年度工作计划</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6、民族宗教领域社会稳定专项经费绩效目标表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7"/>
            </w:pPr>
            <w:r>
              <w:t>绩效目标</w:t>
            </w:r>
          </w:p>
        </w:tc>
        <w:tc>
          <w:tcPr>
            <w:tcW w:w="12756" w:type="dxa"/>
            <w:tcBorders>
              <w:bottom w:val="single" w:color="FFFFFF" w:sz="6" w:space="0"/>
            </w:tcBorders>
            <w:vAlign w:val="center"/>
          </w:tcPr>
          <w:p>
            <w:pPr>
              <w:pStyle w:val="28"/>
            </w:pPr>
            <w:r>
              <w:t>1.调查研究、协调检查落实有关民族和宗教工作的重大方针、政策问题，教育团结少数民族和宗教界代表人物</w:t>
            </w:r>
          </w:p>
          <w:p>
            <w:pPr>
              <w:pStyle w:val="28"/>
            </w:pPr>
            <w:r>
              <w:t>2.积极引导宗教与社会主义社会相适应，维护宗教领域社会稳定</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27"/>
            </w:pPr>
            <w:r>
              <w:t>一级指标</w:t>
            </w:r>
          </w:p>
        </w:tc>
        <w:tc>
          <w:tcPr>
            <w:tcW w:w="2268" w:type="dxa"/>
            <w:vAlign w:val="center"/>
          </w:tcPr>
          <w:p>
            <w:pPr>
              <w:pStyle w:val="27"/>
            </w:pPr>
            <w:r>
              <w:t>二级指标</w:t>
            </w:r>
          </w:p>
        </w:tc>
        <w:tc>
          <w:tcPr>
            <w:tcW w:w="2835" w:type="dxa"/>
            <w:vAlign w:val="center"/>
          </w:tcPr>
          <w:p>
            <w:pPr>
              <w:pStyle w:val="27"/>
            </w:pPr>
            <w:r>
              <w:t>三级指标</w:t>
            </w:r>
          </w:p>
        </w:tc>
        <w:tc>
          <w:tcPr>
            <w:tcW w:w="2835" w:type="dxa"/>
            <w:vAlign w:val="center"/>
          </w:tcPr>
          <w:p>
            <w:pPr>
              <w:pStyle w:val="27"/>
            </w:pPr>
            <w:r>
              <w:t>绩效指标描述</w:t>
            </w:r>
          </w:p>
        </w:tc>
        <w:tc>
          <w:tcPr>
            <w:tcW w:w="2551" w:type="dxa"/>
            <w:vAlign w:val="center"/>
          </w:tcPr>
          <w:p>
            <w:pPr>
              <w:pStyle w:val="27"/>
            </w:pPr>
            <w:r>
              <w:t>指标值</w:t>
            </w:r>
          </w:p>
        </w:tc>
        <w:tc>
          <w:tcPr>
            <w:tcW w:w="2268"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9"/>
            </w:pPr>
            <w:r>
              <w:t>产出指标</w:t>
            </w:r>
          </w:p>
        </w:tc>
        <w:tc>
          <w:tcPr>
            <w:tcW w:w="2268" w:type="dxa"/>
            <w:vAlign w:val="center"/>
          </w:tcPr>
          <w:p>
            <w:pPr>
              <w:pStyle w:val="28"/>
            </w:pPr>
            <w:r>
              <w:t>数量指标</w:t>
            </w:r>
          </w:p>
        </w:tc>
        <w:tc>
          <w:tcPr>
            <w:tcW w:w="2835" w:type="dxa"/>
            <w:vAlign w:val="center"/>
          </w:tcPr>
          <w:p>
            <w:pPr>
              <w:pStyle w:val="28"/>
            </w:pPr>
            <w:r>
              <w:t>政策宣传</w:t>
            </w:r>
          </w:p>
        </w:tc>
        <w:tc>
          <w:tcPr>
            <w:tcW w:w="2835" w:type="dxa"/>
            <w:vAlign w:val="center"/>
          </w:tcPr>
          <w:p>
            <w:pPr>
              <w:pStyle w:val="28"/>
            </w:pPr>
            <w:r>
              <w:t>进行政策宣传</w:t>
            </w:r>
          </w:p>
        </w:tc>
        <w:tc>
          <w:tcPr>
            <w:tcW w:w="2551" w:type="dxa"/>
            <w:vAlign w:val="center"/>
          </w:tcPr>
          <w:p>
            <w:pPr>
              <w:pStyle w:val="28"/>
            </w:pPr>
            <w:r>
              <w:t>≥4次</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数量指标</w:t>
            </w:r>
          </w:p>
        </w:tc>
        <w:tc>
          <w:tcPr>
            <w:tcW w:w="2835" w:type="dxa"/>
            <w:vAlign w:val="center"/>
          </w:tcPr>
          <w:p>
            <w:pPr>
              <w:pStyle w:val="28"/>
            </w:pPr>
            <w:r>
              <w:t>教育培训、走访慰问</w:t>
            </w:r>
          </w:p>
        </w:tc>
        <w:tc>
          <w:tcPr>
            <w:tcW w:w="2835" w:type="dxa"/>
            <w:vAlign w:val="center"/>
          </w:tcPr>
          <w:p>
            <w:pPr>
              <w:pStyle w:val="28"/>
            </w:pPr>
            <w:r>
              <w:t>下基层进行教育培训、走访慰问</w:t>
            </w:r>
          </w:p>
        </w:tc>
        <w:tc>
          <w:tcPr>
            <w:tcW w:w="2551" w:type="dxa"/>
            <w:vAlign w:val="center"/>
          </w:tcPr>
          <w:p>
            <w:pPr>
              <w:pStyle w:val="28"/>
            </w:pPr>
            <w:r>
              <w:t>≥4次</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质量指标</w:t>
            </w:r>
          </w:p>
        </w:tc>
        <w:tc>
          <w:tcPr>
            <w:tcW w:w="2835" w:type="dxa"/>
            <w:vAlign w:val="center"/>
          </w:tcPr>
          <w:p>
            <w:pPr>
              <w:pStyle w:val="28"/>
            </w:pPr>
            <w:r>
              <w:t>民主党派履行职能有关支持工作完成率</w:t>
            </w:r>
          </w:p>
        </w:tc>
        <w:tc>
          <w:tcPr>
            <w:tcW w:w="2835" w:type="dxa"/>
            <w:vAlign w:val="center"/>
          </w:tcPr>
          <w:p>
            <w:pPr>
              <w:pStyle w:val="28"/>
            </w:pPr>
            <w:r>
              <w:t>民主党派履行职能有关支持工作完成率</w:t>
            </w:r>
          </w:p>
        </w:tc>
        <w:tc>
          <w:tcPr>
            <w:tcW w:w="2551" w:type="dxa"/>
            <w:vAlign w:val="center"/>
          </w:tcPr>
          <w:p>
            <w:pPr>
              <w:pStyle w:val="28"/>
            </w:pPr>
            <w:r>
              <w:t>≥100%</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时效指标</w:t>
            </w:r>
          </w:p>
        </w:tc>
        <w:tc>
          <w:tcPr>
            <w:tcW w:w="2835" w:type="dxa"/>
            <w:vAlign w:val="center"/>
          </w:tcPr>
          <w:p>
            <w:pPr>
              <w:pStyle w:val="28"/>
            </w:pPr>
            <w:r>
              <w:t>按照进度完成支出计划</w:t>
            </w:r>
          </w:p>
        </w:tc>
        <w:tc>
          <w:tcPr>
            <w:tcW w:w="2835" w:type="dxa"/>
            <w:vAlign w:val="center"/>
          </w:tcPr>
          <w:p>
            <w:pPr>
              <w:pStyle w:val="28"/>
            </w:pPr>
            <w:r>
              <w:t>按照进度完成支出计划</w:t>
            </w:r>
          </w:p>
        </w:tc>
        <w:tc>
          <w:tcPr>
            <w:tcW w:w="2551" w:type="dxa"/>
            <w:vAlign w:val="center"/>
          </w:tcPr>
          <w:p>
            <w:pPr>
              <w:pStyle w:val="28"/>
            </w:pPr>
            <w:r>
              <w:t>≤12月</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6"/>
            </w:pPr>
          </w:p>
        </w:tc>
        <w:tc>
          <w:tcPr>
            <w:tcW w:w="2268" w:type="dxa"/>
            <w:vAlign w:val="center"/>
          </w:tcPr>
          <w:p>
            <w:pPr>
              <w:pStyle w:val="28"/>
            </w:pPr>
            <w:r>
              <w:t>成本指标</w:t>
            </w:r>
          </w:p>
        </w:tc>
        <w:tc>
          <w:tcPr>
            <w:tcW w:w="2835" w:type="dxa"/>
            <w:vAlign w:val="center"/>
          </w:tcPr>
          <w:p>
            <w:pPr>
              <w:pStyle w:val="28"/>
            </w:pPr>
            <w:r>
              <w:t>预算成本</w:t>
            </w:r>
          </w:p>
        </w:tc>
        <w:tc>
          <w:tcPr>
            <w:tcW w:w="2835" w:type="dxa"/>
            <w:vAlign w:val="center"/>
          </w:tcPr>
          <w:p>
            <w:pPr>
              <w:pStyle w:val="28"/>
            </w:pPr>
            <w:r>
              <w:t>严格控制预算成本</w:t>
            </w:r>
          </w:p>
        </w:tc>
        <w:tc>
          <w:tcPr>
            <w:tcW w:w="2551" w:type="dxa"/>
            <w:vAlign w:val="center"/>
          </w:tcPr>
          <w:p>
            <w:pPr>
              <w:pStyle w:val="28"/>
            </w:pPr>
            <w:r>
              <w:t>≤10万元</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效益指标</w:t>
            </w:r>
          </w:p>
        </w:tc>
        <w:tc>
          <w:tcPr>
            <w:tcW w:w="2268" w:type="dxa"/>
            <w:vAlign w:val="center"/>
          </w:tcPr>
          <w:p>
            <w:pPr>
              <w:pStyle w:val="28"/>
            </w:pPr>
            <w:r>
              <w:t>社会效益指标</w:t>
            </w:r>
          </w:p>
        </w:tc>
        <w:tc>
          <w:tcPr>
            <w:tcW w:w="2835" w:type="dxa"/>
            <w:vAlign w:val="center"/>
          </w:tcPr>
          <w:p>
            <w:pPr>
              <w:pStyle w:val="28"/>
            </w:pPr>
            <w:r>
              <w:t>宗教领域社会稳定水平</w:t>
            </w:r>
          </w:p>
        </w:tc>
        <w:tc>
          <w:tcPr>
            <w:tcW w:w="2835" w:type="dxa"/>
            <w:vAlign w:val="center"/>
          </w:tcPr>
          <w:p>
            <w:pPr>
              <w:pStyle w:val="28"/>
            </w:pPr>
            <w:r>
              <w:t>通过教育培训提高民族宗教界人士的素质和能力；深入基层调研，矛盾排查，促进宗教领域稳定水平逐步提高</w:t>
            </w:r>
          </w:p>
        </w:tc>
        <w:tc>
          <w:tcPr>
            <w:tcW w:w="2551" w:type="dxa"/>
            <w:vAlign w:val="center"/>
          </w:tcPr>
          <w:p>
            <w:pPr>
              <w:pStyle w:val="28"/>
            </w:pPr>
            <w:r>
              <w:t>确保民族宗教领域社会稳定</w:t>
            </w:r>
          </w:p>
        </w:tc>
        <w:tc>
          <w:tcPr>
            <w:tcW w:w="2268" w:type="dxa"/>
            <w:vAlign w:val="center"/>
          </w:tcPr>
          <w:p>
            <w:pPr>
              <w:pStyle w:val="28"/>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9"/>
            </w:pPr>
            <w:r>
              <w:t>满意度指标</w:t>
            </w:r>
          </w:p>
        </w:tc>
        <w:tc>
          <w:tcPr>
            <w:tcW w:w="2268" w:type="dxa"/>
            <w:vAlign w:val="center"/>
          </w:tcPr>
          <w:p>
            <w:pPr>
              <w:pStyle w:val="28"/>
            </w:pPr>
            <w:r>
              <w:t>服务对象满意度指标</w:t>
            </w:r>
          </w:p>
        </w:tc>
        <w:tc>
          <w:tcPr>
            <w:tcW w:w="2835" w:type="dxa"/>
            <w:vAlign w:val="center"/>
          </w:tcPr>
          <w:p>
            <w:pPr>
              <w:pStyle w:val="28"/>
            </w:pPr>
            <w:r>
              <w:t>民族宗教界人士满意度</w:t>
            </w:r>
          </w:p>
        </w:tc>
        <w:tc>
          <w:tcPr>
            <w:tcW w:w="2835" w:type="dxa"/>
            <w:vAlign w:val="center"/>
          </w:tcPr>
          <w:p>
            <w:pPr>
              <w:pStyle w:val="28"/>
            </w:pPr>
            <w:r>
              <w:t>通过教育培训、基层调研、走访慰问等，提高民族宗教界人士思想政治水平，通过办好事、办实事，感受到党和政府的关心关怀。</w:t>
            </w:r>
          </w:p>
        </w:tc>
        <w:tc>
          <w:tcPr>
            <w:tcW w:w="2551" w:type="dxa"/>
            <w:vAlign w:val="center"/>
          </w:tcPr>
          <w:p>
            <w:pPr>
              <w:pStyle w:val="28"/>
            </w:pPr>
            <w:r>
              <w:t>≥90%</w:t>
            </w:r>
          </w:p>
        </w:tc>
        <w:tc>
          <w:tcPr>
            <w:tcW w:w="2268" w:type="dxa"/>
            <w:vAlign w:val="center"/>
          </w:tcPr>
          <w:p>
            <w:pPr>
              <w:pStyle w:val="28"/>
            </w:pPr>
            <w:r>
              <w:t>年度工作计划</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0"/>
      </w:pPr>
      <w:bookmarkStart w:id="16" w:name="_Toc31579"/>
      <w:r>
        <w:rPr>
          <w:rFonts w:ascii="黑体" w:hAnsi="黑体" w:eastAsia="黑体" w:cs="黑体"/>
          <w:color w:val="000000"/>
          <w:sz w:val="32"/>
        </w:rPr>
        <w:t>六、政府采购预算情况</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2022年，中国共产党石家庄市藁城区委员会统战部本级安排政府采购预算0.00万元。具体内容见下表。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213001中国共产党石家庄市藁城区委员会统战部本级</w:t>
            </w:r>
          </w:p>
        </w:tc>
        <w:tc>
          <w:tcPr>
            <w:tcW w:w="8674"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0"/>
      </w:pPr>
      <w:bookmarkStart w:id="17" w:name="_Toc30021"/>
      <w:r>
        <w:rPr>
          <w:rFonts w:ascii="黑体" w:hAnsi="黑体" w:eastAsia="黑体" w:cs="黑体"/>
          <w:color w:val="000000"/>
          <w:sz w:val="32"/>
        </w:rPr>
        <w:t>七、国有资产信息</w:t>
      </w:r>
      <w:bookmarkEnd w:id="17"/>
    </w:p>
    <w:p>
      <w:pPr>
        <w:ind w:firstLine="560" w:firstLineChars="200"/>
        <w:rPr>
          <w:rFonts w:ascii="仿宋" w:hAnsi="仿宋" w:eastAsia="仿宋"/>
          <w:color w:val="000000"/>
          <w:sz w:val="32"/>
          <w:szCs w:val="32"/>
          <w:lang w:val="uk-UA"/>
        </w:rPr>
      </w:pPr>
      <w:r>
        <w:rPr>
          <w:rFonts w:ascii="Times New Roman" w:hAnsi="Times New Roman" w:eastAsia="方正仿宋_GBK" w:cs="Times New Roman"/>
          <w:b w:val="0"/>
          <w:color w:val="000000"/>
          <w:sz w:val="28"/>
        </w:rPr>
        <w:t>中国共产党石家庄市藁城区委员会统战部本级上年末固定资产金额为</w:t>
      </w:r>
      <w:r>
        <w:rPr>
          <w:rFonts w:hint="eastAsia" w:eastAsia="方正仿宋_GBK" w:cs="Times New Roman"/>
          <w:b w:val="0"/>
          <w:color w:val="000000"/>
          <w:sz w:val="28"/>
          <w:lang w:val="en-US" w:eastAsia="zh-CN"/>
        </w:rPr>
        <w:t>16.66</w:t>
      </w:r>
      <w:r>
        <w:rPr>
          <w:rFonts w:ascii="Times New Roman" w:hAnsi="Times New Roman" w:eastAsia="方正仿宋_GBK" w:cs="Times New Roman"/>
          <w:b w:val="0"/>
          <w:color w:val="000000"/>
          <w:sz w:val="28"/>
        </w:rPr>
        <w:t>万元（详见下表）。本年度拟购置固定资产总额为2.59万元，</w:t>
      </w:r>
      <w:r>
        <w:rPr>
          <w:rFonts w:hint="eastAsia" w:ascii="Times New Roman" w:hAnsi="Times New Roman" w:eastAsia="方正仿宋_GBK" w:cs="Times New Roman"/>
          <w:b w:val="0"/>
          <w:color w:val="000000"/>
          <w:sz w:val="28"/>
          <w:lang w:val="uk-UA"/>
        </w:rPr>
        <w:t>主要为内网设备、复印机、传真机，因未达到政府采购限额，故未列入政府采购预算。</w:t>
      </w:r>
    </w:p>
    <w:p>
      <w:pPr>
        <w:spacing w:before="0" w:after="0" w:line="500" w:lineRule="exact"/>
        <w:ind w:firstLine="560"/>
        <w:jc w:val="left"/>
        <w:outlineLvl w:val="9"/>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213001中国共产党石家庄市藁城区委员会统战部本级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rPr>
                <w:rFonts w:hint="default" w:eastAsia="方正书宋_GBK"/>
                <w:lang w:val="en-US" w:eastAsia="zh-CN"/>
              </w:rPr>
            </w:pPr>
            <w:r>
              <w:t>1</w:t>
            </w:r>
            <w:r>
              <w:rPr>
                <w:rFonts w:hint="eastAsia"/>
                <w:lang w:val="en-US" w:eastAsia="zh-CN"/>
              </w:rPr>
              <w:t>6.66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rPr>
                <w:rFonts w:hint="eastAsia" w:eastAsia="方正书宋_GBK"/>
                <w:lang w:eastAsia="zh-CN"/>
              </w:rPr>
            </w:pPr>
            <w:r>
              <w:t>4</w:t>
            </w:r>
            <w:r>
              <w:rPr>
                <w:rFonts w:hint="eastAsia"/>
                <w:lang w:val="en-US" w:eastAsia="zh-CN"/>
              </w:rPr>
              <w:t>6</w:t>
            </w:r>
          </w:p>
        </w:tc>
        <w:tc>
          <w:tcPr>
            <w:tcW w:w="2835" w:type="dxa"/>
            <w:vAlign w:val="center"/>
          </w:tcPr>
          <w:p>
            <w:pPr>
              <w:pStyle w:val="13"/>
              <w:rPr>
                <w:rFonts w:hint="default" w:eastAsia="方正书宋_GBK"/>
                <w:lang w:val="en-US" w:eastAsia="zh-CN"/>
              </w:rPr>
            </w:pPr>
            <w:r>
              <w:t>16.</w:t>
            </w:r>
            <w:r>
              <w:rPr>
                <w:rFonts w:hint="eastAsia"/>
                <w:lang w:val="en-US" w:eastAsia="zh-CN"/>
              </w:rPr>
              <w:t>66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0"/>
      </w:pPr>
      <w:bookmarkStart w:id="18" w:name="_Toc10771"/>
      <w:r>
        <w:rPr>
          <w:rFonts w:ascii="黑体" w:hAnsi="黑体" w:eastAsia="黑体" w:cs="黑体"/>
          <w:color w:val="000000"/>
          <w:sz w:val="32"/>
        </w:rPr>
        <w:t>八、名词解释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0"/>
      </w:pPr>
      <w:bookmarkStart w:id="19" w:name="_Toc2748"/>
      <w:r>
        <w:rPr>
          <w:rFonts w:ascii="黑体" w:hAnsi="黑体" w:eastAsia="黑体" w:cs="黑体"/>
          <w:color w:val="000000"/>
          <w:sz w:val="32"/>
        </w:rPr>
        <w:t>九、其他需要说明的事项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WU4MzFjZWRlMzcxMzg0NGE0NGE1ODM2ZmU5Mzk3YjAifQ=="/>
  </w:docVars>
  <w:rsids>
    <w:rsidRoot w:val="00000000"/>
    <w:rsid w:val="0A740BA8"/>
    <w:rsid w:val="0BD47E6F"/>
    <w:rsid w:val="24E76C28"/>
    <w:rsid w:val="342D6C73"/>
    <w:rsid w:val="34A23957"/>
    <w:rsid w:val="383B7EAD"/>
    <w:rsid w:val="3A575088"/>
    <w:rsid w:val="3D8C3E77"/>
    <w:rsid w:val="49B000F2"/>
    <w:rsid w:val="66377BFC"/>
    <w:rsid w:val="6AC47E05"/>
    <w:rsid w:val="756E3118"/>
    <w:rsid w:val="77E50D82"/>
    <w:rsid w:val="7EB468A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6fda97ad-7cff-4e3e-a05c-68b4ae267815"/>
    <w:qFormat/>
    <w:uiPriority w:val="0"/>
    <w:rPr>
      <w:rFonts w:ascii="Times New Roman" w:hAnsi="Times New Roman" w:eastAsia="Times New Roman" w:cstheme="minorBidi"/>
      <w:sz w:val="24"/>
      <w:szCs w:val="24"/>
      <w:lang w:val="en-US" w:eastAsia="uk-UA" w:bidi="ar-SA"/>
    </w:rPr>
  </w:style>
  <w:style w:type="paragraph" w:customStyle="1" w:styleId="27">
    <w:name w:val="单元格样式1_58f122ef-1513-45ff-8ab8-6917f6be3170"/>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3f28bd2f-378e-4664-9781-f090c27cc78b"/>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c8a61b1d-7fb8-441b-b85c-f3e5742734f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5">
    <w:name w:val="WPSOffice手动目录 1"/>
    <w:qFormat/>
    <w:uiPriority w:val="0"/>
    <w:pPr>
      <w:ind w:leftChars="0"/>
    </w:pPr>
    <w:rPr>
      <w:rFonts w:asciiTheme="minorHAnsi" w:hAnsiTheme="minorHAnsi" w:eastAsiaTheme="minorEastAsia" w:cstheme="minorBidi"/>
      <w:sz w:val="20"/>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2022-02-14T17:23:15Z</dcterms:created>
  <dcterms:modified xsi:type="dcterms:W3CDTF">2022-02-14T09:23:15Z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2022-02-14T17:22:51Z</dcterms:created>
  <dcterms:modified xsi:type="dcterms:W3CDTF">2022-02-14T09:22:51Z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2022-02-14T17:22:36Z</dcterms:created>
  <dcterms:modified xsi:type="dcterms:W3CDTF">2022-02-14T09:22:36Z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2022-02-14T17:22:20Z</dcterms:created>
  <dcterms:modified xsi:type="dcterms:W3CDTF">2022-02-14T09:22:20Z</dcterms:modified>
</cp:coreProperties>
</file>

<file path=customXml/itemProps1.xml><?xml version="1.0" encoding="utf-8"?>
<ds:datastoreItem xmlns:ds="http://schemas.openxmlformats.org/officeDocument/2006/customXml" ds:itemID="{7ab84fab-eb1e-4bff-8661-6a264e17f0e5}">
  <ds:schemaRefs/>
</ds:datastoreItem>
</file>

<file path=customXml/itemProps2.xml><?xml version="1.0" encoding="utf-8"?>
<ds:datastoreItem xmlns:ds="http://schemas.openxmlformats.org/officeDocument/2006/customXml" ds:itemID="{551bd1e0-71af-4010-b4d9-2f2935c5f4da}">
  <ds:schemaRefs/>
</ds:datastoreItem>
</file>

<file path=customXml/itemProps3.xml><?xml version="1.0" encoding="utf-8"?>
<ds:datastoreItem xmlns:ds="http://schemas.openxmlformats.org/officeDocument/2006/customXml" ds:itemID="{ad2d1829-c97b-41e7-984d-4df0c0132040}">
  <ds:schemaRefs/>
</ds:datastoreItem>
</file>

<file path=customXml/itemProps4.xml><?xml version="1.0" encoding="utf-8"?>
<ds:datastoreItem xmlns:ds="http://schemas.openxmlformats.org/officeDocument/2006/customXml" ds:itemID="{d5df5917-5095-4f0e-9241-a92da5700a09}">
  <ds:schemaRefs/>
</ds:datastoreItem>
</file>

<file path=customXml/itemProps5.xml><?xml version="1.0" encoding="utf-8"?>
<ds:datastoreItem xmlns:ds="http://schemas.openxmlformats.org/officeDocument/2006/customXml" ds:itemID="{4c42a624-f612-4ffe-851b-8bd96907d032}">
  <ds:schemaRefs/>
</ds:datastoreItem>
</file>

<file path=customXml/itemProps6.xml><?xml version="1.0" encoding="utf-8"?>
<ds:datastoreItem xmlns:ds="http://schemas.openxmlformats.org/officeDocument/2006/customXml" ds:itemID="{f4a3963e-faa3-47d1-854f-745fd3ae688e}">
  <ds:schemaRefs/>
</ds:datastoreItem>
</file>

<file path=customXml/itemProps7.xml><?xml version="1.0" encoding="utf-8"?>
<ds:datastoreItem xmlns:ds="http://schemas.openxmlformats.org/officeDocument/2006/customXml" ds:itemID="{19f132fe-f1bb-4a78-b558-774b3d23ed9c}">
  <ds:schemaRefs/>
</ds:datastoreItem>
</file>

<file path=customXml/itemProps8.xml><?xml version="1.0" encoding="utf-8"?>
<ds:datastoreItem xmlns:ds="http://schemas.openxmlformats.org/officeDocument/2006/customXml" ds:itemID="{42a4f6a5-0fe2-4d1c-91e1-a5113467b6d7}">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Office_12.1.0.15358_F1E327BC-269C-435d-A152-05C5408002CA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2022-02-14T17:23:00Z</dcterms:created>
  <dc:creator>Administrator</dc:creator>
  <cp:lastModifiedBy>Administrator</cp:lastModifiedBy>
  <dcterms:modified xsi:type="dcterms:W3CDTF">2023-09-06T06:30:02Z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2052-12.1.0.15358</vt:lpwstr>
  </property>
  <property fmtid="{D5CDD505-2E9C-101B-9397-08002B2CF9AE}" pid="3" name="ICV">
    <vt:lpwstr>027A43C779AE4041BF07DB6C23991E04</vt:lpwstr>
  </property>
</Properties>
</file>