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color w:val="000000"/>
          <w:sz w:val="44"/>
          <w:lang w:eastAsia="zh-CN"/>
        </w:rPr>
      </w:pPr>
      <w:bookmarkStart w:id="0" w:name="_Toc7738"/>
      <w:bookmarkStart w:id="1" w:name="_Toc16931"/>
      <w:bookmarkStart w:id="2" w:name="_Toc11396"/>
      <w:bookmarkStart w:id="3" w:name="_Toc25382"/>
      <w:bookmarkStart w:id="4" w:name="_Toc7987"/>
      <w:r>
        <w:rPr>
          <w:rFonts w:hint="eastAsia" w:ascii="黑体" w:hAnsi="黑体" w:eastAsia="黑体" w:cs="黑体"/>
          <w:b/>
          <w:color w:val="000000"/>
          <w:sz w:val="44"/>
          <w:lang w:eastAsia="zh-CN"/>
        </w:rPr>
        <w:t>石家庄市藁城区城市管理综合行政执法局部门</w:t>
      </w:r>
      <w:bookmarkEnd w:id="0"/>
      <w:bookmarkEnd w:id="1"/>
      <w:bookmarkEnd w:id="2"/>
      <w:bookmarkEnd w:id="3"/>
      <w:bookmarkEnd w:id="4"/>
    </w:p>
    <w:p>
      <w:pPr>
        <w:spacing w:before="0" w:after="0" w:line="240" w:lineRule="auto"/>
        <w:ind w:firstLine="0"/>
        <w:jc w:val="center"/>
        <w:outlineLvl w:val="0"/>
        <w:rPr>
          <w:rFonts w:hint="eastAsia" w:ascii="黑体" w:hAnsi="黑体" w:eastAsia="黑体" w:cs="黑体"/>
          <w:b/>
          <w:color w:val="000000"/>
          <w:sz w:val="44"/>
          <w:lang w:eastAsia="zh-CN"/>
        </w:rPr>
      </w:pPr>
      <w:bookmarkStart w:id="5" w:name="_Toc18790"/>
      <w:bookmarkStart w:id="6" w:name="_Toc21010"/>
      <w:bookmarkStart w:id="7" w:name="_Toc12437"/>
      <w:bookmarkStart w:id="8" w:name="_Toc4558"/>
      <w:bookmarkStart w:id="9" w:name="_Toc17573"/>
      <w:r>
        <w:rPr>
          <w:rFonts w:hint="eastAsia" w:ascii="黑体" w:hAnsi="黑体" w:eastAsia="黑体" w:cs="黑体"/>
          <w:b/>
          <w:color w:val="000000"/>
          <w:sz w:val="44"/>
          <w:lang w:eastAsia="zh-CN"/>
        </w:rPr>
        <w:t>所属单位20</w:t>
      </w:r>
      <w:r>
        <w:rPr>
          <w:rFonts w:hint="eastAsia" w:ascii="黑体" w:hAnsi="黑体" w:eastAsia="黑体" w:cs="黑体"/>
          <w:b/>
          <w:color w:val="000000"/>
          <w:sz w:val="44"/>
          <w:lang w:val="en-US" w:eastAsia="zh-CN"/>
        </w:rPr>
        <w:t>22</w:t>
      </w:r>
      <w:r>
        <w:rPr>
          <w:rFonts w:hint="eastAsia" w:ascii="黑体" w:hAnsi="黑体" w:eastAsia="黑体" w:cs="黑体"/>
          <w:b/>
          <w:color w:val="000000"/>
          <w:sz w:val="44"/>
          <w:lang w:eastAsia="zh-CN"/>
        </w:rPr>
        <w:t>年度预算公开</w:t>
      </w:r>
      <w:bookmarkEnd w:id="5"/>
      <w:bookmarkEnd w:id="6"/>
      <w:bookmarkEnd w:id="7"/>
      <w:bookmarkEnd w:id="8"/>
      <w:bookmarkEnd w:id="9"/>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72"/>
        </w:tabs>
      </w:pPr>
      <w:r>
        <w:fldChar w:fldCharType="begin"/>
      </w:r>
      <w:r>
        <w:instrText xml:space="preserve">TOC \o "1-1" \h \u </w:instrText>
      </w:r>
      <w:r>
        <w:fldChar w:fldCharType="separate"/>
      </w:r>
    </w:p>
    <w:p>
      <w:pPr>
        <w:pStyle w:val="3"/>
        <w:tabs>
          <w:tab w:val="right" w:leader="dot" w:pos="14572"/>
        </w:tabs>
      </w:pPr>
      <w:r>
        <w:fldChar w:fldCharType="begin"/>
      </w:r>
      <w:r>
        <w:instrText xml:space="preserve"> HYPERLINK \l _Toc3488 </w:instrText>
      </w:r>
      <w:r>
        <w:fldChar w:fldCharType="separate"/>
      </w:r>
      <w:r>
        <w:rPr>
          <w:rFonts w:ascii="方正小标宋_GBK" w:hAnsi="方正小标宋_GBK" w:eastAsia="方正小标宋_GBK" w:cs="方正小标宋_GBK"/>
        </w:rPr>
        <w:t>石家庄市藁城区城市管理综合行政执法局本级收支预算</w:t>
      </w:r>
      <w:r>
        <w:tab/>
      </w:r>
      <w:r>
        <w:fldChar w:fldCharType="begin"/>
      </w:r>
      <w:r>
        <w:instrText xml:space="preserve"> PAGEREF _Toc3488 \h </w:instrText>
      </w:r>
      <w:r>
        <w:fldChar w:fldCharType="separate"/>
      </w:r>
      <w:r>
        <w:t>3</w:t>
      </w:r>
      <w:r>
        <w:fldChar w:fldCharType="end"/>
      </w:r>
      <w:r>
        <w:fldChar w:fldCharType="end"/>
      </w:r>
    </w:p>
    <w:p>
      <w:pPr>
        <w:pStyle w:val="3"/>
        <w:tabs>
          <w:tab w:val="right" w:leader="dot" w:pos="14572"/>
        </w:tabs>
      </w:pPr>
      <w:r>
        <w:fldChar w:fldCharType="begin"/>
      </w:r>
      <w:r>
        <w:instrText xml:space="preserve"> HYPERLINK \l _Toc31034 </w:instrText>
      </w:r>
      <w:r>
        <w:fldChar w:fldCharType="separate"/>
      </w:r>
      <w:r>
        <w:rPr>
          <w:rFonts w:ascii="方正小标宋_GBK" w:hAnsi="方正小标宋_GBK" w:eastAsia="方正小标宋_GBK" w:cs="方正小标宋_GBK"/>
          <w:lang w:eastAsia="zh-CN"/>
        </w:rPr>
        <w:t>单位预算收支总表</w:t>
      </w:r>
      <w:r>
        <w:tab/>
      </w:r>
      <w:r>
        <w:fldChar w:fldCharType="begin"/>
      </w:r>
      <w:r>
        <w:instrText xml:space="preserve"> PAGEREF _Toc31034 \h </w:instrText>
      </w:r>
      <w:r>
        <w:fldChar w:fldCharType="separate"/>
      </w:r>
      <w:r>
        <w:t>3</w:t>
      </w:r>
      <w:r>
        <w:fldChar w:fldCharType="end"/>
      </w:r>
      <w:r>
        <w:fldChar w:fldCharType="end"/>
      </w:r>
    </w:p>
    <w:p>
      <w:pPr>
        <w:pStyle w:val="3"/>
        <w:tabs>
          <w:tab w:val="right" w:leader="dot" w:pos="14572"/>
        </w:tabs>
      </w:pPr>
      <w:r>
        <w:fldChar w:fldCharType="begin"/>
      </w:r>
      <w:r>
        <w:instrText xml:space="preserve"> HYPERLINK \l _Toc30204 </w:instrText>
      </w:r>
      <w:r>
        <w:fldChar w:fldCharType="separate"/>
      </w:r>
      <w:r>
        <w:rPr>
          <w:rFonts w:ascii="方正小标宋_GBK" w:hAnsi="方正小标宋_GBK" w:eastAsia="方正小标宋_GBK" w:cs="方正小标宋_GBK"/>
          <w:lang w:eastAsia="zh-CN"/>
        </w:rPr>
        <w:t>单位预算收入总表</w:t>
      </w:r>
      <w:r>
        <w:tab/>
      </w:r>
      <w:r>
        <w:fldChar w:fldCharType="begin"/>
      </w:r>
      <w:r>
        <w:instrText xml:space="preserve"> PAGEREF _Toc30204 \h </w:instrText>
      </w:r>
      <w:r>
        <w:fldChar w:fldCharType="separate"/>
      </w:r>
      <w:r>
        <w:t>6</w:t>
      </w:r>
      <w:r>
        <w:fldChar w:fldCharType="end"/>
      </w:r>
      <w:r>
        <w:fldChar w:fldCharType="end"/>
      </w:r>
    </w:p>
    <w:p>
      <w:pPr>
        <w:pStyle w:val="3"/>
        <w:tabs>
          <w:tab w:val="right" w:leader="dot" w:pos="14572"/>
        </w:tabs>
      </w:pPr>
      <w:r>
        <w:fldChar w:fldCharType="begin"/>
      </w:r>
      <w:r>
        <w:instrText xml:space="preserve"> HYPERLINK \l _Toc18296 </w:instrText>
      </w:r>
      <w:r>
        <w:fldChar w:fldCharType="separate"/>
      </w:r>
      <w:r>
        <w:rPr>
          <w:rFonts w:ascii="方正小标宋_GBK" w:hAnsi="方正小标宋_GBK" w:eastAsia="方正小标宋_GBK" w:cs="方正小标宋_GBK"/>
          <w:lang w:eastAsia="zh-CN"/>
        </w:rPr>
        <w:t>单位预算支出总表</w:t>
      </w:r>
      <w:r>
        <w:tab/>
      </w:r>
      <w:r>
        <w:fldChar w:fldCharType="begin"/>
      </w:r>
      <w:r>
        <w:instrText xml:space="preserve"> PAGEREF _Toc18296 \h </w:instrText>
      </w:r>
      <w:r>
        <w:fldChar w:fldCharType="separate"/>
      </w:r>
      <w:r>
        <w:t>10</w:t>
      </w:r>
      <w:r>
        <w:fldChar w:fldCharType="end"/>
      </w:r>
      <w:r>
        <w:fldChar w:fldCharType="end"/>
      </w:r>
    </w:p>
    <w:p>
      <w:pPr>
        <w:pStyle w:val="3"/>
        <w:tabs>
          <w:tab w:val="right" w:leader="dot" w:pos="14572"/>
        </w:tabs>
      </w:pPr>
      <w:r>
        <w:fldChar w:fldCharType="begin"/>
      </w:r>
      <w:r>
        <w:instrText xml:space="preserve"> HYPERLINK \l _Toc10345 </w:instrText>
      </w:r>
      <w:r>
        <w:fldChar w:fldCharType="separate"/>
      </w:r>
      <w:r>
        <w:rPr>
          <w:rFonts w:ascii="方正小标宋_GBK" w:hAnsi="方正小标宋_GBK" w:eastAsia="方正小标宋_GBK" w:cs="方正小标宋_GBK"/>
          <w:lang w:eastAsia="zh-CN"/>
        </w:rPr>
        <w:t>单位预算财政拨款收支总表</w:t>
      </w:r>
      <w:r>
        <w:tab/>
      </w:r>
      <w:r>
        <w:fldChar w:fldCharType="begin"/>
      </w:r>
      <w:r>
        <w:instrText xml:space="preserve"> PAGEREF _Toc10345 \h </w:instrText>
      </w:r>
      <w:r>
        <w:fldChar w:fldCharType="separate"/>
      </w:r>
      <w:r>
        <w:t>12</w:t>
      </w:r>
      <w:r>
        <w:fldChar w:fldCharType="end"/>
      </w:r>
      <w:r>
        <w:fldChar w:fldCharType="end"/>
      </w:r>
    </w:p>
    <w:p>
      <w:pPr>
        <w:pStyle w:val="3"/>
        <w:tabs>
          <w:tab w:val="right" w:leader="dot" w:pos="14572"/>
        </w:tabs>
      </w:pPr>
      <w:r>
        <w:fldChar w:fldCharType="begin"/>
      </w:r>
      <w:r>
        <w:instrText xml:space="preserve"> HYPERLINK \l _Toc16213 </w:instrText>
      </w:r>
      <w:r>
        <w:fldChar w:fldCharType="separate"/>
      </w:r>
      <w:r>
        <w:rPr>
          <w:rFonts w:ascii="方正小标宋_GBK" w:hAnsi="方正小标宋_GBK" w:eastAsia="方正小标宋_GBK" w:cs="方正小标宋_GBK"/>
          <w:lang w:eastAsia="zh-CN"/>
        </w:rPr>
        <w:t>单位预算一般公共预算财政拨款支出表</w:t>
      </w:r>
      <w:r>
        <w:tab/>
      </w:r>
      <w:r>
        <w:fldChar w:fldCharType="begin"/>
      </w:r>
      <w:r>
        <w:instrText xml:space="preserve"> PAGEREF _Toc16213 \h </w:instrText>
      </w:r>
      <w:r>
        <w:fldChar w:fldCharType="separate"/>
      </w:r>
      <w:r>
        <w:t>19</w:t>
      </w:r>
      <w:r>
        <w:fldChar w:fldCharType="end"/>
      </w:r>
      <w:r>
        <w:fldChar w:fldCharType="end"/>
      </w:r>
    </w:p>
    <w:p>
      <w:pPr>
        <w:pStyle w:val="3"/>
        <w:tabs>
          <w:tab w:val="right" w:leader="dot" w:pos="14572"/>
        </w:tabs>
      </w:pPr>
      <w:r>
        <w:fldChar w:fldCharType="begin"/>
      </w:r>
      <w:r>
        <w:instrText xml:space="preserve"> HYPERLINK \l _Toc24453 </w:instrText>
      </w:r>
      <w:r>
        <w:fldChar w:fldCharType="separate"/>
      </w:r>
      <w:r>
        <w:rPr>
          <w:rFonts w:ascii="方正小标宋_GBK" w:hAnsi="方正小标宋_GBK" w:eastAsia="方正小标宋_GBK" w:cs="方正小标宋_GBK"/>
          <w:lang w:eastAsia="zh-CN"/>
        </w:rPr>
        <w:t>单位预算一般公共预算财政拨款基本支出表</w:t>
      </w:r>
      <w:r>
        <w:tab/>
      </w:r>
      <w:r>
        <w:fldChar w:fldCharType="begin"/>
      </w:r>
      <w:r>
        <w:instrText xml:space="preserve"> PAGEREF _Toc24453 \h </w:instrText>
      </w:r>
      <w:r>
        <w:fldChar w:fldCharType="separate"/>
      </w:r>
      <w:r>
        <w:t>20</w:t>
      </w:r>
      <w:r>
        <w:fldChar w:fldCharType="end"/>
      </w:r>
      <w:r>
        <w:fldChar w:fldCharType="end"/>
      </w:r>
    </w:p>
    <w:p>
      <w:pPr>
        <w:pStyle w:val="3"/>
        <w:tabs>
          <w:tab w:val="right" w:leader="dot" w:pos="14572"/>
        </w:tabs>
      </w:pPr>
      <w:r>
        <w:fldChar w:fldCharType="begin"/>
      </w:r>
      <w:r>
        <w:instrText xml:space="preserve"> HYPERLINK \l _Toc22924 </w:instrText>
      </w:r>
      <w:r>
        <w:fldChar w:fldCharType="separate"/>
      </w:r>
      <w:r>
        <w:rPr>
          <w:rFonts w:ascii="方正小标宋_GBK" w:hAnsi="方正小标宋_GBK" w:eastAsia="方正小标宋_GBK" w:cs="方正小标宋_GBK"/>
          <w:lang w:eastAsia="zh-CN"/>
        </w:rPr>
        <w:t>单位预算政府基金预算财政拨款支出表</w:t>
      </w:r>
      <w:r>
        <w:tab/>
      </w:r>
      <w:r>
        <w:fldChar w:fldCharType="begin"/>
      </w:r>
      <w:r>
        <w:instrText xml:space="preserve"> PAGEREF _Toc22924 \h </w:instrText>
      </w:r>
      <w:r>
        <w:fldChar w:fldCharType="separate"/>
      </w:r>
      <w:r>
        <w:t>22</w:t>
      </w:r>
      <w:r>
        <w:fldChar w:fldCharType="end"/>
      </w:r>
      <w:r>
        <w:fldChar w:fldCharType="end"/>
      </w:r>
    </w:p>
    <w:p>
      <w:pPr>
        <w:pStyle w:val="3"/>
        <w:tabs>
          <w:tab w:val="right" w:leader="dot" w:pos="14572"/>
        </w:tabs>
      </w:pPr>
      <w:r>
        <w:fldChar w:fldCharType="begin"/>
      </w:r>
      <w:r>
        <w:instrText xml:space="preserve"> HYPERLINK \l _Toc32615 </w:instrText>
      </w:r>
      <w:r>
        <w:fldChar w:fldCharType="separate"/>
      </w:r>
      <w:r>
        <w:rPr>
          <w:rFonts w:ascii="方正小标宋_GBK" w:hAnsi="方正小标宋_GBK" w:eastAsia="方正小标宋_GBK" w:cs="方正小标宋_GBK"/>
          <w:lang w:eastAsia="zh-CN"/>
        </w:rPr>
        <w:t>单位预算国有资本经营预算财政拨款支出表</w:t>
      </w:r>
      <w:r>
        <w:tab/>
      </w:r>
      <w:r>
        <w:fldChar w:fldCharType="begin"/>
      </w:r>
      <w:r>
        <w:instrText xml:space="preserve"> PAGEREF _Toc32615 \h </w:instrText>
      </w:r>
      <w:r>
        <w:fldChar w:fldCharType="separate"/>
      </w:r>
      <w:r>
        <w:t>24</w:t>
      </w:r>
      <w:r>
        <w:fldChar w:fldCharType="end"/>
      </w:r>
      <w:r>
        <w:fldChar w:fldCharType="end"/>
      </w:r>
    </w:p>
    <w:p>
      <w:pPr>
        <w:pStyle w:val="3"/>
        <w:tabs>
          <w:tab w:val="right" w:leader="dot" w:pos="14572"/>
        </w:tabs>
      </w:pPr>
      <w:r>
        <w:fldChar w:fldCharType="begin"/>
      </w:r>
      <w:r>
        <w:instrText xml:space="preserve"> HYPERLINK \l _Toc9971 </w:instrText>
      </w:r>
      <w:r>
        <w:fldChar w:fldCharType="separate"/>
      </w:r>
      <w:r>
        <w:rPr>
          <w:rFonts w:ascii="方正小标宋_GBK" w:hAnsi="方正小标宋_GBK" w:eastAsia="方正小标宋_GBK" w:cs="方正小标宋_GBK"/>
          <w:lang w:eastAsia="zh-CN"/>
        </w:rPr>
        <w:t>单位预算财政拨款“三公”经费支出表</w:t>
      </w:r>
      <w:r>
        <w:tab/>
      </w:r>
      <w:r>
        <w:fldChar w:fldCharType="begin"/>
      </w:r>
      <w:r>
        <w:instrText xml:space="preserve"> PAGEREF _Toc9971 \h </w:instrText>
      </w:r>
      <w:r>
        <w:fldChar w:fldCharType="separate"/>
      </w:r>
      <w:r>
        <w:t>25</w:t>
      </w:r>
      <w:r>
        <w:fldChar w:fldCharType="end"/>
      </w:r>
      <w:r>
        <w:fldChar w:fldCharType="end"/>
      </w:r>
    </w:p>
    <w:p>
      <w:pPr>
        <w:pStyle w:val="3"/>
        <w:tabs>
          <w:tab w:val="right" w:leader="dot" w:pos="14572"/>
        </w:tabs>
      </w:pPr>
      <w:r>
        <w:fldChar w:fldCharType="begin"/>
      </w:r>
      <w:r>
        <w:instrText xml:space="preserve"> HYPERLINK \l _Toc9765 </w:instrText>
      </w:r>
      <w:r>
        <w:fldChar w:fldCharType="separate"/>
      </w:r>
      <w:r>
        <w:rPr>
          <w:rFonts w:ascii="方正小标宋_GBK" w:hAnsi="方正小标宋_GBK" w:eastAsia="方正小标宋_GBK" w:cs="方正小标宋_GBK"/>
        </w:rPr>
        <w:t>石家庄市藁城区城市管理综合行政执法局本级2022年单位预算信息公开情况说明</w:t>
      </w:r>
      <w:r>
        <w:tab/>
      </w:r>
      <w:r>
        <w:fldChar w:fldCharType="begin"/>
      </w:r>
      <w:r>
        <w:instrText xml:space="preserve"> PAGEREF _Toc9765 \h </w:instrText>
      </w:r>
      <w:r>
        <w:fldChar w:fldCharType="separate"/>
      </w:r>
      <w:r>
        <w:t>27</w:t>
      </w:r>
      <w:r>
        <w:fldChar w:fldCharType="end"/>
      </w:r>
      <w:r>
        <w:fldChar w:fldCharType="end"/>
      </w:r>
    </w:p>
    <w:p>
      <w:pPr>
        <w:pStyle w:val="3"/>
        <w:tabs>
          <w:tab w:val="right" w:leader="dot" w:pos="14572"/>
        </w:tabs>
      </w:pPr>
      <w:r>
        <w:fldChar w:fldCharType="begin"/>
      </w:r>
      <w:r>
        <w:instrText xml:space="preserve"> HYPERLINK \l _Toc17281 </w:instrText>
      </w:r>
      <w:r>
        <w:fldChar w:fldCharType="separate"/>
      </w:r>
      <w:r>
        <w:rPr>
          <w:rFonts w:ascii="黑体" w:hAnsi="黑体" w:eastAsia="黑体" w:cs="黑体"/>
        </w:rPr>
        <w:t>一、单位职责及机构设置情况</w:t>
      </w:r>
      <w:r>
        <w:tab/>
      </w:r>
      <w:r>
        <w:fldChar w:fldCharType="begin"/>
      </w:r>
      <w:r>
        <w:instrText xml:space="preserve"> PAGEREF _Toc17281 \h </w:instrText>
      </w:r>
      <w:r>
        <w:fldChar w:fldCharType="separate"/>
      </w:r>
      <w:r>
        <w:t>27</w:t>
      </w:r>
      <w:r>
        <w:fldChar w:fldCharType="end"/>
      </w:r>
      <w:r>
        <w:fldChar w:fldCharType="end"/>
      </w:r>
    </w:p>
    <w:p>
      <w:pPr>
        <w:pStyle w:val="3"/>
        <w:tabs>
          <w:tab w:val="right" w:leader="dot" w:pos="14572"/>
        </w:tabs>
      </w:pPr>
      <w:r>
        <w:fldChar w:fldCharType="begin"/>
      </w:r>
      <w:r>
        <w:instrText xml:space="preserve"> HYPERLINK \l _Toc25925 </w:instrText>
      </w:r>
      <w:r>
        <w:fldChar w:fldCharType="separate"/>
      </w:r>
      <w:r>
        <w:rPr>
          <w:rFonts w:ascii="黑体" w:hAnsi="黑体" w:eastAsia="黑体" w:cs="黑体"/>
        </w:rPr>
        <w:t>二、单位预算安排的总体情况</w:t>
      </w:r>
      <w:r>
        <w:tab/>
      </w:r>
      <w:r>
        <w:fldChar w:fldCharType="begin"/>
      </w:r>
      <w:r>
        <w:instrText xml:space="preserve"> PAGEREF _Toc25925 \h </w:instrText>
      </w:r>
      <w:r>
        <w:fldChar w:fldCharType="separate"/>
      </w:r>
      <w:r>
        <w:t>28</w:t>
      </w:r>
      <w:r>
        <w:fldChar w:fldCharType="end"/>
      </w:r>
      <w:r>
        <w:fldChar w:fldCharType="end"/>
      </w:r>
    </w:p>
    <w:p>
      <w:pPr>
        <w:pStyle w:val="3"/>
        <w:tabs>
          <w:tab w:val="right" w:leader="dot" w:pos="14572"/>
        </w:tabs>
      </w:pPr>
      <w:r>
        <w:fldChar w:fldCharType="begin"/>
      </w:r>
      <w:r>
        <w:instrText xml:space="preserve"> HYPERLINK \l _Toc29283 </w:instrText>
      </w:r>
      <w:r>
        <w:fldChar w:fldCharType="separate"/>
      </w:r>
      <w:r>
        <w:rPr>
          <w:rFonts w:hint="eastAsia" w:ascii="黑体" w:hAnsi="黑体" w:eastAsia="黑体" w:cs="黑体"/>
        </w:rPr>
        <w:t xml:space="preserve">三、 </w:t>
      </w:r>
      <w:r>
        <w:rPr>
          <w:rFonts w:ascii="黑体" w:hAnsi="黑体" w:eastAsia="黑体" w:cs="黑体"/>
        </w:rPr>
        <w:t>机关运行经费安排情况</w:t>
      </w:r>
      <w:r>
        <w:tab/>
      </w:r>
      <w:r>
        <w:fldChar w:fldCharType="begin"/>
      </w:r>
      <w:r>
        <w:instrText xml:space="preserve"> PAGEREF _Toc29283 \h </w:instrText>
      </w:r>
      <w:r>
        <w:fldChar w:fldCharType="separate"/>
      </w:r>
      <w:r>
        <w:t>29</w:t>
      </w:r>
      <w:r>
        <w:fldChar w:fldCharType="end"/>
      </w:r>
      <w:r>
        <w:fldChar w:fldCharType="end"/>
      </w:r>
    </w:p>
    <w:p>
      <w:pPr>
        <w:pStyle w:val="3"/>
        <w:tabs>
          <w:tab w:val="right" w:leader="dot" w:pos="14572"/>
        </w:tabs>
      </w:pPr>
      <w:r>
        <w:fldChar w:fldCharType="begin"/>
      </w:r>
      <w:r>
        <w:instrText xml:space="preserve"> HYPERLINK \l _Toc5114 </w:instrText>
      </w:r>
      <w:r>
        <w:fldChar w:fldCharType="separate"/>
      </w:r>
      <w:r>
        <w:rPr>
          <w:rFonts w:hint="eastAsia" w:ascii="黑体" w:hAnsi="黑体" w:eastAsia="黑体" w:cs="黑体"/>
        </w:rPr>
        <w:t xml:space="preserve">四、 </w:t>
      </w:r>
      <w:r>
        <w:rPr>
          <w:rFonts w:ascii="黑体" w:hAnsi="黑体" w:eastAsia="黑体" w:cs="黑体"/>
        </w:rPr>
        <w:t>财政拨款“三公”经费预算情况及增减变化原因</w:t>
      </w:r>
      <w:r>
        <w:tab/>
      </w:r>
      <w:r>
        <w:fldChar w:fldCharType="begin"/>
      </w:r>
      <w:r>
        <w:instrText xml:space="preserve"> PAGEREF _Toc5114 \h </w:instrText>
      </w:r>
      <w:r>
        <w:fldChar w:fldCharType="separate"/>
      </w:r>
      <w:r>
        <w:t>29</w:t>
      </w:r>
      <w:r>
        <w:fldChar w:fldCharType="end"/>
      </w:r>
      <w:r>
        <w:fldChar w:fldCharType="end"/>
      </w:r>
    </w:p>
    <w:p>
      <w:pPr>
        <w:pStyle w:val="3"/>
        <w:tabs>
          <w:tab w:val="right" w:leader="dot" w:pos="14572"/>
        </w:tabs>
      </w:pPr>
      <w:r>
        <w:fldChar w:fldCharType="begin"/>
      </w:r>
      <w:r>
        <w:instrText xml:space="preserve"> HYPERLINK \l _Toc13265 </w:instrText>
      </w:r>
      <w:r>
        <w:fldChar w:fldCharType="separate"/>
      </w:r>
      <w:r>
        <w:rPr>
          <w:rFonts w:hint="eastAsia" w:ascii="黑体" w:hAnsi="黑体" w:eastAsia="黑体" w:cs="黑体"/>
        </w:rPr>
        <w:t xml:space="preserve">五、 </w:t>
      </w:r>
      <w:r>
        <w:rPr>
          <w:rFonts w:ascii="黑体" w:hAnsi="黑体" w:eastAsia="黑体" w:cs="黑体"/>
        </w:rPr>
        <w:t>预算绩效信息</w:t>
      </w:r>
      <w:r>
        <w:tab/>
      </w:r>
      <w:r>
        <w:fldChar w:fldCharType="begin"/>
      </w:r>
      <w:r>
        <w:instrText xml:space="preserve"> PAGEREF _Toc13265 \h </w:instrText>
      </w:r>
      <w:r>
        <w:fldChar w:fldCharType="separate"/>
      </w:r>
      <w:r>
        <w:t>29</w:t>
      </w:r>
      <w:r>
        <w:fldChar w:fldCharType="end"/>
      </w:r>
      <w:r>
        <w:fldChar w:fldCharType="end"/>
      </w:r>
    </w:p>
    <w:p>
      <w:pPr>
        <w:pStyle w:val="3"/>
        <w:tabs>
          <w:tab w:val="right" w:leader="dot" w:pos="14572"/>
        </w:tabs>
      </w:pPr>
      <w:r>
        <w:fldChar w:fldCharType="begin"/>
      </w:r>
      <w:r>
        <w:instrText xml:space="preserve"> HYPERLINK \l _Toc26662 </w:instrText>
      </w:r>
      <w:r>
        <w:fldChar w:fldCharType="separate"/>
      </w:r>
      <w:r>
        <w:rPr>
          <w:rFonts w:ascii="黑体" w:hAnsi="黑体" w:eastAsia="黑体" w:cs="黑体"/>
        </w:rPr>
        <w:t>六、政府采购预算情况</w:t>
      </w:r>
      <w:r>
        <w:tab/>
      </w:r>
      <w:r>
        <w:fldChar w:fldCharType="begin"/>
      </w:r>
      <w:r>
        <w:instrText xml:space="preserve"> PAGEREF _Toc26662 \h </w:instrText>
      </w:r>
      <w:r>
        <w:fldChar w:fldCharType="separate"/>
      </w:r>
      <w:r>
        <w:t>101</w:t>
      </w:r>
      <w:r>
        <w:fldChar w:fldCharType="end"/>
      </w:r>
      <w:r>
        <w:fldChar w:fldCharType="end"/>
      </w:r>
    </w:p>
    <w:p>
      <w:pPr>
        <w:pStyle w:val="3"/>
        <w:tabs>
          <w:tab w:val="right" w:leader="dot" w:pos="14572"/>
        </w:tabs>
      </w:pPr>
      <w:r>
        <w:fldChar w:fldCharType="begin"/>
      </w:r>
      <w:r>
        <w:instrText xml:space="preserve"> HYPERLINK \l _Toc27272 </w:instrText>
      </w:r>
      <w:r>
        <w:fldChar w:fldCharType="separate"/>
      </w:r>
      <w:r>
        <w:rPr>
          <w:rFonts w:ascii="黑体" w:hAnsi="黑体" w:eastAsia="黑体" w:cs="黑体"/>
        </w:rPr>
        <w:t>七、国有资产信息</w:t>
      </w:r>
      <w:r>
        <w:tab/>
      </w:r>
      <w:r>
        <w:fldChar w:fldCharType="begin"/>
      </w:r>
      <w:r>
        <w:instrText xml:space="preserve"> PAGEREF _Toc27272 \h </w:instrText>
      </w:r>
      <w:r>
        <w:fldChar w:fldCharType="separate"/>
      </w:r>
      <w:r>
        <w:t>104</w:t>
      </w:r>
      <w:r>
        <w:fldChar w:fldCharType="end"/>
      </w:r>
      <w:r>
        <w:fldChar w:fldCharType="end"/>
      </w:r>
    </w:p>
    <w:p>
      <w:pPr>
        <w:pStyle w:val="3"/>
        <w:tabs>
          <w:tab w:val="right" w:leader="dot" w:pos="14572"/>
        </w:tabs>
      </w:pPr>
      <w:r>
        <w:fldChar w:fldCharType="begin"/>
      </w:r>
      <w:r>
        <w:instrText xml:space="preserve"> HYPERLINK \l _Toc13421 </w:instrText>
      </w:r>
      <w:r>
        <w:fldChar w:fldCharType="separate"/>
      </w:r>
      <w:r>
        <w:rPr>
          <w:rFonts w:ascii="黑体" w:hAnsi="黑体" w:eastAsia="黑体" w:cs="黑体"/>
        </w:rPr>
        <w:t>八、名词解释</w:t>
      </w:r>
      <w:r>
        <w:tab/>
      </w:r>
      <w:r>
        <w:fldChar w:fldCharType="begin"/>
      </w:r>
      <w:r>
        <w:instrText xml:space="preserve"> PAGEREF _Toc13421 \h </w:instrText>
      </w:r>
      <w:r>
        <w:fldChar w:fldCharType="separate"/>
      </w:r>
      <w:r>
        <w:t>105</w:t>
      </w:r>
      <w:r>
        <w:fldChar w:fldCharType="end"/>
      </w:r>
      <w:r>
        <w:fldChar w:fldCharType="end"/>
      </w:r>
    </w:p>
    <w:p>
      <w:pPr>
        <w:pStyle w:val="3"/>
        <w:tabs>
          <w:tab w:val="right" w:leader="dot" w:pos="14572"/>
        </w:tabs>
      </w:pPr>
      <w:r>
        <w:fldChar w:fldCharType="begin"/>
      </w:r>
      <w:r>
        <w:instrText xml:space="preserve"> HYPERLINK \l _Toc5649 </w:instrText>
      </w:r>
      <w:r>
        <w:fldChar w:fldCharType="separate"/>
      </w:r>
      <w:r>
        <w:rPr>
          <w:rFonts w:ascii="黑体" w:hAnsi="黑体" w:eastAsia="黑体" w:cs="黑体"/>
        </w:rPr>
        <w:t>九、其他需要说明的事项</w:t>
      </w:r>
      <w:r>
        <w:tab/>
      </w:r>
      <w:r>
        <w:fldChar w:fldCharType="begin"/>
      </w:r>
      <w:r>
        <w:instrText xml:space="preserve"> PAGEREF _Toc5649 \h </w:instrText>
      </w:r>
      <w:r>
        <w:fldChar w:fldCharType="separate"/>
      </w:r>
      <w:r>
        <w:t>106</w:t>
      </w:r>
      <w:r>
        <w:fldChar w:fldCharType="end"/>
      </w:r>
      <w:r>
        <w:fldChar w:fldCharType="end"/>
      </w:r>
    </w:p>
    <w:p>
      <w:pPr>
        <w:spacing w:before="0" w:beforeLines="0" w:after="0" w:afterLines="0" w:line="240" w:lineRule="auto"/>
        <w:ind w:left="0" w:leftChars="0" w:right="0" w:rightChars="0" w:firstLine="0" w:firstLineChars="0"/>
        <w:jc w:val="cente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0"/>
      </w:pPr>
      <w:bookmarkStart w:id="10" w:name="_Toc12627"/>
      <w:bookmarkStart w:id="11" w:name="_Toc22516"/>
      <w:bookmarkStart w:id="12" w:name="_Toc25415"/>
      <w:bookmarkStart w:id="13" w:name="_Toc3488"/>
      <w:bookmarkStart w:id="14" w:name="_Toc8549"/>
      <w:bookmarkStart w:id="15" w:name="_Toc13363"/>
      <w:bookmarkStart w:id="16" w:name="_Toc13220"/>
      <w:r>
        <w:rPr>
          <w:rFonts w:ascii="方正小标宋_GBK" w:hAnsi="方正小标宋_GBK" w:eastAsia="方正小标宋_GBK" w:cs="方正小标宋_GBK"/>
          <w:b w:val="0"/>
          <w:color w:val="000000"/>
          <w:sz w:val="44"/>
        </w:rPr>
        <w:t>石家庄市藁城区城市管理综合行政执法局本级收支预算</w:t>
      </w:r>
      <w:bookmarkEnd w:id="10"/>
      <w:bookmarkEnd w:id="11"/>
      <w:bookmarkEnd w:id="12"/>
      <w:bookmarkEnd w:id="13"/>
      <w:bookmarkEnd w:id="14"/>
      <w:bookmarkEnd w:id="15"/>
      <w:bookmarkEnd w:id="16"/>
    </w:p>
    <w:p>
      <w:pPr>
        <w:spacing w:before="0" w:after="0" w:line="240" w:lineRule="auto"/>
        <w:ind w:firstLine="0"/>
        <w:jc w:val="center"/>
        <w:outlineLvl w:val="0"/>
        <w:rPr>
          <w:rFonts w:ascii="方正小标宋_GBK" w:hAnsi="方正小标宋_GBK" w:eastAsia="方正小标宋_GBK" w:cs="方正小标宋_GBK"/>
          <w:color w:val="000000"/>
          <w:sz w:val="36"/>
        </w:rPr>
      </w:pPr>
      <w:bookmarkStart w:id="17" w:name="_Toc31034"/>
      <w:r>
        <w:rPr>
          <w:rFonts w:ascii="方正小标宋_GBK" w:hAnsi="方正小标宋_GBK" w:eastAsia="方正小标宋_GBK" w:cs="方正小标宋_GBK"/>
          <w:color w:val="000000"/>
          <w:sz w:val="36"/>
          <w:lang w:eastAsia="zh-CN"/>
        </w:rPr>
        <w:t>单位预算收支总表</w:t>
      </w:r>
      <w:bookmarkEnd w:id="1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565001石家庄市藁城区城市管理综合行政执法局本级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2953.55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35665.40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32952.73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r>
              <w:t>3334.00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r>
              <w:t>2332.22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38618.95</w:t>
            </w:r>
          </w:p>
        </w:tc>
        <w:tc>
          <w:tcPr>
            <w:tcW w:w="4535" w:type="dxa"/>
            <w:vAlign w:val="center"/>
          </w:tcPr>
          <w:p>
            <w:pPr>
              <w:pStyle w:val="16"/>
            </w:pPr>
            <w:r>
              <w:t>本年支出合计</w:t>
            </w:r>
          </w:p>
        </w:tc>
        <w:tc>
          <w:tcPr>
            <w:tcW w:w="2126" w:type="dxa"/>
            <w:vAlign w:val="center"/>
          </w:tcPr>
          <w:p>
            <w:pPr>
              <w:pStyle w:val="17"/>
            </w:pPr>
            <w:r>
              <w:t>38618.95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38618.95</w:t>
            </w:r>
          </w:p>
        </w:tc>
        <w:tc>
          <w:tcPr>
            <w:tcW w:w="4535" w:type="dxa"/>
            <w:vAlign w:val="center"/>
          </w:tcPr>
          <w:p>
            <w:pPr>
              <w:pStyle w:val="16"/>
            </w:pPr>
            <w:r>
              <w:t>支出总计</w:t>
            </w:r>
          </w:p>
        </w:tc>
        <w:tc>
          <w:tcPr>
            <w:tcW w:w="2126" w:type="dxa"/>
            <w:vAlign w:val="center"/>
          </w:tcPr>
          <w:p>
            <w:pPr>
              <w:pStyle w:val="17"/>
            </w:pPr>
            <w:r>
              <w:t>38618.95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0"/>
        <w:rPr>
          <w:rFonts w:ascii="方正小标宋_GBK" w:hAnsi="方正小标宋_GBK" w:eastAsia="方正小标宋_GBK" w:cs="方正小标宋_GBK"/>
          <w:color w:val="000000"/>
          <w:sz w:val="36"/>
          <w:lang w:eastAsia="zh-CN"/>
        </w:rPr>
      </w:pPr>
      <w:bookmarkStart w:id="18" w:name="_Toc30204"/>
      <w:r>
        <w:rPr>
          <w:rFonts w:ascii="方正小标宋_GBK" w:hAnsi="方正小标宋_GBK" w:eastAsia="方正小标宋_GBK" w:cs="方正小标宋_GBK"/>
          <w:color w:val="000000"/>
          <w:sz w:val="36"/>
          <w:lang w:eastAsia="zh-CN"/>
        </w:rPr>
        <w:t>单位预算收入总表</w:t>
      </w:r>
      <w:bookmarkEnd w:id="1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565001石家庄市藁城区城市管理综合行政执法局本级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38618.95</w:t>
            </w:r>
          </w:p>
        </w:tc>
        <w:tc>
          <w:tcPr>
            <w:tcW w:w="1134" w:type="dxa"/>
            <w:vAlign w:val="center"/>
          </w:tcPr>
          <w:p>
            <w:pPr>
              <w:pStyle w:val="17"/>
            </w:pPr>
            <w:r>
              <w:t>38618.95</w:t>
            </w:r>
          </w:p>
        </w:tc>
        <w:tc>
          <w:tcPr>
            <w:tcW w:w="1134" w:type="dxa"/>
            <w:vAlign w:val="center"/>
          </w:tcPr>
          <w:p>
            <w:pPr>
              <w:pStyle w:val="17"/>
            </w:pPr>
            <w:r>
              <w:t>38618.95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32952.73</w:t>
            </w:r>
          </w:p>
        </w:tc>
        <w:tc>
          <w:tcPr>
            <w:tcW w:w="1134" w:type="dxa"/>
            <w:vAlign w:val="center"/>
          </w:tcPr>
          <w:p>
            <w:pPr>
              <w:pStyle w:val="13"/>
            </w:pPr>
            <w:r>
              <w:t>32952.73</w:t>
            </w:r>
          </w:p>
        </w:tc>
        <w:tc>
          <w:tcPr>
            <w:tcW w:w="1134" w:type="dxa"/>
            <w:vAlign w:val="center"/>
          </w:tcPr>
          <w:p>
            <w:pPr>
              <w:pStyle w:val="13"/>
            </w:pPr>
            <w:r>
              <w:t>32952.73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21201</w:t>
            </w:r>
          </w:p>
        </w:tc>
        <w:tc>
          <w:tcPr>
            <w:tcW w:w="1559" w:type="dxa"/>
            <w:vAlign w:val="center"/>
          </w:tcPr>
          <w:p>
            <w:pPr>
              <w:pStyle w:val="14"/>
            </w:pPr>
            <w:r>
              <w:t>城乡社区管理事务</w:t>
            </w:r>
          </w:p>
        </w:tc>
        <w:tc>
          <w:tcPr>
            <w:tcW w:w="1134" w:type="dxa"/>
            <w:vAlign w:val="center"/>
          </w:tcPr>
          <w:p>
            <w:pPr>
              <w:pStyle w:val="13"/>
            </w:pPr>
            <w:r>
              <w:t>2953.55</w:t>
            </w:r>
          </w:p>
        </w:tc>
        <w:tc>
          <w:tcPr>
            <w:tcW w:w="1134" w:type="dxa"/>
            <w:vAlign w:val="center"/>
          </w:tcPr>
          <w:p>
            <w:pPr>
              <w:pStyle w:val="13"/>
            </w:pPr>
            <w:r>
              <w:t>2953.55</w:t>
            </w:r>
          </w:p>
        </w:tc>
        <w:tc>
          <w:tcPr>
            <w:tcW w:w="1134" w:type="dxa"/>
            <w:vAlign w:val="center"/>
          </w:tcPr>
          <w:p>
            <w:pPr>
              <w:pStyle w:val="13"/>
            </w:pPr>
            <w:r>
              <w:t>2953.55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2120101</w:t>
            </w:r>
          </w:p>
        </w:tc>
        <w:tc>
          <w:tcPr>
            <w:tcW w:w="1559" w:type="dxa"/>
            <w:vAlign w:val="center"/>
          </w:tcPr>
          <w:p>
            <w:pPr>
              <w:pStyle w:val="14"/>
            </w:pPr>
            <w:r>
              <w:t>行政运行</w:t>
            </w:r>
          </w:p>
        </w:tc>
        <w:tc>
          <w:tcPr>
            <w:tcW w:w="1134" w:type="dxa"/>
            <w:vAlign w:val="center"/>
          </w:tcPr>
          <w:p>
            <w:pPr>
              <w:pStyle w:val="13"/>
            </w:pPr>
            <w:r>
              <w:t>2753.55</w:t>
            </w:r>
          </w:p>
        </w:tc>
        <w:tc>
          <w:tcPr>
            <w:tcW w:w="1134" w:type="dxa"/>
            <w:vAlign w:val="center"/>
          </w:tcPr>
          <w:p>
            <w:pPr>
              <w:pStyle w:val="13"/>
            </w:pPr>
            <w:r>
              <w:t>2753.55</w:t>
            </w:r>
          </w:p>
        </w:tc>
        <w:tc>
          <w:tcPr>
            <w:tcW w:w="1134" w:type="dxa"/>
            <w:vAlign w:val="center"/>
          </w:tcPr>
          <w:p>
            <w:pPr>
              <w:pStyle w:val="13"/>
            </w:pPr>
            <w:r>
              <w:t>2753.55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2120104</w:t>
            </w:r>
          </w:p>
        </w:tc>
        <w:tc>
          <w:tcPr>
            <w:tcW w:w="1559" w:type="dxa"/>
            <w:vAlign w:val="center"/>
          </w:tcPr>
          <w:p>
            <w:pPr>
              <w:pStyle w:val="14"/>
            </w:pPr>
            <w:r>
              <w:t>城管执法</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29999.18</w:t>
            </w:r>
          </w:p>
        </w:tc>
        <w:tc>
          <w:tcPr>
            <w:tcW w:w="1134" w:type="dxa"/>
            <w:vAlign w:val="center"/>
          </w:tcPr>
          <w:p>
            <w:pPr>
              <w:pStyle w:val="13"/>
            </w:pPr>
            <w:r>
              <w:t>29999.18</w:t>
            </w:r>
          </w:p>
        </w:tc>
        <w:tc>
          <w:tcPr>
            <w:tcW w:w="1134" w:type="dxa"/>
            <w:vAlign w:val="center"/>
          </w:tcPr>
          <w:p>
            <w:pPr>
              <w:pStyle w:val="13"/>
            </w:pPr>
            <w:r>
              <w:t>29999.18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2120803</w:t>
            </w:r>
          </w:p>
        </w:tc>
        <w:tc>
          <w:tcPr>
            <w:tcW w:w="1559" w:type="dxa"/>
            <w:vAlign w:val="center"/>
          </w:tcPr>
          <w:p>
            <w:pPr>
              <w:pStyle w:val="14"/>
            </w:pPr>
            <w:r>
              <w:t>城市建设支出</w:t>
            </w:r>
          </w:p>
        </w:tc>
        <w:tc>
          <w:tcPr>
            <w:tcW w:w="1134" w:type="dxa"/>
            <w:vAlign w:val="center"/>
          </w:tcPr>
          <w:p>
            <w:pPr>
              <w:pStyle w:val="13"/>
            </w:pPr>
            <w:r>
              <w:t>19219.71</w:t>
            </w:r>
          </w:p>
        </w:tc>
        <w:tc>
          <w:tcPr>
            <w:tcW w:w="1134" w:type="dxa"/>
            <w:vAlign w:val="center"/>
          </w:tcPr>
          <w:p>
            <w:pPr>
              <w:pStyle w:val="13"/>
            </w:pPr>
            <w:r>
              <w:t>19219.71</w:t>
            </w:r>
          </w:p>
        </w:tc>
        <w:tc>
          <w:tcPr>
            <w:tcW w:w="1134" w:type="dxa"/>
            <w:vAlign w:val="center"/>
          </w:tcPr>
          <w:p>
            <w:pPr>
              <w:pStyle w:val="13"/>
            </w:pPr>
            <w:r>
              <w:t>19219.71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2120816</w:t>
            </w:r>
          </w:p>
        </w:tc>
        <w:tc>
          <w:tcPr>
            <w:tcW w:w="1559" w:type="dxa"/>
            <w:vAlign w:val="center"/>
          </w:tcPr>
          <w:p>
            <w:pPr>
              <w:pStyle w:val="14"/>
            </w:pPr>
            <w:r>
              <w:t>农业农村生态环境支出</w:t>
            </w:r>
          </w:p>
        </w:tc>
        <w:tc>
          <w:tcPr>
            <w:tcW w:w="1134" w:type="dxa"/>
            <w:vAlign w:val="center"/>
          </w:tcPr>
          <w:p>
            <w:pPr>
              <w:pStyle w:val="13"/>
            </w:pPr>
            <w:r>
              <w:t>10779.47</w:t>
            </w:r>
          </w:p>
        </w:tc>
        <w:tc>
          <w:tcPr>
            <w:tcW w:w="1134" w:type="dxa"/>
            <w:vAlign w:val="center"/>
          </w:tcPr>
          <w:p>
            <w:pPr>
              <w:pStyle w:val="13"/>
            </w:pPr>
            <w:r>
              <w:t>10779.47</w:t>
            </w:r>
          </w:p>
        </w:tc>
        <w:tc>
          <w:tcPr>
            <w:tcW w:w="1134" w:type="dxa"/>
            <w:vAlign w:val="center"/>
          </w:tcPr>
          <w:p>
            <w:pPr>
              <w:pStyle w:val="13"/>
            </w:pPr>
            <w:r>
              <w:t>10779.47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231</w:t>
            </w:r>
          </w:p>
        </w:tc>
        <w:tc>
          <w:tcPr>
            <w:tcW w:w="1559" w:type="dxa"/>
            <w:vAlign w:val="center"/>
          </w:tcPr>
          <w:p>
            <w:pPr>
              <w:pStyle w:val="14"/>
            </w:pPr>
            <w:r>
              <w:t>债务还本支出</w:t>
            </w:r>
          </w:p>
        </w:tc>
        <w:tc>
          <w:tcPr>
            <w:tcW w:w="1134" w:type="dxa"/>
            <w:vAlign w:val="center"/>
          </w:tcPr>
          <w:p>
            <w:pPr>
              <w:pStyle w:val="13"/>
            </w:pPr>
            <w:r>
              <w:t>3334.00</w:t>
            </w:r>
          </w:p>
        </w:tc>
        <w:tc>
          <w:tcPr>
            <w:tcW w:w="1134" w:type="dxa"/>
            <w:vAlign w:val="center"/>
          </w:tcPr>
          <w:p>
            <w:pPr>
              <w:pStyle w:val="13"/>
            </w:pPr>
            <w:r>
              <w:t>3334.00</w:t>
            </w:r>
          </w:p>
        </w:tc>
        <w:tc>
          <w:tcPr>
            <w:tcW w:w="1134" w:type="dxa"/>
            <w:vAlign w:val="center"/>
          </w:tcPr>
          <w:p>
            <w:pPr>
              <w:pStyle w:val="13"/>
            </w:pPr>
            <w:r>
              <w:t>3334.00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23104</w:t>
            </w:r>
          </w:p>
        </w:tc>
        <w:tc>
          <w:tcPr>
            <w:tcW w:w="1559" w:type="dxa"/>
            <w:vAlign w:val="center"/>
          </w:tcPr>
          <w:p>
            <w:pPr>
              <w:pStyle w:val="14"/>
            </w:pPr>
            <w:r>
              <w:t>地方政府专项债务还本支出</w:t>
            </w:r>
          </w:p>
        </w:tc>
        <w:tc>
          <w:tcPr>
            <w:tcW w:w="1134" w:type="dxa"/>
            <w:vAlign w:val="center"/>
          </w:tcPr>
          <w:p>
            <w:pPr>
              <w:pStyle w:val="13"/>
            </w:pPr>
            <w:r>
              <w:t>3334.00</w:t>
            </w:r>
          </w:p>
        </w:tc>
        <w:tc>
          <w:tcPr>
            <w:tcW w:w="1134" w:type="dxa"/>
            <w:vAlign w:val="center"/>
          </w:tcPr>
          <w:p>
            <w:pPr>
              <w:pStyle w:val="13"/>
            </w:pPr>
            <w:r>
              <w:t>3334.00</w:t>
            </w:r>
          </w:p>
        </w:tc>
        <w:tc>
          <w:tcPr>
            <w:tcW w:w="1134" w:type="dxa"/>
            <w:vAlign w:val="center"/>
          </w:tcPr>
          <w:p>
            <w:pPr>
              <w:pStyle w:val="13"/>
            </w:pPr>
            <w:r>
              <w:t>3334.00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2310411</w:t>
            </w:r>
          </w:p>
        </w:tc>
        <w:tc>
          <w:tcPr>
            <w:tcW w:w="1559" w:type="dxa"/>
            <w:vAlign w:val="center"/>
          </w:tcPr>
          <w:p>
            <w:pPr>
              <w:pStyle w:val="14"/>
            </w:pPr>
            <w:r>
              <w:t>国有土地使用权出让金债务还本支出</w:t>
            </w:r>
          </w:p>
        </w:tc>
        <w:tc>
          <w:tcPr>
            <w:tcW w:w="1134" w:type="dxa"/>
            <w:vAlign w:val="center"/>
          </w:tcPr>
          <w:p>
            <w:pPr>
              <w:pStyle w:val="13"/>
            </w:pPr>
            <w:r>
              <w:t>3334.00</w:t>
            </w:r>
          </w:p>
        </w:tc>
        <w:tc>
          <w:tcPr>
            <w:tcW w:w="1134" w:type="dxa"/>
            <w:vAlign w:val="center"/>
          </w:tcPr>
          <w:p>
            <w:pPr>
              <w:pStyle w:val="13"/>
            </w:pPr>
            <w:r>
              <w:t>3334.00</w:t>
            </w:r>
          </w:p>
        </w:tc>
        <w:tc>
          <w:tcPr>
            <w:tcW w:w="1134" w:type="dxa"/>
            <w:vAlign w:val="center"/>
          </w:tcPr>
          <w:p>
            <w:pPr>
              <w:pStyle w:val="13"/>
            </w:pPr>
            <w:r>
              <w:t>3334.00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232</w:t>
            </w:r>
          </w:p>
        </w:tc>
        <w:tc>
          <w:tcPr>
            <w:tcW w:w="1559" w:type="dxa"/>
            <w:vAlign w:val="center"/>
          </w:tcPr>
          <w:p>
            <w:pPr>
              <w:pStyle w:val="14"/>
            </w:pPr>
            <w:r>
              <w:t>债务付息支出</w:t>
            </w:r>
          </w:p>
        </w:tc>
        <w:tc>
          <w:tcPr>
            <w:tcW w:w="1134" w:type="dxa"/>
            <w:vAlign w:val="center"/>
          </w:tcPr>
          <w:p>
            <w:pPr>
              <w:pStyle w:val="13"/>
            </w:pPr>
            <w:r>
              <w:t>2332.22</w:t>
            </w:r>
          </w:p>
        </w:tc>
        <w:tc>
          <w:tcPr>
            <w:tcW w:w="1134" w:type="dxa"/>
            <w:vAlign w:val="center"/>
          </w:tcPr>
          <w:p>
            <w:pPr>
              <w:pStyle w:val="13"/>
            </w:pPr>
            <w:r>
              <w:t>2332.22</w:t>
            </w:r>
          </w:p>
        </w:tc>
        <w:tc>
          <w:tcPr>
            <w:tcW w:w="1134" w:type="dxa"/>
            <w:vAlign w:val="center"/>
          </w:tcPr>
          <w:p>
            <w:pPr>
              <w:pStyle w:val="13"/>
            </w:pPr>
            <w:r>
              <w:t>2332.22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23204</w:t>
            </w:r>
          </w:p>
        </w:tc>
        <w:tc>
          <w:tcPr>
            <w:tcW w:w="1559" w:type="dxa"/>
            <w:vAlign w:val="center"/>
          </w:tcPr>
          <w:p>
            <w:pPr>
              <w:pStyle w:val="14"/>
            </w:pPr>
            <w:r>
              <w:t>地方政府专项债务付息支出</w:t>
            </w:r>
          </w:p>
        </w:tc>
        <w:tc>
          <w:tcPr>
            <w:tcW w:w="1134" w:type="dxa"/>
            <w:vAlign w:val="center"/>
          </w:tcPr>
          <w:p>
            <w:pPr>
              <w:pStyle w:val="13"/>
            </w:pPr>
            <w:r>
              <w:t>2332.22</w:t>
            </w:r>
          </w:p>
        </w:tc>
        <w:tc>
          <w:tcPr>
            <w:tcW w:w="1134" w:type="dxa"/>
            <w:vAlign w:val="center"/>
          </w:tcPr>
          <w:p>
            <w:pPr>
              <w:pStyle w:val="13"/>
            </w:pPr>
            <w:r>
              <w:t>2332.22</w:t>
            </w:r>
          </w:p>
        </w:tc>
        <w:tc>
          <w:tcPr>
            <w:tcW w:w="1134" w:type="dxa"/>
            <w:vAlign w:val="center"/>
          </w:tcPr>
          <w:p>
            <w:pPr>
              <w:pStyle w:val="13"/>
            </w:pPr>
            <w:r>
              <w:t>2332.22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2320411</w:t>
            </w:r>
          </w:p>
        </w:tc>
        <w:tc>
          <w:tcPr>
            <w:tcW w:w="1559" w:type="dxa"/>
            <w:vAlign w:val="center"/>
          </w:tcPr>
          <w:p>
            <w:pPr>
              <w:pStyle w:val="14"/>
            </w:pPr>
            <w:r>
              <w:t>国有土地使用权出让金债务付息支出</w:t>
            </w:r>
          </w:p>
        </w:tc>
        <w:tc>
          <w:tcPr>
            <w:tcW w:w="1134" w:type="dxa"/>
            <w:vAlign w:val="center"/>
          </w:tcPr>
          <w:p>
            <w:pPr>
              <w:pStyle w:val="13"/>
            </w:pPr>
            <w:r>
              <w:t>2332.22</w:t>
            </w:r>
          </w:p>
        </w:tc>
        <w:tc>
          <w:tcPr>
            <w:tcW w:w="1134" w:type="dxa"/>
            <w:vAlign w:val="center"/>
          </w:tcPr>
          <w:p>
            <w:pPr>
              <w:pStyle w:val="13"/>
            </w:pPr>
            <w:r>
              <w:t>2332.22</w:t>
            </w:r>
          </w:p>
        </w:tc>
        <w:tc>
          <w:tcPr>
            <w:tcW w:w="1134" w:type="dxa"/>
            <w:vAlign w:val="center"/>
          </w:tcPr>
          <w:p>
            <w:pPr>
              <w:pStyle w:val="13"/>
            </w:pPr>
            <w:r>
              <w:t>2332.22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rPr>
          <w:rFonts w:ascii="方正小标宋_GBK" w:hAnsi="方正小标宋_GBK" w:eastAsia="方正小标宋_GBK" w:cs="方正小标宋_GBK"/>
          <w:color w:val="000000"/>
          <w:sz w:val="36"/>
          <w:lang w:eastAsia="zh-CN"/>
        </w:rPr>
      </w:pPr>
      <w:bookmarkStart w:id="19" w:name="_Toc18296"/>
      <w:r>
        <w:rPr>
          <w:rFonts w:ascii="方正小标宋_GBK" w:hAnsi="方正小标宋_GBK" w:eastAsia="方正小标宋_GBK" w:cs="方正小标宋_GBK"/>
          <w:color w:val="000000"/>
          <w:sz w:val="36"/>
          <w:lang w:eastAsia="zh-CN"/>
        </w:rPr>
        <w:t>单位预算支出总表</w:t>
      </w:r>
      <w:bookmarkEnd w:id="19"/>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565001石家庄市藁城区城市管理综合行政执法局本级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38618.95</w:t>
            </w:r>
          </w:p>
        </w:tc>
        <w:tc>
          <w:tcPr>
            <w:tcW w:w="1361" w:type="dxa"/>
            <w:vAlign w:val="center"/>
          </w:tcPr>
          <w:p>
            <w:pPr>
              <w:pStyle w:val="17"/>
            </w:pPr>
            <w:r>
              <w:t>2753.55</w:t>
            </w:r>
          </w:p>
        </w:tc>
        <w:tc>
          <w:tcPr>
            <w:tcW w:w="1361" w:type="dxa"/>
            <w:vAlign w:val="center"/>
          </w:tcPr>
          <w:p>
            <w:pPr>
              <w:pStyle w:val="17"/>
            </w:pPr>
            <w:r>
              <w:t>35865.40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32952.73</w:t>
            </w:r>
          </w:p>
        </w:tc>
        <w:tc>
          <w:tcPr>
            <w:tcW w:w="1361" w:type="dxa"/>
            <w:vAlign w:val="center"/>
          </w:tcPr>
          <w:p>
            <w:pPr>
              <w:pStyle w:val="13"/>
            </w:pPr>
            <w:r>
              <w:t>2753.55</w:t>
            </w:r>
          </w:p>
        </w:tc>
        <w:tc>
          <w:tcPr>
            <w:tcW w:w="1361" w:type="dxa"/>
            <w:vAlign w:val="center"/>
          </w:tcPr>
          <w:p>
            <w:pPr>
              <w:pStyle w:val="13"/>
            </w:pPr>
            <w:r>
              <w:t>30199.18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21201</w:t>
            </w:r>
          </w:p>
        </w:tc>
        <w:tc>
          <w:tcPr>
            <w:tcW w:w="4535" w:type="dxa"/>
            <w:vAlign w:val="center"/>
          </w:tcPr>
          <w:p>
            <w:pPr>
              <w:pStyle w:val="14"/>
            </w:pPr>
            <w:r>
              <w:t>城乡社区管理事务</w:t>
            </w:r>
          </w:p>
        </w:tc>
        <w:tc>
          <w:tcPr>
            <w:tcW w:w="1361" w:type="dxa"/>
            <w:vAlign w:val="center"/>
          </w:tcPr>
          <w:p>
            <w:pPr>
              <w:pStyle w:val="13"/>
            </w:pPr>
            <w:r>
              <w:t>2953.55</w:t>
            </w:r>
          </w:p>
        </w:tc>
        <w:tc>
          <w:tcPr>
            <w:tcW w:w="1361" w:type="dxa"/>
            <w:vAlign w:val="center"/>
          </w:tcPr>
          <w:p>
            <w:pPr>
              <w:pStyle w:val="13"/>
            </w:pPr>
            <w:r>
              <w:t>2753.55</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2120101</w:t>
            </w:r>
          </w:p>
        </w:tc>
        <w:tc>
          <w:tcPr>
            <w:tcW w:w="4535" w:type="dxa"/>
            <w:vAlign w:val="center"/>
          </w:tcPr>
          <w:p>
            <w:pPr>
              <w:pStyle w:val="14"/>
            </w:pPr>
            <w:r>
              <w:t>行政运行</w:t>
            </w:r>
          </w:p>
        </w:tc>
        <w:tc>
          <w:tcPr>
            <w:tcW w:w="1361" w:type="dxa"/>
            <w:vAlign w:val="center"/>
          </w:tcPr>
          <w:p>
            <w:pPr>
              <w:pStyle w:val="13"/>
            </w:pPr>
            <w:r>
              <w:t>2753.55</w:t>
            </w:r>
          </w:p>
        </w:tc>
        <w:tc>
          <w:tcPr>
            <w:tcW w:w="1361" w:type="dxa"/>
            <w:vAlign w:val="center"/>
          </w:tcPr>
          <w:p>
            <w:pPr>
              <w:pStyle w:val="13"/>
            </w:pPr>
            <w:r>
              <w:t>2753.55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2120104</w:t>
            </w:r>
          </w:p>
        </w:tc>
        <w:tc>
          <w:tcPr>
            <w:tcW w:w="4535" w:type="dxa"/>
            <w:vAlign w:val="center"/>
          </w:tcPr>
          <w:p>
            <w:pPr>
              <w:pStyle w:val="14"/>
            </w:pPr>
            <w:r>
              <w:t>城管执法</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29999.18</w:t>
            </w:r>
          </w:p>
        </w:tc>
        <w:tc>
          <w:tcPr>
            <w:tcW w:w="1361" w:type="dxa"/>
            <w:vAlign w:val="center"/>
          </w:tcPr>
          <w:p>
            <w:pPr>
              <w:pStyle w:val="13"/>
            </w:pPr>
          </w:p>
        </w:tc>
        <w:tc>
          <w:tcPr>
            <w:tcW w:w="1361" w:type="dxa"/>
            <w:vAlign w:val="center"/>
          </w:tcPr>
          <w:p>
            <w:pPr>
              <w:pStyle w:val="13"/>
            </w:pPr>
            <w:r>
              <w:t>29999.18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2120803</w:t>
            </w:r>
          </w:p>
        </w:tc>
        <w:tc>
          <w:tcPr>
            <w:tcW w:w="4535" w:type="dxa"/>
            <w:vAlign w:val="center"/>
          </w:tcPr>
          <w:p>
            <w:pPr>
              <w:pStyle w:val="14"/>
            </w:pPr>
            <w:r>
              <w:t>城市建设支出</w:t>
            </w:r>
          </w:p>
        </w:tc>
        <w:tc>
          <w:tcPr>
            <w:tcW w:w="1361" w:type="dxa"/>
            <w:vAlign w:val="center"/>
          </w:tcPr>
          <w:p>
            <w:pPr>
              <w:pStyle w:val="13"/>
            </w:pPr>
            <w:r>
              <w:t>19219.71</w:t>
            </w:r>
          </w:p>
        </w:tc>
        <w:tc>
          <w:tcPr>
            <w:tcW w:w="1361" w:type="dxa"/>
            <w:vAlign w:val="center"/>
          </w:tcPr>
          <w:p>
            <w:pPr>
              <w:pStyle w:val="13"/>
            </w:pPr>
          </w:p>
        </w:tc>
        <w:tc>
          <w:tcPr>
            <w:tcW w:w="1361" w:type="dxa"/>
            <w:vAlign w:val="center"/>
          </w:tcPr>
          <w:p>
            <w:pPr>
              <w:pStyle w:val="13"/>
            </w:pPr>
            <w:r>
              <w:t>19219.71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2120816</w:t>
            </w:r>
          </w:p>
        </w:tc>
        <w:tc>
          <w:tcPr>
            <w:tcW w:w="4535" w:type="dxa"/>
            <w:vAlign w:val="center"/>
          </w:tcPr>
          <w:p>
            <w:pPr>
              <w:pStyle w:val="14"/>
            </w:pPr>
            <w:r>
              <w:t>农业农村生态环境支出</w:t>
            </w:r>
          </w:p>
        </w:tc>
        <w:tc>
          <w:tcPr>
            <w:tcW w:w="1361" w:type="dxa"/>
            <w:vAlign w:val="center"/>
          </w:tcPr>
          <w:p>
            <w:pPr>
              <w:pStyle w:val="13"/>
            </w:pPr>
            <w:r>
              <w:t>10779.47</w:t>
            </w:r>
          </w:p>
        </w:tc>
        <w:tc>
          <w:tcPr>
            <w:tcW w:w="1361" w:type="dxa"/>
            <w:vAlign w:val="center"/>
          </w:tcPr>
          <w:p>
            <w:pPr>
              <w:pStyle w:val="13"/>
            </w:pPr>
          </w:p>
        </w:tc>
        <w:tc>
          <w:tcPr>
            <w:tcW w:w="1361" w:type="dxa"/>
            <w:vAlign w:val="center"/>
          </w:tcPr>
          <w:p>
            <w:pPr>
              <w:pStyle w:val="13"/>
            </w:pPr>
            <w:r>
              <w:t>10779.47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231</w:t>
            </w:r>
          </w:p>
        </w:tc>
        <w:tc>
          <w:tcPr>
            <w:tcW w:w="4535" w:type="dxa"/>
            <w:vAlign w:val="center"/>
          </w:tcPr>
          <w:p>
            <w:pPr>
              <w:pStyle w:val="14"/>
            </w:pPr>
            <w:r>
              <w:t>债务还本支出</w:t>
            </w:r>
          </w:p>
        </w:tc>
        <w:tc>
          <w:tcPr>
            <w:tcW w:w="1361" w:type="dxa"/>
            <w:vAlign w:val="center"/>
          </w:tcPr>
          <w:p>
            <w:pPr>
              <w:pStyle w:val="13"/>
            </w:pPr>
            <w:r>
              <w:t>3334.00</w:t>
            </w:r>
          </w:p>
        </w:tc>
        <w:tc>
          <w:tcPr>
            <w:tcW w:w="1361" w:type="dxa"/>
            <w:vAlign w:val="center"/>
          </w:tcPr>
          <w:p>
            <w:pPr>
              <w:pStyle w:val="13"/>
            </w:pPr>
          </w:p>
        </w:tc>
        <w:tc>
          <w:tcPr>
            <w:tcW w:w="1361" w:type="dxa"/>
            <w:vAlign w:val="center"/>
          </w:tcPr>
          <w:p>
            <w:pPr>
              <w:pStyle w:val="13"/>
            </w:pPr>
            <w:r>
              <w:t>3334.00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23104</w:t>
            </w:r>
          </w:p>
        </w:tc>
        <w:tc>
          <w:tcPr>
            <w:tcW w:w="4535" w:type="dxa"/>
            <w:vAlign w:val="center"/>
          </w:tcPr>
          <w:p>
            <w:pPr>
              <w:pStyle w:val="14"/>
            </w:pPr>
            <w:r>
              <w:t>地方政府专项债务还本支出</w:t>
            </w:r>
          </w:p>
        </w:tc>
        <w:tc>
          <w:tcPr>
            <w:tcW w:w="1361" w:type="dxa"/>
            <w:vAlign w:val="center"/>
          </w:tcPr>
          <w:p>
            <w:pPr>
              <w:pStyle w:val="13"/>
            </w:pPr>
            <w:r>
              <w:t>3334.00</w:t>
            </w:r>
          </w:p>
        </w:tc>
        <w:tc>
          <w:tcPr>
            <w:tcW w:w="1361" w:type="dxa"/>
            <w:vAlign w:val="center"/>
          </w:tcPr>
          <w:p>
            <w:pPr>
              <w:pStyle w:val="13"/>
            </w:pPr>
          </w:p>
        </w:tc>
        <w:tc>
          <w:tcPr>
            <w:tcW w:w="1361" w:type="dxa"/>
            <w:vAlign w:val="center"/>
          </w:tcPr>
          <w:p>
            <w:pPr>
              <w:pStyle w:val="13"/>
            </w:pPr>
            <w:r>
              <w:t>3334.00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2310411</w:t>
            </w:r>
          </w:p>
        </w:tc>
        <w:tc>
          <w:tcPr>
            <w:tcW w:w="4535" w:type="dxa"/>
            <w:vAlign w:val="center"/>
          </w:tcPr>
          <w:p>
            <w:pPr>
              <w:pStyle w:val="14"/>
            </w:pPr>
            <w:r>
              <w:t>国有土地使用权出让金债务还本支出</w:t>
            </w:r>
          </w:p>
        </w:tc>
        <w:tc>
          <w:tcPr>
            <w:tcW w:w="1361" w:type="dxa"/>
            <w:vAlign w:val="center"/>
          </w:tcPr>
          <w:p>
            <w:pPr>
              <w:pStyle w:val="13"/>
            </w:pPr>
            <w:r>
              <w:t>3334.00</w:t>
            </w:r>
          </w:p>
        </w:tc>
        <w:tc>
          <w:tcPr>
            <w:tcW w:w="1361" w:type="dxa"/>
            <w:vAlign w:val="center"/>
          </w:tcPr>
          <w:p>
            <w:pPr>
              <w:pStyle w:val="13"/>
            </w:pPr>
          </w:p>
        </w:tc>
        <w:tc>
          <w:tcPr>
            <w:tcW w:w="1361" w:type="dxa"/>
            <w:vAlign w:val="center"/>
          </w:tcPr>
          <w:p>
            <w:pPr>
              <w:pStyle w:val="13"/>
            </w:pPr>
            <w:r>
              <w:t>3334.00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232</w:t>
            </w:r>
          </w:p>
        </w:tc>
        <w:tc>
          <w:tcPr>
            <w:tcW w:w="4535" w:type="dxa"/>
            <w:vAlign w:val="center"/>
          </w:tcPr>
          <w:p>
            <w:pPr>
              <w:pStyle w:val="14"/>
            </w:pPr>
            <w:r>
              <w:t>债务付息支出</w:t>
            </w:r>
          </w:p>
        </w:tc>
        <w:tc>
          <w:tcPr>
            <w:tcW w:w="1361" w:type="dxa"/>
            <w:vAlign w:val="center"/>
          </w:tcPr>
          <w:p>
            <w:pPr>
              <w:pStyle w:val="13"/>
            </w:pPr>
            <w:r>
              <w:t>2332.22</w:t>
            </w:r>
          </w:p>
        </w:tc>
        <w:tc>
          <w:tcPr>
            <w:tcW w:w="1361" w:type="dxa"/>
            <w:vAlign w:val="center"/>
          </w:tcPr>
          <w:p>
            <w:pPr>
              <w:pStyle w:val="13"/>
            </w:pPr>
          </w:p>
        </w:tc>
        <w:tc>
          <w:tcPr>
            <w:tcW w:w="1361" w:type="dxa"/>
            <w:vAlign w:val="center"/>
          </w:tcPr>
          <w:p>
            <w:pPr>
              <w:pStyle w:val="13"/>
            </w:pPr>
            <w:r>
              <w:t>2332.22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23204</w:t>
            </w:r>
          </w:p>
        </w:tc>
        <w:tc>
          <w:tcPr>
            <w:tcW w:w="4535" w:type="dxa"/>
            <w:vAlign w:val="center"/>
          </w:tcPr>
          <w:p>
            <w:pPr>
              <w:pStyle w:val="14"/>
            </w:pPr>
            <w:r>
              <w:t>地方政府专项债务付息支出</w:t>
            </w:r>
          </w:p>
        </w:tc>
        <w:tc>
          <w:tcPr>
            <w:tcW w:w="1361" w:type="dxa"/>
            <w:vAlign w:val="center"/>
          </w:tcPr>
          <w:p>
            <w:pPr>
              <w:pStyle w:val="13"/>
            </w:pPr>
            <w:r>
              <w:t>2332.22</w:t>
            </w:r>
          </w:p>
        </w:tc>
        <w:tc>
          <w:tcPr>
            <w:tcW w:w="1361" w:type="dxa"/>
            <w:vAlign w:val="center"/>
          </w:tcPr>
          <w:p>
            <w:pPr>
              <w:pStyle w:val="13"/>
            </w:pPr>
          </w:p>
        </w:tc>
        <w:tc>
          <w:tcPr>
            <w:tcW w:w="1361" w:type="dxa"/>
            <w:vAlign w:val="center"/>
          </w:tcPr>
          <w:p>
            <w:pPr>
              <w:pStyle w:val="13"/>
            </w:pPr>
            <w:r>
              <w:t>2332.22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2320411</w:t>
            </w:r>
          </w:p>
        </w:tc>
        <w:tc>
          <w:tcPr>
            <w:tcW w:w="4535" w:type="dxa"/>
            <w:vAlign w:val="center"/>
          </w:tcPr>
          <w:p>
            <w:pPr>
              <w:pStyle w:val="14"/>
            </w:pPr>
            <w:r>
              <w:t>国有土地使用权出让金债务付息支出</w:t>
            </w:r>
          </w:p>
        </w:tc>
        <w:tc>
          <w:tcPr>
            <w:tcW w:w="1361" w:type="dxa"/>
            <w:vAlign w:val="center"/>
          </w:tcPr>
          <w:p>
            <w:pPr>
              <w:pStyle w:val="13"/>
            </w:pPr>
            <w:r>
              <w:t>2332.22</w:t>
            </w:r>
          </w:p>
        </w:tc>
        <w:tc>
          <w:tcPr>
            <w:tcW w:w="1361" w:type="dxa"/>
            <w:vAlign w:val="center"/>
          </w:tcPr>
          <w:p>
            <w:pPr>
              <w:pStyle w:val="13"/>
            </w:pPr>
          </w:p>
        </w:tc>
        <w:tc>
          <w:tcPr>
            <w:tcW w:w="1361" w:type="dxa"/>
            <w:vAlign w:val="center"/>
          </w:tcPr>
          <w:p>
            <w:pPr>
              <w:pStyle w:val="13"/>
            </w:pPr>
            <w:r>
              <w:t>2332.22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rPr>
          <w:rFonts w:ascii="方正小标宋_GBK" w:hAnsi="方正小标宋_GBK" w:eastAsia="方正小标宋_GBK" w:cs="方正小标宋_GBK"/>
          <w:color w:val="000000"/>
          <w:sz w:val="36"/>
          <w:lang w:eastAsia="zh-CN"/>
        </w:rPr>
      </w:pPr>
      <w:bookmarkStart w:id="20" w:name="_Toc10345"/>
      <w:r>
        <w:rPr>
          <w:rFonts w:ascii="方正小标宋_GBK" w:hAnsi="方正小标宋_GBK" w:eastAsia="方正小标宋_GBK" w:cs="方正小标宋_GBK"/>
          <w:color w:val="000000"/>
          <w:sz w:val="36"/>
          <w:lang w:eastAsia="zh-CN"/>
        </w:rPr>
        <w:t>单位预算财政拨款收支总表</w:t>
      </w:r>
      <w:bookmarkEnd w:id="2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565001石家庄市藁城区城市管理综合行政执法局本级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2953.55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35665.40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32952.73</w:t>
            </w:r>
          </w:p>
        </w:tc>
        <w:tc>
          <w:tcPr>
            <w:tcW w:w="1474" w:type="dxa"/>
            <w:vAlign w:val="center"/>
          </w:tcPr>
          <w:p>
            <w:pPr>
              <w:pStyle w:val="13"/>
            </w:pPr>
            <w:r>
              <w:t>2953.55</w:t>
            </w:r>
          </w:p>
        </w:tc>
        <w:tc>
          <w:tcPr>
            <w:tcW w:w="1474" w:type="dxa"/>
            <w:vAlign w:val="center"/>
          </w:tcPr>
          <w:p>
            <w:pPr>
              <w:pStyle w:val="13"/>
            </w:pPr>
            <w:r>
              <w:t>29999.18</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r>
              <w:t>3334.00</w:t>
            </w:r>
          </w:p>
        </w:tc>
        <w:tc>
          <w:tcPr>
            <w:tcW w:w="1474" w:type="dxa"/>
            <w:vAlign w:val="center"/>
          </w:tcPr>
          <w:p>
            <w:pPr>
              <w:pStyle w:val="13"/>
            </w:pPr>
          </w:p>
        </w:tc>
        <w:tc>
          <w:tcPr>
            <w:tcW w:w="1474" w:type="dxa"/>
            <w:vAlign w:val="center"/>
          </w:tcPr>
          <w:p>
            <w:pPr>
              <w:pStyle w:val="13"/>
            </w:pPr>
            <w:r>
              <w:t>3334.00</w:t>
            </w: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r>
              <w:t>2332.22</w:t>
            </w:r>
          </w:p>
        </w:tc>
        <w:tc>
          <w:tcPr>
            <w:tcW w:w="1474" w:type="dxa"/>
            <w:vAlign w:val="center"/>
          </w:tcPr>
          <w:p>
            <w:pPr>
              <w:pStyle w:val="13"/>
            </w:pPr>
          </w:p>
        </w:tc>
        <w:tc>
          <w:tcPr>
            <w:tcW w:w="1474" w:type="dxa"/>
            <w:vAlign w:val="center"/>
          </w:tcPr>
          <w:p>
            <w:pPr>
              <w:pStyle w:val="13"/>
            </w:pPr>
            <w:r>
              <w:t>2332.22</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38618.95</w:t>
            </w:r>
          </w:p>
        </w:tc>
        <w:tc>
          <w:tcPr>
            <w:tcW w:w="3402" w:type="dxa"/>
            <w:vAlign w:val="center"/>
          </w:tcPr>
          <w:p>
            <w:pPr>
              <w:pStyle w:val="16"/>
            </w:pPr>
            <w:r>
              <w:t>本年支出合计</w:t>
            </w:r>
          </w:p>
        </w:tc>
        <w:tc>
          <w:tcPr>
            <w:tcW w:w="1474" w:type="dxa"/>
            <w:vAlign w:val="center"/>
          </w:tcPr>
          <w:p>
            <w:pPr>
              <w:pStyle w:val="17"/>
            </w:pPr>
            <w:r>
              <w:t>38618.95</w:t>
            </w:r>
          </w:p>
        </w:tc>
        <w:tc>
          <w:tcPr>
            <w:tcW w:w="1474" w:type="dxa"/>
            <w:vAlign w:val="center"/>
          </w:tcPr>
          <w:p>
            <w:pPr>
              <w:pStyle w:val="17"/>
            </w:pPr>
            <w:r>
              <w:t>2953.55</w:t>
            </w:r>
          </w:p>
        </w:tc>
        <w:tc>
          <w:tcPr>
            <w:tcW w:w="1474" w:type="dxa"/>
            <w:vAlign w:val="center"/>
          </w:tcPr>
          <w:p>
            <w:pPr>
              <w:pStyle w:val="17"/>
            </w:pPr>
            <w:r>
              <w:t>35665.40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38618.95</w:t>
            </w:r>
          </w:p>
        </w:tc>
        <w:tc>
          <w:tcPr>
            <w:tcW w:w="3402" w:type="dxa"/>
            <w:vAlign w:val="center"/>
          </w:tcPr>
          <w:p>
            <w:pPr>
              <w:pStyle w:val="16"/>
            </w:pPr>
            <w:r>
              <w:t>支出总计</w:t>
            </w:r>
          </w:p>
        </w:tc>
        <w:tc>
          <w:tcPr>
            <w:tcW w:w="1474" w:type="dxa"/>
            <w:vAlign w:val="center"/>
          </w:tcPr>
          <w:p>
            <w:pPr>
              <w:pStyle w:val="17"/>
            </w:pPr>
            <w:r>
              <w:t>38618.95</w:t>
            </w:r>
          </w:p>
        </w:tc>
        <w:tc>
          <w:tcPr>
            <w:tcW w:w="1474" w:type="dxa"/>
            <w:vAlign w:val="center"/>
          </w:tcPr>
          <w:p>
            <w:pPr>
              <w:pStyle w:val="17"/>
            </w:pPr>
            <w:r>
              <w:t>2953.55</w:t>
            </w:r>
          </w:p>
        </w:tc>
        <w:tc>
          <w:tcPr>
            <w:tcW w:w="1474" w:type="dxa"/>
            <w:vAlign w:val="center"/>
          </w:tcPr>
          <w:p>
            <w:pPr>
              <w:pStyle w:val="17"/>
            </w:pPr>
            <w:r>
              <w:t>35665.40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rPr>
          <w:rFonts w:ascii="方正小标宋_GBK" w:hAnsi="方正小标宋_GBK" w:eastAsia="方正小标宋_GBK" w:cs="方正小标宋_GBK"/>
          <w:color w:val="000000"/>
          <w:sz w:val="36"/>
          <w:lang w:eastAsia="zh-CN"/>
        </w:rPr>
      </w:pPr>
      <w:bookmarkStart w:id="21" w:name="_Toc16213"/>
      <w:r>
        <w:rPr>
          <w:rFonts w:ascii="方正小标宋_GBK" w:hAnsi="方正小标宋_GBK" w:eastAsia="方正小标宋_GBK" w:cs="方正小标宋_GBK"/>
          <w:color w:val="000000"/>
          <w:sz w:val="36"/>
          <w:lang w:eastAsia="zh-CN"/>
        </w:rPr>
        <w:t>单位预算一般公共预算财政拨款支出表</w:t>
      </w:r>
      <w:bookmarkEnd w:id="2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2953.55</w:t>
            </w:r>
          </w:p>
        </w:tc>
        <w:tc>
          <w:tcPr>
            <w:tcW w:w="2551" w:type="dxa"/>
            <w:vAlign w:val="center"/>
          </w:tcPr>
          <w:p>
            <w:pPr>
              <w:pStyle w:val="17"/>
            </w:pPr>
            <w:r>
              <w:t>2753.55</w:t>
            </w:r>
          </w:p>
        </w:tc>
        <w:tc>
          <w:tcPr>
            <w:tcW w:w="2551" w:type="dxa"/>
            <w:vAlign w:val="center"/>
          </w:tcPr>
          <w:p>
            <w:pPr>
              <w:pStyle w:val="17"/>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2953.55</w:t>
            </w:r>
          </w:p>
        </w:tc>
        <w:tc>
          <w:tcPr>
            <w:tcW w:w="2551" w:type="dxa"/>
            <w:vAlign w:val="center"/>
          </w:tcPr>
          <w:p>
            <w:pPr>
              <w:pStyle w:val="13"/>
            </w:pPr>
            <w:r>
              <w:t>2753.55</w:t>
            </w: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21201</w:t>
            </w:r>
          </w:p>
        </w:tc>
        <w:tc>
          <w:tcPr>
            <w:tcW w:w="4535" w:type="dxa"/>
            <w:vAlign w:val="center"/>
          </w:tcPr>
          <w:p>
            <w:pPr>
              <w:pStyle w:val="14"/>
            </w:pPr>
            <w:r>
              <w:t>城乡社区管理事务</w:t>
            </w:r>
          </w:p>
        </w:tc>
        <w:tc>
          <w:tcPr>
            <w:tcW w:w="2551" w:type="dxa"/>
            <w:vAlign w:val="center"/>
          </w:tcPr>
          <w:p>
            <w:pPr>
              <w:pStyle w:val="13"/>
            </w:pPr>
            <w:r>
              <w:t>2953.55</w:t>
            </w:r>
          </w:p>
        </w:tc>
        <w:tc>
          <w:tcPr>
            <w:tcW w:w="2551" w:type="dxa"/>
            <w:vAlign w:val="center"/>
          </w:tcPr>
          <w:p>
            <w:pPr>
              <w:pStyle w:val="13"/>
            </w:pPr>
            <w:r>
              <w:t>2753.55</w:t>
            </w: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2120101</w:t>
            </w:r>
          </w:p>
        </w:tc>
        <w:tc>
          <w:tcPr>
            <w:tcW w:w="4535" w:type="dxa"/>
            <w:vAlign w:val="center"/>
          </w:tcPr>
          <w:p>
            <w:pPr>
              <w:pStyle w:val="14"/>
            </w:pPr>
            <w:r>
              <w:t>行政运行</w:t>
            </w:r>
          </w:p>
        </w:tc>
        <w:tc>
          <w:tcPr>
            <w:tcW w:w="2551" w:type="dxa"/>
            <w:vAlign w:val="center"/>
          </w:tcPr>
          <w:p>
            <w:pPr>
              <w:pStyle w:val="13"/>
            </w:pPr>
            <w:r>
              <w:t>2753.55</w:t>
            </w:r>
          </w:p>
        </w:tc>
        <w:tc>
          <w:tcPr>
            <w:tcW w:w="2551" w:type="dxa"/>
            <w:vAlign w:val="center"/>
          </w:tcPr>
          <w:p>
            <w:pPr>
              <w:pStyle w:val="13"/>
            </w:pPr>
            <w:r>
              <w:t>2753.55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2120104</w:t>
            </w:r>
          </w:p>
        </w:tc>
        <w:tc>
          <w:tcPr>
            <w:tcW w:w="4535" w:type="dxa"/>
            <w:vAlign w:val="center"/>
          </w:tcPr>
          <w:p>
            <w:pPr>
              <w:pStyle w:val="14"/>
            </w:pPr>
            <w:r>
              <w:t>城管执法</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rPr>
          <w:rFonts w:ascii="方正小标宋_GBK" w:hAnsi="方正小标宋_GBK" w:eastAsia="方正小标宋_GBK" w:cs="方正小标宋_GBK"/>
          <w:color w:val="000000"/>
          <w:sz w:val="36"/>
          <w:lang w:eastAsia="zh-CN"/>
        </w:rPr>
      </w:pPr>
      <w:bookmarkStart w:id="22" w:name="_Toc24453"/>
      <w:r>
        <w:rPr>
          <w:rFonts w:ascii="方正小标宋_GBK" w:hAnsi="方正小标宋_GBK" w:eastAsia="方正小标宋_GBK" w:cs="方正小标宋_GBK"/>
          <w:color w:val="000000"/>
          <w:sz w:val="36"/>
          <w:lang w:eastAsia="zh-CN"/>
        </w:rPr>
        <w:t>单位预算一般公共预算财政拨款基本支出表</w:t>
      </w:r>
      <w:bookmarkEnd w:id="2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2753.55</w:t>
            </w:r>
          </w:p>
        </w:tc>
        <w:tc>
          <w:tcPr>
            <w:tcW w:w="2551" w:type="dxa"/>
            <w:vAlign w:val="center"/>
          </w:tcPr>
          <w:p>
            <w:pPr>
              <w:pStyle w:val="17"/>
            </w:pPr>
            <w:r>
              <w:t>2650.51</w:t>
            </w:r>
          </w:p>
        </w:tc>
        <w:tc>
          <w:tcPr>
            <w:tcW w:w="2551" w:type="dxa"/>
            <w:vAlign w:val="center"/>
          </w:tcPr>
          <w:p>
            <w:pPr>
              <w:pStyle w:val="17"/>
            </w:pPr>
            <w:r>
              <w:t>103.04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2644.53</w:t>
            </w:r>
          </w:p>
        </w:tc>
        <w:tc>
          <w:tcPr>
            <w:tcW w:w="2551" w:type="dxa"/>
            <w:vAlign w:val="center"/>
          </w:tcPr>
          <w:p>
            <w:pPr>
              <w:pStyle w:val="13"/>
            </w:pPr>
            <w:r>
              <w:t>2644.53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618.12</w:t>
            </w:r>
          </w:p>
        </w:tc>
        <w:tc>
          <w:tcPr>
            <w:tcW w:w="2551" w:type="dxa"/>
            <w:vAlign w:val="center"/>
          </w:tcPr>
          <w:p>
            <w:pPr>
              <w:pStyle w:val="13"/>
            </w:pPr>
            <w:r>
              <w:t>618.12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658.47</w:t>
            </w:r>
          </w:p>
        </w:tc>
        <w:tc>
          <w:tcPr>
            <w:tcW w:w="2551" w:type="dxa"/>
            <w:vAlign w:val="center"/>
          </w:tcPr>
          <w:p>
            <w:pPr>
              <w:pStyle w:val="13"/>
            </w:pPr>
            <w:r>
              <w:t>658.47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0.89</w:t>
            </w:r>
          </w:p>
        </w:tc>
        <w:tc>
          <w:tcPr>
            <w:tcW w:w="2551" w:type="dxa"/>
            <w:vAlign w:val="center"/>
          </w:tcPr>
          <w:p>
            <w:pPr>
              <w:pStyle w:val="13"/>
            </w:pPr>
            <w:r>
              <w:t>0.89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480.12</w:t>
            </w:r>
          </w:p>
        </w:tc>
        <w:tc>
          <w:tcPr>
            <w:tcW w:w="2551" w:type="dxa"/>
            <w:vAlign w:val="center"/>
          </w:tcPr>
          <w:p>
            <w:pPr>
              <w:pStyle w:val="13"/>
            </w:pPr>
            <w:r>
              <w:t>480.12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227.64</w:t>
            </w:r>
          </w:p>
        </w:tc>
        <w:tc>
          <w:tcPr>
            <w:tcW w:w="2551" w:type="dxa"/>
            <w:vAlign w:val="center"/>
          </w:tcPr>
          <w:p>
            <w:pPr>
              <w:pStyle w:val="13"/>
            </w:pPr>
            <w:r>
              <w:t>227.64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170.22</w:t>
            </w:r>
          </w:p>
        </w:tc>
        <w:tc>
          <w:tcPr>
            <w:tcW w:w="2551" w:type="dxa"/>
            <w:vAlign w:val="center"/>
          </w:tcPr>
          <w:p>
            <w:pPr>
              <w:pStyle w:val="13"/>
            </w:pPr>
            <w:r>
              <w:t>170.22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92.48</w:t>
            </w:r>
          </w:p>
        </w:tc>
        <w:tc>
          <w:tcPr>
            <w:tcW w:w="2551" w:type="dxa"/>
            <w:vAlign w:val="center"/>
          </w:tcPr>
          <w:p>
            <w:pPr>
              <w:pStyle w:val="13"/>
            </w:pPr>
            <w:r>
              <w:t>92.48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207.87</w:t>
            </w:r>
          </w:p>
        </w:tc>
        <w:tc>
          <w:tcPr>
            <w:tcW w:w="2551" w:type="dxa"/>
            <w:vAlign w:val="center"/>
          </w:tcPr>
          <w:p>
            <w:pPr>
              <w:pStyle w:val="13"/>
            </w:pPr>
            <w:r>
              <w:t>207.87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188.72</w:t>
            </w:r>
          </w:p>
        </w:tc>
        <w:tc>
          <w:tcPr>
            <w:tcW w:w="2551" w:type="dxa"/>
            <w:vAlign w:val="center"/>
          </w:tcPr>
          <w:p>
            <w:pPr>
              <w:pStyle w:val="13"/>
            </w:pPr>
            <w:r>
              <w:t>188.72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103.04</w:t>
            </w:r>
          </w:p>
        </w:tc>
        <w:tc>
          <w:tcPr>
            <w:tcW w:w="2551" w:type="dxa"/>
            <w:vAlign w:val="center"/>
          </w:tcPr>
          <w:p>
            <w:pPr>
              <w:pStyle w:val="13"/>
            </w:pPr>
          </w:p>
        </w:tc>
        <w:tc>
          <w:tcPr>
            <w:tcW w:w="2551" w:type="dxa"/>
            <w:vAlign w:val="center"/>
          </w:tcPr>
          <w:p>
            <w:pPr>
              <w:pStyle w:val="13"/>
            </w:pPr>
            <w:r>
              <w:t>103.04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31.50</w:t>
            </w:r>
          </w:p>
        </w:tc>
        <w:tc>
          <w:tcPr>
            <w:tcW w:w="2551" w:type="dxa"/>
            <w:vAlign w:val="center"/>
          </w:tcPr>
          <w:p>
            <w:pPr>
              <w:pStyle w:val="13"/>
            </w:pPr>
          </w:p>
        </w:tc>
        <w:tc>
          <w:tcPr>
            <w:tcW w:w="2551" w:type="dxa"/>
            <w:vAlign w:val="center"/>
          </w:tcPr>
          <w:p>
            <w:pPr>
              <w:pStyle w:val="13"/>
            </w:pPr>
            <w:r>
              <w:t>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31.50</w:t>
            </w:r>
          </w:p>
        </w:tc>
        <w:tc>
          <w:tcPr>
            <w:tcW w:w="2551" w:type="dxa"/>
            <w:vAlign w:val="center"/>
          </w:tcPr>
          <w:p>
            <w:pPr>
              <w:pStyle w:val="13"/>
            </w:pPr>
          </w:p>
        </w:tc>
        <w:tc>
          <w:tcPr>
            <w:tcW w:w="2551" w:type="dxa"/>
            <w:vAlign w:val="center"/>
          </w:tcPr>
          <w:p>
            <w:pPr>
              <w:pStyle w:val="13"/>
            </w:pPr>
            <w:r>
              <w:t>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13.26</w:t>
            </w:r>
          </w:p>
        </w:tc>
        <w:tc>
          <w:tcPr>
            <w:tcW w:w="2551" w:type="dxa"/>
            <w:vAlign w:val="center"/>
          </w:tcPr>
          <w:p>
            <w:pPr>
              <w:pStyle w:val="13"/>
            </w:pPr>
          </w:p>
        </w:tc>
        <w:tc>
          <w:tcPr>
            <w:tcW w:w="2551" w:type="dxa"/>
            <w:vAlign w:val="center"/>
          </w:tcPr>
          <w:p>
            <w:pPr>
              <w:pStyle w:val="13"/>
            </w:pPr>
            <w:r>
              <w:t>13.26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15.45</w:t>
            </w:r>
          </w:p>
        </w:tc>
        <w:tc>
          <w:tcPr>
            <w:tcW w:w="2551" w:type="dxa"/>
            <w:vAlign w:val="center"/>
          </w:tcPr>
          <w:p>
            <w:pPr>
              <w:pStyle w:val="13"/>
            </w:pPr>
          </w:p>
        </w:tc>
        <w:tc>
          <w:tcPr>
            <w:tcW w:w="2551" w:type="dxa"/>
            <w:vAlign w:val="center"/>
          </w:tcPr>
          <w:p>
            <w:pPr>
              <w:pStyle w:val="13"/>
            </w:pPr>
            <w:r>
              <w:t>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1.38</w:t>
            </w:r>
          </w:p>
        </w:tc>
        <w:tc>
          <w:tcPr>
            <w:tcW w:w="2551" w:type="dxa"/>
            <w:vAlign w:val="center"/>
          </w:tcPr>
          <w:p>
            <w:pPr>
              <w:pStyle w:val="13"/>
            </w:pPr>
          </w:p>
        </w:tc>
        <w:tc>
          <w:tcPr>
            <w:tcW w:w="2551" w:type="dxa"/>
            <w:vAlign w:val="center"/>
          </w:tcPr>
          <w:p>
            <w:pPr>
              <w:pStyle w:val="13"/>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9.35</w:t>
            </w:r>
          </w:p>
        </w:tc>
        <w:tc>
          <w:tcPr>
            <w:tcW w:w="2551" w:type="dxa"/>
            <w:vAlign w:val="center"/>
          </w:tcPr>
          <w:p>
            <w:pPr>
              <w:pStyle w:val="13"/>
            </w:pPr>
          </w:p>
        </w:tc>
        <w:tc>
          <w:tcPr>
            <w:tcW w:w="2551" w:type="dxa"/>
            <w:vAlign w:val="center"/>
          </w:tcPr>
          <w:p>
            <w:pPr>
              <w:pStyle w:val="13"/>
            </w:pPr>
            <w:r>
              <w:t>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5.98</w:t>
            </w:r>
          </w:p>
        </w:tc>
        <w:tc>
          <w:tcPr>
            <w:tcW w:w="2551" w:type="dxa"/>
            <w:vAlign w:val="center"/>
          </w:tcPr>
          <w:p>
            <w:pPr>
              <w:pStyle w:val="13"/>
            </w:pPr>
            <w:r>
              <w:t>5.98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5.98</w:t>
            </w:r>
          </w:p>
        </w:tc>
        <w:tc>
          <w:tcPr>
            <w:tcW w:w="2551" w:type="dxa"/>
            <w:vAlign w:val="center"/>
          </w:tcPr>
          <w:p>
            <w:pPr>
              <w:pStyle w:val="13"/>
            </w:pPr>
            <w:r>
              <w:t>5.98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rPr>
          <w:rFonts w:ascii="方正小标宋_GBK" w:hAnsi="方正小标宋_GBK" w:eastAsia="方正小标宋_GBK" w:cs="方正小标宋_GBK"/>
          <w:color w:val="000000"/>
          <w:sz w:val="36"/>
          <w:lang w:eastAsia="zh-CN"/>
        </w:rPr>
      </w:pPr>
      <w:bookmarkStart w:id="23" w:name="_Toc22924"/>
      <w:r>
        <w:rPr>
          <w:rFonts w:ascii="方正小标宋_GBK" w:hAnsi="方正小标宋_GBK" w:eastAsia="方正小标宋_GBK" w:cs="方正小标宋_GBK"/>
          <w:color w:val="000000"/>
          <w:sz w:val="36"/>
          <w:lang w:eastAsia="zh-CN"/>
        </w:rPr>
        <w:t>单位预算政府基金预算财政拨款支出表</w:t>
      </w:r>
      <w:bookmarkEnd w:id="2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35665.40</w:t>
            </w:r>
          </w:p>
        </w:tc>
        <w:tc>
          <w:tcPr>
            <w:tcW w:w="2551" w:type="dxa"/>
            <w:vAlign w:val="center"/>
          </w:tcPr>
          <w:p>
            <w:pPr>
              <w:pStyle w:val="17"/>
            </w:pPr>
          </w:p>
        </w:tc>
        <w:tc>
          <w:tcPr>
            <w:tcW w:w="2551" w:type="dxa"/>
            <w:vAlign w:val="center"/>
          </w:tcPr>
          <w:p>
            <w:pPr>
              <w:pStyle w:val="17"/>
            </w:pPr>
            <w:r>
              <w:t>35665.40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29999.18</w:t>
            </w:r>
          </w:p>
        </w:tc>
        <w:tc>
          <w:tcPr>
            <w:tcW w:w="2551" w:type="dxa"/>
            <w:vAlign w:val="center"/>
          </w:tcPr>
          <w:p>
            <w:pPr>
              <w:pStyle w:val="13"/>
            </w:pPr>
          </w:p>
        </w:tc>
        <w:tc>
          <w:tcPr>
            <w:tcW w:w="2551" w:type="dxa"/>
            <w:vAlign w:val="center"/>
          </w:tcPr>
          <w:p>
            <w:pPr>
              <w:pStyle w:val="13"/>
            </w:pPr>
            <w:r>
              <w:t>29999.18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29999.18</w:t>
            </w:r>
          </w:p>
        </w:tc>
        <w:tc>
          <w:tcPr>
            <w:tcW w:w="2551" w:type="dxa"/>
            <w:vAlign w:val="center"/>
          </w:tcPr>
          <w:p>
            <w:pPr>
              <w:pStyle w:val="13"/>
            </w:pPr>
          </w:p>
        </w:tc>
        <w:tc>
          <w:tcPr>
            <w:tcW w:w="2551" w:type="dxa"/>
            <w:vAlign w:val="center"/>
          </w:tcPr>
          <w:p>
            <w:pPr>
              <w:pStyle w:val="13"/>
            </w:pPr>
            <w:r>
              <w:t>29999.18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2120803</w:t>
            </w:r>
          </w:p>
        </w:tc>
        <w:tc>
          <w:tcPr>
            <w:tcW w:w="4535" w:type="dxa"/>
            <w:vAlign w:val="center"/>
          </w:tcPr>
          <w:p>
            <w:pPr>
              <w:pStyle w:val="14"/>
            </w:pPr>
            <w:r>
              <w:t>城市建设支出</w:t>
            </w:r>
          </w:p>
        </w:tc>
        <w:tc>
          <w:tcPr>
            <w:tcW w:w="2551" w:type="dxa"/>
            <w:vAlign w:val="center"/>
          </w:tcPr>
          <w:p>
            <w:pPr>
              <w:pStyle w:val="13"/>
            </w:pPr>
            <w:r>
              <w:t>19219.71</w:t>
            </w:r>
          </w:p>
        </w:tc>
        <w:tc>
          <w:tcPr>
            <w:tcW w:w="2551" w:type="dxa"/>
            <w:vAlign w:val="center"/>
          </w:tcPr>
          <w:p>
            <w:pPr>
              <w:pStyle w:val="13"/>
            </w:pPr>
          </w:p>
        </w:tc>
        <w:tc>
          <w:tcPr>
            <w:tcW w:w="2551" w:type="dxa"/>
            <w:vAlign w:val="center"/>
          </w:tcPr>
          <w:p>
            <w:pPr>
              <w:pStyle w:val="13"/>
            </w:pPr>
            <w:r>
              <w:t>19219.71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2120816</w:t>
            </w:r>
          </w:p>
        </w:tc>
        <w:tc>
          <w:tcPr>
            <w:tcW w:w="4535" w:type="dxa"/>
            <w:vAlign w:val="center"/>
          </w:tcPr>
          <w:p>
            <w:pPr>
              <w:pStyle w:val="14"/>
            </w:pPr>
            <w:r>
              <w:t>农业农村生态环境支出</w:t>
            </w:r>
          </w:p>
        </w:tc>
        <w:tc>
          <w:tcPr>
            <w:tcW w:w="2551" w:type="dxa"/>
            <w:vAlign w:val="center"/>
          </w:tcPr>
          <w:p>
            <w:pPr>
              <w:pStyle w:val="13"/>
            </w:pPr>
            <w:r>
              <w:t>10779.47</w:t>
            </w:r>
          </w:p>
        </w:tc>
        <w:tc>
          <w:tcPr>
            <w:tcW w:w="2551" w:type="dxa"/>
            <w:vAlign w:val="center"/>
          </w:tcPr>
          <w:p>
            <w:pPr>
              <w:pStyle w:val="13"/>
            </w:pPr>
          </w:p>
        </w:tc>
        <w:tc>
          <w:tcPr>
            <w:tcW w:w="2551" w:type="dxa"/>
            <w:vAlign w:val="center"/>
          </w:tcPr>
          <w:p>
            <w:pPr>
              <w:pStyle w:val="13"/>
            </w:pPr>
            <w:r>
              <w:t>10779.47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231</w:t>
            </w:r>
          </w:p>
        </w:tc>
        <w:tc>
          <w:tcPr>
            <w:tcW w:w="4535" w:type="dxa"/>
            <w:vAlign w:val="center"/>
          </w:tcPr>
          <w:p>
            <w:pPr>
              <w:pStyle w:val="14"/>
            </w:pPr>
            <w:r>
              <w:t>债务还本支出</w:t>
            </w:r>
          </w:p>
        </w:tc>
        <w:tc>
          <w:tcPr>
            <w:tcW w:w="2551" w:type="dxa"/>
            <w:vAlign w:val="center"/>
          </w:tcPr>
          <w:p>
            <w:pPr>
              <w:pStyle w:val="13"/>
            </w:pPr>
            <w:r>
              <w:t>3334.00</w:t>
            </w:r>
          </w:p>
        </w:tc>
        <w:tc>
          <w:tcPr>
            <w:tcW w:w="2551" w:type="dxa"/>
            <w:vAlign w:val="center"/>
          </w:tcPr>
          <w:p>
            <w:pPr>
              <w:pStyle w:val="13"/>
            </w:pPr>
          </w:p>
        </w:tc>
        <w:tc>
          <w:tcPr>
            <w:tcW w:w="2551" w:type="dxa"/>
            <w:vAlign w:val="center"/>
          </w:tcPr>
          <w:p>
            <w:pPr>
              <w:pStyle w:val="13"/>
            </w:pPr>
            <w:r>
              <w:t>3334.00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23104</w:t>
            </w:r>
          </w:p>
        </w:tc>
        <w:tc>
          <w:tcPr>
            <w:tcW w:w="4535" w:type="dxa"/>
            <w:vAlign w:val="center"/>
          </w:tcPr>
          <w:p>
            <w:pPr>
              <w:pStyle w:val="14"/>
            </w:pPr>
            <w:r>
              <w:t>地方政府专项债务还本支出</w:t>
            </w:r>
          </w:p>
        </w:tc>
        <w:tc>
          <w:tcPr>
            <w:tcW w:w="2551" w:type="dxa"/>
            <w:vAlign w:val="center"/>
          </w:tcPr>
          <w:p>
            <w:pPr>
              <w:pStyle w:val="13"/>
            </w:pPr>
            <w:r>
              <w:t>3334.00</w:t>
            </w:r>
          </w:p>
        </w:tc>
        <w:tc>
          <w:tcPr>
            <w:tcW w:w="2551" w:type="dxa"/>
            <w:vAlign w:val="center"/>
          </w:tcPr>
          <w:p>
            <w:pPr>
              <w:pStyle w:val="13"/>
            </w:pPr>
          </w:p>
        </w:tc>
        <w:tc>
          <w:tcPr>
            <w:tcW w:w="2551" w:type="dxa"/>
            <w:vAlign w:val="center"/>
          </w:tcPr>
          <w:p>
            <w:pPr>
              <w:pStyle w:val="13"/>
            </w:pPr>
            <w:r>
              <w:t>3334.00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2310411</w:t>
            </w:r>
          </w:p>
        </w:tc>
        <w:tc>
          <w:tcPr>
            <w:tcW w:w="4535" w:type="dxa"/>
            <w:vAlign w:val="center"/>
          </w:tcPr>
          <w:p>
            <w:pPr>
              <w:pStyle w:val="14"/>
            </w:pPr>
            <w:r>
              <w:t>国有土地使用权出让金债务还本支出</w:t>
            </w:r>
          </w:p>
        </w:tc>
        <w:tc>
          <w:tcPr>
            <w:tcW w:w="2551" w:type="dxa"/>
            <w:vAlign w:val="center"/>
          </w:tcPr>
          <w:p>
            <w:pPr>
              <w:pStyle w:val="13"/>
            </w:pPr>
            <w:r>
              <w:t>3334.00</w:t>
            </w:r>
          </w:p>
        </w:tc>
        <w:tc>
          <w:tcPr>
            <w:tcW w:w="2551" w:type="dxa"/>
            <w:vAlign w:val="center"/>
          </w:tcPr>
          <w:p>
            <w:pPr>
              <w:pStyle w:val="13"/>
            </w:pPr>
          </w:p>
        </w:tc>
        <w:tc>
          <w:tcPr>
            <w:tcW w:w="2551" w:type="dxa"/>
            <w:vAlign w:val="center"/>
          </w:tcPr>
          <w:p>
            <w:pPr>
              <w:pStyle w:val="13"/>
            </w:pPr>
            <w:r>
              <w:t>3334.00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232</w:t>
            </w:r>
          </w:p>
        </w:tc>
        <w:tc>
          <w:tcPr>
            <w:tcW w:w="4535" w:type="dxa"/>
            <w:vAlign w:val="center"/>
          </w:tcPr>
          <w:p>
            <w:pPr>
              <w:pStyle w:val="14"/>
            </w:pPr>
            <w:r>
              <w:t>债务付息支出</w:t>
            </w:r>
          </w:p>
        </w:tc>
        <w:tc>
          <w:tcPr>
            <w:tcW w:w="2551" w:type="dxa"/>
            <w:vAlign w:val="center"/>
          </w:tcPr>
          <w:p>
            <w:pPr>
              <w:pStyle w:val="13"/>
            </w:pPr>
            <w:r>
              <w:t>2332.22</w:t>
            </w:r>
          </w:p>
        </w:tc>
        <w:tc>
          <w:tcPr>
            <w:tcW w:w="2551" w:type="dxa"/>
            <w:vAlign w:val="center"/>
          </w:tcPr>
          <w:p>
            <w:pPr>
              <w:pStyle w:val="13"/>
            </w:pPr>
          </w:p>
        </w:tc>
        <w:tc>
          <w:tcPr>
            <w:tcW w:w="2551" w:type="dxa"/>
            <w:vAlign w:val="center"/>
          </w:tcPr>
          <w:p>
            <w:pPr>
              <w:pStyle w:val="13"/>
            </w:pPr>
            <w:r>
              <w:t>2332.22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23204</w:t>
            </w:r>
          </w:p>
        </w:tc>
        <w:tc>
          <w:tcPr>
            <w:tcW w:w="4535" w:type="dxa"/>
            <w:vAlign w:val="center"/>
          </w:tcPr>
          <w:p>
            <w:pPr>
              <w:pStyle w:val="14"/>
            </w:pPr>
            <w:r>
              <w:t>地方政府专项债务付息支出</w:t>
            </w:r>
          </w:p>
        </w:tc>
        <w:tc>
          <w:tcPr>
            <w:tcW w:w="2551" w:type="dxa"/>
            <w:vAlign w:val="center"/>
          </w:tcPr>
          <w:p>
            <w:pPr>
              <w:pStyle w:val="13"/>
            </w:pPr>
            <w:r>
              <w:t>2332.22</w:t>
            </w:r>
          </w:p>
        </w:tc>
        <w:tc>
          <w:tcPr>
            <w:tcW w:w="2551" w:type="dxa"/>
            <w:vAlign w:val="center"/>
          </w:tcPr>
          <w:p>
            <w:pPr>
              <w:pStyle w:val="13"/>
            </w:pPr>
          </w:p>
        </w:tc>
        <w:tc>
          <w:tcPr>
            <w:tcW w:w="2551" w:type="dxa"/>
            <w:vAlign w:val="center"/>
          </w:tcPr>
          <w:p>
            <w:pPr>
              <w:pStyle w:val="13"/>
            </w:pPr>
            <w:r>
              <w:t>2332.22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2320411</w:t>
            </w:r>
          </w:p>
        </w:tc>
        <w:tc>
          <w:tcPr>
            <w:tcW w:w="4535" w:type="dxa"/>
            <w:vAlign w:val="center"/>
          </w:tcPr>
          <w:p>
            <w:pPr>
              <w:pStyle w:val="14"/>
            </w:pPr>
            <w:r>
              <w:t>国有土地使用权出让金债务付息支出</w:t>
            </w:r>
          </w:p>
        </w:tc>
        <w:tc>
          <w:tcPr>
            <w:tcW w:w="2551" w:type="dxa"/>
            <w:vAlign w:val="center"/>
          </w:tcPr>
          <w:p>
            <w:pPr>
              <w:pStyle w:val="13"/>
            </w:pPr>
            <w:r>
              <w:t>2332.22</w:t>
            </w:r>
          </w:p>
        </w:tc>
        <w:tc>
          <w:tcPr>
            <w:tcW w:w="2551" w:type="dxa"/>
            <w:vAlign w:val="center"/>
          </w:tcPr>
          <w:p>
            <w:pPr>
              <w:pStyle w:val="13"/>
            </w:pPr>
          </w:p>
        </w:tc>
        <w:tc>
          <w:tcPr>
            <w:tcW w:w="2551" w:type="dxa"/>
            <w:vAlign w:val="center"/>
          </w:tcPr>
          <w:p>
            <w:pPr>
              <w:pStyle w:val="13"/>
            </w:pPr>
            <w:r>
              <w:t>2332.22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rPr>
          <w:rFonts w:ascii="方正小标宋_GBK" w:hAnsi="方正小标宋_GBK" w:eastAsia="方正小标宋_GBK" w:cs="方正小标宋_GBK"/>
          <w:color w:val="000000"/>
          <w:sz w:val="36"/>
          <w:lang w:eastAsia="zh-CN"/>
        </w:rPr>
      </w:pPr>
      <w:bookmarkStart w:id="24" w:name="_Toc32615"/>
      <w:r>
        <w:rPr>
          <w:rFonts w:ascii="方正小标宋_GBK" w:hAnsi="方正小标宋_GBK" w:eastAsia="方正小标宋_GBK" w:cs="方正小标宋_GBK"/>
          <w:color w:val="000000"/>
          <w:sz w:val="36"/>
          <w:lang w:eastAsia="zh-CN"/>
        </w:rPr>
        <w:t>单位预算国有资本经营预算财政拨款支出表</w:t>
      </w:r>
      <w:bookmarkEnd w:id="2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565001石家庄市藁城区城市管理综合行政执法局本级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0"/>
        <w:rPr>
          <w:rFonts w:ascii="方正小标宋_GBK" w:hAnsi="方正小标宋_GBK" w:eastAsia="方正小标宋_GBK" w:cs="方正小标宋_GBK"/>
          <w:color w:val="000000"/>
          <w:sz w:val="36"/>
          <w:lang w:eastAsia="zh-CN"/>
        </w:rPr>
      </w:pPr>
      <w:bookmarkStart w:id="25" w:name="_Toc9971"/>
      <w:r>
        <w:rPr>
          <w:rFonts w:ascii="方正小标宋_GBK" w:hAnsi="方正小标宋_GBK" w:eastAsia="方正小标宋_GBK" w:cs="方正小标宋_GBK"/>
          <w:color w:val="000000"/>
          <w:sz w:val="36"/>
          <w:lang w:eastAsia="zh-CN"/>
        </w:rPr>
        <w:t>单位预算财政拨款“三公”经费支出表</w:t>
      </w:r>
      <w:bookmarkEnd w:id="2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565001石家庄市藁城区城市管理综合行政执法局本级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0.60</w:t>
            </w:r>
          </w:p>
        </w:tc>
        <w:tc>
          <w:tcPr>
            <w:tcW w:w="1643" w:type="dxa"/>
            <w:vAlign w:val="center"/>
          </w:tcPr>
          <w:p>
            <w:pPr>
              <w:pStyle w:val="17"/>
              <w:rPr>
                <w:rFonts w:hint="default" w:eastAsia="方正书宋_GBK"/>
                <w:lang w:val="en-US" w:eastAsia="zh-CN"/>
              </w:rPr>
            </w:pPr>
            <w:r>
              <w:rPr>
                <w:rFonts w:hint="eastAsia"/>
                <w:lang w:val="en-US" w:eastAsia="zh-CN"/>
              </w:rPr>
              <w:t>0.60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0.60</w:t>
            </w:r>
          </w:p>
        </w:tc>
        <w:tc>
          <w:tcPr>
            <w:tcW w:w="1643" w:type="dxa"/>
            <w:vAlign w:val="center"/>
          </w:tcPr>
          <w:p>
            <w:pPr>
              <w:pStyle w:val="13"/>
              <w:rPr>
                <w:rFonts w:hint="default" w:eastAsia="方正书宋_GBK"/>
                <w:lang w:val="en-US" w:eastAsia="zh-CN"/>
              </w:rPr>
            </w:pPr>
            <w:r>
              <w:rPr>
                <w:rFonts w:hint="eastAsia"/>
                <w:lang w:val="en-US" w:eastAsia="zh-CN"/>
              </w:rPr>
              <w:t>0.60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0.60</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ind w:firstLine="0"/>
        <w:jc w:val="center"/>
        <w:outlineLvl w:val="0"/>
        <w:rPr>
          <w:rFonts w:ascii="方正小标宋_GBK" w:hAnsi="方正小标宋_GBK" w:eastAsia="方正小标宋_GBK" w:cs="方正小标宋_GBK"/>
          <w:b w:val="0"/>
          <w:color w:val="000000"/>
          <w:sz w:val="44"/>
        </w:rPr>
      </w:pPr>
      <w:bookmarkStart w:id="26" w:name="_Toc9765"/>
      <w:r>
        <w:rPr>
          <w:rFonts w:ascii="方正小标宋_GBK" w:hAnsi="方正小标宋_GBK" w:eastAsia="方正小标宋_GBK" w:cs="方正小标宋_GBK"/>
          <w:b w:val="0"/>
          <w:color w:val="000000"/>
          <w:sz w:val="44"/>
        </w:rPr>
        <w:t>石家庄市藁城区城市管理综合行政执法局本级2022年单位预算信息公开情况说明</w:t>
      </w:r>
      <w:bookmarkEnd w:id="26"/>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》、《地方预决算公开操作规程》和《关于进一步推进预算公开工作的实施意见》规定，现将石家庄市藁城区城市管理综合行政执法局本级2022年单位预算公开如下：</w:t>
      </w:r>
    </w:p>
    <w:p>
      <w:pPr>
        <w:spacing w:before="10" w:after="10" w:line="240" w:lineRule="auto"/>
        <w:ind w:firstLine="640"/>
        <w:jc w:val="left"/>
        <w:outlineLvl w:val="0"/>
      </w:pPr>
      <w:bookmarkStart w:id="27" w:name="_Toc17281"/>
      <w:bookmarkStart w:id="28" w:name="_Toc24776"/>
      <w:r>
        <w:rPr>
          <w:rFonts w:ascii="黑体" w:hAnsi="黑体" w:eastAsia="黑体" w:cs="黑体"/>
          <w:color w:val="000000"/>
          <w:sz w:val="32"/>
        </w:rPr>
        <w:t>一、单位职责及机构设置情况</w:t>
      </w:r>
      <w:bookmarkEnd w:id="27"/>
      <w:bookmarkEnd w:id="28"/>
    </w:p>
    <w:p>
      <w:pPr>
        <w:pStyle w:val="1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9"/>
      </w:pPr>
      <w:r>
        <w:t>（一）负责市容管理、监</w:t>
      </w:r>
      <w:bookmarkStart w:id="47" w:name="_GoBack"/>
      <w:bookmarkEnd w:id="47"/>
      <w:r>
        <w:t>察等城市管理综合行政执法工作。负责主城区市容管理、监察并对各乡镇、开发区城市管理综合行政执法工作监督指导，机动执法；城市市容景观广告牌匾的监督、管理工作；建立数字城管指挥系统，对城市管理工作即时监控，发现问题及时指挥、协调和督办；负责对乡镇环境卫生清扫保洁的督导检查、综合评比和统筹协调工作；负责便民市场规范化运行和日常监管工作；负责城市生活垃圾处理中心的运行管理工作；负责兴华公园和体育公园监管考核工作；开展市容环境卫生、市政公用设施、园林绿化、城乡规划、住房和城乡建设管理五个方面的行政执法和处罚；负责国土、环保、市场监督、交通管理、水务管理等方面的行政处罚；负责执法局安排的其他工作等。</w:t>
      </w:r>
    </w:p>
    <w:p>
      <w:pPr>
        <w:pStyle w:val="19"/>
      </w:pPr>
      <w:r>
        <w:t>（二）负责拟定城市基础设施维护的发展战略和中长期规划；负责城区道路、桥涵、泵站、城市排水、城市路灯等市政公用设施的建设、维修养护及管理工作。</w:t>
      </w:r>
    </w:p>
    <w:p>
      <w:pPr>
        <w:pStyle w:val="19"/>
      </w:pPr>
      <w:r>
        <w:t>（三）负责市容环境卫生管理工作的指导、监督、检查、考核。负责城区、廉州镇城中村街道及国、省、县级道路人工清扫保洁工作、机械化清扫工作及洒水降尘工作；负责城区垃圾清运、转运工作；负责城区垃圾转运站、公厕的建设、维修维护、保养保洁等工作；负责环卫作业车辆购置及管理工作；负责城市生活垃圾分类管理工作；负责城区环境卫生日常巡查等工作。</w:t>
      </w:r>
    </w:p>
    <w:p>
      <w:pPr>
        <w:pStyle w:val="19"/>
      </w:pPr>
      <w:r>
        <w:t>（四）负责城区园林绿化建设、管理。参与制定年度绿化计划；负责建成区绿化规划设计，完成上级提出的绿化指标；落实绿线管制制度，负责“绿色图章”使用；负责园林绿地日常养护管理；承担城市园林绿化工程项目的设计、施工管理；根据国家、省、市相关政策法规开展古树名木保护工作；负责园林式单位的申报与初步验收，完成社会绿化技术问题的指导工作等。</w:t>
      </w:r>
    </w:p>
    <w:p>
      <w:pPr>
        <w:pStyle w:val="19"/>
      </w:pPr>
      <w:r>
        <w:t>（五）负责水上公园、儿童公园的日常养护管理工作。向社会提供休闲、娱乐、健身活动场所；向社会提供植物、花卉的管理知识咨询；对园内植物进行日常绿化管护；搞好园内的环境卫生工作；做好园内游乐设施设备的安全隐患排查和维修保养。</w:t>
      </w:r>
    </w:p>
    <w:p>
      <w:pPr>
        <w:pStyle w:val="19"/>
      </w:pPr>
      <w:r>
        <w:t>（六）完成区委、区政府交办的其他任务。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石家庄市藁城区城市管理综合行政执法局本级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0"/>
      </w:pPr>
      <w:bookmarkStart w:id="29" w:name="_Toc25925"/>
      <w:bookmarkStart w:id="30" w:name="_Toc15047"/>
      <w:r>
        <w:rPr>
          <w:rFonts w:ascii="黑体" w:hAnsi="黑体" w:eastAsia="黑体" w:cs="黑体"/>
          <w:color w:val="000000"/>
          <w:sz w:val="32"/>
        </w:rPr>
        <w:t>二、单位预算安排的总体情况</w:t>
      </w:r>
      <w:bookmarkEnd w:id="29"/>
      <w:bookmarkEnd w:id="30"/>
    </w:p>
    <w:p>
      <w:pPr>
        <w:spacing w:line="460" w:lineRule="exact"/>
        <w:ind w:firstLine="640"/>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line="460" w:lineRule="exact"/>
        <w:ind w:firstLine="640"/>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1、收入说明</w:t>
      </w:r>
    </w:p>
    <w:p>
      <w:pPr>
        <w:spacing w:line="460" w:lineRule="exact"/>
        <w:ind w:firstLine="640"/>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反映本</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当年全部收入。2022年预算收入</w:t>
      </w:r>
      <w:r>
        <w:rPr>
          <w:rFonts w:hint="eastAsia" w:ascii="Times New Roman" w:hAnsi="Times New Roman" w:eastAsia="方正仿宋_GBK" w:cs="Times New Roman"/>
          <w:b w:val="0"/>
          <w:color w:val="000000"/>
          <w:sz w:val="28"/>
          <w:lang w:val="en-US" w:eastAsia="zh-CN"/>
        </w:rPr>
        <w:t>38618.95</w:t>
      </w:r>
      <w:r>
        <w:rPr>
          <w:rFonts w:hint="eastAsia" w:ascii="Times New Roman" w:hAnsi="Times New Roman" w:eastAsia="方正仿宋_GBK" w:cs="Times New Roman"/>
          <w:b w:val="0"/>
          <w:color w:val="000000"/>
          <w:sz w:val="28"/>
        </w:rPr>
        <w:t>万元，其中：一般公共预算收入</w:t>
      </w:r>
      <w:r>
        <w:rPr>
          <w:rFonts w:hint="eastAsia" w:ascii="Times New Roman" w:hAnsi="Times New Roman" w:eastAsia="方正仿宋_GBK" w:cs="Times New Roman"/>
          <w:b w:val="0"/>
          <w:color w:val="000000"/>
          <w:sz w:val="28"/>
          <w:lang w:val="en-US" w:eastAsia="zh-CN"/>
        </w:rPr>
        <w:t>2953.55</w:t>
      </w:r>
      <w:r>
        <w:rPr>
          <w:rFonts w:hint="eastAsia" w:ascii="Times New Roman" w:hAnsi="Times New Roman" w:eastAsia="方正仿宋_GBK" w:cs="Times New Roman"/>
          <w:b w:val="0"/>
          <w:color w:val="000000"/>
          <w:sz w:val="28"/>
        </w:rPr>
        <w:t>万元，基金预算收入</w:t>
      </w:r>
      <w:r>
        <w:rPr>
          <w:rFonts w:hint="eastAsia" w:ascii="Times New Roman" w:hAnsi="Times New Roman" w:eastAsia="方正仿宋_GBK" w:cs="Times New Roman"/>
          <w:b w:val="0"/>
          <w:color w:val="000000"/>
          <w:sz w:val="28"/>
          <w:lang w:val="en-US" w:eastAsia="zh-CN"/>
        </w:rPr>
        <w:t>35665.40</w:t>
      </w:r>
      <w:r>
        <w:rPr>
          <w:rFonts w:hint="eastAsia" w:ascii="Times New Roman" w:hAnsi="Times New Roman" w:eastAsia="方正仿宋_GBK" w:cs="Times New Roman"/>
          <w:b w:val="0"/>
          <w:color w:val="000000"/>
          <w:sz w:val="28"/>
        </w:rPr>
        <w:t>万元，财政专户核拨收入0万元，其他来源收入0万元。</w:t>
      </w:r>
    </w:p>
    <w:p>
      <w:pPr>
        <w:spacing w:line="460" w:lineRule="exact"/>
        <w:ind w:firstLine="640"/>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2、</w:t>
      </w:r>
      <w:r>
        <w:rPr>
          <w:rFonts w:hint="eastAsia" w:ascii="Times New Roman" w:hAnsi="Times New Roman" w:eastAsia="方正仿宋_GBK" w:cs="Times New Roman"/>
          <w:b w:val="0"/>
          <w:color w:val="000000"/>
          <w:sz w:val="28"/>
        </w:rPr>
        <w:t>支出说明</w:t>
      </w:r>
    </w:p>
    <w:p>
      <w:pPr>
        <w:spacing w:line="460" w:lineRule="exact"/>
        <w:ind w:firstLine="640"/>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收支预算总表支出栏、基本支出表、项目支出表按经济分类和支出功能分类科目编制，反映本</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预算中支出预算的总体情况。2022年</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支出预算为</w:t>
      </w:r>
      <w:r>
        <w:rPr>
          <w:rFonts w:hint="eastAsia" w:ascii="Times New Roman" w:hAnsi="Times New Roman" w:eastAsia="方正仿宋_GBK" w:cs="Times New Roman"/>
          <w:b w:val="0"/>
          <w:color w:val="000000"/>
          <w:sz w:val="28"/>
          <w:lang w:val="en-US" w:eastAsia="zh-CN"/>
        </w:rPr>
        <w:t>38618.95</w:t>
      </w:r>
      <w:r>
        <w:rPr>
          <w:rFonts w:hint="eastAsia" w:ascii="Times New Roman" w:hAnsi="Times New Roman" w:eastAsia="方正仿宋_GBK" w:cs="Times New Roman"/>
          <w:b w:val="0"/>
          <w:color w:val="000000"/>
          <w:sz w:val="28"/>
        </w:rPr>
        <w:t>万元，其中基本支出</w:t>
      </w:r>
      <w:r>
        <w:rPr>
          <w:rFonts w:hint="eastAsia" w:ascii="Times New Roman" w:hAnsi="Times New Roman" w:eastAsia="方正仿宋_GBK" w:cs="Times New Roman"/>
          <w:b w:val="0"/>
          <w:color w:val="000000"/>
          <w:sz w:val="28"/>
          <w:lang w:val="en-US" w:eastAsia="zh-CN"/>
        </w:rPr>
        <w:t>2753.55</w:t>
      </w:r>
      <w:r>
        <w:rPr>
          <w:rFonts w:hint="eastAsia" w:ascii="Times New Roman" w:hAnsi="Times New Roman" w:eastAsia="方正仿宋_GBK" w:cs="Times New Roman"/>
          <w:b w:val="0"/>
          <w:color w:val="000000"/>
          <w:sz w:val="28"/>
        </w:rPr>
        <w:t>万元，包括人员经费</w:t>
      </w:r>
      <w:r>
        <w:rPr>
          <w:rFonts w:hint="eastAsia" w:ascii="Times New Roman" w:hAnsi="Times New Roman" w:eastAsia="方正仿宋_GBK" w:cs="Times New Roman"/>
          <w:b w:val="0"/>
          <w:color w:val="000000"/>
          <w:sz w:val="28"/>
          <w:lang w:val="en-US" w:eastAsia="zh-CN"/>
        </w:rPr>
        <w:t>2650.51</w:t>
      </w:r>
      <w:r>
        <w:rPr>
          <w:rFonts w:hint="eastAsia" w:ascii="Times New Roman" w:hAnsi="Times New Roman" w:eastAsia="方正仿宋_GBK" w:cs="Times New Roman"/>
          <w:b w:val="0"/>
          <w:color w:val="000000"/>
          <w:sz w:val="28"/>
        </w:rPr>
        <w:t>万元和日常公用经费</w:t>
      </w:r>
      <w:r>
        <w:rPr>
          <w:rFonts w:hint="eastAsia" w:ascii="Times New Roman" w:hAnsi="Times New Roman" w:eastAsia="方正仿宋_GBK" w:cs="Times New Roman"/>
          <w:b w:val="0"/>
          <w:color w:val="000000"/>
          <w:sz w:val="28"/>
          <w:lang w:val="en-US" w:eastAsia="zh-CN"/>
        </w:rPr>
        <w:t>103.04</w:t>
      </w:r>
      <w:r>
        <w:rPr>
          <w:rFonts w:hint="eastAsia" w:ascii="Times New Roman" w:hAnsi="Times New Roman" w:eastAsia="方正仿宋_GBK" w:cs="Times New Roman"/>
          <w:b w:val="0"/>
          <w:color w:val="000000"/>
          <w:sz w:val="28"/>
        </w:rPr>
        <w:t>万元；项目支出</w:t>
      </w:r>
      <w:r>
        <w:rPr>
          <w:rFonts w:hint="eastAsia" w:ascii="Times New Roman" w:hAnsi="Times New Roman" w:eastAsia="方正仿宋_GBK" w:cs="Times New Roman"/>
          <w:b w:val="0"/>
          <w:color w:val="000000"/>
          <w:sz w:val="28"/>
          <w:lang w:val="en-US" w:eastAsia="zh-CN"/>
        </w:rPr>
        <w:t>35865.40</w:t>
      </w:r>
      <w:r>
        <w:rPr>
          <w:rFonts w:hint="eastAsia" w:ascii="Times New Roman" w:hAnsi="Times New Roman" w:eastAsia="方正仿宋_GBK" w:cs="Times New Roman"/>
          <w:b w:val="0"/>
          <w:color w:val="000000"/>
          <w:sz w:val="28"/>
        </w:rPr>
        <w:t>万元，主要为</w:t>
      </w:r>
      <w:r>
        <w:rPr>
          <w:rFonts w:hint="eastAsia" w:ascii="Times New Roman" w:hAnsi="Times New Roman" w:eastAsia="方正仿宋_GBK" w:cs="Times New Roman"/>
          <w:b w:val="0"/>
          <w:color w:val="000000"/>
          <w:sz w:val="28"/>
          <w:lang w:eastAsia="zh-CN"/>
        </w:rPr>
        <w:t>环境卫生维护</w:t>
      </w:r>
      <w:r>
        <w:rPr>
          <w:rFonts w:hint="eastAsia" w:ascii="Times New Roman" w:hAnsi="Times New Roman" w:eastAsia="方正仿宋_GBK" w:cs="Times New Roman"/>
          <w:b w:val="0"/>
          <w:color w:val="000000"/>
          <w:sz w:val="28"/>
        </w:rPr>
        <w:t>支出</w:t>
      </w:r>
      <w:r>
        <w:rPr>
          <w:rFonts w:hint="eastAsia" w:ascii="Times New Roman" w:hAnsi="Times New Roman" w:eastAsia="方正仿宋_GBK" w:cs="Times New Roman"/>
          <w:b w:val="0"/>
          <w:color w:val="000000"/>
          <w:sz w:val="28"/>
          <w:lang w:val="en-US" w:eastAsia="zh-CN"/>
        </w:rPr>
        <w:t>16558.57</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eastAsia="zh-CN"/>
        </w:rPr>
        <w:t>市容管理执法</w:t>
      </w:r>
      <w:r>
        <w:rPr>
          <w:rFonts w:hint="eastAsia" w:ascii="Times New Roman" w:hAnsi="Times New Roman" w:eastAsia="方正仿宋_GBK" w:cs="Times New Roman"/>
          <w:b w:val="0"/>
          <w:color w:val="000000"/>
          <w:sz w:val="28"/>
        </w:rPr>
        <w:t>支出</w:t>
      </w:r>
      <w:r>
        <w:rPr>
          <w:rFonts w:hint="eastAsia" w:ascii="Times New Roman" w:hAnsi="Times New Roman" w:eastAsia="方正仿宋_GBK" w:cs="Times New Roman"/>
          <w:b w:val="0"/>
          <w:color w:val="000000"/>
          <w:sz w:val="28"/>
          <w:lang w:val="en-US" w:eastAsia="zh-CN"/>
        </w:rPr>
        <w:t>3713.70</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eastAsia="zh-CN"/>
        </w:rPr>
        <w:t>市政设施维护</w:t>
      </w:r>
      <w:r>
        <w:rPr>
          <w:rFonts w:hint="eastAsia" w:ascii="Times New Roman" w:hAnsi="Times New Roman" w:eastAsia="方正仿宋_GBK" w:cs="Times New Roman"/>
          <w:b w:val="0"/>
          <w:color w:val="000000"/>
          <w:sz w:val="28"/>
        </w:rPr>
        <w:t>支出</w:t>
      </w:r>
      <w:r>
        <w:rPr>
          <w:rFonts w:hint="eastAsia" w:ascii="Times New Roman" w:hAnsi="Times New Roman" w:eastAsia="方正仿宋_GBK" w:cs="Times New Roman"/>
          <w:b w:val="0"/>
          <w:color w:val="000000"/>
          <w:sz w:val="28"/>
          <w:lang w:val="en-US" w:eastAsia="zh-CN"/>
        </w:rPr>
        <w:t>2223.32</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eastAsia="zh-CN"/>
        </w:rPr>
        <w:t>园林绿地维护</w:t>
      </w:r>
      <w:r>
        <w:rPr>
          <w:rFonts w:hint="eastAsia" w:ascii="Times New Roman" w:hAnsi="Times New Roman" w:eastAsia="方正仿宋_GBK" w:cs="Times New Roman"/>
          <w:b w:val="0"/>
          <w:color w:val="000000"/>
          <w:sz w:val="28"/>
        </w:rPr>
        <w:t>支出</w:t>
      </w:r>
      <w:r>
        <w:rPr>
          <w:rFonts w:hint="eastAsia" w:ascii="Times New Roman" w:hAnsi="Times New Roman" w:eastAsia="方正仿宋_GBK" w:cs="Times New Roman"/>
          <w:b w:val="0"/>
          <w:color w:val="000000"/>
          <w:sz w:val="28"/>
          <w:lang w:val="en-US" w:eastAsia="zh-CN"/>
        </w:rPr>
        <w:t>3265.37</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eastAsia="zh-CN"/>
        </w:rPr>
        <w:t>垃圾处理支出</w:t>
      </w:r>
      <w:r>
        <w:rPr>
          <w:rFonts w:hint="eastAsia" w:ascii="Times New Roman" w:hAnsi="Times New Roman" w:eastAsia="方正仿宋_GBK" w:cs="Times New Roman"/>
          <w:b w:val="0"/>
          <w:color w:val="000000"/>
          <w:sz w:val="28"/>
          <w:lang w:val="en-US" w:eastAsia="zh-CN"/>
        </w:rPr>
        <w:t>4438.22</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eastAsia="zh-CN"/>
        </w:rPr>
        <w:t>，专项债券还本付息</w:t>
      </w:r>
      <w:r>
        <w:rPr>
          <w:rFonts w:hint="eastAsia" w:eastAsia="方正仿宋_GBK" w:cs="Times New Roman"/>
          <w:b w:val="0"/>
          <w:color w:val="000000"/>
          <w:sz w:val="28"/>
          <w:lang w:eastAsia="zh-CN"/>
        </w:rPr>
        <w:t>支出</w:t>
      </w:r>
      <w:r>
        <w:rPr>
          <w:rFonts w:hint="eastAsia" w:ascii="Times New Roman" w:hAnsi="Times New Roman" w:eastAsia="方正仿宋_GBK" w:cs="Times New Roman"/>
          <w:b w:val="0"/>
          <w:color w:val="000000"/>
          <w:sz w:val="28"/>
          <w:lang w:val="en-US" w:eastAsia="zh-CN"/>
        </w:rPr>
        <w:t>5666.22万元</w:t>
      </w:r>
      <w:r>
        <w:rPr>
          <w:rFonts w:hint="eastAsia" w:ascii="Times New Roman" w:hAnsi="Times New Roman" w:eastAsia="方正仿宋_GBK" w:cs="Times New Roman"/>
          <w:b w:val="0"/>
          <w:color w:val="000000"/>
          <w:sz w:val="28"/>
        </w:rPr>
        <w:t>；其他支出0万元。</w:t>
      </w:r>
    </w:p>
    <w:p>
      <w:pPr>
        <w:spacing w:line="460" w:lineRule="exact"/>
        <w:ind w:firstLine="640"/>
        <w:rPr>
          <w:rFonts w:hint="eastAsia" w:ascii="Times New Roman" w:hAnsi="Times New Roman" w:eastAsia="方正仿宋_GBK" w:cs="Times New Roman"/>
          <w:b w:val="0"/>
          <w:color w:val="000000"/>
          <w:sz w:val="28"/>
          <w:lang w:val="en-US" w:eastAsia="zh-CN"/>
        </w:rPr>
      </w:pPr>
      <w:r>
        <w:rPr>
          <w:rFonts w:hint="eastAsia" w:eastAsia="方正仿宋_GBK" w:cs="Times New Roman"/>
          <w:b w:val="0"/>
          <w:color w:val="000000"/>
          <w:sz w:val="28"/>
          <w:lang w:val="en-US" w:eastAsia="zh-CN"/>
        </w:rPr>
        <w:t>3</w:t>
      </w:r>
      <w:r>
        <w:rPr>
          <w:rFonts w:hint="eastAsia" w:ascii="Times New Roman" w:hAnsi="Times New Roman" w:eastAsia="方正仿宋_GBK" w:cs="Times New Roman"/>
          <w:color w:val="000000"/>
          <w:sz w:val="28"/>
        </w:rPr>
        <w:t>、</w:t>
      </w:r>
      <w:r>
        <w:rPr>
          <w:rFonts w:hint="eastAsia" w:ascii="Times New Roman" w:hAnsi="Times New Roman" w:eastAsia="方正仿宋_GBK" w:cs="Times New Roman"/>
          <w:b w:val="0"/>
          <w:color w:val="000000"/>
          <w:sz w:val="28"/>
          <w:lang w:val="en-US" w:eastAsia="zh-CN"/>
        </w:rPr>
        <w:t>比上年增减情况</w:t>
      </w:r>
    </w:p>
    <w:p>
      <w:pPr>
        <w:spacing w:line="460" w:lineRule="exact"/>
        <w:ind w:firstLine="640"/>
        <w:rPr>
          <w:rFonts w:hint="default"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本单位为2022年新成立单位，无与上年增减情况对比。</w:t>
      </w:r>
    </w:p>
    <w:p>
      <w:pPr>
        <w:numPr>
          <w:ilvl w:val="0"/>
          <w:numId w:val="1"/>
        </w:numPr>
        <w:spacing w:line="460" w:lineRule="exact"/>
        <w:ind w:firstLine="640" w:firstLineChars="200"/>
        <w:outlineLvl w:val="0"/>
        <w:rPr>
          <w:rFonts w:ascii="黑体" w:hAnsi="黑体" w:eastAsia="黑体" w:cs="黑体"/>
          <w:color w:val="000000"/>
          <w:sz w:val="32"/>
        </w:rPr>
      </w:pPr>
      <w:bookmarkStart w:id="31" w:name="_Toc22915"/>
      <w:bookmarkStart w:id="32" w:name="_Toc29283"/>
      <w:r>
        <w:rPr>
          <w:rFonts w:ascii="黑体" w:hAnsi="黑体" w:eastAsia="黑体" w:cs="黑体"/>
          <w:color w:val="000000"/>
          <w:sz w:val="32"/>
        </w:rPr>
        <w:t>机关运行经费安排情况</w:t>
      </w:r>
      <w:bookmarkEnd w:id="31"/>
      <w:bookmarkEnd w:id="32"/>
    </w:p>
    <w:p>
      <w:pPr>
        <w:spacing w:line="460" w:lineRule="exact"/>
        <w:ind w:firstLine="640"/>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2022年，我</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机关运行经费共计安排</w:t>
      </w:r>
      <w:r>
        <w:rPr>
          <w:rFonts w:hint="eastAsia" w:ascii="Times New Roman" w:hAnsi="Times New Roman" w:eastAsia="方正仿宋_GBK" w:cs="Times New Roman"/>
          <w:b w:val="0"/>
          <w:color w:val="000000"/>
          <w:sz w:val="28"/>
          <w:lang w:val="en-US" w:eastAsia="zh-CN"/>
        </w:rPr>
        <w:t>103.04</w:t>
      </w:r>
      <w:r>
        <w:rPr>
          <w:rFonts w:hint="eastAsia" w:ascii="Times New Roman" w:hAnsi="Times New Roman" w:eastAsia="方正仿宋_GBK" w:cs="Times New Roman"/>
          <w:b w:val="0"/>
          <w:color w:val="000000"/>
          <w:sz w:val="28"/>
        </w:rPr>
        <w:t>万元，主要用于保证机关正常运转的办公及印刷费、邮电费、差旅费、会议费、福利费、专用材料及一般设备购置费、办公用房水电费、办公用房取暖费、日常维修费、办公楼物业管理费、公务车运行维护费等支出。</w:t>
      </w:r>
    </w:p>
    <w:p>
      <w:pPr>
        <w:numPr>
          <w:ilvl w:val="0"/>
          <w:numId w:val="2"/>
        </w:numPr>
        <w:spacing w:line="460" w:lineRule="exact"/>
        <w:ind w:firstLine="640" w:firstLineChars="200"/>
        <w:outlineLvl w:val="0"/>
        <w:rPr>
          <w:rFonts w:ascii="黑体" w:hAnsi="黑体" w:eastAsia="黑体" w:cs="黑体"/>
          <w:color w:val="000000"/>
          <w:sz w:val="32"/>
        </w:rPr>
      </w:pPr>
      <w:bookmarkStart w:id="33" w:name="_Toc6291"/>
      <w:bookmarkStart w:id="34" w:name="_Toc5114"/>
      <w:r>
        <w:rPr>
          <w:rFonts w:ascii="黑体" w:hAnsi="黑体" w:eastAsia="黑体" w:cs="黑体"/>
          <w:color w:val="000000"/>
          <w:sz w:val="32"/>
        </w:rPr>
        <w:t>财政拨款“三公”经费预算情况及增减变化原因</w:t>
      </w:r>
      <w:bookmarkEnd w:id="33"/>
      <w:bookmarkEnd w:id="34"/>
    </w:p>
    <w:p>
      <w:pPr>
        <w:spacing w:line="460" w:lineRule="exact"/>
        <w:ind w:firstLine="640"/>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2022年，我</w:t>
      </w:r>
      <w:r>
        <w:rPr>
          <w:rFonts w:hint="eastAsia" w:ascii="Times New Roman" w:hAnsi="Times New Roman"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财政拨款“三公”经费预算安排</w:t>
      </w:r>
      <w:r>
        <w:rPr>
          <w:rFonts w:hint="eastAsia" w:ascii="Times New Roman" w:hAnsi="Times New Roman" w:eastAsia="方正仿宋_GBK" w:cs="Times New Roman"/>
          <w:b w:val="0"/>
          <w:color w:val="000000"/>
          <w:sz w:val="28"/>
          <w:lang w:val="en-US" w:eastAsia="zh-CN"/>
        </w:rPr>
        <w:t>0.6</w:t>
      </w:r>
      <w:r>
        <w:rPr>
          <w:rFonts w:hint="eastAsia" w:ascii="Times New Roman" w:hAnsi="Times New Roman" w:eastAsia="方正仿宋_GBK" w:cs="Times New Roman"/>
          <w:b w:val="0"/>
          <w:color w:val="000000"/>
          <w:sz w:val="28"/>
        </w:rPr>
        <w:t>万元，其中：因公出国（境）费</w:t>
      </w:r>
      <w:r>
        <w:rPr>
          <w:rFonts w:hint="eastAsia" w:ascii="Times New Roman" w:hAnsi="Times New Roman"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万元；公务用车购置及运维费</w:t>
      </w:r>
      <w:r>
        <w:rPr>
          <w:rFonts w:hint="eastAsia" w:ascii="Times New Roman" w:hAnsi="Times New Roman"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万元（其中：公务用车购置费0万元，公务用车运行维护费</w:t>
      </w:r>
      <w:r>
        <w:rPr>
          <w:rFonts w:hint="eastAsia" w:ascii="Times New Roman" w:hAnsi="Times New Roman" w:eastAsia="方正仿宋_GBK" w:cs="Times New Roman"/>
          <w:b w:val="0"/>
          <w:color w:val="000000"/>
          <w:sz w:val="28"/>
          <w:lang w:val="en-US" w:eastAsia="zh-CN"/>
        </w:rPr>
        <w:t>0</w:t>
      </w:r>
      <w:r>
        <w:rPr>
          <w:rFonts w:hint="eastAsia" w:ascii="Times New Roman" w:hAnsi="Times New Roman" w:eastAsia="方正仿宋_GBK" w:cs="Times New Roman"/>
          <w:b w:val="0"/>
          <w:color w:val="000000"/>
          <w:sz w:val="28"/>
        </w:rPr>
        <w:t>万元)；公务接待费</w:t>
      </w:r>
      <w:r>
        <w:rPr>
          <w:rFonts w:hint="eastAsia" w:ascii="Times New Roman" w:hAnsi="Times New Roman" w:eastAsia="方正仿宋_GBK" w:cs="Times New Roman"/>
          <w:b w:val="0"/>
          <w:color w:val="000000"/>
          <w:sz w:val="28"/>
          <w:lang w:val="en-US" w:eastAsia="zh-CN"/>
        </w:rPr>
        <w:t>0.6</w:t>
      </w:r>
      <w:r>
        <w:rPr>
          <w:rFonts w:hint="eastAsia"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val="en-US" w:eastAsia="zh-CN"/>
        </w:rPr>
        <w:t>本单位为2022年新成立单位，无与上年增减情况对比。</w:t>
      </w:r>
    </w:p>
    <w:p>
      <w:pPr>
        <w:numPr>
          <w:ilvl w:val="0"/>
          <w:numId w:val="2"/>
        </w:numPr>
        <w:spacing w:before="10" w:after="10" w:line="240" w:lineRule="auto"/>
        <w:ind w:left="0" w:leftChars="0" w:firstLine="640" w:firstLineChars="200"/>
        <w:jc w:val="left"/>
        <w:outlineLvl w:val="0"/>
        <w:rPr>
          <w:rFonts w:ascii="黑体" w:hAnsi="黑体" w:eastAsia="黑体" w:cs="黑体"/>
          <w:color w:val="000000"/>
          <w:sz w:val="32"/>
        </w:rPr>
      </w:pPr>
      <w:bookmarkStart w:id="35" w:name="_Toc25930"/>
      <w:bookmarkStart w:id="36" w:name="_Toc13265"/>
      <w:r>
        <w:rPr>
          <w:rFonts w:ascii="黑体" w:hAnsi="黑体" w:eastAsia="黑体" w:cs="黑体"/>
          <w:color w:val="000000"/>
          <w:sz w:val="32"/>
        </w:rPr>
        <w:t>预算绩效信息</w:t>
      </w:r>
      <w:bookmarkEnd w:id="35"/>
      <w:bookmarkEnd w:id="36"/>
    </w:p>
    <w:p>
      <w:pPr>
        <w:numPr>
          <w:ilvl w:val="0"/>
          <w:numId w:val="0"/>
        </w:numPr>
        <w:spacing w:before="10" w:after="10" w:line="240" w:lineRule="auto"/>
        <w:jc w:val="left"/>
        <w:outlineLvl w:val="9"/>
        <w:rPr>
          <w:rFonts w:ascii="黑体" w:hAnsi="黑体" w:eastAsia="黑体" w:cs="黑体"/>
          <w:color w:val="000000"/>
          <w:sz w:val="32"/>
        </w:rPr>
      </w:pPr>
    </w:p>
    <w:p>
      <w:pPr>
        <w:numPr>
          <w:ilvl w:val="0"/>
          <w:numId w:val="0"/>
        </w:numPr>
        <w:spacing w:before="10" w:after="10" w:line="240" w:lineRule="auto"/>
        <w:jc w:val="left"/>
        <w:outlineLvl w:val="9"/>
        <w:rPr>
          <w:rFonts w:ascii="黑体" w:hAnsi="黑体" w:eastAsia="黑体" w:cs="黑体"/>
          <w:color w:val="000000"/>
          <w:sz w:val="32"/>
        </w:rPr>
      </w:pPr>
    </w:p>
    <w:p>
      <w:pPr>
        <w:pStyle w:val="26"/>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1、2020年便民市场改造提升工程财政补助款绩效目标表</w:t>
      </w:r>
    </w:p>
    <w:p>
      <w:pPr>
        <w:pStyle w:val="26"/>
        <w:spacing w:before="0" w:after="0"/>
        <w:ind w:firstLine="56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1.对两个便民市场进行排水、采暖、消防、电气等方面的升级改造，改造成市民生活服务中心综合体便民市场。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改造的便民市场数量</w:t>
            </w:r>
          </w:p>
        </w:tc>
        <w:tc>
          <w:tcPr>
            <w:tcW w:w="2835" w:type="dxa"/>
            <w:vAlign w:val="center"/>
          </w:tcPr>
          <w:p>
            <w:pPr>
              <w:pStyle w:val="28"/>
            </w:pPr>
            <w:r>
              <w:t>改造的便民市场数量</w:t>
            </w:r>
          </w:p>
        </w:tc>
        <w:tc>
          <w:tcPr>
            <w:tcW w:w="2551" w:type="dxa"/>
            <w:vAlign w:val="center"/>
          </w:tcPr>
          <w:p>
            <w:pPr>
              <w:pStyle w:val="28"/>
            </w:pPr>
            <w:r>
              <w:t>2座</w:t>
            </w:r>
          </w:p>
        </w:tc>
        <w:tc>
          <w:tcPr>
            <w:tcW w:w="2268" w:type="dxa"/>
            <w:vAlign w:val="center"/>
          </w:tcPr>
          <w:p>
            <w:pPr>
              <w:pStyle w:val="28"/>
            </w:pPr>
            <w:r>
              <w:t>便民市场改造提升工程施工合同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及时完工项目占全部项目的比率</w:t>
            </w:r>
          </w:p>
        </w:tc>
        <w:tc>
          <w:tcPr>
            <w:tcW w:w="2551" w:type="dxa"/>
            <w:vAlign w:val="center"/>
          </w:tcPr>
          <w:p>
            <w:pPr>
              <w:pStyle w:val="28"/>
            </w:pPr>
            <w:r>
              <w:t>100%</w:t>
            </w:r>
          </w:p>
        </w:tc>
        <w:tc>
          <w:tcPr>
            <w:tcW w:w="2268" w:type="dxa"/>
            <w:vAlign w:val="center"/>
          </w:tcPr>
          <w:p>
            <w:pPr>
              <w:pStyle w:val="28"/>
            </w:pPr>
            <w:r>
              <w:t>便民市场改造提升工程施工合同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招标控制价工程费</w:t>
            </w:r>
          </w:p>
        </w:tc>
        <w:tc>
          <w:tcPr>
            <w:tcW w:w="2835" w:type="dxa"/>
            <w:vAlign w:val="center"/>
          </w:tcPr>
          <w:p>
            <w:pPr>
              <w:pStyle w:val="28"/>
            </w:pPr>
            <w:r>
              <w:t>按招标控制价工程费财政补助</w:t>
            </w:r>
          </w:p>
        </w:tc>
        <w:tc>
          <w:tcPr>
            <w:tcW w:w="2551" w:type="dxa"/>
            <w:vAlign w:val="center"/>
          </w:tcPr>
          <w:p>
            <w:pPr>
              <w:pStyle w:val="28"/>
            </w:pPr>
            <w:r>
              <w:t>270万元</w:t>
            </w:r>
          </w:p>
        </w:tc>
        <w:tc>
          <w:tcPr>
            <w:tcW w:w="2268" w:type="dxa"/>
            <w:vAlign w:val="center"/>
          </w:tcPr>
          <w:p>
            <w:pPr>
              <w:pStyle w:val="28"/>
            </w:pPr>
            <w:r>
              <w:t>招标控制价及政府办通知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验收合格工程量占总工程量的比率</w:t>
            </w:r>
          </w:p>
        </w:tc>
        <w:tc>
          <w:tcPr>
            <w:tcW w:w="2551" w:type="dxa"/>
            <w:vAlign w:val="center"/>
          </w:tcPr>
          <w:p>
            <w:pPr>
              <w:pStyle w:val="28"/>
            </w:pPr>
            <w:r>
              <w:t>≥95%</w:t>
            </w:r>
          </w:p>
        </w:tc>
        <w:tc>
          <w:tcPr>
            <w:tcW w:w="2268" w:type="dxa"/>
            <w:vAlign w:val="center"/>
          </w:tcPr>
          <w:p>
            <w:pPr>
              <w:pStyle w:val="28"/>
            </w:pPr>
            <w:r>
              <w:t>便民市场改造提升工程施工合同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提升居民购物环境，保障市民食品安全，提升城市管理水平。</w:t>
            </w:r>
          </w:p>
        </w:tc>
        <w:tc>
          <w:tcPr>
            <w:tcW w:w="2835" w:type="dxa"/>
            <w:vAlign w:val="center"/>
          </w:tcPr>
          <w:p>
            <w:pPr>
              <w:pStyle w:val="28"/>
            </w:pPr>
            <w:r>
              <w:t>提升居民购物环境，保障市民食品安全，提升城市管理水平。</w:t>
            </w:r>
          </w:p>
        </w:tc>
        <w:tc>
          <w:tcPr>
            <w:tcW w:w="2551" w:type="dxa"/>
            <w:vAlign w:val="center"/>
          </w:tcPr>
          <w:p>
            <w:pPr>
              <w:pStyle w:val="28"/>
            </w:pPr>
            <w:r>
              <w:t>≥90%</w:t>
            </w:r>
          </w:p>
        </w:tc>
        <w:tc>
          <w:tcPr>
            <w:tcW w:w="2268" w:type="dxa"/>
            <w:vAlign w:val="center"/>
          </w:tcPr>
          <w:p>
            <w:pPr>
              <w:pStyle w:val="28"/>
            </w:pPr>
            <w:r>
              <w:t>市场管理制度及食品安全法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2、2020年垃圾渗滤液应急处理运营费绩效目标表</w:t>
      </w:r>
    </w:p>
    <w:p>
      <w:pPr>
        <w:pStyle w:val="26"/>
        <w:spacing w:before="0" w:after="0"/>
        <w:ind w:firstLine="56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1.垃圾填埋场二号库渗滤液积存量大，存在外溢的风险，本项目所采用的工艺对积存的渗滤液进行应急处理，能回收利用的废水尽可能回收利用，同时不产生二次污染。</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2020年渗滤液处理数量</w:t>
            </w:r>
          </w:p>
        </w:tc>
        <w:tc>
          <w:tcPr>
            <w:tcW w:w="2835" w:type="dxa"/>
            <w:vAlign w:val="center"/>
          </w:tcPr>
          <w:p>
            <w:pPr>
              <w:pStyle w:val="28"/>
            </w:pPr>
            <w:r>
              <w:t>2020年渗滤液处理完成净水数量</w:t>
            </w:r>
          </w:p>
        </w:tc>
        <w:tc>
          <w:tcPr>
            <w:tcW w:w="2551" w:type="dxa"/>
            <w:vAlign w:val="center"/>
          </w:tcPr>
          <w:p>
            <w:pPr>
              <w:pStyle w:val="28"/>
            </w:pPr>
            <w:r>
              <w:t>14100吨</w:t>
            </w:r>
          </w:p>
        </w:tc>
        <w:tc>
          <w:tcPr>
            <w:tcW w:w="2268" w:type="dxa"/>
            <w:vAlign w:val="center"/>
          </w:tcPr>
          <w:p>
            <w:pPr>
              <w:pStyle w:val="28"/>
            </w:pPr>
            <w:r>
              <w:t>渗滤液处理确认书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处理费用</w:t>
            </w:r>
          </w:p>
        </w:tc>
        <w:tc>
          <w:tcPr>
            <w:tcW w:w="2835" w:type="dxa"/>
            <w:vAlign w:val="center"/>
          </w:tcPr>
          <w:p>
            <w:pPr>
              <w:pStyle w:val="28"/>
            </w:pPr>
            <w:r>
              <w:t>处理费用单价</w:t>
            </w:r>
          </w:p>
        </w:tc>
        <w:tc>
          <w:tcPr>
            <w:tcW w:w="2551" w:type="dxa"/>
            <w:vAlign w:val="center"/>
          </w:tcPr>
          <w:p>
            <w:pPr>
              <w:pStyle w:val="28"/>
            </w:pPr>
            <w:r>
              <w:t>247元/吨</w:t>
            </w:r>
          </w:p>
        </w:tc>
        <w:tc>
          <w:tcPr>
            <w:tcW w:w="2268" w:type="dxa"/>
            <w:vAlign w:val="center"/>
          </w:tcPr>
          <w:p>
            <w:pPr>
              <w:pStyle w:val="28"/>
            </w:pPr>
            <w:r>
              <w:t>中标通知书，《藁城区生活垃圾渗滤液应急处理项目服务运营合同》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 xml:space="preserve">       及时处理渗滤液占应处理渗滤液比率</w:t>
            </w:r>
          </w:p>
        </w:tc>
        <w:tc>
          <w:tcPr>
            <w:tcW w:w="2551" w:type="dxa"/>
            <w:vAlign w:val="center"/>
          </w:tcPr>
          <w:p>
            <w:pPr>
              <w:pStyle w:val="28"/>
            </w:pPr>
            <w:r>
              <w:t>≥90%</w:t>
            </w:r>
          </w:p>
        </w:tc>
        <w:tc>
          <w:tcPr>
            <w:tcW w:w="2268" w:type="dxa"/>
            <w:vAlign w:val="center"/>
          </w:tcPr>
          <w:p>
            <w:pPr>
              <w:pStyle w:val="28"/>
            </w:pPr>
            <w:r>
              <w:t>渗滤液应急处理台账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出水合格率</w:t>
            </w:r>
          </w:p>
        </w:tc>
        <w:tc>
          <w:tcPr>
            <w:tcW w:w="2835" w:type="dxa"/>
            <w:vAlign w:val="center"/>
          </w:tcPr>
          <w:p>
            <w:pPr>
              <w:pStyle w:val="28"/>
            </w:pPr>
            <w:r>
              <w:t>合格出水量占总量的比率</w:t>
            </w:r>
          </w:p>
        </w:tc>
        <w:tc>
          <w:tcPr>
            <w:tcW w:w="2551" w:type="dxa"/>
            <w:vAlign w:val="center"/>
          </w:tcPr>
          <w:p>
            <w:pPr>
              <w:pStyle w:val="28"/>
            </w:pPr>
            <w:r>
              <w:t>≥90%</w:t>
            </w:r>
          </w:p>
        </w:tc>
        <w:tc>
          <w:tcPr>
            <w:tcW w:w="2268" w:type="dxa"/>
            <w:vAlign w:val="center"/>
          </w:tcPr>
          <w:p>
            <w:pPr>
              <w:pStyle w:val="28"/>
            </w:pPr>
            <w:r>
              <w:t>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 xml:space="preserve"> 对渗滤液收集集中应急处理，避免外溢的风险，不产生二次污染。</w:t>
            </w:r>
          </w:p>
        </w:tc>
        <w:tc>
          <w:tcPr>
            <w:tcW w:w="2835" w:type="dxa"/>
            <w:vAlign w:val="center"/>
          </w:tcPr>
          <w:p>
            <w:pPr>
              <w:pStyle w:val="28"/>
            </w:pPr>
            <w:r>
              <w:t xml:space="preserve">  对渗滤液收集集中应急处理，避免外溢的风险，不产生二次污染。</w:t>
            </w:r>
          </w:p>
        </w:tc>
        <w:tc>
          <w:tcPr>
            <w:tcW w:w="2551" w:type="dxa"/>
            <w:vAlign w:val="center"/>
          </w:tcPr>
          <w:p>
            <w:pPr>
              <w:pStyle w:val="28"/>
            </w:pPr>
            <w:r>
              <w:t>≥90%</w:t>
            </w:r>
          </w:p>
        </w:tc>
        <w:tc>
          <w:tcPr>
            <w:tcW w:w="2268" w:type="dxa"/>
            <w:vAlign w:val="center"/>
          </w:tcPr>
          <w:p>
            <w:pPr>
              <w:pStyle w:val="28"/>
            </w:pPr>
            <w:r>
              <w:t>《藁城区生活垃圾填埋场垃圾渗滤液应急处理项目技术文件》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居民满意程度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≥95%</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3、2020年生活垃圾分类工作经费绩效目标表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1.通过建设示范小区、单位、学校，制作宣传牌和购置垃圾分类桶、垃圾储存柜等，达到生活垃圾合理分类、处置。提升垃圾减量化、资源化、无害化水平，创造优质人居环境的效果。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签订垃圾分类服务合同的单位</w:t>
            </w:r>
          </w:p>
        </w:tc>
        <w:tc>
          <w:tcPr>
            <w:tcW w:w="2835" w:type="dxa"/>
            <w:vAlign w:val="center"/>
          </w:tcPr>
          <w:p>
            <w:pPr>
              <w:pStyle w:val="28"/>
            </w:pPr>
            <w:r>
              <w:t>签订垃圾分类服务合同的单位</w:t>
            </w:r>
          </w:p>
        </w:tc>
        <w:tc>
          <w:tcPr>
            <w:tcW w:w="2551" w:type="dxa"/>
            <w:vAlign w:val="center"/>
          </w:tcPr>
          <w:p>
            <w:pPr>
              <w:pStyle w:val="28"/>
            </w:pPr>
            <w:r>
              <w:t>2个</w:t>
            </w:r>
          </w:p>
        </w:tc>
        <w:tc>
          <w:tcPr>
            <w:tcW w:w="2268" w:type="dxa"/>
            <w:vAlign w:val="center"/>
          </w:tcPr>
          <w:p>
            <w:pPr>
              <w:pStyle w:val="28"/>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2021年生活垃圾分类工作经费</w:t>
            </w:r>
          </w:p>
        </w:tc>
        <w:tc>
          <w:tcPr>
            <w:tcW w:w="2835" w:type="dxa"/>
            <w:vAlign w:val="center"/>
          </w:tcPr>
          <w:p>
            <w:pPr>
              <w:pStyle w:val="28"/>
            </w:pPr>
            <w:r>
              <w:t>2021年生活垃圾分类工作经费</w:t>
            </w:r>
          </w:p>
        </w:tc>
        <w:tc>
          <w:tcPr>
            <w:tcW w:w="2551" w:type="dxa"/>
            <w:vAlign w:val="center"/>
          </w:tcPr>
          <w:p>
            <w:pPr>
              <w:pStyle w:val="28"/>
            </w:pPr>
            <w:r>
              <w:t>180万元</w:t>
            </w:r>
          </w:p>
        </w:tc>
        <w:tc>
          <w:tcPr>
            <w:tcW w:w="2268" w:type="dxa"/>
            <w:vAlign w:val="center"/>
          </w:tcPr>
          <w:p>
            <w:pPr>
              <w:pStyle w:val="28"/>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生活垃圾分类服务及时考评率</w:t>
            </w:r>
          </w:p>
        </w:tc>
        <w:tc>
          <w:tcPr>
            <w:tcW w:w="2835" w:type="dxa"/>
            <w:vAlign w:val="center"/>
          </w:tcPr>
          <w:p>
            <w:pPr>
              <w:pStyle w:val="28"/>
            </w:pPr>
            <w:r>
              <w:t>生活垃圾分类服务及时考评数量占生活垃圾考评总数量的比率</w:t>
            </w:r>
          </w:p>
        </w:tc>
        <w:tc>
          <w:tcPr>
            <w:tcW w:w="2551" w:type="dxa"/>
            <w:vAlign w:val="center"/>
          </w:tcPr>
          <w:p>
            <w:pPr>
              <w:pStyle w:val="28"/>
            </w:pPr>
            <w:r>
              <w:t>≥90%</w:t>
            </w:r>
          </w:p>
        </w:tc>
        <w:tc>
          <w:tcPr>
            <w:tcW w:w="2268" w:type="dxa"/>
            <w:vAlign w:val="center"/>
          </w:tcPr>
          <w:p>
            <w:pPr>
              <w:pStyle w:val="28"/>
            </w:pPr>
            <w:r>
              <w:t>《石家庄市生活垃圾分类工作实施方案》石政办发【2017】59号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投放实施配置率</w:t>
            </w:r>
          </w:p>
        </w:tc>
        <w:tc>
          <w:tcPr>
            <w:tcW w:w="2835" w:type="dxa"/>
            <w:vAlign w:val="center"/>
          </w:tcPr>
          <w:p>
            <w:pPr>
              <w:pStyle w:val="28"/>
            </w:pPr>
            <w:r>
              <w:t>实际投放分类设施个数占应投放分类设施个数的比率</w:t>
            </w:r>
          </w:p>
        </w:tc>
        <w:tc>
          <w:tcPr>
            <w:tcW w:w="2551" w:type="dxa"/>
            <w:vAlign w:val="center"/>
          </w:tcPr>
          <w:p>
            <w:pPr>
              <w:pStyle w:val="28"/>
            </w:pPr>
            <w:r>
              <w:t>≥95%</w:t>
            </w:r>
          </w:p>
        </w:tc>
        <w:tc>
          <w:tcPr>
            <w:tcW w:w="2268" w:type="dxa"/>
            <w:vAlign w:val="center"/>
          </w:tcPr>
          <w:p>
            <w:pPr>
              <w:pStyle w:val="28"/>
            </w:pPr>
            <w:r>
              <w:t>《石家庄市生活垃圾分类工作实施方案》石政办发【2017】60号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使生活垃圾达到减量化、资源化、无害化水平</w:t>
            </w:r>
          </w:p>
        </w:tc>
        <w:tc>
          <w:tcPr>
            <w:tcW w:w="2835" w:type="dxa"/>
            <w:vAlign w:val="center"/>
          </w:tcPr>
          <w:p>
            <w:pPr>
              <w:pStyle w:val="28"/>
            </w:pPr>
            <w:r>
              <w:t>生活垃圾合理分类、处置，提升垃圾减量化、资源化、无害化水平.</w:t>
            </w:r>
          </w:p>
        </w:tc>
        <w:tc>
          <w:tcPr>
            <w:tcW w:w="2551" w:type="dxa"/>
            <w:vAlign w:val="center"/>
          </w:tcPr>
          <w:p>
            <w:pPr>
              <w:pStyle w:val="28"/>
            </w:pPr>
            <w:r>
              <w:t>≥95%</w:t>
            </w:r>
          </w:p>
        </w:tc>
        <w:tc>
          <w:tcPr>
            <w:tcW w:w="2268" w:type="dxa"/>
            <w:vAlign w:val="center"/>
          </w:tcPr>
          <w:p>
            <w:pPr>
              <w:pStyle w:val="28"/>
            </w:pPr>
            <w:r>
              <w:t>《石家庄市生活垃圾分类工作实施方案》石政办发【2017】61号</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4、2020年生活垃圾应急处理服务费绩效目标表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1.完成生活垃圾的减量化、无害化、资源化处理。</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日处理规模</w:t>
            </w:r>
          </w:p>
        </w:tc>
        <w:tc>
          <w:tcPr>
            <w:tcW w:w="2835" w:type="dxa"/>
            <w:vAlign w:val="center"/>
          </w:tcPr>
          <w:p>
            <w:pPr>
              <w:pStyle w:val="28"/>
            </w:pPr>
            <w:r>
              <w:t>每日处理的垃圾量</w:t>
            </w:r>
          </w:p>
        </w:tc>
        <w:tc>
          <w:tcPr>
            <w:tcW w:w="2551" w:type="dxa"/>
            <w:vAlign w:val="center"/>
          </w:tcPr>
          <w:p>
            <w:pPr>
              <w:pStyle w:val="28"/>
            </w:pPr>
            <w:r>
              <w:t>450吨</w:t>
            </w:r>
          </w:p>
        </w:tc>
        <w:tc>
          <w:tcPr>
            <w:tcW w:w="2268" w:type="dxa"/>
            <w:vAlign w:val="center"/>
          </w:tcPr>
          <w:p>
            <w:pPr>
              <w:pStyle w:val="28"/>
            </w:pPr>
            <w:r>
              <w:t>《石家庄市藁城区建筑垃圾处理及生活垃圾分类特许经营项目-特许经营协议》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生活垃圾及时处理率</w:t>
            </w:r>
          </w:p>
        </w:tc>
        <w:tc>
          <w:tcPr>
            <w:tcW w:w="2835" w:type="dxa"/>
            <w:vAlign w:val="center"/>
          </w:tcPr>
          <w:p>
            <w:pPr>
              <w:pStyle w:val="28"/>
            </w:pPr>
            <w:r>
              <w:t>每日处理生活垃圾数量占每日进场生活垃圾数量的比率</w:t>
            </w:r>
          </w:p>
        </w:tc>
        <w:tc>
          <w:tcPr>
            <w:tcW w:w="2551" w:type="dxa"/>
            <w:vAlign w:val="center"/>
          </w:tcPr>
          <w:p>
            <w:pPr>
              <w:pStyle w:val="28"/>
            </w:pPr>
            <w:r>
              <w:t>≥95%</w:t>
            </w:r>
          </w:p>
        </w:tc>
        <w:tc>
          <w:tcPr>
            <w:tcW w:w="2268" w:type="dxa"/>
            <w:vAlign w:val="center"/>
          </w:tcPr>
          <w:p>
            <w:pPr>
              <w:pStyle w:val="28"/>
            </w:pPr>
            <w:r>
              <w:t>垃圾处理台账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生活垃圾无害化处理率</w:t>
            </w:r>
          </w:p>
        </w:tc>
        <w:tc>
          <w:tcPr>
            <w:tcW w:w="2835" w:type="dxa"/>
            <w:vAlign w:val="center"/>
          </w:tcPr>
          <w:p>
            <w:pPr>
              <w:pStyle w:val="28"/>
            </w:pPr>
            <w:r>
              <w:t>生活垃圾无害化处理能量占总处理数量的比率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生活垃圾应急处理费</w:t>
            </w:r>
          </w:p>
        </w:tc>
        <w:tc>
          <w:tcPr>
            <w:tcW w:w="2835" w:type="dxa"/>
            <w:vAlign w:val="center"/>
          </w:tcPr>
          <w:p>
            <w:pPr>
              <w:pStyle w:val="28"/>
            </w:pPr>
            <w:r>
              <w:t>生活垃圾应急处理费</w:t>
            </w:r>
          </w:p>
        </w:tc>
        <w:tc>
          <w:tcPr>
            <w:tcW w:w="2551" w:type="dxa"/>
            <w:vAlign w:val="center"/>
          </w:tcPr>
          <w:p>
            <w:pPr>
              <w:pStyle w:val="28"/>
            </w:pPr>
            <w:r>
              <w:t>430万元</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促进城市可持续发展</w:t>
            </w:r>
          </w:p>
        </w:tc>
        <w:tc>
          <w:tcPr>
            <w:tcW w:w="2835" w:type="dxa"/>
            <w:vAlign w:val="center"/>
          </w:tcPr>
          <w:p>
            <w:pPr>
              <w:pStyle w:val="28"/>
            </w:pPr>
            <w:r>
              <w:t>生活垃圾无害化处理，保护城市生态环境，保护水土资源不被污染，促进城市可持续发展。</w:t>
            </w:r>
          </w:p>
        </w:tc>
        <w:tc>
          <w:tcPr>
            <w:tcW w:w="2551" w:type="dxa"/>
            <w:vAlign w:val="center"/>
          </w:tcPr>
          <w:p>
            <w:pPr>
              <w:pStyle w:val="28"/>
            </w:pPr>
            <w:r>
              <w:t>≥95%</w:t>
            </w:r>
          </w:p>
        </w:tc>
        <w:tc>
          <w:tcPr>
            <w:tcW w:w="2268" w:type="dxa"/>
            <w:vAlign w:val="center"/>
          </w:tcPr>
          <w:p>
            <w:pPr>
              <w:pStyle w:val="28"/>
            </w:pPr>
            <w:r>
              <w:t>《石家庄市藁城区建筑垃圾处理及生活垃圾分类特许经营项目-特许经营协议》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5、2021年渗滤液应急处理费用绩效目标表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处理垃圾在填埋和堆放过程中产生的渗滤液，处理总量不超过14100吨，垃圾填埋场二号库渗滤液积存量大，存在外溢的风险，本项目所采用的工艺对积存的渗滤液进行应急处理，能回收利用的废水尽可能回收利用，同时不产生二次污染。</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2021年预计渗滤液处理数量</w:t>
            </w:r>
          </w:p>
        </w:tc>
        <w:tc>
          <w:tcPr>
            <w:tcW w:w="2835" w:type="dxa"/>
            <w:vAlign w:val="center"/>
          </w:tcPr>
          <w:p>
            <w:pPr>
              <w:pStyle w:val="28"/>
            </w:pPr>
            <w:r>
              <w:t>2021年预计渗滤液处理完成净水数量</w:t>
            </w:r>
          </w:p>
        </w:tc>
        <w:tc>
          <w:tcPr>
            <w:tcW w:w="2551" w:type="dxa"/>
            <w:vAlign w:val="center"/>
          </w:tcPr>
          <w:p>
            <w:pPr>
              <w:pStyle w:val="28"/>
            </w:pPr>
            <w:r>
              <w:t>20000吨</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处理费用</w:t>
            </w:r>
          </w:p>
        </w:tc>
        <w:tc>
          <w:tcPr>
            <w:tcW w:w="2835" w:type="dxa"/>
            <w:vAlign w:val="center"/>
          </w:tcPr>
          <w:p>
            <w:pPr>
              <w:pStyle w:val="28"/>
            </w:pPr>
            <w:r>
              <w:t>处理费用单价</w:t>
            </w:r>
          </w:p>
        </w:tc>
        <w:tc>
          <w:tcPr>
            <w:tcW w:w="2551" w:type="dxa"/>
            <w:vAlign w:val="center"/>
          </w:tcPr>
          <w:p>
            <w:pPr>
              <w:pStyle w:val="28"/>
            </w:pPr>
            <w:r>
              <w:t>247元/吨</w:t>
            </w:r>
          </w:p>
        </w:tc>
        <w:tc>
          <w:tcPr>
            <w:tcW w:w="2268" w:type="dxa"/>
            <w:vAlign w:val="center"/>
          </w:tcPr>
          <w:p>
            <w:pPr>
              <w:pStyle w:val="28"/>
            </w:pPr>
            <w:r>
              <w:t>中标通知书，《藁城区生活垃圾渗滤液应急处理项目服务运营合同》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及时处理渗滤液占应处理渗滤液比率</w:t>
            </w:r>
          </w:p>
        </w:tc>
        <w:tc>
          <w:tcPr>
            <w:tcW w:w="2551" w:type="dxa"/>
            <w:vAlign w:val="center"/>
          </w:tcPr>
          <w:p>
            <w:pPr>
              <w:pStyle w:val="28"/>
            </w:pPr>
            <w:r>
              <w:t>≥90%</w:t>
            </w:r>
          </w:p>
        </w:tc>
        <w:tc>
          <w:tcPr>
            <w:tcW w:w="2268" w:type="dxa"/>
            <w:vAlign w:val="center"/>
          </w:tcPr>
          <w:p>
            <w:pPr>
              <w:pStyle w:val="28"/>
            </w:pPr>
            <w:r>
              <w:t>渗滤液应急处理台账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出水合格率</w:t>
            </w:r>
          </w:p>
        </w:tc>
        <w:tc>
          <w:tcPr>
            <w:tcW w:w="2835" w:type="dxa"/>
            <w:vAlign w:val="center"/>
          </w:tcPr>
          <w:p>
            <w:pPr>
              <w:pStyle w:val="28"/>
            </w:pPr>
            <w:r>
              <w:t>合格出水量占总量的比率</w:t>
            </w:r>
          </w:p>
        </w:tc>
        <w:tc>
          <w:tcPr>
            <w:tcW w:w="2551" w:type="dxa"/>
            <w:vAlign w:val="center"/>
          </w:tcPr>
          <w:p>
            <w:pPr>
              <w:pStyle w:val="28"/>
            </w:pPr>
            <w:r>
              <w:t>≥90%</w:t>
            </w:r>
          </w:p>
        </w:tc>
        <w:tc>
          <w:tcPr>
            <w:tcW w:w="2268" w:type="dxa"/>
            <w:vAlign w:val="center"/>
          </w:tcPr>
          <w:p>
            <w:pPr>
              <w:pStyle w:val="28"/>
            </w:pPr>
            <w:r>
              <w:t>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 xml:space="preserve"> 对渗滤液收集集中应急处理，避免外溢的风险，不产生二次污染。</w:t>
            </w:r>
          </w:p>
        </w:tc>
        <w:tc>
          <w:tcPr>
            <w:tcW w:w="2835" w:type="dxa"/>
            <w:vAlign w:val="center"/>
          </w:tcPr>
          <w:p>
            <w:pPr>
              <w:pStyle w:val="28"/>
            </w:pPr>
            <w:r>
              <w:t>对渗滤液收集集中应急处理，避免外溢的风险，不产生二次污染。</w:t>
            </w:r>
          </w:p>
        </w:tc>
        <w:tc>
          <w:tcPr>
            <w:tcW w:w="2551" w:type="dxa"/>
            <w:vAlign w:val="center"/>
          </w:tcPr>
          <w:p>
            <w:pPr>
              <w:pStyle w:val="28"/>
            </w:pPr>
            <w:r>
              <w:t>≥90%</w:t>
            </w:r>
          </w:p>
        </w:tc>
        <w:tc>
          <w:tcPr>
            <w:tcW w:w="2268" w:type="dxa"/>
            <w:vAlign w:val="center"/>
          </w:tcPr>
          <w:p>
            <w:pPr>
              <w:pStyle w:val="28"/>
            </w:pPr>
            <w:r>
              <w:t>《藁城区生活垃圾填埋场垃圾渗滤液应急处理项目技术文件》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居民满意程度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≥95%</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6、2021年生活垃圾资源化处理运营费绩效目标表</w:t>
      </w:r>
    </w:p>
    <w:p>
      <w:pPr>
        <w:pStyle w:val="26"/>
        <w:spacing w:before="0" w:after="0"/>
        <w:ind w:firstLine="56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1.12月底完成一条生产线，生活垃圾资源化处理项目建成后将彻底解决石家庄市的生活垃圾和市政污泥的处理问题。</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2020年12月底完成一条生产线</w:t>
            </w:r>
          </w:p>
        </w:tc>
        <w:tc>
          <w:tcPr>
            <w:tcW w:w="2835" w:type="dxa"/>
            <w:vAlign w:val="center"/>
          </w:tcPr>
          <w:p>
            <w:pPr>
              <w:pStyle w:val="28"/>
            </w:pPr>
            <w:r>
              <w:t>2020年12月底完成一条生产线</w:t>
            </w:r>
          </w:p>
        </w:tc>
        <w:tc>
          <w:tcPr>
            <w:tcW w:w="2551" w:type="dxa"/>
            <w:vAlign w:val="center"/>
          </w:tcPr>
          <w:p>
            <w:pPr>
              <w:pStyle w:val="28"/>
            </w:pPr>
            <w:r>
              <w:t>100%</w:t>
            </w:r>
          </w:p>
        </w:tc>
        <w:tc>
          <w:tcPr>
            <w:tcW w:w="2268" w:type="dxa"/>
            <w:vAlign w:val="center"/>
          </w:tcPr>
          <w:p>
            <w:pPr>
              <w:pStyle w:val="28"/>
            </w:pPr>
            <w:r>
              <w:t xml:space="preserve">  《河北省石家庄市藁城区生活垃圾资源化处理项目PPP项目合同》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截</w:t>
            </w:r>
            <w:r>
              <w:rPr>
                <w:rFonts w:hint="eastAsia"/>
                <w:lang w:val="en-US" w:eastAsia="zh-CN"/>
              </w:rPr>
              <w:t>至</w:t>
            </w:r>
            <w:r>
              <w:t>目前完成总工程量的比率</w:t>
            </w:r>
          </w:p>
        </w:tc>
        <w:tc>
          <w:tcPr>
            <w:tcW w:w="2551" w:type="dxa"/>
            <w:vAlign w:val="center"/>
          </w:tcPr>
          <w:p>
            <w:pPr>
              <w:pStyle w:val="28"/>
            </w:pPr>
            <w:r>
              <w:t>75%</w:t>
            </w:r>
          </w:p>
        </w:tc>
        <w:tc>
          <w:tcPr>
            <w:tcW w:w="2268"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验收合格项目占验收项目的比率</w:t>
            </w:r>
          </w:p>
        </w:tc>
        <w:tc>
          <w:tcPr>
            <w:tcW w:w="2551" w:type="dxa"/>
            <w:vAlign w:val="center"/>
          </w:tcPr>
          <w:p>
            <w:pPr>
              <w:pStyle w:val="28"/>
            </w:pPr>
            <w:r>
              <w:t>100%</w:t>
            </w:r>
          </w:p>
        </w:tc>
        <w:tc>
          <w:tcPr>
            <w:tcW w:w="2268"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合同价格</w:t>
            </w:r>
          </w:p>
        </w:tc>
        <w:tc>
          <w:tcPr>
            <w:tcW w:w="2835" w:type="dxa"/>
            <w:vAlign w:val="center"/>
          </w:tcPr>
          <w:p>
            <w:pPr>
              <w:pStyle w:val="28"/>
            </w:pPr>
            <w:r>
              <w:t>合同总价格</w:t>
            </w:r>
          </w:p>
        </w:tc>
        <w:tc>
          <w:tcPr>
            <w:tcW w:w="2551" w:type="dxa"/>
            <w:vAlign w:val="center"/>
          </w:tcPr>
          <w:p>
            <w:pPr>
              <w:pStyle w:val="28"/>
            </w:pPr>
            <w:r>
              <w:t>1800万元</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通过生产线处理，达到生活垃圾减量化、无害化</w:t>
            </w:r>
          </w:p>
        </w:tc>
        <w:tc>
          <w:tcPr>
            <w:tcW w:w="2835" w:type="dxa"/>
            <w:vAlign w:val="center"/>
          </w:tcPr>
          <w:p>
            <w:pPr>
              <w:pStyle w:val="28"/>
            </w:pPr>
            <w:r>
              <w:t>有效改善石家庄市的生态环境</w:t>
            </w:r>
          </w:p>
        </w:tc>
        <w:tc>
          <w:tcPr>
            <w:tcW w:w="2551" w:type="dxa"/>
            <w:vAlign w:val="center"/>
          </w:tcPr>
          <w:p>
            <w:pPr>
              <w:pStyle w:val="28"/>
            </w:pPr>
            <w:r>
              <w:t>≥90%</w:t>
            </w:r>
          </w:p>
        </w:tc>
        <w:tc>
          <w:tcPr>
            <w:tcW w:w="2268" w:type="dxa"/>
            <w:vAlign w:val="center"/>
          </w:tcPr>
          <w:p>
            <w:pPr>
              <w:pStyle w:val="28"/>
            </w:pPr>
            <w:r>
              <w:t>《石家庄市藁城区生活垃圾资源化处理项目可行性研究报告》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抽样调查、调查问卷</w:t>
            </w:r>
          </w:p>
        </w:tc>
      </w:tr>
    </w:tbl>
    <w:p>
      <w:pPr>
        <w:pStyle w:val="26"/>
      </w:pPr>
    </w:p>
    <w:p>
      <w:pPr>
        <w:pStyle w:val="26"/>
      </w:pPr>
    </w:p>
    <w:p>
      <w:pPr>
        <w:pStyle w:val="26"/>
      </w:pPr>
    </w:p>
    <w:p>
      <w:pPr>
        <w:pStyle w:val="26"/>
      </w:pPr>
    </w:p>
    <w:p>
      <w:pPr>
        <w:pStyle w:val="26"/>
      </w:pPr>
    </w:p>
    <w:p>
      <w:pPr>
        <w:pStyle w:val="26"/>
      </w:pPr>
    </w:p>
    <w:p>
      <w:pPr>
        <w:pStyle w:val="26"/>
        <w:numPr>
          <w:ilvl w:val="0"/>
          <w:numId w:val="3"/>
        </w:num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北马街南延（育才路-农科所）综合整治-路牙安装、改造绩效目标表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1.拆除旧路牙，更换、安装青石路牙</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安装路牙石长度</w:t>
            </w:r>
          </w:p>
        </w:tc>
        <w:tc>
          <w:tcPr>
            <w:tcW w:w="2835" w:type="dxa"/>
            <w:vAlign w:val="center"/>
          </w:tcPr>
          <w:p>
            <w:pPr>
              <w:pStyle w:val="28"/>
            </w:pPr>
            <w:r>
              <w:t>安装路牙石长度</w:t>
            </w:r>
          </w:p>
        </w:tc>
        <w:tc>
          <w:tcPr>
            <w:tcW w:w="2551" w:type="dxa"/>
            <w:vAlign w:val="center"/>
          </w:tcPr>
          <w:p>
            <w:pPr>
              <w:pStyle w:val="28"/>
            </w:pPr>
            <w:r>
              <w:t>7690米</w:t>
            </w:r>
          </w:p>
        </w:tc>
        <w:tc>
          <w:tcPr>
            <w:tcW w:w="2268" w:type="dxa"/>
            <w:vAlign w:val="center"/>
          </w:tcPr>
          <w:p>
            <w:pPr>
              <w:pStyle w:val="28"/>
            </w:pPr>
            <w:r>
              <w:t>踏勘报告书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施工进度工程量占总工程量的比率</w:t>
            </w:r>
          </w:p>
        </w:tc>
        <w:tc>
          <w:tcPr>
            <w:tcW w:w="2551" w:type="dxa"/>
            <w:vAlign w:val="center"/>
          </w:tcPr>
          <w:p>
            <w:pPr>
              <w:pStyle w:val="28"/>
            </w:pPr>
            <w:r>
              <w:t>100%</w:t>
            </w:r>
          </w:p>
        </w:tc>
        <w:tc>
          <w:tcPr>
            <w:tcW w:w="2268" w:type="dxa"/>
            <w:vAlign w:val="center"/>
          </w:tcPr>
          <w:p>
            <w:pPr>
              <w:pStyle w:val="28"/>
            </w:pPr>
            <w:r>
              <w:t>合同、决算评审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路沿石主材费</w:t>
            </w:r>
          </w:p>
        </w:tc>
        <w:tc>
          <w:tcPr>
            <w:tcW w:w="2835" w:type="dxa"/>
            <w:vAlign w:val="center"/>
          </w:tcPr>
          <w:p>
            <w:pPr>
              <w:pStyle w:val="28"/>
            </w:pPr>
            <w:r>
              <w:t>路沿石主材费</w:t>
            </w:r>
          </w:p>
        </w:tc>
        <w:tc>
          <w:tcPr>
            <w:tcW w:w="2551" w:type="dxa"/>
            <w:vAlign w:val="center"/>
          </w:tcPr>
          <w:p>
            <w:pPr>
              <w:pStyle w:val="28"/>
            </w:pPr>
            <w:r>
              <w:t>46.44元/米</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验收合格项目占验收项目的比率</w:t>
            </w:r>
          </w:p>
        </w:tc>
        <w:tc>
          <w:tcPr>
            <w:tcW w:w="2551" w:type="dxa"/>
            <w:vAlign w:val="center"/>
          </w:tcPr>
          <w:p>
            <w:pPr>
              <w:pStyle w:val="28"/>
            </w:pPr>
            <w:r>
              <w:t>100%</w:t>
            </w:r>
          </w:p>
        </w:tc>
        <w:tc>
          <w:tcPr>
            <w:tcW w:w="2268" w:type="dxa"/>
            <w:vAlign w:val="center"/>
          </w:tcPr>
          <w:p>
            <w:pPr>
              <w:pStyle w:val="28"/>
            </w:pPr>
            <w:r>
              <w:t>执行《市政噵路工程质量检验评定标准CJJ1-90》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改善居民出行环境</w:t>
            </w:r>
          </w:p>
        </w:tc>
        <w:tc>
          <w:tcPr>
            <w:tcW w:w="2835" w:type="dxa"/>
            <w:vAlign w:val="center"/>
          </w:tcPr>
          <w:p>
            <w:pPr>
              <w:pStyle w:val="28"/>
            </w:pPr>
            <w:r>
              <w:t>改善居民出行环境</w:t>
            </w:r>
          </w:p>
        </w:tc>
        <w:tc>
          <w:tcPr>
            <w:tcW w:w="2551" w:type="dxa"/>
            <w:vAlign w:val="center"/>
          </w:tcPr>
          <w:p>
            <w:pPr>
              <w:pStyle w:val="28"/>
            </w:pPr>
            <w:r>
              <w:t>≥90%</w:t>
            </w:r>
          </w:p>
        </w:tc>
        <w:tc>
          <w:tcPr>
            <w:tcW w:w="2268" w:type="dxa"/>
            <w:vAlign w:val="center"/>
          </w:tcPr>
          <w:p>
            <w:pPr>
              <w:pStyle w:val="28"/>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8、便民市场维护费绩效目标表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1.通过食品检测，加强食品安全管理。提升市民购物环境、方便周围居民购物。</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每日使用食品检测试剂进行检测</w:t>
            </w:r>
          </w:p>
        </w:tc>
        <w:tc>
          <w:tcPr>
            <w:tcW w:w="2835" w:type="dxa"/>
            <w:vAlign w:val="center"/>
          </w:tcPr>
          <w:p>
            <w:pPr>
              <w:pStyle w:val="28"/>
            </w:pPr>
            <w:r>
              <w:t>每日要对食品进行检测（包括蔬菜、水果、熟食、生肉等）使用试剂数量</w:t>
            </w:r>
          </w:p>
        </w:tc>
        <w:tc>
          <w:tcPr>
            <w:tcW w:w="2551" w:type="dxa"/>
            <w:vAlign w:val="center"/>
          </w:tcPr>
          <w:p>
            <w:pPr>
              <w:pStyle w:val="28"/>
            </w:pPr>
            <w:r>
              <w:t>≥40个</w:t>
            </w:r>
          </w:p>
        </w:tc>
        <w:tc>
          <w:tcPr>
            <w:tcW w:w="2268" w:type="dxa"/>
            <w:vAlign w:val="center"/>
          </w:tcPr>
          <w:p>
            <w:pPr>
              <w:pStyle w:val="28"/>
            </w:pPr>
            <w:r>
              <w:t>每日公布检测公示并记录台账。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投诉案件及时整改率</w:t>
            </w:r>
          </w:p>
        </w:tc>
        <w:tc>
          <w:tcPr>
            <w:tcW w:w="2835" w:type="dxa"/>
            <w:vAlign w:val="center"/>
          </w:tcPr>
          <w:p>
            <w:pPr>
              <w:pStyle w:val="28"/>
            </w:pPr>
            <w:r>
              <w:t>及时整改案件与投诉案件比率</w:t>
            </w:r>
          </w:p>
        </w:tc>
        <w:tc>
          <w:tcPr>
            <w:tcW w:w="2551" w:type="dxa"/>
            <w:vAlign w:val="center"/>
          </w:tcPr>
          <w:p>
            <w:pPr>
              <w:pStyle w:val="28"/>
            </w:pPr>
            <w:r>
              <w:t>≥95%</w:t>
            </w:r>
          </w:p>
        </w:tc>
        <w:tc>
          <w:tcPr>
            <w:tcW w:w="2268" w:type="dxa"/>
            <w:vAlign w:val="center"/>
          </w:tcPr>
          <w:p>
            <w:pPr>
              <w:pStyle w:val="28"/>
            </w:pPr>
            <w:r>
              <w:t>由大气办及创建办发放督办函已及时整改后并附整改照片发至邮箱。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便民市场维护费</w:t>
            </w:r>
          </w:p>
        </w:tc>
        <w:tc>
          <w:tcPr>
            <w:tcW w:w="2835" w:type="dxa"/>
            <w:vAlign w:val="center"/>
          </w:tcPr>
          <w:p>
            <w:pPr>
              <w:pStyle w:val="28"/>
            </w:pPr>
            <w:r>
              <w:t>按照便民市场出租合同，已收定支</w:t>
            </w:r>
          </w:p>
        </w:tc>
        <w:tc>
          <w:tcPr>
            <w:tcW w:w="2551" w:type="dxa"/>
            <w:vAlign w:val="center"/>
          </w:tcPr>
          <w:p>
            <w:pPr>
              <w:pStyle w:val="28"/>
            </w:pPr>
            <w:r>
              <w:t>48万元</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设施完好率</w:t>
            </w:r>
          </w:p>
        </w:tc>
        <w:tc>
          <w:tcPr>
            <w:tcW w:w="2835" w:type="dxa"/>
            <w:vAlign w:val="center"/>
          </w:tcPr>
          <w:p>
            <w:pPr>
              <w:pStyle w:val="28"/>
            </w:pPr>
            <w:r>
              <w:t>可安全使用设施占所有设施比率</w:t>
            </w:r>
          </w:p>
        </w:tc>
        <w:tc>
          <w:tcPr>
            <w:tcW w:w="2551" w:type="dxa"/>
            <w:vAlign w:val="center"/>
          </w:tcPr>
          <w:p>
            <w:pPr>
              <w:pStyle w:val="28"/>
            </w:pPr>
            <w:r>
              <w:t>≥90%</w:t>
            </w:r>
          </w:p>
        </w:tc>
        <w:tc>
          <w:tcPr>
            <w:tcW w:w="2268" w:type="dxa"/>
            <w:vAlign w:val="center"/>
          </w:tcPr>
          <w:p>
            <w:pPr>
              <w:pStyle w:val="28"/>
            </w:pPr>
            <w:r>
              <w:t>市场管理制度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加强食品安全管理，方便周围居民购物</w:t>
            </w:r>
          </w:p>
        </w:tc>
        <w:tc>
          <w:tcPr>
            <w:tcW w:w="2835" w:type="dxa"/>
            <w:vAlign w:val="center"/>
          </w:tcPr>
          <w:p>
            <w:pPr>
              <w:pStyle w:val="28"/>
            </w:pPr>
            <w:r>
              <w:t>加强食品安全管理，提升市民购物环境、方便周围居民购物</w:t>
            </w:r>
          </w:p>
        </w:tc>
        <w:tc>
          <w:tcPr>
            <w:tcW w:w="2551" w:type="dxa"/>
            <w:vAlign w:val="center"/>
          </w:tcPr>
          <w:p>
            <w:pPr>
              <w:pStyle w:val="28"/>
            </w:pPr>
            <w:r>
              <w:t>≥90%</w:t>
            </w:r>
          </w:p>
        </w:tc>
        <w:tc>
          <w:tcPr>
            <w:tcW w:w="2268" w:type="dxa"/>
            <w:vAlign w:val="center"/>
          </w:tcPr>
          <w:p>
            <w:pPr>
              <w:pStyle w:val="28"/>
            </w:pPr>
            <w:r>
              <w:t>市创卫办、及市场管理制度，和食品安全法。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补2020年环卫车辆租赁费（洁丰公司）绩效目标表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1.加强垃圾清运及机械化清扫、洗扫、高压清洗路面的程度，有效减少道路扬尘。扩大清扫和清运范围，包括307国道、省道、县道和廉州镇城中村。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以克论净考核道路浮沉</w:t>
            </w:r>
          </w:p>
        </w:tc>
        <w:tc>
          <w:tcPr>
            <w:tcW w:w="2835" w:type="dxa"/>
            <w:vAlign w:val="center"/>
          </w:tcPr>
          <w:p>
            <w:pPr>
              <w:pStyle w:val="28"/>
            </w:pPr>
            <w:r>
              <w:t>使用以克论净检测车和手持吸尘器，随机抽查测定点位。</w:t>
            </w:r>
          </w:p>
        </w:tc>
        <w:tc>
          <w:tcPr>
            <w:tcW w:w="2551" w:type="dxa"/>
            <w:vAlign w:val="center"/>
          </w:tcPr>
          <w:p>
            <w:pPr>
              <w:pStyle w:val="28"/>
            </w:pPr>
            <w:r>
              <w:t>＜10克/平方米</w:t>
            </w:r>
          </w:p>
        </w:tc>
        <w:tc>
          <w:tcPr>
            <w:tcW w:w="2268" w:type="dxa"/>
            <w:vAlign w:val="center"/>
          </w:tcPr>
          <w:p>
            <w:pPr>
              <w:pStyle w:val="28"/>
            </w:pPr>
            <w:r>
              <w:t>石家庄市环境卫生管理处“以克论净”绩效考核办法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补2020年环卫车辆租赁费（洁丰公司）</w:t>
            </w:r>
          </w:p>
        </w:tc>
        <w:tc>
          <w:tcPr>
            <w:tcW w:w="2835" w:type="dxa"/>
            <w:vAlign w:val="center"/>
          </w:tcPr>
          <w:p>
            <w:pPr>
              <w:pStyle w:val="28"/>
            </w:pPr>
            <w:r>
              <w:t>补2020年环卫车辆租赁费（洁丰公司）</w:t>
            </w:r>
          </w:p>
        </w:tc>
        <w:tc>
          <w:tcPr>
            <w:tcW w:w="2551" w:type="dxa"/>
            <w:vAlign w:val="center"/>
          </w:tcPr>
          <w:p>
            <w:pPr>
              <w:pStyle w:val="28"/>
            </w:pPr>
            <w:r>
              <w:t>319.44万元</w:t>
            </w:r>
          </w:p>
        </w:tc>
        <w:tc>
          <w:tcPr>
            <w:tcW w:w="2268" w:type="dxa"/>
            <w:vAlign w:val="center"/>
          </w:tcPr>
          <w:p>
            <w:pPr>
              <w:pStyle w:val="28"/>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垃圾转运日产日清完成率（%）</w:t>
            </w:r>
          </w:p>
        </w:tc>
        <w:tc>
          <w:tcPr>
            <w:tcW w:w="2835" w:type="dxa"/>
            <w:vAlign w:val="center"/>
          </w:tcPr>
          <w:p>
            <w:pPr>
              <w:pStyle w:val="28"/>
            </w:pPr>
            <w:r>
              <w:t>垃圾转运日清量占日产量的比率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机械化清扫率（%）</w:t>
            </w:r>
          </w:p>
        </w:tc>
        <w:tc>
          <w:tcPr>
            <w:tcW w:w="2835" w:type="dxa"/>
            <w:vAlign w:val="center"/>
          </w:tcPr>
          <w:p>
            <w:pPr>
              <w:pStyle w:val="28"/>
            </w:pPr>
            <w:r>
              <w:t>机械化清扫面积占全部清扫面积的比率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全年空气优良天数增长率（%）</w:t>
            </w:r>
          </w:p>
        </w:tc>
        <w:tc>
          <w:tcPr>
            <w:tcW w:w="2835" w:type="dxa"/>
            <w:vAlign w:val="center"/>
          </w:tcPr>
          <w:p>
            <w:pPr>
              <w:pStyle w:val="28"/>
            </w:pPr>
            <w:r>
              <w:t>全年空气优良天数同比增长率</w:t>
            </w:r>
          </w:p>
        </w:tc>
        <w:tc>
          <w:tcPr>
            <w:tcW w:w="2551" w:type="dxa"/>
            <w:vAlign w:val="center"/>
          </w:tcPr>
          <w:p>
            <w:pPr>
              <w:pStyle w:val="28"/>
            </w:pPr>
            <w:r>
              <w:t>≥90%</w:t>
            </w:r>
          </w:p>
        </w:tc>
        <w:tc>
          <w:tcPr>
            <w:tcW w:w="2268" w:type="dxa"/>
            <w:vAlign w:val="center"/>
          </w:tcPr>
          <w:p>
            <w:pPr>
              <w:pStyle w:val="28"/>
            </w:pPr>
            <w:r>
              <w:t>石大气办[2019]1号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numPr>
          <w:ilvl w:val="0"/>
          <w:numId w:val="4"/>
        </w:num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补2020年垃圾转运站租地费绩效目标表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1.租赁土地建设公厕转运站，有利于方便市民如厕、投放生活垃圾。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公厕转运站数量</w:t>
            </w:r>
          </w:p>
        </w:tc>
        <w:tc>
          <w:tcPr>
            <w:tcW w:w="2835" w:type="dxa"/>
            <w:vAlign w:val="center"/>
          </w:tcPr>
          <w:p>
            <w:pPr>
              <w:pStyle w:val="28"/>
            </w:pPr>
            <w:r>
              <w:t>需要租赁土地建设公厕转运站的数量</w:t>
            </w:r>
          </w:p>
        </w:tc>
        <w:tc>
          <w:tcPr>
            <w:tcW w:w="2551" w:type="dxa"/>
            <w:vAlign w:val="center"/>
          </w:tcPr>
          <w:p>
            <w:pPr>
              <w:pStyle w:val="28"/>
            </w:pPr>
            <w:r>
              <w:t>8座</w:t>
            </w:r>
          </w:p>
        </w:tc>
        <w:tc>
          <w:tcPr>
            <w:tcW w:w="2268" w:type="dxa"/>
            <w:vAlign w:val="center"/>
          </w:tcPr>
          <w:p>
            <w:pPr>
              <w:pStyle w:val="28"/>
            </w:pPr>
            <w:r>
              <w:t>《石家庄市城市管理委员会关于城市厕所革命专项工作方案》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签订土地租赁协议，公厕转运站及时完工</w:t>
            </w:r>
          </w:p>
        </w:tc>
        <w:tc>
          <w:tcPr>
            <w:tcW w:w="2551" w:type="dxa"/>
            <w:vAlign w:val="center"/>
          </w:tcPr>
          <w:p>
            <w:pPr>
              <w:pStyle w:val="28"/>
            </w:pPr>
            <w:r>
              <w:t>100%</w:t>
            </w:r>
          </w:p>
        </w:tc>
        <w:tc>
          <w:tcPr>
            <w:tcW w:w="2268" w:type="dxa"/>
            <w:vAlign w:val="center"/>
          </w:tcPr>
          <w:p>
            <w:pPr>
              <w:pStyle w:val="28"/>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补2019、2020年租地费</w:t>
            </w:r>
          </w:p>
        </w:tc>
        <w:tc>
          <w:tcPr>
            <w:tcW w:w="2835" w:type="dxa"/>
            <w:vAlign w:val="center"/>
          </w:tcPr>
          <w:p>
            <w:pPr>
              <w:pStyle w:val="28"/>
            </w:pPr>
            <w:r>
              <w:t>补2019、2020年租地费</w:t>
            </w:r>
          </w:p>
        </w:tc>
        <w:tc>
          <w:tcPr>
            <w:tcW w:w="2551" w:type="dxa"/>
            <w:vAlign w:val="center"/>
          </w:tcPr>
          <w:p>
            <w:pPr>
              <w:pStyle w:val="28"/>
            </w:pPr>
            <w:r>
              <w:t>4.16万元</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验收合格项目占验收项目的比率</w:t>
            </w:r>
          </w:p>
        </w:tc>
        <w:tc>
          <w:tcPr>
            <w:tcW w:w="2551" w:type="dxa"/>
            <w:vAlign w:val="center"/>
          </w:tcPr>
          <w:p>
            <w:pPr>
              <w:pStyle w:val="28"/>
            </w:pPr>
            <w:r>
              <w:t>100%</w:t>
            </w:r>
          </w:p>
        </w:tc>
        <w:tc>
          <w:tcPr>
            <w:tcW w:w="2268" w:type="dxa"/>
            <w:vAlign w:val="center"/>
          </w:tcPr>
          <w:p>
            <w:pPr>
              <w:pStyle w:val="28"/>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社会服务能力提升</w:t>
            </w:r>
          </w:p>
        </w:tc>
        <w:tc>
          <w:tcPr>
            <w:tcW w:w="2835" w:type="dxa"/>
            <w:vAlign w:val="center"/>
          </w:tcPr>
          <w:p>
            <w:pPr>
              <w:pStyle w:val="28"/>
            </w:pPr>
            <w:r>
              <w:t>公共基础设施增加，服务社会能力显著提升。</w:t>
            </w:r>
          </w:p>
        </w:tc>
        <w:tc>
          <w:tcPr>
            <w:tcW w:w="2551" w:type="dxa"/>
            <w:vAlign w:val="center"/>
          </w:tcPr>
          <w:p>
            <w:pPr>
              <w:pStyle w:val="28"/>
            </w:pPr>
            <w:r>
              <w:t>≥90%</w:t>
            </w:r>
          </w:p>
        </w:tc>
        <w:tc>
          <w:tcPr>
            <w:tcW w:w="2268" w:type="dxa"/>
            <w:vAlign w:val="center"/>
          </w:tcPr>
          <w:p>
            <w:pPr>
              <w:pStyle w:val="28"/>
            </w:pPr>
            <w:r>
              <w:t>石家庄市城市市容和环境卫生管理条例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4"/>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采购移动垃圾压缩设备及配套勾臂车绩效目标表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1.为15座垃圾转运站采购移动式垃圾压缩设备15套，采购配套勾臂车3辆</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采购压缩设备数量</w:t>
            </w:r>
          </w:p>
        </w:tc>
        <w:tc>
          <w:tcPr>
            <w:tcW w:w="2835" w:type="dxa"/>
            <w:vAlign w:val="center"/>
          </w:tcPr>
          <w:p>
            <w:pPr>
              <w:pStyle w:val="28"/>
            </w:pPr>
            <w:r>
              <w:t>采购移动式垃圾压缩设备数量</w:t>
            </w:r>
          </w:p>
        </w:tc>
        <w:tc>
          <w:tcPr>
            <w:tcW w:w="2551" w:type="dxa"/>
            <w:vAlign w:val="center"/>
          </w:tcPr>
          <w:p>
            <w:pPr>
              <w:pStyle w:val="28"/>
            </w:pPr>
            <w:r>
              <w:t>15套</w:t>
            </w:r>
          </w:p>
        </w:tc>
        <w:tc>
          <w:tcPr>
            <w:tcW w:w="2268" w:type="dxa"/>
            <w:vAlign w:val="center"/>
          </w:tcPr>
          <w:p>
            <w:pPr>
              <w:pStyle w:val="28"/>
            </w:pPr>
            <w:r>
              <w:t>关于采购移动式垃圾压缩设备及配套勾臂车的请示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采购车辆数量</w:t>
            </w:r>
          </w:p>
        </w:tc>
        <w:tc>
          <w:tcPr>
            <w:tcW w:w="2835" w:type="dxa"/>
            <w:vAlign w:val="center"/>
          </w:tcPr>
          <w:p>
            <w:pPr>
              <w:pStyle w:val="28"/>
            </w:pPr>
            <w:r>
              <w:t>采购配套勾臂车数量</w:t>
            </w:r>
          </w:p>
        </w:tc>
        <w:tc>
          <w:tcPr>
            <w:tcW w:w="2551" w:type="dxa"/>
            <w:vAlign w:val="center"/>
          </w:tcPr>
          <w:p>
            <w:pPr>
              <w:pStyle w:val="28"/>
            </w:pPr>
            <w:r>
              <w:t>3辆</w:t>
            </w:r>
          </w:p>
        </w:tc>
        <w:tc>
          <w:tcPr>
            <w:tcW w:w="2268" w:type="dxa"/>
            <w:vAlign w:val="center"/>
          </w:tcPr>
          <w:p>
            <w:pPr>
              <w:pStyle w:val="28"/>
            </w:pPr>
            <w:r>
              <w:t>关于采购移动式垃圾压缩设备及配套勾臂车的请示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采购单价</w:t>
            </w:r>
          </w:p>
        </w:tc>
        <w:tc>
          <w:tcPr>
            <w:tcW w:w="2835" w:type="dxa"/>
            <w:vAlign w:val="center"/>
          </w:tcPr>
          <w:p>
            <w:pPr>
              <w:pStyle w:val="28"/>
            </w:pPr>
            <w:r>
              <w:t>移动式垃圾压缩设备单价</w:t>
            </w:r>
          </w:p>
        </w:tc>
        <w:tc>
          <w:tcPr>
            <w:tcW w:w="2551" w:type="dxa"/>
            <w:vAlign w:val="center"/>
          </w:tcPr>
          <w:p>
            <w:pPr>
              <w:pStyle w:val="28"/>
            </w:pPr>
            <w:r>
              <w:t>26万元</w:t>
            </w:r>
          </w:p>
        </w:tc>
        <w:tc>
          <w:tcPr>
            <w:tcW w:w="2268" w:type="dxa"/>
            <w:vAlign w:val="center"/>
          </w:tcPr>
          <w:p>
            <w:pPr>
              <w:pStyle w:val="28"/>
            </w:pPr>
            <w:r>
              <w:t>关于采购移动式垃圾压缩设备及配套勾臂车的请示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采购单价</w:t>
            </w:r>
          </w:p>
        </w:tc>
        <w:tc>
          <w:tcPr>
            <w:tcW w:w="2835" w:type="dxa"/>
            <w:vAlign w:val="center"/>
          </w:tcPr>
          <w:p>
            <w:pPr>
              <w:pStyle w:val="28"/>
            </w:pPr>
            <w:r>
              <w:t>配套勾臂车单价</w:t>
            </w:r>
          </w:p>
        </w:tc>
        <w:tc>
          <w:tcPr>
            <w:tcW w:w="2551" w:type="dxa"/>
            <w:vAlign w:val="center"/>
          </w:tcPr>
          <w:p>
            <w:pPr>
              <w:pStyle w:val="28"/>
            </w:pPr>
            <w:r>
              <w:t>53万元</w:t>
            </w:r>
          </w:p>
        </w:tc>
        <w:tc>
          <w:tcPr>
            <w:tcW w:w="2268" w:type="dxa"/>
            <w:vAlign w:val="center"/>
          </w:tcPr>
          <w:p>
            <w:pPr>
              <w:pStyle w:val="28"/>
            </w:pPr>
            <w:r>
              <w:t>关于采购移动式垃圾压缩设备及配套勾臂车的请示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及时采购</w:t>
            </w:r>
          </w:p>
        </w:tc>
        <w:tc>
          <w:tcPr>
            <w:tcW w:w="2835" w:type="dxa"/>
            <w:vAlign w:val="center"/>
          </w:tcPr>
          <w:p>
            <w:pPr>
              <w:pStyle w:val="28"/>
            </w:pPr>
            <w:r>
              <w:t>及时采购</w:t>
            </w:r>
          </w:p>
        </w:tc>
        <w:tc>
          <w:tcPr>
            <w:tcW w:w="2551" w:type="dxa"/>
            <w:vAlign w:val="center"/>
          </w:tcPr>
          <w:p>
            <w:pPr>
              <w:pStyle w:val="28"/>
            </w:pPr>
            <w:r>
              <w:t>100%</w:t>
            </w:r>
          </w:p>
        </w:tc>
        <w:tc>
          <w:tcPr>
            <w:tcW w:w="2268" w:type="dxa"/>
            <w:vAlign w:val="center"/>
          </w:tcPr>
          <w:p>
            <w:pPr>
              <w:pStyle w:val="28"/>
            </w:pPr>
            <w:r>
              <w:t>关于采购移动式垃圾压缩设备及配套勾臂车的请示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验收合格工程量占总工程量的比率</w:t>
            </w:r>
          </w:p>
        </w:tc>
        <w:tc>
          <w:tcPr>
            <w:tcW w:w="2551" w:type="dxa"/>
            <w:vAlign w:val="center"/>
          </w:tcPr>
          <w:p>
            <w:pPr>
              <w:pStyle w:val="28"/>
            </w:pPr>
            <w:r>
              <w:t>100%</w:t>
            </w:r>
          </w:p>
        </w:tc>
        <w:tc>
          <w:tcPr>
            <w:tcW w:w="2268" w:type="dxa"/>
            <w:vAlign w:val="center"/>
          </w:tcPr>
          <w:p>
            <w:pPr>
              <w:pStyle w:val="28"/>
            </w:pPr>
            <w:r>
              <w:t>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提高城区垃圾转运站建设管理水平，解决市民倒垃圾问题，改善人居环境质量</w:t>
            </w:r>
          </w:p>
        </w:tc>
        <w:tc>
          <w:tcPr>
            <w:tcW w:w="2835" w:type="dxa"/>
            <w:vAlign w:val="center"/>
          </w:tcPr>
          <w:p>
            <w:pPr>
              <w:pStyle w:val="28"/>
            </w:pPr>
            <w:r>
              <w:t>提高垃圾转运站管理标准，管理精细、服务到位。</w:t>
            </w:r>
          </w:p>
        </w:tc>
        <w:tc>
          <w:tcPr>
            <w:tcW w:w="2551" w:type="dxa"/>
            <w:vAlign w:val="center"/>
          </w:tcPr>
          <w:p>
            <w:pPr>
              <w:pStyle w:val="28"/>
            </w:pPr>
            <w:r>
              <w:t>≥90%</w:t>
            </w:r>
          </w:p>
        </w:tc>
        <w:tc>
          <w:tcPr>
            <w:tcW w:w="2268" w:type="dxa"/>
            <w:vAlign w:val="center"/>
          </w:tcPr>
          <w:p>
            <w:pPr>
              <w:pStyle w:val="28"/>
            </w:pPr>
            <w:r>
              <w:t>《生活垃圾转运站设计规范》（CJJ/T-2016）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≥80%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4"/>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拆除违章建筑经费绩效目标表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1.通过拆除沿街超高建筑，统一沿街建筑风貌，有效减少违建存量，切实提升市容环境和社区治理水平。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及时完工项目占所有项目的比率</w:t>
            </w:r>
          </w:p>
        </w:tc>
        <w:tc>
          <w:tcPr>
            <w:tcW w:w="2551" w:type="dxa"/>
            <w:vAlign w:val="center"/>
          </w:tcPr>
          <w:p>
            <w:pPr>
              <w:pStyle w:val="28"/>
            </w:pPr>
            <w:r>
              <w:t>100%</w:t>
            </w:r>
          </w:p>
        </w:tc>
        <w:tc>
          <w:tcPr>
            <w:tcW w:w="2268" w:type="dxa"/>
            <w:vAlign w:val="center"/>
          </w:tcPr>
          <w:p>
            <w:pPr>
              <w:pStyle w:val="28"/>
            </w:pPr>
            <w:r>
              <w:t>合同、验收报告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拆除违章建筑费用</w:t>
            </w:r>
          </w:p>
        </w:tc>
        <w:tc>
          <w:tcPr>
            <w:tcW w:w="2835" w:type="dxa"/>
            <w:vAlign w:val="center"/>
          </w:tcPr>
          <w:p>
            <w:pPr>
              <w:pStyle w:val="28"/>
            </w:pPr>
            <w:r>
              <w:t>拆除违章建筑费用大约</w:t>
            </w:r>
          </w:p>
        </w:tc>
        <w:tc>
          <w:tcPr>
            <w:tcW w:w="2551" w:type="dxa"/>
            <w:vAlign w:val="center"/>
          </w:tcPr>
          <w:p>
            <w:pPr>
              <w:pStyle w:val="28"/>
            </w:pPr>
            <w:r>
              <w:t>500万元</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拆除数量</w:t>
            </w:r>
          </w:p>
        </w:tc>
        <w:tc>
          <w:tcPr>
            <w:tcW w:w="2835" w:type="dxa"/>
            <w:vAlign w:val="center"/>
          </w:tcPr>
          <w:p>
            <w:pPr>
              <w:pStyle w:val="28"/>
            </w:pPr>
            <w:r>
              <w:t>拆除违建数量</w:t>
            </w:r>
          </w:p>
        </w:tc>
        <w:tc>
          <w:tcPr>
            <w:tcW w:w="2551" w:type="dxa"/>
            <w:vAlign w:val="center"/>
          </w:tcPr>
          <w:p>
            <w:pPr>
              <w:pStyle w:val="28"/>
            </w:pPr>
            <w:r>
              <w:t>410处</w:t>
            </w:r>
          </w:p>
        </w:tc>
        <w:tc>
          <w:tcPr>
            <w:tcW w:w="2268" w:type="dxa"/>
            <w:vAlign w:val="center"/>
          </w:tcPr>
          <w:p>
            <w:pPr>
              <w:pStyle w:val="28"/>
            </w:pPr>
            <w:r>
              <w:t>合同、验收报告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验收合格项目占所验收项目的比率</w:t>
            </w:r>
          </w:p>
        </w:tc>
        <w:tc>
          <w:tcPr>
            <w:tcW w:w="2551" w:type="dxa"/>
            <w:vAlign w:val="center"/>
          </w:tcPr>
          <w:p>
            <w:pPr>
              <w:pStyle w:val="28"/>
            </w:pPr>
            <w:r>
              <w:t>100%</w:t>
            </w:r>
          </w:p>
        </w:tc>
        <w:tc>
          <w:tcPr>
            <w:tcW w:w="2268" w:type="dxa"/>
            <w:vAlign w:val="center"/>
          </w:tcPr>
          <w:p>
            <w:pPr>
              <w:pStyle w:val="28"/>
            </w:pPr>
            <w:r>
              <w:t>合同、验收报告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提升市容市貌</w:t>
            </w:r>
          </w:p>
        </w:tc>
        <w:tc>
          <w:tcPr>
            <w:tcW w:w="2835" w:type="dxa"/>
            <w:vAlign w:val="center"/>
          </w:tcPr>
          <w:p>
            <w:pPr>
              <w:pStyle w:val="28"/>
            </w:pPr>
            <w:r>
              <w:t>统一沿街建筑风貌，切实提升市容市貌</w:t>
            </w:r>
          </w:p>
        </w:tc>
        <w:tc>
          <w:tcPr>
            <w:tcW w:w="2551" w:type="dxa"/>
            <w:vAlign w:val="center"/>
          </w:tcPr>
          <w:p>
            <w:pPr>
              <w:pStyle w:val="28"/>
            </w:pPr>
            <w:r>
              <w:t>≥90%</w:t>
            </w:r>
          </w:p>
        </w:tc>
        <w:tc>
          <w:tcPr>
            <w:tcW w:w="2268" w:type="dxa"/>
            <w:vAlign w:val="center"/>
          </w:tcPr>
          <w:p>
            <w:pPr>
              <w:pStyle w:val="28"/>
            </w:pPr>
            <w:r>
              <w:t>《关于城中村宅基地建设管理的具体意见》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numPr>
          <w:ilvl w:val="0"/>
          <w:numId w:val="4"/>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城管标准化中队建设绩效目标表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1.办公场地固定，沿街选址，便于出勤，便于工作，满足不断增加的执法人员、车辆、设备的使用。按照标准化中队的建设要求，项目及时完工，创建优美办公场所。</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及时完工项目占所有项目的比率</w:t>
            </w:r>
          </w:p>
        </w:tc>
        <w:tc>
          <w:tcPr>
            <w:tcW w:w="2551" w:type="dxa"/>
            <w:vAlign w:val="center"/>
          </w:tcPr>
          <w:p>
            <w:pPr>
              <w:pStyle w:val="28"/>
            </w:pPr>
            <w:r>
              <w:t>100%</w:t>
            </w:r>
          </w:p>
        </w:tc>
        <w:tc>
          <w:tcPr>
            <w:tcW w:w="2268" w:type="dxa"/>
            <w:vAlign w:val="center"/>
          </w:tcPr>
          <w:p>
            <w:pPr>
              <w:pStyle w:val="28"/>
            </w:pPr>
            <w:r>
              <w:t>合同、验收报告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办公用房使用面积</w:t>
            </w:r>
          </w:p>
        </w:tc>
        <w:tc>
          <w:tcPr>
            <w:tcW w:w="2835" w:type="dxa"/>
            <w:vAlign w:val="center"/>
          </w:tcPr>
          <w:p>
            <w:pPr>
              <w:pStyle w:val="28"/>
            </w:pPr>
            <w:r>
              <w:t>办公用房使用面积</w:t>
            </w:r>
          </w:p>
        </w:tc>
        <w:tc>
          <w:tcPr>
            <w:tcW w:w="2551" w:type="dxa"/>
            <w:vAlign w:val="center"/>
          </w:tcPr>
          <w:p>
            <w:pPr>
              <w:pStyle w:val="28"/>
            </w:pPr>
            <w:r>
              <w:t>4300平方米</w:t>
            </w:r>
          </w:p>
        </w:tc>
        <w:tc>
          <w:tcPr>
            <w:tcW w:w="2268"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办公楼装修费用</w:t>
            </w:r>
          </w:p>
        </w:tc>
        <w:tc>
          <w:tcPr>
            <w:tcW w:w="2835" w:type="dxa"/>
            <w:vAlign w:val="center"/>
          </w:tcPr>
          <w:p>
            <w:pPr>
              <w:pStyle w:val="28"/>
            </w:pPr>
            <w:r>
              <w:t>办公楼装修费用合同价</w:t>
            </w:r>
          </w:p>
        </w:tc>
        <w:tc>
          <w:tcPr>
            <w:tcW w:w="2551" w:type="dxa"/>
            <w:vAlign w:val="center"/>
          </w:tcPr>
          <w:p>
            <w:pPr>
              <w:pStyle w:val="28"/>
            </w:pPr>
            <w:r>
              <w:t>314.65万元</w:t>
            </w:r>
          </w:p>
        </w:tc>
        <w:tc>
          <w:tcPr>
            <w:tcW w:w="2268" w:type="dxa"/>
            <w:vAlign w:val="center"/>
          </w:tcPr>
          <w:p>
            <w:pPr>
              <w:pStyle w:val="28"/>
            </w:pPr>
            <w:r>
              <w:t>中标通知书、合同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验收合格项目占所验收项目的比率</w:t>
            </w:r>
          </w:p>
        </w:tc>
        <w:tc>
          <w:tcPr>
            <w:tcW w:w="2551" w:type="dxa"/>
            <w:vAlign w:val="center"/>
          </w:tcPr>
          <w:p>
            <w:pPr>
              <w:pStyle w:val="28"/>
            </w:pPr>
            <w:r>
              <w:t>100%</w:t>
            </w:r>
          </w:p>
        </w:tc>
        <w:tc>
          <w:tcPr>
            <w:tcW w:w="2268" w:type="dxa"/>
            <w:vAlign w:val="center"/>
          </w:tcPr>
          <w:p>
            <w:pPr>
              <w:pStyle w:val="28"/>
            </w:pPr>
            <w:r>
              <w:t>合同、验收报告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满足标准化中队建设要求</w:t>
            </w:r>
          </w:p>
        </w:tc>
        <w:tc>
          <w:tcPr>
            <w:tcW w:w="2835" w:type="dxa"/>
            <w:vAlign w:val="center"/>
          </w:tcPr>
          <w:p>
            <w:pPr>
              <w:pStyle w:val="28"/>
            </w:pPr>
            <w:r>
              <w:t>办公场地固定，沿街选址，便于出勤，合理规划办公区域，设置办公设施。</w:t>
            </w:r>
          </w:p>
        </w:tc>
        <w:tc>
          <w:tcPr>
            <w:tcW w:w="2551" w:type="dxa"/>
            <w:vAlign w:val="center"/>
          </w:tcPr>
          <w:p>
            <w:pPr>
              <w:pStyle w:val="28"/>
            </w:pPr>
            <w:r>
              <w:t>≥95%</w:t>
            </w:r>
          </w:p>
        </w:tc>
        <w:tc>
          <w:tcPr>
            <w:tcW w:w="2268" w:type="dxa"/>
            <w:vAlign w:val="center"/>
          </w:tcPr>
          <w:p>
            <w:pPr>
              <w:pStyle w:val="28"/>
            </w:pPr>
            <w:r>
              <w:t>石城管【2018】281号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工作人员满意度</w:t>
            </w:r>
          </w:p>
        </w:tc>
        <w:tc>
          <w:tcPr>
            <w:tcW w:w="2835" w:type="dxa"/>
            <w:vAlign w:val="center"/>
          </w:tcPr>
          <w:p>
            <w:pPr>
              <w:pStyle w:val="28"/>
            </w:pPr>
            <w:r>
              <w:t>调查中满意和较满意的</w:t>
            </w:r>
            <w:r>
              <w:rPr>
                <w:rFonts w:hint="eastAsia"/>
                <w:lang w:eastAsia="zh-CN"/>
              </w:rPr>
              <w:t>工作人员</w:t>
            </w:r>
            <w:r>
              <w:t>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numPr>
          <w:ilvl w:val="0"/>
          <w:numId w:val="4"/>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城区段石黄高速两侧绿化费用绩效目标表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1.完成了石黄高速两侧城区段进行绿化栽植树木37712株，绿化面积400.83亩。弥补了省级园林城市要求中“城区防护林指标”空缺。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及时完工工程量占总工程量的比率</w:t>
            </w:r>
          </w:p>
        </w:tc>
        <w:tc>
          <w:tcPr>
            <w:tcW w:w="2551" w:type="dxa"/>
            <w:vAlign w:val="center"/>
          </w:tcPr>
          <w:p>
            <w:pPr>
              <w:pStyle w:val="28"/>
            </w:pPr>
            <w:r>
              <w:t>100%</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栽植树木数量</w:t>
            </w:r>
          </w:p>
        </w:tc>
        <w:tc>
          <w:tcPr>
            <w:tcW w:w="2835" w:type="dxa"/>
            <w:vAlign w:val="center"/>
          </w:tcPr>
          <w:p>
            <w:pPr>
              <w:pStyle w:val="28"/>
            </w:pPr>
            <w:r>
              <w:t>栽植树木数量</w:t>
            </w:r>
          </w:p>
        </w:tc>
        <w:tc>
          <w:tcPr>
            <w:tcW w:w="2551" w:type="dxa"/>
            <w:vAlign w:val="center"/>
          </w:tcPr>
          <w:p>
            <w:pPr>
              <w:pStyle w:val="28"/>
            </w:pPr>
            <w:r>
              <w:t>37712株</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栽植树木存活率</w:t>
            </w:r>
          </w:p>
        </w:tc>
        <w:tc>
          <w:tcPr>
            <w:tcW w:w="2835" w:type="dxa"/>
            <w:vAlign w:val="center"/>
          </w:tcPr>
          <w:p>
            <w:pPr>
              <w:pStyle w:val="28"/>
            </w:pPr>
            <w:r>
              <w:t>栽植树木存活数量占所栽植数量的比率</w:t>
            </w:r>
          </w:p>
        </w:tc>
        <w:tc>
          <w:tcPr>
            <w:tcW w:w="2551" w:type="dxa"/>
            <w:vAlign w:val="center"/>
          </w:tcPr>
          <w:p>
            <w:pPr>
              <w:pStyle w:val="28"/>
            </w:pPr>
            <w:r>
              <w:t>≥90%</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财政决算</w:t>
            </w:r>
          </w:p>
        </w:tc>
        <w:tc>
          <w:tcPr>
            <w:tcW w:w="2835" w:type="dxa"/>
            <w:vAlign w:val="center"/>
          </w:tcPr>
          <w:p>
            <w:pPr>
              <w:pStyle w:val="28"/>
            </w:pPr>
            <w:r>
              <w:t>财政决算工程费</w:t>
            </w:r>
          </w:p>
        </w:tc>
        <w:tc>
          <w:tcPr>
            <w:tcW w:w="2551" w:type="dxa"/>
            <w:vAlign w:val="center"/>
          </w:tcPr>
          <w:p>
            <w:pPr>
              <w:pStyle w:val="28"/>
            </w:pPr>
            <w:r>
              <w:t>294.1万元</w:t>
            </w:r>
          </w:p>
        </w:tc>
        <w:tc>
          <w:tcPr>
            <w:tcW w:w="2268" w:type="dxa"/>
            <w:vAlign w:val="center"/>
          </w:tcPr>
          <w:p>
            <w:pPr>
              <w:pStyle w:val="28"/>
            </w:pPr>
            <w:r>
              <w:t>财政决算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增大城区绿化面积</w:t>
            </w:r>
          </w:p>
        </w:tc>
        <w:tc>
          <w:tcPr>
            <w:tcW w:w="2835" w:type="dxa"/>
            <w:vAlign w:val="center"/>
          </w:tcPr>
          <w:p>
            <w:pPr>
              <w:pStyle w:val="28"/>
            </w:pPr>
            <w:r>
              <w:t>增大城区绿化面积，创造宜居环境</w:t>
            </w:r>
          </w:p>
        </w:tc>
        <w:tc>
          <w:tcPr>
            <w:tcW w:w="2551" w:type="dxa"/>
            <w:vAlign w:val="center"/>
          </w:tcPr>
          <w:p>
            <w:pPr>
              <w:pStyle w:val="28"/>
            </w:pPr>
            <w:r>
              <w:t>≥90%</w:t>
            </w:r>
          </w:p>
        </w:tc>
        <w:tc>
          <w:tcPr>
            <w:tcW w:w="2268" w:type="dxa"/>
            <w:vAlign w:val="center"/>
          </w:tcPr>
          <w:p>
            <w:pPr>
              <w:pStyle w:val="28"/>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4"/>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城区基础设施提升改造-便民市场工程绩效目标表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1.完成市场的建成及室内装修的等各项工程内容。改善城区容貌，改善居民的菜篮子工程，方便市民生活。</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及时完工项目占全部项目的比率</w:t>
            </w:r>
          </w:p>
        </w:tc>
        <w:tc>
          <w:tcPr>
            <w:tcW w:w="2551" w:type="dxa"/>
            <w:vAlign w:val="center"/>
          </w:tcPr>
          <w:p>
            <w:pPr>
              <w:pStyle w:val="28"/>
            </w:pPr>
            <w:r>
              <w:t>≥90%</w:t>
            </w:r>
          </w:p>
        </w:tc>
        <w:tc>
          <w:tcPr>
            <w:tcW w:w="2268" w:type="dxa"/>
            <w:vAlign w:val="center"/>
          </w:tcPr>
          <w:p>
            <w:pPr>
              <w:pStyle w:val="28"/>
            </w:pPr>
            <w:r>
              <w:t>工程计量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建成数量</w:t>
            </w:r>
          </w:p>
        </w:tc>
        <w:tc>
          <w:tcPr>
            <w:tcW w:w="2835" w:type="dxa"/>
            <w:vAlign w:val="center"/>
          </w:tcPr>
          <w:p>
            <w:pPr>
              <w:pStyle w:val="28"/>
            </w:pPr>
            <w:r>
              <w:t>按预算数量完成</w:t>
            </w:r>
          </w:p>
        </w:tc>
        <w:tc>
          <w:tcPr>
            <w:tcW w:w="2551" w:type="dxa"/>
            <w:vAlign w:val="center"/>
          </w:tcPr>
          <w:p>
            <w:pPr>
              <w:pStyle w:val="28"/>
            </w:pPr>
            <w:r>
              <w:t>2座</w:t>
            </w:r>
          </w:p>
        </w:tc>
        <w:tc>
          <w:tcPr>
            <w:tcW w:w="2268" w:type="dxa"/>
            <w:vAlign w:val="center"/>
          </w:tcPr>
          <w:p>
            <w:pPr>
              <w:pStyle w:val="28"/>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工程费</w:t>
            </w:r>
          </w:p>
        </w:tc>
        <w:tc>
          <w:tcPr>
            <w:tcW w:w="2835" w:type="dxa"/>
            <w:vAlign w:val="center"/>
          </w:tcPr>
          <w:p>
            <w:pPr>
              <w:pStyle w:val="28"/>
            </w:pPr>
            <w:r>
              <w:t>工程费决算金额</w:t>
            </w:r>
          </w:p>
        </w:tc>
        <w:tc>
          <w:tcPr>
            <w:tcW w:w="2551" w:type="dxa"/>
            <w:vAlign w:val="center"/>
          </w:tcPr>
          <w:p>
            <w:pPr>
              <w:pStyle w:val="28"/>
            </w:pPr>
            <w:r>
              <w:t>1766.55万元</w:t>
            </w:r>
          </w:p>
        </w:tc>
        <w:tc>
          <w:tcPr>
            <w:tcW w:w="2268" w:type="dxa"/>
            <w:vAlign w:val="center"/>
          </w:tcPr>
          <w:p>
            <w:pPr>
              <w:pStyle w:val="28"/>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验收合格工程量占总工程量的比率</w:t>
            </w:r>
          </w:p>
        </w:tc>
        <w:tc>
          <w:tcPr>
            <w:tcW w:w="2551" w:type="dxa"/>
            <w:vAlign w:val="center"/>
          </w:tcPr>
          <w:p>
            <w:pPr>
              <w:pStyle w:val="28"/>
            </w:pPr>
            <w:r>
              <w:t>100%</w:t>
            </w:r>
          </w:p>
        </w:tc>
        <w:tc>
          <w:tcPr>
            <w:tcW w:w="2268" w:type="dxa"/>
            <w:vAlign w:val="center"/>
          </w:tcPr>
          <w:p>
            <w:pPr>
              <w:pStyle w:val="28"/>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居民满意程度</w:t>
            </w:r>
          </w:p>
        </w:tc>
        <w:tc>
          <w:tcPr>
            <w:tcW w:w="2835" w:type="dxa"/>
            <w:vAlign w:val="center"/>
          </w:tcPr>
          <w:p>
            <w:pPr>
              <w:pStyle w:val="28"/>
            </w:pPr>
            <w:r>
              <w:t>改善城区容貌，改善居民的菜篮子工程，方便市民生活。</w:t>
            </w:r>
          </w:p>
        </w:tc>
        <w:tc>
          <w:tcPr>
            <w:tcW w:w="2551" w:type="dxa"/>
            <w:vAlign w:val="center"/>
          </w:tcPr>
          <w:p>
            <w:pPr>
              <w:pStyle w:val="28"/>
            </w:pPr>
            <w:r>
              <w:t>≥90%</w:t>
            </w:r>
          </w:p>
        </w:tc>
        <w:tc>
          <w:tcPr>
            <w:tcW w:w="2268" w:type="dxa"/>
            <w:vAlign w:val="center"/>
          </w:tcPr>
          <w:p>
            <w:pPr>
              <w:pStyle w:val="28"/>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居民满意程度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≥95%</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numPr>
          <w:ilvl w:val="0"/>
          <w:numId w:val="4"/>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城区基础设施提升改造-城区公厕绩效目标表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1.完成改建9个公厕，提升城市基础设施建设水平。完善城市功能，提高城市文明程度和卫生水平，助力创建国家卫生城市，为市民创造更加宜居的城市环境。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及时完工项目占全部项目的比率</w:t>
            </w:r>
          </w:p>
        </w:tc>
        <w:tc>
          <w:tcPr>
            <w:tcW w:w="2551" w:type="dxa"/>
            <w:vAlign w:val="center"/>
          </w:tcPr>
          <w:p>
            <w:pPr>
              <w:pStyle w:val="28"/>
            </w:pPr>
            <w:r>
              <w:t>≥90%</w:t>
            </w:r>
          </w:p>
        </w:tc>
        <w:tc>
          <w:tcPr>
            <w:tcW w:w="2268" w:type="dxa"/>
            <w:vAlign w:val="center"/>
          </w:tcPr>
          <w:p>
            <w:pPr>
              <w:pStyle w:val="28"/>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建成数量</w:t>
            </w:r>
          </w:p>
        </w:tc>
        <w:tc>
          <w:tcPr>
            <w:tcW w:w="2835" w:type="dxa"/>
            <w:vAlign w:val="center"/>
          </w:tcPr>
          <w:p>
            <w:pPr>
              <w:pStyle w:val="28"/>
            </w:pPr>
            <w:r>
              <w:t>建成公厕数量</w:t>
            </w:r>
          </w:p>
        </w:tc>
        <w:tc>
          <w:tcPr>
            <w:tcW w:w="2551" w:type="dxa"/>
            <w:vAlign w:val="center"/>
          </w:tcPr>
          <w:p>
            <w:pPr>
              <w:pStyle w:val="28"/>
            </w:pPr>
            <w:r>
              <w:t>8座</w:t>
            </w:r>
          </w:p>
        </w:tc>
        <w:tc>
          <w:tcPr>
            <w:tcW w:w="2268" w:type="dxa"/>
            <w:vAlign w:val="center"/>
          </w:tcPr>
          <w:p>
            <w:pPr>
              <w:pStyle w:val="28"/>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验收合格工程量占总工程量的比率</w:t>
            </w:r>
          </w:p>
        </w:tc>
        <w:tc>
          <w:tcPr>
            <w:tcW w:w="2551" w:type="dxa"/>
            <w:vAlign w:val="center"/>
          </w:tcPr>
          <w:p>
            <w:pPr>
              <w:pStyle w:val="28"/>
            </w:pPr>
            <w:r>
              <w:t>100%</w:t>
            </w:r>
          </w:p>
        </w:tc>
        <w:tc>
          <w:tcPr>
            <w:tcW w:w="2268" w:type="dxa"/>
            <w:vAlign w:val="center"/>
          </w:tcPr>
          <w:p>
            <w:pPr>
              <w:pStyle w:val="28"/>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工程费</w:t>
            </w:r>
          </w:p>
        </w:tc>
        <w:tc>
          <w:tcPr>
            <w:tcW w:w="2835" w:type="dxa"/>
            <w:vAlign w:val="center"/>
          </w:tcPr>
          <w:p>
            <w:pPr>
              <w:pStyle w:val="28"/>
            </w:pPr>
            <w:r>
              <w:t>工程费决算金额</w:t>
            </w:r>
          </w:p>
        </w:tc>
        <w:tc>
          <w:tcPr>
            <w:tcW w:w="2551" w:type="dxa"/>
            <w:vAlign w:val="center"/>
          </w:tcPr>
          <w:p>
            <w:pPr>
              <w:pStyle w:val="28"/>
            </w:pPr>
            <w:r>
              <w:t>664.44万元</w:t>
            </w:r>
          </w:p>
        </w:tc>
        <w:tc>
          <w:tcPr>
            <w:tcW w:w="2268" w:type="dxa"/>
            <w:vAlign w:val="center"/>
          </w:tcPr>
          <w:p>
            <w:pPr>
              <w:pStyle w:val="28"/>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出行环境舒适度</w:t>
            </w:r>
          </w:p>
        </w:tc>
        <w:tc>
          <w:tcPr>
            <w:tcW w:w="2835" w:type="dxa"/>
            <w:vAlign w:val="center"/>
          </w:tcPr>
          <w:p>
            <w:pPr>
              <w:pStyle w:val="28"/>
            </w:pPr>
            <w:r>
              <w:t>改善城区市容市貌，提升城市整体形象。</w:t>
            </w:r>
          </w:p>
        </w:tc>
        <w:tc>
          <w:tcPr>
            <w:tcW w:w="2551" w:type="dxa"/>
            <w:vAlign w:val="center"/>
          </w:tcPr>
          <w:p>
            <w:pPr>
              <w:pStyle w:val="28"/>
            </w:pPr>
            <w:r>
              <w:t>≥90%</w:t>
            </w:r>
          </w:p>
        </w:tc>
        <w:tc>
          <w:tcPr>
            <w:tcW w:w="2268" w:type="dxa"/>
            <w:vAlign w:val="center"/>
          </w:tcPr>
          <w:p>
            <w:pPr>
              <w:pStyle w:val="28"/>
            </w:pPr>
            <w: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居民满意程度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4"/>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城区排水管网清淤工程绩效目标表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1.排水管网疏通、清淤。</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疏通排水管网长度</w:t>
            </w:r>
          </w:p>
        </w:tc>
        <w:tc>
          <w:tcPr>
            <w:tcW w:w="2835" w:type="dxa"/>
            <w:vAlign w:val="center"/>
          </w:tcPr>
          <w:p>
            <w:pPr>
              <w:pStyle w:val="28"/>
            </w:pPr>
            <w:r>
              <w:t>疏通排水管网长度</w:t>
            </w:r>
          </w:p>
        </w:tc>
        <w:tc>
          <w:tcPr>
            <w:tcW w:w="2551" w:type="dxa"/>
            <w:vAlign w:val="center"/>
          </w:tcPr>
          <w:p>
            <w:pPr>
              <w:pStyle w:val="28"/>
            </w:pPr>
            <w:r>
              <w:t>44484米</w:t>
            </w:r>
          </w:p>
        </w:tc>
        <w:tc>
          <w:tcPr>
            <w:tcW w:w="2268" w:type="dxa"/>
            <w:vAlign w:val="center"/>
          </w:tcPr>
          <w:p>
            <w:pPr>
              <w:pStyle w:val="28"/>
            </w:pPr>
            <w:r>
              <w:t>工程现场踏勘记录表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施工进度工程量占总工程量的比率</w:t>
            </w:r>
          </w:p>
        </w:tc>
        <w:tc>
          <w:tcPr>
            <w:tcW w:w="2551" w:type="dxa"/>
            <w:vAlign w:val="center"/>
          </w:tcPr>
          <w:p>
            <w:pPr>
              <w:pStyle w:val="28"/>
            </w:pPr>
            <w:r>
              <w:t>100%</w:t>
            </w:r>
          </w:p>
        </w:tc>
        <w:tc>
          <w:tcPr>
            <w:tcW w:w="2268" w:type="dxa"/>
            <w:vAlign w:val="center"/>
          </w:tcPr>
          <w:p>
            <w:pPr>
              <w:pStyle w:val="28"/>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工程费</w:t>
            </w:r>
          </w:p>
        </w:tc>
        <w:tc>
          <w:tcPr>
            <w:tcW w:w="2835" w:type="dxa"/>
            <w:vAlign w:val="center"/>
          </w:tcPr>
          <w:p>
            <w:pPr>
              <w:pStyle w:val="28"/>
            </w:pPr>
            <w:r>
              <w:t>工程费决算评审</w:t>
            </w:r>
          </w:p>
        </w:tc>
        <w:tc>
          <w:tcPr>
            <w:tcW w:w="2551" w:type="dxa"/>
            <w:vAlign w:val="center"/>
          </w:tcPr>
          <w:p>
            <w:pPr>
              <w:pStyle w:val="28"/>
            </w:pPr>
            <w:r>
              <w:t>278.51万元</w:t>
            </w:r>
          </w:p>
        </w:tc>
        <w:tc>
          <w:tcPr>
            <w:tcW w:w="2268" w:type="dxa"/>
            <w:vAlign w:val="center"/>
          </w:tcPr>
          <w:p>
            <w:pPr>
              <w:pStyle w:val="28"/>
            </w:pPr>
            <w:r>
              <w:t>财政决算评审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验收合格工程量占总工程量的比率</w:t>
            </w:r>
          </w:p>
        </w:tc>
        <w:tc>
          <w:tcPr>
            <w:tcW w:w="2551" w:type="dxa"/>
            <w:vAlign w:val="center"/>
          </w:tcPr>
          <w:p>
            <w:pPr>
              <w:pStyle w:val="28"/>
            </w:pPr>
            <w:r>
              <w:t>100%</w:t>
            </w:r>
          </w:p>
        </w:tc>
        <w:tc>
          <w:tcPr>
            <w:tcW w:w="2268" w:type="dxa"/>
            <w:vAlign w:val="center"/>
          </w:tcPr>
          <w:p>
            <w:pPr>
              <w:pStyle w:val="28"/>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优化生活环境</w:t>
            </w:r>
          </w:p>
        </w:tc>
        <w:tc>
          <w:tcPr>
            <w:tcW w:w="2835" w:type="dxa"/>
            <w:vAlign w:val="center"/>
          </w:tcPr>
          <w:p>
            <w:pPr>
              <w:pStyle w:val="28"/>
            </w:pPr>
            <w:r>
              <w:t>提高基础设施水平</w:t>
            </w:r>
          </w:p>
        </w:tc>
        <w:tc>
          <w:tcPr>
            <w:tcW w:w="2551" w:type="dxa"/>
            <w:vAlign w:val="center"/>
          </w:tcPr>
          <w:p>
            <w:pPr>
              <w:pStyle w:val="28"/>
            </w:pPr>
            <w:r>
              <w:t>≥90%</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4"/>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城区西部排水管网疏通工程绩效目标表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1.对城区四明街以西的排水管网进行清淤，掏挖检查井杂物，吸污车抽吸污泥污水。疏通排水管网，使排水管网畅通、不堵塞。</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施工进度工程量占总工程量的比率</w:t>
            </w:r>
          </w:p>
        </w:tc>
        <w:tc>
          <w:tcPr>
            <w:tcW w:w="2551" w:type="dxa"/>
            <w:vAlign w:val="center"/>
          </w:tcPr>
          <w:p>
            <w:pPr>
              <w:pStyle w:val="28"/>
            </w:pPr>
            <w:r>
              <w:t>100%</w:t>
            </w:r>
          </w:p>
        </w:tc>
        <w:tc>
          <w:tcPr>
            <w:tcW w:w="2268" w:type="dxa"/>
            <w:vAlign w:val="center"/>
          </w:tcPr>
          <w:p>
            <w:pPr>
              <w:pStyle w:val="28"/>
            </w:pPr>
            <w:r>
              <w:t>合同、决算评审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清理管道长度</w:t>
            </w:r>
          </w:p>
        </w:tc>
        <w:tc>
          <w:tcPr>
            <w:tcW w:w="2835" w:type="dxa"/>
            <w:vAlign w:val="center"/>
          </w:tcPr>
          <w:p>
            <w:pPr>
              <w:pStyle w:val="28"/>
            </w:pPr>
            <w:r>
              <w:t>清理管道长度</w:t>
            </w:r>
          </w:p>
        </w:tc>
        <w:tc>
          <w:tcPr>
            <w:tcW w:w="2551" w:type="dxa"/>
            <w:vAlign w:val="center"/>
          </w:tcPr>
          <w:p>
            <w:pPr>
              <w:pStyle w:val="28"/>
            </w:pPr>
            <w:r>
              <w:t>54200米</w:t>
            </w:r>
          </w:p>
        </w:tc>
        <w:tc>
          <w:tcPr>
            <w:tcW w:w="2268" w:type="dxa"/>
            <w:vAlign w:val="center"/>
          </w:tcPr>
          <w:p>
            <w:pPr>
              <w:pStyle w:val="28"/>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工程费</w:t>
            </w:r>
          </w:p>
        </w:tc>
        <w:tc>
          <w:tcPr>
            <w:tcW w:w="2835" w:type="dxa"/>
            <w:vAlign w:val="center"/>
          </w:tcPr>
          <w:p>
            <w:pPr>
              <w:pStyle w:val="28"/>
            </w:pPr>
            <w:r>
              <w:t>财政决算评审工程费</w:t>
            </w:r>
          </w:p>
        </w:tc>
        <w:tc>
          <w:tcPr>
            <w:tcW w:w="2551" w:type="dxa"/>
            <w:vAlign w:val="center"/>
          </w:tcPr>
          <w:p>
            <w:pPr>
              <w:pStyle w:val="28"/>
            </w:pPr>
            <w:r>
              <w:t>279.86万元</w:t>
            </w:r>
          </w:p>
        </w:tc>
        <w:tc>
          <w:tcPr>
            <w:tcW w:w="2268" w:type="dxa"/>
            <w:vAlign w:val="center"/>
          </w:tcPr>
          <w:p>
            <w:pPr>
              <w:pStyle w:val="28"/>
            </w:pPr>
            <w:r>
              <w:t>合同、决算评审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验收合格工程量占总工程量的比率</w:t>
            </w:r>
          </w:p>
        </w:tc>
        <w:tc>
          <w:tcPr>
            <w:tcW w:w="2551" w:type="dxa"/>
            <w:vAlign w:val="center"/>
          </w:tcPr>
          <w:p>
            <w:pPr>
              <w:pStyle w:val="28"/>
            </w:pPr>
            <w:r>
              <w:t>100%</w:t>
            </w:r>
          </w:p>
        </w:tc>
        <w:tc>
          <w:tcPr>
            <w:tcW w:w="2268" w:type="dxa"/>
            <w:vAlign w:val="center"/>
          </w:tcPr>
          <w:p>
            <w:pPr>
              <w:pStyle w:val="28"/>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优化生活环境</w:t>
            </w:r>
          </w:p>
        </w:tc>
        <w:tc>
          <w:tcPr>
            <w:tcW w:w="2835" w:type="dxa"/>
            <w:vAlign w:val="center"/>
          </w:tcPr>
          <w:p>
            <w:pPr>
              <w:pStyle w:val="28"/>
            </w:pPr>
            <w:r>
              <w:t>改善城区面貌，方便市民出行</w:t>
            </w:r>
          </w:p>
        </w:tc>
        <w:tc>
          <w:tcPr>
            <w:tcW w:w="2551" w:type="dxa"/>
            <w:vAlign w:val="center"/>
          </w:tcPr>
          <w:p>
            <w:pPr>
              <w:pStyle w:val="28"/>
            </w:pPr>
            <w:r>
              <w:t>≥90%</w:t>
            </w:r>
          </w:p>
        </w:tc>
        <w:tc>
          <w:tcPr>
            <w:tcW w:w="2268" w:type="dxa"/>
            <w:vAlign w:val="center"/>
          </w:tcPr>
          <w:p>
            <w:pPr>
              <w:pStyle w:val="28"/>
            </w:pPr>
            <w:r>
              <w:t>《石家庄市城市市政工程设施管理条例》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4"/>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城市公园维护费绩效目标表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1.园内植物生长健壮，路面整洁，照明设施良好，人工湖水质洁净，公厕洁净无异味，园林小品和健身器材设施完好。</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垃圾及时清理率</w:t>
            </w:r>
          </w:p>
        </w:tc>
        <w:tc>
          <w:tcPr>
            <w:tcW w:w="2835" w:type="dxa"/>
            <w:vAlign w:val="center"/>
          </w:tcPr>
          <w:p>
            <w:pPr>
              <w:pStyle w:val="28"/>
            </w:pPr>
            <w:r>
              <w:t>绿地垃圾及时清理量占园内垃圾总量的比率</w:t>
            </w:r>
          </w:p>
        </w:tc>
        <w:tc>
          <w:tcPr>
            <w:tcW w:w="2551" w:type="dxa"/>
            <w:vAlign w:val="center"/>
          </w:tcPr>
          <w:p>
            <w:pPr>
              <w:pStyle w:val="28"/>
            </w:pPr>
            <w:r>
              <w:t>≥95%</w:t>
            </w:r>
          </w:p>
        </w:tc>
        <w:tc>
          <w:tcPr>
            <w:tcW w:w="2268" w:type="dxa"/>
            <w:vAlign w:val="center"/>
          </w:tcPr>
          <w:p>
            <w:pPr>
              <w:pStyle w:val="28"/>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公共设施完好率</w:t>
            </w:r>
          </w:p>
        </w:tc>
        <w:tc>
          <w:tcPr>
            <w:tcW w:w="2835" w:type="dxa"/>
            <w:vAlign w:val="center"/>
          </w:tcPr>
          <w:p>
            <w:pPr>
              <w:pStyle w:val="28"/>
            </w:pPr>
            <w:r>
              <w:t>达到可安全使用状态的设施数量占所有公共设施的比率</w:t>
            </w:r>
          </w:p>
        </w:tc>
        <w:tc>
          <w:tcPr>
            <w:tcW w:w="2551" w:type="dxa"/>
            <w:vAlign w:val="center"/>
          </w:tcPr>
          <w:p>
            <w:pPr>
              <w:pStyle w:val="28"/>
            </w:pPr>
            <w:r>
              <w:t>≥90%</w:t>
            </w:r>
          </w:p>
        </w:tc>
        <w:tc>
          <w:tcPr>
            <w:tcW w:w="2268" w:type="dxa"/>
            <w:vAlign w:val="center"/>
          </w:tcPr>
          <w:p>
            <w:pPr>
              <w:pStyle w:val="28"/>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管护公园数量</w:t>
            </w:r>
          </w:p>
        </w:tc>
        <w:tc>
          <w:tcPr>
            <w:tcW w:w="2835" w:type="dxa"/>
            <w:vAlign w:val="center"/>
          </w:tcPr>
          <w:p>
            <w:pPr>
              <w:pStyle w:val="28"/>
            </w:pPr>
            <w:r>
              <w:t>管护公园数量</w:t>
            </w:r>
          </w:p>
        </w:tc>
        <w:tc>
          <w:tcPr>
            <w:tcW w:w="2551" w:type="dxa"/>
            <w:vAlign w:val="center"/>
          </w:tcPr>
          <w:p>
            <w:pPr>
              <w:pStyle w:val="28"/>
            </w:pPr>
            <w:r>
              <w:t>2个</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育才公园、长盛园年维护费</w:t>
            </w:r>
          </w:p>
        </w:tc>
        <w:tc>
          <w:tcPr>
            <w:tcW w:w="2835" w:type="dxa"/>
            <w:vAlign w:val="center"/>
          </w:tcPr>
          <w:p>
            <w:pPr>
              <w:pStyle w:val="28"/>
            </w:pPr>
            <w:r>
              <w:t>财政评审育才公园、长盛园年维护费</w:t>
            </w:r>
          </w:p>
        </w:tc>
        <w:tc>
          <w:tcPr>
            <w:tcW w:w="2551" w:type="dxa"/>
            <w:vAlign w:val="center"/>
          </w:tcPr>
          <w:p>
            <w:pPr>
              <w:pStyle w:val="28"/>
            </w:pPr>
            <w:r>
              <w:t>28.67万元</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年接待游客量</w:t>
            </w:r>
          </w:p>
        </w:tc>
        <w:tc>
          <w:tcPr>
            <w:tcW w:w="2835" w:type="dxa"/>
            <w:vAlign w:val="center"/>
          </w:tcPr>
          <w:p>
            <w:pPr>
              <w:pStyle w:val="28"/>
            </w:pPr>
            <w:r>
              <w:t>为市民提供休闲、健身场地</w:t>
            </w:r>
          </w:p>
        </w:tc>
        <w:tc>
          <w:tcPr>
            <w:tcW w:w="2551" w:type="dxa"/>
            <w:vAlign w:val="center"/>
          </w:tcPr>
          <w:p>
            <w:pPr>
              <w:pStyle w:val="28"/>
            </w:pPr>
            <w:r>
              <w:t>≥33万人</w:t>
            </w:r>
          </w:p>
        </w:tc>
        <w:tc>
          <w:tcPr>
            <w:tcW w:w="2268" w:type="dxa"/>
            <w:vAlign w:val="center"/>
          </w:tcPr>
          <w:p>
            <w:pPr>
              <w:pStyle w:val="28"/>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20、代收垃圾处理费服务费绩效目标表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1.完成垃圾处理费征收工作，实行收支两条线管理，及时将所收款全额上缴区财政。</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代收垃圾处理费</w:t>
            </w:r>
          </w:p>
        </w:tc>
        <w:tc>
          <w:tcPr>
            <w:tcW w:w="2835" w:type="dxa"/>
            <w:vAlign w:val="center"/>
          </w:tcPr>
          <w:p>
            <w:pPr>
              <w:pStyle w:val="28"/>
            </w:pPr>
            <w:r>
              <w:t>代收垃圾处理费金额</w:t>
            </w:r>
          </w:p>
        </w:tc>
        <w:tc>
          <w:tcPr>
            <w:tcW w:w="2551" w:type="dxa"/>
            <w:vAlign w:val="center"/>
          </w:tcPr>
          <w:p>
            <w:pPr>
              <w:pStyle w:val="28"/>
            </w:pPr>
            <w:r>
              <w:t>194.15万元</w:t>
            </w:r>
          </w:p>
        </w:tc>
        <w:tc>
          <w:tcPr>
            <w:tcW w:w="2268" w:type="dxa"/>
            <w:vAlign w:val="center"/>
          </w:tcPr>
          <w:p>
            <w:pPr>
              <w:pStyle w:val="28"/>
            </w:pPr>
            <w:r>
              <w:t>收费票据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及时上缴率</w:t>
            </w:r>
          </w:p>
        </w:tc>
        <w:tc>
          <w:tcPr>
            <w:tcW w:w="2835" w:type="dxa"/>
            <w:vAlign w:val="center"/>
          </w:tcPr>
          <w:p>
            <w:pPr>
              <w:pStyle w:val="28"/>
            </w:pPr>
            <w:r>
              <w:t>及时上缴收费金额占总收费金额的比率</w:t>
            </w:r>
          </w:p>
        </w:tc>
        <w:tc>
          <w:tcPr>
            <w:tcW w:w="2551" w:type="dxa"/>
            <w:vAlign w:val="center"/>
          </w:tcPr>
          <w:p>
            <w:pPr>
              <w:pStyle w:val="28"/>
            </w:pPr>
            <w:r>
              <w:t>100%</w:t>
            </w:r>
          </w:p>
        </w:tc>
        <w:tc>
          <w:tcPr>
            <w:tcW w:w="2268" w:type="dxa"/>
            <w:vAlign w:val="center"/>
          </w:tcPr>
          <w:p>
            <w:pPr>
              <w:pStyle w:val="28"/>
            </w:pPr>
            <w:r>
              <w:t>《石家庄市藁城区城镇垃圾处理费征收管理办法》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服务费</w:t>
            </w:r>
          </w:p>
        </w:tc>
        <w:tc>
          <w:tcPr>
            <w:tcW w:w="2835" w:type="dxa"/>
            <w:vAlign w:val="center"/>
          </w:tcPr>
          <w:p>
            <w:pPr>
              <w:pStyle w:val="28"/>
            </w:pPr>
            <w:r>
              <w:t>代收垃圾处理费服务费</w:t>
            </w:r>
          </w:p>
        </w:tc>
        <w:tc>
          <w:tcPr>
            <w:tcW w:w="2551" w:type="dxa"/>
            <w:vAlign w:val="center"/>
          </w:tcPr>
          <w:p>
            <w:pPr>
              <w:pStyle w:val="28"/>
            </w:pPr>
            <w:r>
              <w:t>17.47万元</w:t>
            </w:r>
          </w:p>
        </w:tc>
        <w:tc>
          <w:tcPr>
            <w:tcW w:w="2268" w:type="dxa"/>
            <w:vAlign w:val="center"/>
          </w:tcPr>
          <w:p>
            <w:pPr>
              <w:pStyle w:val="28"/>
            </w:pPr>
            <w:r>
              <w:t>《石家庄市藁城区城镇垃圾处理费征收管理办法》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费用收缴率</w:t>
            </w:r>
          </w:p>
        </w:tc>
        <w:tc>
          <w:tcPr>
            <w:tcW w:w="2835" w:type="dxa"/>
            <w:vAlign w:val="center"/>
          </w:tcPr>
          <w:p>
            <w:pPr>
              <w:pStyle w:val="28"/>
            </w:pPr>
            <w:r>
              <w:t>实收费用额占应收费用的比率</w:t>
            </w:r>
          </w:p>
        </w:tc>
        <w:tc>
          <w:tcPr>
            <w:tcW w:w="2551" w:type="dxa"/>
            <w:vAlign w:val="center"/>
          </w:tcPr>
          <w:p>
            <w:pPr>
              <w:pStyle w:val="28"/>
            </w:pPr>
            <w:r>
              <w:t>≥90%</w:t>
            </w:r>
          </w:p>
        </w:tc>
        <w:tc>
          <w:tcPr>
            <w:tcW w:w="2268" w:type="dxa"/>
            <w:vAlign w:val="center"/>
          </w:tcPr>
          <w:p>
            <w:pPr>
              <w:pStyle w:val="28"/>
            </w:pPr>
            <w:r>
              <w:t>《石家庄市藁城区城镇垃圾处理费征收管理办法》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促进城市可持续发展</w:t>
            </w:r>
          </w:p>
        </w:tc>
        <w:tc>
          <w:tcPr>
            <w:tcW w:w="2835" w:type="dxa"/>
            <w:vAlign w:val="center"/>
          </w:tcPr>
          <w:p>
            <w:pPr>
              <w:pStyle w:val="28"/>
            </w:pPr>
            <w:r>
              <w:t>生活垃圾无害化处理，保护城市生态环境，保护水土资源不被污染，促进城市可持续发展。</w:t>
            </w:r>
          </w:p>
        </w:tc>
        <w:tc>
          <w:tcPr>
            <w:tcW w:w="2551" w:type="dxa"/>
            <w:vAlign w:val="center"/>
          </w:tcPr>
          <w:p>
            <w:pPr>
              <w:pStyle w:val="28"/>
            </w:pPr>
            <w:r>
              <w:t>≥90%</w:t>
            </w:r>
          </w:p>
        </w:tc>
        <w:tc>
          <w:tcPr>
            <w:tcW w:w="2268" w:type="dxa"/>
            <w:vAlign w:val="center"/>
          </w:tcPr>
          <w:p>
            <w:pPr>
              <w:pStyle w:val="28"/>
            </w:pPr>
            <w:r>
              <w:t>《石家庄市藁城区城镇垃圾处理费征收管理办法》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21、</w:t>
      </w:r>
      <w:r>
        <w:rPr>
          <w:rFonts w:ascii="方正仿宋_GBK" w:hAnsi="方正仿宋_GBK" w:eastAsia="方正仿宋_GBK" w:cs="方正仿宋_GBK"/>
          <w:b/>
          <w:color w:val="000000"/>
          <w:sz w:val="28"/>
        </w:rPr>
        <w:t>儿童公园景观提升工程绩效目标表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1.建设新的儿童娱乐区，新建休闲广场、建设绿地、种植树木。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工期</w:t>
            </w:r>
          </w:p>
        </w:tc>
        <w:tc>
          <w:tcPr>
            <w:tcW w:w="2835" w:type="dxa"/>
            <w:vAlign w:val="center"/>
          </w:tcPr>
          <w:p>
            <w:pPr>
              <w:pStyle w:val="28"/>
            </w:pPr>
            <w:r>
              <w:t>中标工期2022年3月--2022年6月</w:t>
            </w:r>
          </w:p>
        </w:tc>
        <w:tc>
          <w:tcPr>
            <w:tcW w:w="2551" w:type="dxa"/>
            <w:vAlign w:val="center"/>
          </w:tcPr>
          <w:p>
            <w:pPr>
              <w:pStyle w:val="28"/>
            </w:pPr>
            <w:r>
              <w:t>≤120天</w:t>
            </w:r>
          </w:p>
        </w:tc>
        <w:tc>
          <w:tcPr>
            <w:tcW w:w="2268" w:type="dxa"/>
            <w:vAlign w:val="center"/>
          </w:tcPr>
          <w:p>
            <w:pPr>
              <w:pStyle w:val="28"/>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验收合格工程量占总工程量的比率</w:t>
            </w:r>
          </w:p>
        </w:tc>
        <w:tc>
          <w:tcPr>
            <w:tcW w:w="2551" w:type="dxa"/>
            <w:vAlign w:val="center"/>
          </w:tcPr>
          <w:p>
            <w:pPr>
              <w:pStyle w:val="28"/>
            </w:pPr>
            <w:r>
              <w:t>100%</w:t>
            </w:r>
          </w:p>
        </w:tc>
        <w:tc>
          <w:tcPr>
            <w:tcW w:w="2268" w:type="dxa"/>
            <w:vAlign w:val="center"/>
          </w:tcPr>
          <w:p>
            <w:pPr>
              <w:pStyle w:val="28"/>
            </w:pPr>
            <w:r>
              <w:t>《建设工程质量管理条例》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中标</w:t>
            </w:r>
          </w:p>
        </w:tc>
        <w:tc>
          <w:tcPr>
            <w:tcW w:w="2835" w:type="dxa"/>
            <w:vAlign w:val="center"/>
          </w:tcPr>
          <w:p>
            <w:pPr>
              <w:pStyle w:val="28"/>
            </w:pPr>
            <w:r>
              <w:t>中标价</w:t>
            </w:r>
          </w:p>
        </w:tc>
        <w:tc>
          <w:tcPr>
            <w:tcW w:w="2551" w:type="dxa"/>
            <w:vAlign w:val="center"/>
          </w:tcPr>
          <w:p>
            <w:pPr>
              <w:pStyle w:val="28"/>
            </w:pPr>
            <w:r>
              <w:t>179.21万元</w:t>
            </w:r>
          </w:p>
        </w:tc>
        <w:tc>
          <w:tcPr>
            <w:tcW w:w="2268" w:type="dxa"/>
            <w:vAlign w:val="center"/>
          </w:tcPr>
          <w:p>
            <w:pPr>
              <w:pStyle w:val="28"/>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工程项目数量</w:t>
            </w:r>
          </w:p>
        </w:tc>
        <w:tc>
          <w:tcPr>
            <w:tcW w:w="2835" w:type="dxa"/>
            <w:vAlign w:val="center"/>
          </w:tcPr>
          <w:p>
            <w:pPr>
              <w:pStyle w:val="28"/>
            </w:pPr>
            <w:r>
              <w:t>新增19项，拆除4项，修复4项</w:t>
            </w:r>
          </w:p>
        </w:tc>
        <w:tc>
          <w:tcPr>
            <w:tcW w:w="2551" w:type="dxa"/>
            <w:vAlign w:val="center"/>
          </w:tcPr>
          <w:p>
            <w:pPr>
              <w:pStyle w:val="28"/>
            </w:pPr>
            <w:r>
              <w:t>27个</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提升公园的娱乐锻炼休闲环境</w:t>
            </w:r>
          </w:p>
        </w:tc>
        <w:tc>
          <w:tcPr>
            <w:tcW w:w="2835" w:type="dxa"/>
            <w:vAlign w:val="center"/>
          </w:tcPr>
          <w:p>
            <w:pPr>
              <w:pStyle w:val="28"/>
            </w:pPr>
            <w:r>
              <w:t>改善公园景观环境，缓解居民锻炼、休闲、场所的不足</w:t>
            </w:r>
          </w:p>
        </w:tc>
        <w:tc>
          <w:tcPr>
            <w:tcW w:w="2551" w:type="dxa"/>
            <w:vAlign w:val="center"/>
          </w:tcPr>
          <w:p>
            <w:pPr>
              <w:pStyle w:val="28"/>
            </w:pPr>
            <w:r>
              <w:t>≥90%</w:t>
            </w:r>
          </w:p>
        </w:tc>
        <w:tc>
          <w:tcPr>
            <w:tcW w:w="2268" w:type="dxa"/>
            <w:vAlign w:val="center"/>
          </w:tcPr>
          <w:p>
            <w:pPr>
              <w:pStyle w:val="28"/>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居民满意程度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22、</w:t>
      </w:r>
      <w:r>
        <w:rPr>
          <w:rFonts w:ascii="方正仿宋_GBK" w:hAnsi="方正仿宋_GBK" w:eastAsia="方正仿宋_GBK" w:cs="方正仿宋_GBK"/>
          <w:b/>
          <w:color w:val="000000"/>
          <w:sz w:val="28"/>
        </w:rPr>
        <w:t>儿童公园维护费绩效目标表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1.园内植物生长健壮，路面整洁，照明设施良好，人工湖水质洁净，公厕洁净无异味，园林小品和健身器材设施完好。园内秩序良好，便民服务周到完善。</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垃圾及时清理率</w:t>
            </w:r>
          </w:p>
        </w:tc>
        <w:tc>
          <w:tcPr>
            <w:tcW w:w="2835" w:type="dxa"/>
            <w:vAlign w:val="center"/>
          </w:tcPr>
          <w:p>
            <w:pPr>
              <w:pStyle w:val="28"/>
            </w:pPr>
            <w:r>
              <w:t>绿地垃圾及时清理量占园内垃圾总量的比率</w:t>
            </w:r>
          </w:p>
        </w:tc>
        <w:tc>
          <w:tcPr>
            <w:tcW w:w="2551" w:type="dxa"/>
            <w:vAlign w:val="center"/>
          </w:tcPr>
          <w:p>
            <w:pPr>
              <w:pStyle w:val="28"/>
            </w:pPr>
            <w:r>
              <w:t>≥95%</w:t>
            </w:r>
          </w:p>
        </w:tc>
        <w:tc>
          <w:tcPr>
            <w:tcW w:w="2268" w:type="dxa"/>
            <w:vAlign w:val="center"/>
          </w:tcPr>
          <w:p>
            <w:pPr>
              <w:pStyle w:val="28"/>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公共设施完好率</w:t>
            </w:r>
          </w:p>
        </w:tc>
        <w:tc>
          <w:tcPr>
            <w:tcW w:w="2835" w:type="dxa"/>
            <w:vAlign w:val="center"/>
          </w:tcPr>
          <w:p>
            <w:pPr>
              <w:pStyle w:val="28"/>
            </w:pPr>
            <w:r>
              <w:t>达到可安全使用状态的设施数量占所有公共设施的比率</w:t>
            </w:r>
          </w:p>
        </w:tc>
        <w:tc>
          <w:tcPr>
            <w:tcW w:w="2551" w:type="dxa"/>
            <w:vAlign w:val="center"/>
          </w:tcPr>
          <w:p>
            <w:pPr>
              <w:pStyle w:val="28"/>
            </w:pPr>
            <w:r>
              <w:t>≥90%</w:t>
            </w:r>
          </w:p>
        </w:tc>
        <w:tc>
          <w:tcPr>
            <w:tcW w:w="2268" w:type="dxa"/>
            <w:vAlign w:val="center"/>
          </w:tcPr>
          <w:p>
            <w:pPr>
              <w:pStyle w:val="28"/>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管护公园面积</w:t>
            </w:r>
          </w:p>
        </w:tc>
        <w:tc>
          <w:tcPr>
            <w:tcW w:w="2835" w:type="dxa"/>
            <w:vAlign w:val="center"/>
          </w:tcPr>
          <w:p>
            <w:pPr>
              <w:pStyle w:val="28"/>
            </w:pPr>
            <w:r>
              <w:t>管护公园面积</w:t>
            </w:r>
          </w:p>
        </w:tc>
        <w:tc>
          <w:tcPr>
            <w:tcW w:w="2551" w:type="dxa"/>
            <w:vAlign w:val="center"/>
          </w:tcPr>
          <w:p>
            <w:pPr>
              <w:pStyle w:val="28"/>
            </w:pPr>
            <w:r>
              <w:t>3.14万平方米</w:t>
            </w:r>
          </w:p>
        </w:tc>
        <w:tc>
          <w:tcPr>
            <w:tcW w:w="2268" w:type="dxa"/>
            <w:vAlign w:val="center"/>
          </w:tcPr>
          <w:p>
            <w:pPr>
              <w:pStyle w:val="28"/>
            </w:pPr>
            <w:r>
              <w:t>征地、租地协议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年维护费</w:t>
            </w:r>
          </w:p>
        </w:tc>
        <w:tc>
          <w:tcPr>
            <w:tcW w:w="2835" w:type="dxa"/>
            <w:vAlign w:val="center"/>
          </w:tcPr>
          <w:p>
            <w:pPr>
              <w:pStyle w:val="28"/>
            </w:pPr>
            <w:r>
              <w:t>财政评审年维护费</w:t>
            </w:r>
          </w:p>
        </w:tc>
        <w:tc>
          <w:tcPr>
            <w:tcW w:w="2551" w:type="dxa"/>
            <w:vAlign w:val="center"/>
          </w:tcPr>
          <w:p>
            <w:pPr>
              <w:pStyle w:val="28"/>
            </w:pPr>
            <w:r>
              <w:t>99.73万元</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年接待游客量</w:t>
            </w:r>
          </w:p>
        </w:tc>
        <w:tc>
          <w:tcPr>
            <w:tcW w:w="2835" w:type="dxa"/>
            <w:vAlign w:val="center"/>
          </w:tcPr>
          <w:p>
            <w:pPr>
              <w:pStyle w:val="28"/>
            </w:pPr>
            <w:r>
              <w:t>为市民提供休闲、健身场地</w:t>
            </w:r>
          </w:p>
        </w:tc>
        <w:tc>
          <w:tcPr>
            <w:tcW w:w="2551" w:type="dxa"/>
            <w:vAlign w:val="center"/>
          </w:tcPr>
          <w:p>
            <w:pPr>
              <w:pStyle w:val="28"/>
            </w:pPr>
            <w:r>
              <w:t>≥33万人</w:t>
            </w:r>
          </w:p>
        </w:tc>
        <w:tc>
          <w:tcPr>
            <w:tcW w:w="2268" w:type="dxa"/>
            <w:vAlign w:val="center"/>
          </w:tcPr>
          <w:p>
            <w:pPr>
              <w:pStyle w:val="28"/>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23、改建移动公厕压缩设备及配套车辆绩效目标表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1.垃圾清运日产日清，清运车辆车容整洁。完善提升环卫基础设施水平，落实国家级卫生城市创建工作，提升市容环境卫生水平，创造宜居环境。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改建公厕转运站的数量</w:t>
            </w:r>
          </w:p>
        </w:tc>
        <w:tc>
          <w:tcPr>
            <w:tcW w:w="2835" w:type="dxa"/>
            <w:vAlign w:val="center"/>
          </w:tcPr>
          <w:p>
            <w:pPr>
              <w:pStyle w:val="28"/>
            </w:pPr>
            <w:r>
              <w:t>改建的公厕转运站的数量</w:t>
            </w:r>
          </w:p>
        </w:tc>
        <w:tc>
          <w:tcPr>
            <w:tcW w:w="2551" w:type="dxa"/>
            <w:vAlign w:val="center"/>
          </w:tcPr>
          <w:p>
            <w:pPr>
              <w:pStyle w:val="28"/>
            </w:pPr>
            <w:r>
              <w:t>15座</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改建移动公厕压缩设备及配套车辆费用</w:t>
            </w:r>
          </w:p>
        </w:tc>
        <w:tc>
          <w:tcPr>
            <w:tcW w:w="2835" w:type="dxa"/>
            <w:vAlign w:val="center"/>
          </w:tcPr>
          <w:p>
            <w:pPr>
              <w:pStyle w:val="28"/>
            </w:pPr>
            <w:r>
              <w:t>改建移动公厕压缩设备及配套车辆费用余款</w:t>
            </w:r>
          </w:p>
        </w:tc>
        <w:tc>
          <w:tcPr>
            <w:tcW w:w="2551" w:type="dxa"/>
            <w:vAlign w:val="center"/>
          </w:tcPr>
          <w:p>
            <w:pPr>
              <w:pStyle w:val="28"/>
            </w:pPr>
            <w:r>
              <w:t>289.25万元</w:t>
            </w:r>
          </w:p>
        </w:tc>
        <w:tc>
          <w:tcPr>
            <w:tcW w:w="2268" w:type="dxa"/>
            <w:vAlign w:val="center"/>
          </w:tcPr>
          <w:p>
            <w:pPr>
              <w:pStyle w:val="28"/>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垃圾转运日产日清完成率（%）</w:t>
            </w:r>
          </w:p>
        </w:tc>
        <w:tc>
          <w:tcPr>
            <w:tcW w:w="2835" w:type="dxa"/>
            <w:vAlign w:val="center"/>
          </w:tcPr>
          <w:p>
            <w:pPr>
              <w:pStyle w:val="28"/>
            </w:pPr>
            <w:r>
              <w:t>垃圾转运日清量占日产量的比率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垃圾中转机械化实施率</w:t>
            </w:r>
          </w:p>
        </w:tc>
        <w:tc>
          <w:tcPr>
            <w:tcW w:w="2835" w:type="dxa"/>
            <w:vAlign w:val="center"/>
          </w:tcPr>
          <w:p>
            <w:pPr>
              <w:pStyle w:val="28"/>
            </w:pPr>
            <w:r>
              <w:t>垃圾机械中转数量占垃圾中转总量的比率</w:t>
            </w:r>
          </w:p>
        </w:tc>
        <w:tc>
          <w:tcPr>
            <w:tcW w:w="2551" w:type="dxa"/>
            <w:vAlign w:val="center"/>
          </w:tcPr>
          <w:p>
            <w:pPr>
              <w:pStyle w:val="28"/>
            </w:pPr>
            <w:r>
              <w:t>≥90%</w:t>
            </w:r>
          </w:p>
        </w:tc>
        <w:tc>
          <w:tcPr>
            <w:tcW w:w="2268" w:type="dxa"/>
            <w:vAlign w:val="center"/>
          </w:tcPr>
          <w:p>
            <w:pPr>
              <w:pStyle w:val="28"/>
            </w:pPr>
            <w:r>
              <w:t>《2018年创建国家卫生城市工作推进方案》《藁城区创建国家卫生城市工作技术评估千分制考评细则》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垃圾收容设施密闭化，提升市容市貌</w:t>
            </w:r>
          </w:p>
        </w:tc>
        <w:tc>
          <w:tcPr>
            <w:tcW w:w="2835" w:type="dxa"/>
            <w:vAlign w:val="center"/>
          </w:tcPr>
          <w:p>
            <w:pPr>
              <w:pStyle w:val="28"/>
            </w:pPr>
            <w:r>
              <w:t>垃圾收容设施密闭，减少异味散发，提升市容市貌。</w:t>
            </w:r>
          </w:p>
        </w:tc>
        <w:tc>
          <w:tcPr>
            <w:tcW w:w="2551" w:type="dxa"/>
            <w:vAlign w:val="center"/>
          </w:tcPr>
          <w:p>
            <w:pPr>
              <w:pStyle w:val="28"/>
            </w:pPr>
            <w:r>
              <w:t>≥90%</w:t>
            </w:r>
          </w:p>
        </w:tc>
        <w:tc>
          <w:tcPr>
            <w:tcW w:w="2268" w:type="dxa"/>
            <w:vAlign w:val="center"/>
          </w:tcPr>
          <w:p>
            <w:pPr>
              <w:pStyle w:val="28"/>
            </w:pPr>
            <w:r>
              <w:t>《2018年创建国家卫生城市工作推进方案》《藁城区创建国家卫生城市工作技术评估千分制考评细则》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24、</w:t>
      </w:r>
      <w:r>
        <w:rPr>
          <w:rFonts w:ascii="方正仿宋_GBK" w:hAnsi="方正仿宋_GBK" w:eastAsia="方正仿宋_GBK" w:cs="方正仿宋_GBK"/>
          <w:b/>
          <w:color w:val="000000"/>
          <w:sz w:val="28"/>
        </w:rPr>
        <w:t>公厕改建及新建工程（三标）绩效目标表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1.新建、改建两座公厕，工程已完工。提升基础设施建设水平，方便市民就近如厕，提高城市文明程度和卫生水平，创造更加宜居的城市环境。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施工进度工程量占总工程量的比率</w:t>
            </w:r>
          </w:p>
        </w:tc>
        <w:tc>
          <w:tcPr>
            <w:tcW w:w="2551" w:type="dxa"/>
            <w:vAlign w:val="center"/>
          </w:tcPr>
          <w:p>
            <w:pPr>
              <w:pStyle w:val="28"/>
            </w:pPr>
            <w:r>
              <w:t>100%</w:t>
            </w:r>
          </w:p>
        </w:tc>
        <w:tc>
          <w:tcPr>
            <w:tcW w:w="2268" w:type="dxa"/>
            <w:vAlign w:val="center"/>
          </w:tcPr>
          <w:p>
            <w:pPr>
              <w:pStyle w:val="28"/>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合同价格</w:t>
            </w:r>
          </w:p>
        </w:tc>
        <w:tc>
          <w:tcPr>
            <w:tcW w:w="2835" w:type="dxa"/>
            <w:vAlign w:val="center"/>
          </w:tcPr>
          <w:p>
            <w:pPr>
              <w:pStyle w:val="28"/>
            </w:pPr>
            <w:r>
              <w:t>合同价格</w:t>
            </w:r>
          </w:p>
        </w:tc>
        <w:tc>
          <w:tcPr>
            <w:tcW w:w="2551" w:type="dxa"/>
            <w:vAlign w:val="center"/>
          </w:tcPr>
          <w:p>
            <w:pPr>
              <w:pStyle w:val="28"/>
            </w:pPr>
            <w:r>
              <w:t>88.58万元</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新建、改建公厕数量</w:t>
            </w:r>
          </w:p>
        </w:tc>
        <w:tc>
          <w:tcPr>
            <w:tcW w:w="2835" w:type="dxa"/>
            <w:vAlign w:val="center"/>
          </w:tcPr>
          <w:p>
            <w:pPr>
              <w:pStyle w:val="28"/>
            </w:pPr>
            <w:r>
              <w:t>新建、改建公厕数量</w:t>
            </w:r>
          </w:p>
        </w:tc>
        <w:tc>
          <w:tcPr>
            <w:tcW w:w="2551" w:type="dxa"/>
            <w:vAlign w:val="center"/>
          </w:tcPr>
          <w:p>
            <w:pPr>
              <w:pStyle w:val="28"/>
            </w:pPr>
            <w:r>
              <w:t>2座</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验收合格工程量占总工程量的比率</w:t>
            </w:r>
          </w:p>
        </w:tc>
        <w:tc>
          <w:tcPr>
            <w:tcW w:w="2551" w:type="dxa"/>
            <w:vAlign w:val="center"/>
          </w:tcPr>
          <w:p>
            <w:pPr>
              <w:pStyle w:val="28"/>
            </w:pPr>
            <w:r>
              <w:t>100%</w:t>
            </w:r>
          </w:p>
        </w:tc>
        <w:tc>
          <w:tcPr>
            <w:tcW w:w="2268" w:type="dxa"/>
            <w:vAlign w:val="center"/>
          </w:tcPr>
          <w:p>
            <w:pPr>
              <w:pStyle w:val="28"/>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提高城区万人拥有公厕数量</w:t>
            </w:r>
          </w:p>
        </w:tc>
        <w:tc>
          <w:tcPr>
            <w:tcW w:w="2835" w:type="dxa"/>
            <w:vAlign w:val="center"/>
          </w:tcPr>
          <w:p>
            <w:pPr>
              <w:pStyle w:val="28"/>
            </w:pPr>
            <w:r>
              <w:t>通过增加城市公厕数量，力争到2020年城区每万人拥有公厕数量达到3-5座</w:t>
            </w:r>
          </w:p>
        </w:tc>
        <w:tc>
          <w:tcPr>
            <w:tcW w:w="2551" w:type="dxa"/>
            <w:vAlign w:val="center"/>
          </w:tcPr>
          <w:p>
            <w:pPr>
              <w:pStyle w:val="28"/>
            </w:pPr>
            <w:r>
              <w:t>≥90%</w:t>
            </w:r>
          </w:p>
        </w:tc>
        <w:tc>
          <w:tcPr>
            <w:tcW w:w="2268" w:type="dxa"/>
            <w:vAlign w:val="center"/>
          </w:tcPr>
          <w:p>
            <w:pPr>
              <w:pStyle w:val="28"/>
            </w:pPr>
            <w:r>
              <w:t>《河北省城市公共厕所建设改造实施方案》     《石家庄市城市管理委员会关于城市厕所革命专项工作方案》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numPr>
          <w:ilvl w:val="0"/>
          <w:numId w:val="5"/>
        </w:num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公益事业租地费绩效目标表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1.通过增加公园绿地、公厕转运站、便民市场建设，改善市容市貌，营造宜居的城市环境。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提高城区万人拥有公厕数量，助力创建国家卫生城市</w:t>
            </w:r>
          </w:p>
        </w:tc>
        <w:tc>
          <w:tcPr>
            <w:tcW w:w="2835" w:type="dxa"/>
            <w:vAlign w:val="center"/>
          </w:tcPr>
          <w:p>
            <w:pPr>
              <w:pStyle w:val="28"/>
            </w:pPr>
            <w:r>
              <w:t>通过增加城市公厕数量，力争到2020年城区每万人拥有公厕数量达到3-5座</w:t>
            </w:r>
          </w:p>
        </w:tc>
        <w:tc>
          <w:tcPr>
            <w:tcW w:w="2551" w:type="dxa"/>
            <w:vAlign w:val="center"/>
          </w:tcPr>
          <w:p>
            <w:pPr>
              <w:pStyle w:val="28"/>
            </w:pPr>
            <w:r>
              <w:t>≥4座</w:t>
            </w:r>
          </w:p>
        </w:tc>
        <w:tc>
          <w:tcPr>
            <w:tcW w:w="2268" w:type="dxa"/>
            <w:vAlign w:val="center"/>
          </w:tcPr>
          <w:p>
            <w:pPr>
              <w:pStyle w:val="28"/>
            </w:pPr>
            <w:r>
              <w:t>石家庄市城市市容和环境卫生管理条例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公益事业租地费</w:t>
            </w:r>
          </w:p>
        </w:tc>
        <w:tc>
          <w:tcPr>
            <w:tcW w:w="2835" w:type="dxa"/>
            <w:vAlign w:val="center"/>
          </w:tcPr>
          <w:p>
            <w:pPr>
              <w:pStyle w:val="28"/>
            </w:pPr>
            <w:r>
              <w:t>年公益事业租地费</w:t>
            </w:r>
          </w:p>
        </w:tc>
        <w:tc>
          <w:tcPr>
            <w:tcW w:w="2551" w:type="dxa"/>
            <w:vAlign w:val="center"/>
          </w:tcPr>
          <w:p>
            <w:pPr>
              <w:pStyle w:val="28"/>
            </w:pPr>
            <w:r>
              <w:t>97.91万元</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租地费及时拨付</w:t>
            </w:r>
          </w:p>
        </w:tc>
        <w:tc>
          <w:tcPr>
            <w:tcW w:w="2835" w:type="dxa"/>
            <w:vAlign w:val="center"/>
          </w:tcPr>
          <w:p>
            <w:pPr>
              <w:pStyle w:val="28"/>
            </w:pPr>
            <w:r>
              <w:t>租地费及时拨付</w:t>
            </w:r>
          </w:p>
        </w:tc>
        <w:tc>
          <w:tcPr>
            <w:tcW w:w="2551" w:type="dxa"/>
            <w:vAlign w:val="center"/>
          </w:tcPr>
          <w:p>
            <w:pPr>
              <w:pStyle w:val="28"/>
            </w:pPr>
            <w:r>
              <w:t>≥90%</w:t>
            </w:r>
          </w:p>
        </w:tc>
        <w:tc>
          <w:tcPr>
            <w:tcW w:w="2268" w:type="dxa"/>
            <w:vAlign w:val="center"/>
          </w:tcPr>
          <w:p>
            <w:pPr>
              <w:pStyle w:val="28"/>
            </w:pPr>
            <w:r>
              <w:t>石家庄市城市市容和环境卫生管理条例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占道经营减少率</w:t>
            </w:r>
          </w:p>
        </w:tc>
        <w:tc>
          <w:tcPr>
            <w:tcW w:w="2835" w:type="dxa"/>
            <w:vAlign w:val="center"/>
          </w:tcPr>
          <w:p>
            <w:pPr>
              <w:pStyle w:val="28"/>
            </w:pPr>
            <w:r>
              <w:t>占道经营减少数量占规范经营数量的比率</w:t>
            </w:r>
          </w:p>
        </w:tc>
        <w:tc>
          <w:tcPr>
            <w:tcW w:w="2551" w:type="dxa"/>
            <w:vAlign w:val="center"/>
          </w:tcPr>
          <w:p>
            <w:pPr>
              <w:pStyle w:val="28"/>
            </w:pPr>
            <w:r>
              <w:t>≥90%</w:t>
            </w:r>
          </w:p>
        </w:tc>
        <w:tc>
          <w:tcPr>
            <w:tcW w:w="2268" w:type="dxa"/>
            <w:vAlign w:val="center"/>
          </w:tcPr>
          <w:p>
            <w:pPr>
              <w:pStyle w:val="28"/>
            </w:pPr>
            <w:r>
              <w:t>石家庄市城市市容和环境卫生管理条例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社会服务能力提升</w:t>
            </w:r>
          </w:p>
        </w:tc>
        <w:tc>
          <w:tcPr>
            <w:tcW w:w="2835" w:type="dxa"/>
            <w:vAlign w:val="center"/>
          </w:tcPr>
          <w:p>
            <w:pPr>
              <w:pStyle w:val="28"/>
            </w:pPr>
            <w:r>
              <w:t>公共基础设施增加，服务社会能力显著提升。</w:t>
            </w:r>
          </w:p>
        </w:tc>
        <w:tc>
          <w:tcPr>
            <w:tcW w:w="2551" w:type="dxa"/>
            <w:vAlign w:val="center"/>
          </w:tcPr>
          <w:p>
            <w:pPr>
              <w:pStyle w:val="28"/>
            </w:pPr>
            <w:r>
              <w:t>≥90%</w:t>
            </w:r>
          </w:p>
        </w:tc>
        <w:tc>
          <w:tcPr>
            <w:tcW w:w="2268" w:type="dxa"/>
            <w:vAlign w:val="center"/>
          </w:tcPr>
          <w:p>
            <w:pPr>
              <w:pStyle w:val="28"/>
            </w:pPr>
            <w:r>
              <w:t>石家庄市城市市容和环境卫生管理条例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numPr>
          <w:ilvl w:val="0"/>
          <w:numId w:val="5"/>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公园健身步道工程绩效目标表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1.建设健康步道2条及附属设施。水上、儿童公园路面破损得到改善，完善公园的健身功能，增加城市功能，提升城市品位。</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工期</w:t>
            </w:r>
          </w:p>
        </w:tc>
        <w:tc>
          <w:tcPr>
            <w:tcW w:w="2835" w:type="dxa"/>
            <w:vAlign w:val="center"/>
          </w:tcPr>
          <w:p>
            <w:pPr>
              <w:pStyle w:val="28"/>
            </w:pPr>
            <w:r>
              <w:t>中标工期2020.9.8--2020.10.25</w:t>
            </w:r>
          </w:p>
        </w:tc>
        <w:tc>
          <w:tcPr>
            <w:tcW w:w="2551" w:type="dxa"/>
            <w:vAlign w:val="center"/>
          </w:tcPr>
          <w:p>
            <w:pPr>
              <w:pStyle w:val="28"/>
            </w:pPr>
            <w:r>
              <w:t>≤47天</w:t>
            </w:r>
          </w:p>
        </w:tc>
        <w:tc>
          <w:tcPr>
            <w:tcW w:w="2268" w:type="dxa"/>
            <w:vAlign w:val="center"/>
          </w:tcPr>
          <w:p>
            <w:pPr>
              <w:pStyle w:val="28"/>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验收合格工程量占总工程量的比率</w:t>
            </w:r>
          </w:p>
        </w:tc>
        <w:tc>
          <w:tcPr>
            <w:tcW w:w="2551" w:type="dxa"/>
            <w:vAlign w:val="center"/>
          </w:tcPr>
          <w:p>
            <w:pPr>
              <w:pStyle w:val="28"/>
            </w:pPr>
            <w:r>
              <w:t>100%</w:t>
            </w:r>
          </w:p>
        </w:tc>
        <w:tc>
          <w:tcPr>
            <w:tcW w:w="2268" w:type="dxa"/>
            <w:vAlign w:val="center"/>
          </w:tcPr>
          <w:p>
            <w:pPr>
              <w:pStyle w:val="28"/>
            </w:pPr>
            <w:r>
              <w:t>《建设工程质量管理条例》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中标</w:t>
            </w:r>
          </w:p>
        </w:tc>
        <w:tc>
          <w:tcPr>
            <w:tcW w:w="2835" w:type="dxa"/>
            <w:vAlign w:val="center"/>
          </w:tcPr>
          <w:p>
            <w:pPr>
              <w:pStyle w:val="28"/>
            </w:pPr>
            <w:r>
              <w:t>结算价</w:t>
            </w:r>
          </w:p>
        </w:tc>
        <w:tc>
          <w:tcPr>
            <w:tcW w:w="2551" w:type="dxa"/>
            <w:vAlign w:val="center"/>
          </w:tcPr>
          <w:p>
            <w:pPr>
              <w:pStyle w:val="28"/>
            </w:pPr>
            <w:r>
              <w:t>257.18万元</w:t>
            </w:r>
          </w:p>
        </w:tc>
        <w:tc>
          <w:tcPr>
            <w:tcW w:w="2268" w:type="dxa"/>
            <w:vAlign w:val="center"/>
          </w:tcPr>
          <w:p>
            <w:pPr>
              <w:pStyle w:val="28"/>
            </w:pPr>
            <w:r>
              <w:t>结算书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公共停车场</w:t>
            </w:r>
          </w:p>
        </w:tc>
        <w:tc>
          <w:tcPr>
            <w:tcW w:w="2835" w:type="dxa"/>
            <w:vAlign w:val="center"/>
          </w:tcPr>
          <w:p>
            <w:pPr>
              <w:pStyle w:val="28"/>
            </w:pPr>
            <w:r>
              <w:t>水上、儿童公园健身步道数量</w:t>
            </w:r>
          </w:p>
        </w:tc>
        <w:tc>
          <w:tcPr>
            <w:tcW w:w="2551" w:type="dxa"/>
            <w:vAlign w:val="center"/>
          </w:tcPr>
          <w:p>
            <w:pPr>
              <w:pStyle w:val="28"/>
            </w:pPr>
            <w:r>
              <w:t>2条</w:t>
            </w:r>
          </w:p>
        </w:tc>
        <w:tc>
          <w:tcPr>
            <w:tcW w:w="2268" w:type="dxa"/>
            <w:vAlign w:val="center"/>
          </w:tcPr>
          <w:p>
            <w:pPr>
              <w:pStyle w:val="28"/>
            </w:pPr>
            <w:r>
              <w:t>可研批复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步道环境舒适度</w:t>
            </w:r>
          </w:p>
        </w:tc>
        <w:tc>
          <w:tcPr>
            <w:tcW w:w="2835" w:type="dxa"/>
            <w:vAlign w:val="center"/>
          </w:tcPr>
          <w:p>
            <w:pPr>
              <w:pStyle w:val="28"/>
            </w:pPr>
            <w:r>
              <w:t>方便居民健身步行，解决了公园没健康步道的问题，完善公园功能</w:t>
            </w:r>
          </w:p>
        </w:tc>
        <w:tc>
          <w:tcPr>
            <w:tcW w:w="2551" w:type="dxa"/>
            <w:vAlign w:val="center"/>
          </w:tcPr>
          <w:p>
            <w:pPr>
              <w:pStyle w:val="28"/>
            </w:pPr>
            <w:r>
              <w:t>≥90%</w:t>
            </w:r>
          </w:p>
        </w:tc>
        <w:tc>
          <w:tcPr>
            <w:tcW w:w="2268" w:type="dxa"/>
            <w:vAlign w:val="center"/>
          </w:tcPr>
          <w:p>
            <w:pPr>
              <w:pStyle w:val="28"/>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居民满意程度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numPr>
          <w:ilvl w:val="0"/>
          <w:numId w:val="5"/>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购置城中村环卫作业车辆绩效目标表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1.购置环卫车辆，加强机械化清扫力度，改善空气质量。做好城中村日常清扫保洁工作，做到城中村生活垃圾日产日清，提升城中村街道环境卫生质量。</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购置城中村环卫作业车辆数量</w:t>
            </w:r>
          </w:p>
        </w:tc>
        <w:tc>
          <w:tcPr>
            <w:tcW w:w="2835" w:type="dxa"/>
            <w:vAlign w:val="center"/>
          </w:tcPr>
          <w:p>
            <w:pPr>
              <w:pStyle w:val="28"/>
            </w:pPr>
            <w:r>
              <w:t>购置城中村环卫作业车辆数量</w:t>
            </w:r>
          </w:p>
        </w:tc>
        <w:tc>
          <w:tcPr>
            <w:tcW w:w="2551" w:type="dxa"/>
            <w:vAlign w:val="center"/>
          </w:tcPr>
          <w:p>
            <w:pPr>
              <w:pStyle w:val="28"/>
            </w:pPr>
            <w:r>
              <w:t>16辆</w:t>
            </w:r>
          </w:p>
        </w:tc>
        <w:tc>
          <w:tcPr>
            <w:tcW w:w="2268" w:type="dxa"/>
            <w:vAlign w:val="center"/>
          </w:tcPr>
          <w:p>
            <w:pPr>
              <w:pStyle w:val="28"/>
            </w:pPr>
            <w: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购置城中村环卫作业车辆费用</w:t>
            </w:r>
          </w:p>
        </w:tc>
        <w:tc>
          <w:tcPr>
            <w:tcW w:w="2835" w:type="dxa"/>
            <w:vAlign w:val="center"/>
          </w:tcPr>
          <w:p>
            <w:pPr>
              <w:pStyle w:val="28"/>
            </w:pPr>
            <w:r>
              <w:t>购置城中村环卫作业车辆费用</w:t>
            </w:r>
          </w:p>
        </w:tc>
        <w:tc>
          <w:tcPr>
            <w:tcW w:w="2551" w:type="dxa"/>
            <w:vAlign w:val="center"/>
          </w:tcPr>
          <w:p>
            <w:pPr>
              <w:pStyle w:val="28"/>
            </w:pPr>
            <w:r>
              <w:t>118.6万元</w:t>
            </w:r>
          </w:p>
        </w:tc>
        <w:tc>
          <w:tcPr>
            <w:tcW w:w="2268" w:type="dxa"/>
            <w:vAlign w:val="center"/>
          </w:tcPr>
          <w:p>
            <w:pPr>
              <w:pStyle w:val="28"/>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垃圾转运日产日清完成率（%）</w:t>
            </w:r>
          </w:p>
        </w:tc>
        <w:tc>
          <w:tcPr>
            <w:tcW w:w="2835" w:type="dxa"/>
            <w:vAlign w:val="center"/>
          </w:tcPr>
          <w:p>
            <w:pPr>
              <w:pStyle w:val="28"/>
            </w:pPr>
            <w:r>
              <w:t>垃圾转运日清量占日产量的比率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机械化清扫率（%）</w:t>
            </w:r>
          </w:p>
        </w:tc>
        <w:tc>
          <w:tcPr>
            <w:tcW w:w="2835" w:type="dxa"/>
            <w:vAlign w:val="center"/>
          </w:tcPr>
          <w:p>
            <w:pPr>
              <w:pStyle w:val="28"/>
            </w:pPr>
            <w:r>
              <w:t>机械化清扫面积占全部清扫面积的比率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全年空气优良天数增长率（%）</w:t>
            </w:r>
          </w:p>
        </w:tc>
        <w:tc>
          <w:tcPr>
            <w:tcW w:w="2835" w:type="dxa"/>
            <w:vAlign w:val="center"/>
          </w:tcPr>
          <w:p>
            <w:pPr>
              <w:pStyle w:val="28"/>
            </w:pPr>
            <w:r>
              <w:t>全年空气优良天数同比增长率</w:t>
            </w:r>
          </w:p>
        </w:tc>
        <w:tc>
          <w:tcPr>
            <w:tcW w:w="2551" w:type="dxa"/>
            <w:vAlign w:val="center"/>
          </w:tcPr>
          <w:p>
            <w:pPr>
              <w:pStyle w:val="28"/>
            </w:pPr>
            <w:r>
              <w:t>≥90</w:t>
            </w:r>
          </w:p>
        </w:tc>
        <w:tc>
          <w:tcPr>
            <w:tcW w:w="2268" w:type="dxa"/>
            <w:vAlign w:val="center"/>
          </w:tcPr>
          <w:p>
            <w:pPr>
              <w:pStyle w:val="28"/>
            </w:pPr>
            <w:r>
              <w:t>石大气办[2019]1号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5"/>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购置公厕除臭设施绩效目标表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1.26座公厕符合提质升级要求，需加装52套除臭设施。有效改善了公厕卫生状况，切实解决公厕异味难题。</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购置公厕除臭设施数量</w:t>
            </w:r>
          </w:p>
        </w:tc>
        <w:tc>
          <w:tcPr>
            <w:tcW w:w="2835" w:type="dxa"/>
            <w:vAlign w:val="center"/>
          </w:tcPr>
          <w:p>
            <w:pPr>
              <w:pStyle w:val="28"/>
            </w:pPr>
            <w:r>
              <w:t>购置公厕除臭设施数量</w:t>
            </w:r>
          </w:p>
        </w:tc>
        <w:tc>
          <w:tcPr>
            <w:tcW w:w="2551" w:type="dxa"/>
            <w:vAlign w:val="center"/>
          </w:tcPr>
          <w:p>
            <w:pPr>
              <w:pStyle w:val="28"/>
            </w:pPr>
            <w:r>
              <w:t>52套</w:t>
            </w:r>
          </w:p>
        </w:tc>
        <w:tc>
          <w:tcPr>
            <w:tcW w:w="2268" w:type="dxa"/>
            <w:vAlign w:val="center"/>
          </w:tcPr>
          <w:p>
            <w:pPr>
              <w:pStyle w:val="28"/>
            </w:pPr>
            <w:r>
              <w:t>关于购置公厕除臭设施的请示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采购单价</w:t>
            </w:r>
          </w:p>
        </w:tc>
        <w:tc>
          <w:tcPr>
            <w:tcW w:w="2835" w:type="dxa"/>
            <w:vAlign w:val="center"/>
          </w:tcPr>
          <w:p>
            <w:pPr>
              <w:pStyle w:val="28"/>
            </w:pPr>
            <w:r>
              <w:t>采购单价</w:t>
            </w:r>
          </w:p>
        </w:tc>
        <w:tc>
          <w:tcPr>
            <w:tcW w:w="2551" w:type="dxa"/>
            <w:vAlign w:val="center"/>
          </w:tcPr>
          <w:p>
            <w:pPr>
              <w:pStyle w:val="28"/>
            </w:pPr>
            <w:r>
              <w:t>4800元</w:t>
            </w:r>
          </w:p>
        </w:tc>
        <w:tc>
          <w:tcPr>
            <w:tcW w:w="2268" w:type="dxa"/>
            <w:vAlign w:val="center"/>
          </w:tcPr>
          <w:p>
            <w:pPr>
              <w:pStyle w:val="28"/>
            </w:pPr>
            <w:r>
              <w:t>关于购置公厕除臭设施的请示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及时率</w:t>
            </w:r>
          </w:p>
        </w:tc>
        <w:tc>
          <w:tcPr>
            <w:tcW w:w="2835" w:type="dxa"/>
            <w:vAlign w:val="center"/>
          </w:tcPr>
          <w:p>
            <w:pPr>
              <w:pStyle w:val="28"/>
            </w:pPr>
            <w:r>
              <w:t>及时采购</w:t>
            </w:r>
          </w:p>
        </w:tc>
        <w:tc>
          <w:tcPr>
            <w:tcW w:w="2551" w:type="dxa"/>
            <w:vAlign w:val="center"/>
          </w:tcPr>
          <w:p>
            <w:pPr>
              <w:pStyle w:val="28"/>
            </w:pPr>
            <w:r>
              <w:t>100%</w:t>
            </w:r>
          </w:p>
        </w:tc>
        <w:tc>
          <w:tcPr>
            <w:tcW w:w="2268" w:type="dxa"/>
            <w:vAlign w:val="center"/>
          </w:tcPr>
          <w:p>
            <w:pPr>
              <w:pStyle w:val="28"/>
            </w:pPr>
            <w:r>
              <w:t>《2021年度县城建设指标任务》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行业标准</w:t>
            </w:r>
          </w:p>
        </w:tc>
        <w:tc>
          <w:tcPr>
            <w:tcW w:w="2835" w:type="dxa"/>
            <w:vAlign w:val="center"/>
          </w:tcPr>
          <w:p>
            <w:pPr>
              <w:pStyle w:val="28"/>
            </w:pPr>
            <w:r>
              <w:t>行业标准</w:t>
            </w:r>
          </w:p>
        </w:tc>
        <w:tc>
          <w:tcPr>
            <w:tcW w:w="2551" w:type="dxa"/>
            <w:vAlign w:val="center"/>
          </w:tcPr>
          <w:p>
            <w:pPr>
              <w:pStyle w:val="28"/>
            </w:pPr>
            <w:r>
              <w:t>100%</w:t>
            </w:r>
          </w:p>
        </w:tc>
        <w:tc>
          <w:tcPr>
            <w:tcW w:w="2268" w:type="dxa"/>
            <w:vAlign w:val="center"/>
          </w:tcPr>
          <w:p>
            <w:pPr>
              <w:pStyle w:val="28"/>
            </w:pPr>
            <w:r>
              <w:t>《2201年石家庄市A类县提质升级指标体系》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提高城区公厕建设管理水平，解决市民如厕难、环境差问题，改善人居环境质量</w:t>
            </w:r>
          </w:p>
        </w:tc>
        <w:tc>
          <w:tcPr>
            <w:tcW w:w="2835" w:type="dxa"/>
            <w:vAlign w:val="center"/>
          </w:tcPr>
          <w:p>
            <w:pPr>
              <w:pStyle w:val="28"/>
            </w:pPr>
            <w:r>
              <w:t>提高公厕内外环境，管理标准，管理精细、服务到位。</w:t>
            </w:r>
          </w:p>
        </w:tc>
        <w:tc>
          <w:tcPr>
            <w:tcW w:w="2551" w:type="dxa"/>
            <w:vAlign w:val="center"/>
          </w:tcPr>
          <w:p>
            <w:pPr>
              <w:pStyle w:val="28"/>
            </w:pPr>
            <w:r>
              <w:t>≥90%</w:t>
            </w:r>
          </w:p>
        </w:tc>
        <w:tc>
          <w:tcPr>
            <w:tcW w:w="2268" w:type="dxa"/>
            <w:vAlign w:val="center"/>
          </w:tcPr>
          <w:p>
            <w:pPr>
              <w:pStyle w:val="28"/>
            </w:pPr>
            <w:r>
              <w:t>《加强石家庄市主城区公厕提标建设管理的实施方案》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pPr>
    </w:p>
    <w:p>
      <w:pPr>
        <w:pStyle w:val="26"/>
      </w:pPr>
    </w:p>
    <w:p>
      <w:pPr>
        <w:pStyle w:val="26"/>
      </w:pPr>
    </w:p>
    <w:p>
      <w:pPr>
        <w:pStyle w:val="26"/>
      </w:pPr>
    </w:p>
    <w:p>
      <w:pPr>
        <w:pStyle w:val="26"/>
        <w:numPr>
          <w:ilvl w:val="0"/>
          <w:numId w:val="5"/>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购置雾炮车费用绩效目标表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1.购置雾炮车，改善空气质量。加强街道扬尘治理，提升城区环境卫生质量。</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购置雾炮车数量</w:t>
            </w:r>
          </w:p>
        </w:tc>
        <w:tc>
          <w:tcPr>
            <w:tcW w:w="2835" w:type="dxa"/>
            <w:vAlign w:val="center"/>
          </w:tcPr>
          <w:p>
            <w:pPr>
              <w:pStyle w:val="28"/>
            </w:pPr>
            <w:r>
              <w:t>购置雾炮车数量</w:t>
            </w:r>
          </w:p>
        </w:tc>
        <w:tc>
          <w:tcPr>
            <w:tcW w:w="2551" w:type="dxa"/>
            <w:vAlign w:val="center"/>
          </w:tcPr>
          <w:p>
            <w:pPr>
              <w:pStyle w:val="28"/>
            </w:pPr>
            <w:r>
              <w:t>2辆</w:t>
            </w:r>
          </w:p>
        </w:tc>
        <w:tc>
          <w:tcPr>
            <w:tcW w:w="2268" w:type="dxa"/>
            <w:vAlign w:val="center"/>
          </w:tcPr>
          <w:p>
            <w:pPr>
              <w:pStyle w:val="28"/>
            </w:pPr>
            <w:r>
              <w:t>供货合同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购置雾炮车费用</w:t>
            </w:r>
          </w:p>
        </w:tc>
        <w:tc>
          <w:tcPr>
            <w:tcW w:w="2835" w:type="dxa"/>
            <w:vAlign w:val="center"/>
          </w:tcPr>
          <w:p>
            <w:pPr>
              <w:pStyle w:val="28"/>
            </w:pPr>
            <w:r>
              <w:t>购置雾炮车费用</w:t>
            </w:r>
          </w:p>
        </w:tc>
        <w:tc>
          <w:tcPr>
            <w:tcW w:w="2551" w:type="dxa"/>
            <w:vAlign w:val="center"/>
          </w:tcPr>
          <w:p>
            <w:pPr>
              <w:pStyle w:val="28"/>
            </w:pPr>
            <w:r>
              <w:t>136.8万元</w:t>
            </w:r>
          </w:p>
        </w:tc>
        <w:tc>
          <w:tcPr>
            <w:tcW w:w="2268" w:type="dxa"/>
            <w:vAlign w:val="center"/>
          </w:tcPr>
          <w:p>
            <w:pPr>
              <w:pStyle w:val="28"/>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垃圾转运日产日清完成率（%）</w:t>
            </w:r>
          </w:p>
        </w:tc>
        <w:tc>
          <w:tcPr>
            <w:tcW w:w="2835" w:type="dxa"/>
            <w:vAlign w:val="center"/>
          </w:tcPr>
          <w:p>
            <w:pPr>
              <w:pStyle w:val="28"/>
            </w:pPr>
            <w:r>
              <w:t>垃圾转运日清量占日产量的比率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机械化清扫率（%）</w:t>
            </w:r>
          </w:p>
        </w:tc>
        <w:tc>
          <w:tcPr>
            <w:tcW w:w="2835" w:type="dxa"/>
            <w:vAlign w:val="center"/>
          </w:tcPr>
          <w:p>
            <w:pPr>
              <w:pStyle w:val="28"/>
            </w:pPr>
            <w:r>
              <w:t>机械化清扫面积占全部清扫面积的比率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全年空气优良天数增长率（%）</w:t>
            </w:r>
          </w:p>
        </w:tc>
        <w:tc>
          <w:tcPr>
            <w:tcW w:w="2835" w:type="dxa"/>
            <w:vAlign w:val="center"/>
          </w:tcPr>
          <w:p>
            <w:pPr>
              <w:pStyle w:val="28"/>
            </w:pPr>
            <w:r>
              <w:t>全年空气优良天数同比增长率</w:t>
            </w:r>
          </w:p>
        </w:tc>
        <w:tc>
          <w:tcPr>
            <w:tcW w:w="2551" w:type="dxa"/>
            <w:vAlign w:val="center"/>
          </w:tcPr>
          <w:p>
            <w:pPr>
              <w:pStyle w:val="28"/>
            </w:pPr>
            <w:r>
              <w:t>≥90</w:t>
            </w:r>
          </w:p>
        </w:tc>
        <w:tc>
          <w:tcPr>
            <w:tcW w:w="2268" w:type="dxa"/>
            <w:vAlign w:val="center"/>
          </w:tcPr>
          <w:p>
            <w:pPr>
              <w:pStyle w:val="28"/>
            </w:pPr>
            <w:r>
              <w:t>石大气办[2019]1号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5"/>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环境卫生维护费绩效目标表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1.城区街道卫生整洁，小街小巷干净整齐，无垃圾无漂浮物，垃圾桶外无散落垃圾，所有生活垃圾实现“日产日清、密闭运输”目标。维护公厕、转运站和垃圾箱点等环卫基础设施和车辆的正常运行。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维护的公厕转运站的数量</w:t>
            </w:r>
          </w:p>
        </w:tc>
        <w:tc>
          <w:tcPr>
            <w:tcW w:w="2835" w:type="dxa"/>
            <w:vAlign w:val="center"/>
          </w:tcPr>
          <w:p>
            <w:pPr>
              <w:pStyle w:val="28"/>
            </w:pPr>
            <w:r>
              <w:t>维护的公厕转运站的数量</w:t>
            </w:r>
          </w:p>
        </w:tc>
        <w:tc>
          <w:tcPr>
            <w:tcW w:w="2551" w:type="dxa"/>
            <w:vAlign w:val="center"/>
          </w:tcPr>
          <w:p>
            <w:pPr>
              <w:pStyle w:val="28"/>
            </w:pPr>
            <w:r>
              <w:t>34座</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环境卫生维护费</w:t>
            </w:r>
          </w:p>
        </w:tc>
        <w:tc>
          <w:tcPr>
            <w:tcW w:w="2835" w:type="dxa"/>
            <w:vAlign w:val="center"/>
          </w:tcPr>
          <w:p>
            <w:pPr>
              <w:pStyle w:val="28"/>
            </w:pPr>
            <w:r>
              <w:t>环境卫生维护费</w:t>
            </w:r>
          </w:p>
        </w:tc>
        <w:tc>
          <w:tcPr>
            <w:tcW w:w="2551" w:type="dxa"/>
            <w:vAlign w:val="center"/>
          </w:tcPr>
          <w:p>
            <w:pPr>
              <w:pStyle w:val="28"/>
            </w:pPr>
            <w:r>
              <w:t>4983.94万元</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垃圾转运日产日清完成率（%）</w:t>
            </w:r>
          </w:p>
        </w:tc>
        <w:tc>
          <w:tcPr>
            <w:tcW w:w="2835" w:type="dxa"/>
            <w:vAlign w:val="center"/>
          </w:tcPr>
          <w:p>
            <w:pPr>
              <w:pStyle w:val="28"/>
            </w:pPr>
            <w:r>
              <w:t>垃圾转运日清量占日产量的比率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环卫设施完好率（%）</w:t>
            </w:r>
          </w:p>
        </w:tc>
        <w:tc>
          <w:tcPr>
            <w:tcW w:w="2835" w:type="dxa"/>
            <w:vAlign w:val="center"/>
          </w:tcPr>
          <w:p>
            <w:pPr>
              <w:pStyle w:val="28"/>
            </w:pPr>
            <w:r>
              <w:t>环卫设施可正常使用数量占所有数量的比率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优化人居环境</w:t>
            </w:r>
          </w:p>
        </w:tc>
        <w:tc>
          <w:tcPr>
            <w:tcW w:w="2835" w:type="dxa"/>
            <w:vAlign w:val="center"/>
          </w:tcPr>
          <w:p>
            <w:pPr>
              <w:pStyle w:val="28"/>
            </w:pPr>
            <w:r>
              <w:t>街道干净整洁，优化了人居环境</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pPr>
    </w:p>
    <w:p>
      <w:pPr>
        <w:pStyle w:val="26"/>
      </w:pPr>
    </w:p>
    <w:p>
      <w:pPr>
        <w:pStyle w:val="26"/>
      </w:pPr>
    </w:p>
    <w:p>
      <w:pPr>
        <w:pStyle w:val="26"/>
      </w:pPr>
    </w:p>
    <w:p>
      <w:pPr>
        <w:pStyle w:val="26"/>
      </w:pPr>
    </w:p>
    <w:p>
      <w:pPr>
        <w:pStyle w:val="26"/>
      </w:pPr>
    </w:p>
    <w:p>
      <w:pPr>
        <w:pStyle w:val="26"/>
        <w:numPr>
          <w:ilvl w:val="0"/>
          <w:numId w:val="5"/>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环卫车辆保险费绩效目标表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1.环卫作业车辆，及时缴纳保险费用，合理规避风险，最大限度减少事故损失。有利于安全生产。</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参保车辆数量</w:t>
            </w:r>
          </w:p>
        </w:tc>
        <w:tc>
          <w:tcPr>
            <w:tcW w:w="2835" w:type="dxa"/>
            <w:vAlign w:val="center"/>
          </w:tcPr>
          <w:p>
            <w:pPr>
              <w:pStyle w:val="28"/>
            </w:pPr>
            <w:r>
              <w:t>参保车辆数量</w:t>
            </w:r>
          </w:p>
        </w:tc>
        <w:tc>
          <w:tcPr>
            <w:tcW w:w="2551" w:type="dxa"/>
            <w:vAlign w:val="center"/>
          </w:tcPr>
          <w:p>
            <w:pPr>
              <w:pStyle w:val="28"/>
            </w:pPr>
            <w:r>
              <w:t>252辆</w:t>
            </w:r>
          </w:p>
        </w:tc>
        <w:tc>
          <w:tcPr>
            <w:tcW w:w="2268" w:type="dxa"/>
            <w:vAlign w:val="center"/>
          </w:tcPr>
          <w:p>
            <w:pPr>
              <w:pStyle w:val="28"/>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环卫车辆保险费</w:t>
            </w:r>
          </w:p>
        </w:tc>
        <w:tc>
          <w:tcPr>
            <w:tcW w:w="2835" w:type="dxa"/>
            <w:vAlign w:val="center"/>
          </w:tcPr>
          <w:p>
            <w:pPr>
              <w:pStyle w:val="28"/>
            </w:pPr>
            <w:r>
              <w:t>环卫车辆保险费</w:t>
            </w:r>
          </w:p>
        </w:tc>
        <w:tc>
          <w:tcPr>
            <w:tcW w:w="2551" w:type="dxa"/>
            <w:vAlign w:val="center"/>
          </w:tcPr>
          <w:p>
            <w:pPr>
              <w:pStyle w:val="28"/>
            </w:pPr>
            <w:r>
              <w:t>134.1万元</w:t>
            </w:r>
          </w:p>
        </w:tc>
        <w:tc>
          <w:tcPr>
            <w:tcW w:w="2268" w:type="dxa"/>
            <w:vAlign w:val="center"/>
          </w:tcPr>
          <w:p>
            <w:pPr>
              <w:pStyle w:val="28"/>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垃圾转运日产日清完成率（%）</w:t>
            </w:r>
          </w:p>
        </w:tc>
        <w:tc>
          <w:tcPr>
            <w:tcW w:w="2835" w:type="dxa"/>
            <w:vAlign w:val="center"/>
          </w:tcPr>
          <w:p>
            <w:pPr>
              <w:pStyle w:val="28"/>
            </w:pPr>
            <w:r>
              <w:t>垃圾转运日清量占日产量的比率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机械化清扫率（%）</w:t>
            </w:r>
          </w:p>
        </w:tc>
        <w:tc>
          <w:tcPr>
            <w:tcW w:w="2835" w:type="dxa"/>
            <w:vAlign w:val="center"/>
          </w:tcPr>
          <w:p>
            <w:pPr>
              <w:pStyle w:val="28"/>
            </w:pPr>
            <w:r>
              <w:t>机械化清扫面积占全部清扫面积的比率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安全生产标准化达标率（%）</w:t>
            </w:r>
          </w:p>
        </w:tc>
        <w:tc>
          <w:tcPr>
            <w:tcW w:w="2835" w:type="dxa"/>
            <w:vAlign w:val="center"/>
          </w:tcPr>
          <w:p>
            <w:pPr>
              <w:pStyle w:val="28"/>
            </w:pPr>
            <w:r>
              <w:t>达标的安全生产次数占安全生产总数的比率</w:t>
            </w:r>
          </w:p>
        </w:tc>
        <w:tc>
          <w:tcPr>
            <w:tcW w:w="2551" w:type="dxa"/>
            <w:vAlign w:val="center"/>
          </w:tcPr>
          <w:p>
            <w:pPr>
              <w:pStyle w:val="28"/>
            </w:pPr>
            <w:r>
              <w:t>≥90%</w:t>
            </w:r>
          </w:p>
        </w:tc>
        <w:tc>
          <w:tcPr>
            <w:tcW w:w="2268" w:type="dxa"/>
            <w:vAlign w:val="center"/>
          </w:tcPr>
          <w:p>
            <w:pPr>
              <w:pStyle w:val="28"/>
            </w:pPr>
            <w:r>
              <w:t>保险合同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5"/>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环卫车辆租赁费（财茂公司）绩效目标表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1.加强垃圾清运及机械化清扫、洗扫、高压清洗路面的程度，有效减少道路扬尘。扩大清扫和清运范围，包括307国道、省道、县道和廉州镇城中村。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以克论净考核道路浮沉</w:t>
            </w:r>
          </w:p>
        </w:tc>
        <w:tc>
          <w:tcPr>
            <w:tcW w:w="2835" w:type="dxa"/>
            <w:vAlign w:val="center"/>
          </w:tcPr>
          <w:p>
            <w:pPr>
              <w:pStyle w:val="28"/>
            </w:pPr>
            <w:r>
              <w:t>使用以克论净检测车和手持吸尘器，随机抽查测定点位。</w:t>
            </w:r>
          </w:p>
        </w:tc>
        <w:tc>
          <w:tcPr>
            <w:tcW w:w="2551" w:type="dxa"/>
            <w:vAlign w:val="center"/>
          </w:tcPr>
          <w:p>
            <w:pPr>
              <w:pStyle w:val="28"/>
            </w:pPr>
            <w:r>
              <w:t>＜10克/平方米</w:t>
            </w:r>
          </w:p>
        </w:tc>
        <w:tc>
          <w:tcPr>
            <w:tcW w:w="2268" w:type="dxa"/>
            <w:vAlign w:val="center"/>
          </w:tcPr>
          <w:p>
            <w:pPr>
              <w:pStyle w:val="28"/>
            </w:pPr>
            <w:r>
              <w:t>石家庄市环境卫生管理处“以克论净”绩效考核办法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环卫车辆租赁费（财茂公司）</w:t>
            </w:r>
          </w:p>
        </w:tc>
        <w:tc>
          <w:tcPr>
            <w:tcW w:w="2835" w:type="dxa"/>
            <w:vAlign w:val="center"/>
          </w:tcPr>
          <w:p>
            <w:pPr>
              <w:pStyle w:val="28"/>
            </w:pPr>
            <w:r>
              <w:t>环卫车辆年租赁费（财茂公司）</w:t>
            </w:r>
          </w:p>
        </w:tc>
        <w:tc>
          <w:tcPr>
            <w:tcW w:w="2551" w:type="dxa"/>
            <w:vAlign w:val="center"/>
          </w:tcPr>
          <w:p>
            <w:pPr>
              <w:pStyle w:val="28"/>
            </w:pPr>
            <w:r>
              <w:t>1615万元</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垃圾转运日产日清完成率</w:t>
            </w:r>
          </w:p>
        </w:tc>
        <w:tc>
          <w:tcPr>
            <w:tcW w:w="2835" w:type="dxa"/>
            <w:vAlign w:val="center"/>
          </w:tcPr>
          <w:p>
            <w:pPr>
              <w:pStyle w:val="28"/>
            </w:pPr>
            <w:r>
              <w:t>垃圾转运日清量占日产量的比率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机械化清扫率</w:t>
            </w:r>
          </w:p>
        </w:tc>
        <w:tc>
          <w:tcPr>
            <w:tcW w:w="2835" w:type="dxa"/>
            <w:vAlign w:val="center"/>
          </w:tcPr>
          <w:p>
            <w:pPr>
              <w:pStyle w:val="28"/>
            </w:pPr>
            <w:r>
              <w:t>机械化清扫面积占全部清扫面积的比率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全年空气优良天数增长率</w:t>
            </w:r>
          </w:p>
        </w:tc>
        <w:tc>
          <w:tcPr>
            <w:tcW w:w="2835" w:type="dxa"/>
            <w:vAlign w:val="center"/>
          </w:tcPr>
          <w:p>
            <w:pPr>
              <w:pStyle w:val="28"/>
            </w:pPr>
            <w:r>
              <w:t>全年空气优良天数同比增长率</w:t>
            </w:r>
          </w:p>
        </w:tc>
        <w:tc>
          <w:tcPr>
            <w:tcW w:w="2551" w:type="dxa"/>
            <w:vAlign w:val="center"/>
          </w:tcPr>
          <w:p>
            <w:pPr>
              <w:pStyle w:val="28"/>
            </w:pPr>
            <w:r>
              <w:t>≥90%</w:t>
            </w:r>
          </w:p>
        </w:tc>
        <w:tc>
          <w:tcPr>
            <w:tcW w:w="2268" w:type="dxa"/>
            <w:vAlign w:val="center"/>
          </w:tcPr>
          <w:p>
            <w:pPr>
              <w:pStyle w:val="28"/>
            </w:pPr>
            <w:r>
              <w:t>石大气办[2019]1号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numPr>
          <w:ilvl w:val="0"/>
          <w:numId w:val="5"/>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环卫车辆租赁费（洁丰公司）绩效目标表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1.加强垃圾清运及机械化清扫、洗扫、高压清洗路面的程度，有效减少道路扬尘。扩大清扫和清运范围，包括307国道、省道、县道和廉州镇城中村。</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以克论净考核道路浮沉</w:t>
            </w:r>
          </w:p>
        </w:tc>
        <w:tc>
          <w:tcPr>
            <w:tcW w:w="2835" w:type="dxa"/>
            <w:vAlign w:val="center"/>
          </w:tcPr>
          <w:p>
            <w:pPr>
              <w:pStyle w:val="28"/>
            </w:pPr>
            <w:r>
              <w:t>使用以克论净检测车和手持吸尘器，随机抽查测定点位。</w:t>
            </w:r>
          </w:p>
        </w:tc>
        <w:tc>
          <w:tcPr>
            <w:tcW w:w="2551" w:type="dxa"/>
            <w:vAlign w:val="center"/>
          </w:tcPr>
          <w:p>
            <w:pPr>
              <w:pStyle w:val="28"/>
            </w:pPr>
            <w:r>
              <w:t>＜10克/平方米</w:t>
            </w:r>
          </w:p>
        </w:tc>
        <w:tc>
          <w:tcPr>
            <w:tcW w:w="2268" w:type="dxa"/>
            <w:vAlign w:val="center"/>
          </w:tcPr>
          <w:p>
            <w:pPr>
              <w:pStyle w:val="28"/>
            </w:pPr>
            <w:r>
              <w:t>石家庄市环境卫生管理处“以克论净”绩效考核办法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环卫车辆租赁费（洁丰公司）</w:t>
            </w:r>
          </w:p>
        </w:tc>
        <w:tc>
          <w:tcPr>
            <w:tcW w:w="2835" w:type="dxa"/>
            <w:vAlign w:val="center"/>
          </w:tcPr>
          <w:p>
            <w:pPr>
              <w:pStyle w:val="28"/>
            </w:pPr>
            <w:r>
              <w:t>环卫车辆租赁费（洁丰公司）</w:t>
            </w:r>
          </w:p>
        </w:tc>
        <w:tc>
          <w:tcPr>
            <w:tcW w:w="2551" w:type="dxa"/>
            <w:vAlign w:val="center"/>
          </w:tcPr>
          <w:p>
            <w:pPr>
              <w:pStyle w:val="28"/>
            </w:pPr>
            <w:r>
              <w:t>638.88万元</w:t>
            </w:r>
          </w:p>
        </w:tc>
        <w:tc>
          <w:tcPr>
            <w:tcW w:w="2268" w:type="dxa"/>
            <w:vAlign w:val="center"/>
          </w:tcPr>
          <w:p>
            <w:pPr>
              <w:pStyle w:val="28"/>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垃圾转运日产日清完成率（%）</w:t>
            </w:r>
          </w:p>
        </w:tc>
        <w:tc>
          <w:tcPr>
            <w:tcW w:w="2835" w:type="dxa"/>
            <w:vAlign w:val="center"/>
          </w:tcPr>
          <w:p>
            <w:pPr>
              <w:pStyle w:val="28"/>
            </w:pPr>
            <w:r>
              <w:t>垃圾转运日清量占日产量的比率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机械化清扫率（%）</w:t>
            </w:r>
          </w:p>
        </w:tc>
        <w:tc>
          <w:tcPr>
            <w:tcW w:w="2835" w:type="dxa"/>
            <w:vAlign w:val="center"/>
          </w:tcPr>
          <w:p>
            <w:pPr>
              <w:pStyle w:val="28"/>
            </w:pPr>
            <w:r>
              <w:t>机械化清扫面积占全部清扫面积的比率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全年空气优良天数增长率（%）</w:t>
            </w:r>
          </w:p>
        </w:tc>
        <w:tc>
          <w:tcPr>
            <w:tcW w:w="2835" w:type="dxa"/>
            <w:vAlign w:val="center"/>
          </w:tcPr>
          <w:p>
            <w:pPr>
              <w:pStyle w:val="28"/>
            </w:pPr>
            <w:r>
              <w:t>全年空气优良天数同比增长率</w:t>
            </w:r>
          </w:p>
        </w:tc>
        <w:tc>
          <w:tcPr>
            <w:tcW w:w="2551" w:type="dxa"/>
            <w:vAlign w:val="center"/>
          </w:tcPr>
          <w:p>
            <w:pPr>
              <w:pStyle w:val="28"/>
            </w:pPr>
            <w:r>
              <w:t>≥90%</w:t>
            </w:r>
          </w:p>
        </w:tc>
        <w:tc>
          <w:tcPr>
            <w:tcW w:w="2268" w:type="dxa"/>
            <w:vAlign w:val="center"/>
          </w:tcPr>
          <w:p>
            <w:pPr>
              <w:pStyle w:val="28"/>
            </w:pPr>
            <w:r>
              <w:t>石大气办[2019]1号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numPr>
          <w:ilvl w:val="0"/>
          <w:numId w:val="5"/>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军训费用绩效目标表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1.完成每年两期，每期5天的城管执法人员封闭式军事训练。切实提高城管执法人员的素质和水平，进一步巩固“强基础、转作风、树形象”专项行动成果。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军训人数</w:t>
            </w:r>
          </w:p>
        </w:tc>
        <w:tc>
          <w:tcPr>
            <w:tcW w:w="2835" w:type="dxa"/>
            <w:vAlign w:val="center"/>
          </w:tcPr>
          <w:p>
            <w:pPr>
              <w:pStyle w:val="28"/>
            </w:pPr>
            <w:r>
              <w:t>参加军训的人员数量</w:t>
            </w:r>
          </w:p>
        </w:tc>
        <w:tc>
          <w:tcPr>
            <w:tcW w:w="2551" w:type="dxa"/>
            <w:vAlign w:val="center"/>
          </w:tcPr>
          <w:p>
            <w:pPr>
              <w:pStyle w:val="28"/>
            </w:pPr>
            <w:r>
              <w:t>400人</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及时完成率</w:t>
            </w:r>
          </w:p>
        </w:tc>
        <w:tc>
          <w:tcPr>
            <w:tcW w:w="2835" w:type="dxa"/>
            <w:vAlign w:val="center"/>
          </w:tcPr>
          <w:p>
            <w:pPr>
              <w:pStyle w:val="28"/>
            </w:pPr>
            <w:r>
              <w:t>按期完成军训</w:t>
            </w:r>
          </w:p>
        </w:tc>
        <w:tc>
          <w:tcPr>
            <w:tcW w:w="2551" w:type="dxa"/>
            <w:vAlign w:val="center"/>
          </w:tcPr>
          <w:p>
            <w:pPr>
              <w:pStyle w:val="28"/>
            </w:pPr>
            <w:r>
              <w:t>100%</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军训合格率</w:t>
            </w:r>
          </w:p>
        </w:tc>
        <w:tc>
          <w:tcPr>
            <w:tcW w:w="2835" w:type="dxa"/>
            <w:vAlign w:val="center"/>
          </w:tcPr>
          <w:p>
            <w:pPr>
              <w:pStyle w:val="28"/>
            </w:pPr>
            <w:r>
              <w:t>军训考核合格的人数占总参训人数的比率</w:t>
            </w:r>
          </w:p>
        </w:tc>
        <w:tc>
          <w:tcPr>
            <w:tcW w:w="2551" w:type="dxa"/>
            <w:vAlign w:val="center"/>
          </w:tcPr>
          <w:p>
            <w:pPr>
              <w:pStyle w:val="28"/>
            </w:pPr>
            <w:r>
              <w:t>≥90%</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人均军训成本</w:t>
            </w:r>
          </w:p>
        </w:tc>
        <w:tc>
          <w:tcPr>
            <w:tcW w:w="2835" w:type="dxa"/>
            <w:vAlign w:val="center"/>
          </w:tcPr>
          <w:p>
            <w:pPr>
              <w:pStyle w:val="28"/>
            </w:pPr>
            <w:r>
              <w:t>每人每天的军训费用</w:t>
            </w:r>
          </w:p>
        </w:tc>
        <w:tc>
          <w:tcPr>
            <w:tcW w:w="2551" w:type="dxa"/>
            <w:vAlign w:val="center"/>
          </w:tcPr>
          <w:p>
            <w:pPr>
              <w:pStyle w:val="28"/>
            </w:pPr>
            <w:r>
              <w:t>150元/人/天</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经济效益指标</w:t>
            </w:r>
          </w:p>
        </w:tc>
        <w:tc>
          <w:tcPr>
            <w:tcW w:w="2835" w:type="dxa"/>
            <w:vAlign w:val="center"/>
          </w:tcPr>
          <w:p>
            <w:pPr>
              <w:pStyle w:val="28"/>
            </w:pPr>
            <w:r>
              <w:t>执法人员素质提升</w:t>
            </w:r>
          </w:p>
        </w:tc>
        <w:tc>
          <w:tcPr>
            <w:tcW w:w="2835" w:type="dxa"/>
            <w:vAlign w:val="center"/>
          </w:tcPr>
          <w:p>
            <w:pPr>
              <w:pStyle w:val="28"/>
            </w:pPr>
            <w:r>
              <w:t>执法人员的形象面貌、纪律意识、法治意识得到显著提升</w:t>
            </w:r>
          </w:p>
        </w:tc>
        <w:tc>
          <w:tcPr>
            <w:tcW w:w="2551" w:type="dxa"/>
            <w:vAlign w:val="center"/>
          </w:tcPr>
          <w:p>
            <w:pPr>
              <w:pStyle w:val="28"/>
            </w:pPr>
            <w:r>
              <w:t>≥90%</w:t>
            </w:r>
          </w:p>
        </w:tc>
        <w:tc>
          <w:tcPr>
            <w:tcW w:w="2268" w:type="dxa"/>
            <w:vAlign w:val="center"/>
          </w:tcPr>
          <w:p>
            <w:pPr>
              <w:pStyle w:val="28"/>
            </w:pPr>
            <w:r>
              <w:t>石城管【2018】281号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服务对象满意度</w:t>
            </w:r>
          </w:p>
        </w:tc>
        <w:tc>
          <w:tcPr>
            <w:tcW w:w="2835" w:type="dxa"/>
            <w:vAlign w:val="center"/>
          </w:tcPr>
          <w:p>
            <w:pPr>
              <w:pStyle w:val="28"/>
            </w:pPr>
            <w:r>
              <w:t>调查中满意和较满意的服务对象数量占全部调查人数的比率</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5"/>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看守所污水管道改造工程绩效目标表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1.东城街东侧铺设Φ500污水管道及检查井；兴华路接头污水池，安装污水泵。</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铺设污水管道长度</w:t>
            </w:r>
          </w:p>
        </w:tc>
        <w:tc>
          <w:tcPr>
            <w:tcW w:w="2835" w:type="dxa"/>
            <w:vAlign w:val="center"/>
          </w:tcPr>
          <w:p>
            <w:pPr>
              <w:pStyle w:val="28"/>
            </w:pPr>
            <w:r>
              <w:t>铺设污水管道长度</w:t>
            </w:r>
          </w:p>
        </w:tc>
        <w:tc>
          <w:tcPr>
            <w:tcW w:w="2551" w:type="dxa"/>
            <w:vAlign w:val="center"/>
          </w:tcPr>
          <w:p>
            <w:pPr>
              <w:pStyle w:val="28"/>
            </w:pPr>
            <w:r>
              <w:t>1840米</w:t>
            </w:r>
          </w:p>
        </w:tc>
        <w:tc>
          <w:tcPr>
            <w:tcW w:w="2268" w:type="dxa"/>
            <w:vAlign w:val="center"/>
          </w:tcPr>
          <w:p>
            <w:pPr>
              <w:pStyle w:val="28"/>
            </w:pPr>
            <w:r>
              <w:t>踏勘记录表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施工进度工程量占总工程量的比率</w:t>
            </w:r>
          </w:p>
        </w:tc>
        <w:tc>
          <w:tcPr>
            <w:tcW w:w="2551" w:type="dxa"/>
            <w:vAlign w:val="center"/>
          </w:tcPr>
          <w:p>
            <w:pPr>
              <w:pStyle w:val="28"/>
            </w:pPr>
            <w:r>
              <w:t>100%</w:t>
            </w:r>
          </w:p>
        </w:tc>
        <w:tc>
          <w:tcPr>
            <w:tcW w:w="2268" w:type="dxa"/>
            <w:vAlign w:val="center"/>
          </w:tcPr>
          <w:p>
            <w:pPr>
              <w:pStyle w:val="28"/>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工程费</w:t>
            </w:r>
          </w:p>
        </w:tc>
        <w:tc>
          <w:tcPr>
            <w:tcW w:w="2835" w:type="dxa"/>
            <w:vAlign w:val="center"/>
          </w:tcPr>
          <w:p>
            <w:pPr>
              <w:pStyle w:val="28"/>
            </w:pPr>
            <w:r>
              <w:t>工程费决算评审</w:t>
            </w:r>
          </w:p>
        </w:tc>
        <w:tc>
          <w:tcPr>
            <w:tcW w:w="2551" w:type="dxa"/>
            <w:vAlign w:val="center"/>
          </w:tcPr>
          <w:p>
            <w:pPr>
              <w:pStyle w:val="28"/>
            </w:pPr>
            <w:r>
              <w:t>86.05万元</w:t>
            </w:r>
          </w:p>
        </w:tc>
        <w:tc>
          <w:tcPr>
            <w:tcW w:w="2268" w:type="dxa"/>
            <w:vAlign w:val="center"/>
          </w:tcPr>
          <w:p>
            <w:pPr>
              <w:pStyle w:val="28"/>
            </w:pPr>
            <w:r>
              <w:t>财政决算评审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验收合格项目占验收项目的比率</w:t>
            </w:r>
          </w:p>
        </w:tc>
        <w:tc>
          <w:tcPr>
            <w:tcW w:w="2551" w:type="dxa"/>
            <w:vAlign w:val="center"/>
          </w:tcPr>
          <w:p>
            <w:pPr>
              <w:pStyle w:val="28"/>
            </w:pPr>
            <w:r>
              <w:t>100%</w:t>
            </w:r>
          </w:p>
        </w:tc>
        <w:tc>
          <w:tcPr>
            <w:tcW w:w="2268"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减少对周边环境污染</w:t>
            </w:r>
          </w:p>
        </w:tc>
        <w:tc>
          <w:tcPr>
            <w:tcW w:w="2835" w:type="dxa"/>
            <w:vAlign w:val="center"/>
          </w:tcPr>
          <w:p>
            <w:pPr>
              <w:pStyle w:val="28"/>
            </w:pPr>
            <w:r>
              <w:t>改善看守所生活用水排水系统，对工作生活秩序带来极大方便，减少对周边环境污染。</w:t>
            </w:r>
          </w:p>
        </w:tc>
        <w:tc>
          <w:tcPr>
            <w:tcW w:w="2551" w:type="dxa"/>
            <w:vAlign w:val="center"/>
          </w:tcPr>
          <w:p>
            <w:pPr>
              <w:pStyle w:val="28"/>
            </w:pPr>
            <w:r>
              <w:t>≥95%</w:t>
            </w:r>
          </w:p>
        </w:tc>
        <w:tc>
          <w:tcPr>
            <w:tcW w:w="2268" w:type="dxa"/>
            <w:vAlign w:val="center"/>
          </w:tcPr>
          <w:p>
            <w:pPr>
              <w:pStyle w:val="28"/>
            </w:pPr>
            <w:r>
              <w:t>建设工程监理合同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numPr>
          <w:ilvl w:val="0"/>
          <w:numId w:val="5"/>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垃圾分类绩效目标表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1.用于建设保利东郡、璟华苑、东城国际、紫御澜湾等13个生活垃圾分类示范小区，提高居民知晓率、参与率和投放准确率。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垃圾分类示范小区数量</w:t>
            </w:r>
          </w:p>
        </w:tc>
        <w:tc>
          <w:tcPr>
            <w:tcW w:w="2835" w:type="dxa"/>
            <w:vAlign w:val="center"/>
          </w:tcPr>
          <w:p>
            <w:pPr>
              <w:pStyle w:val="28"/>
            </w:pPr>
            <w:r>
              <w:t>垃圾分类示范小区数量</w:t>
            </w:r>
          </w:p>
        </w:tc>
        <w:tc>
          <w:tcPr>
            <w:tcW w:w="2551" w:type="dxa"/>
            <w:vAlign w:val="center"/>
          </w:tcPr>
          <w:p>
            <w:pPr>
              <w:pStyle w:val="28"/>
            </w:pPr>
            <w:r>
              <w:t>13个</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垃圾分类服务费费</w:t>
            </w:r>
          </w:p>
        </w:tc>
        <w:tc>
          <w:tcPr>
            <w:tcW w:w="2835" w:type="dxa"/>
            <w:vAlign w:val="center"/>
          </w:tcPr>
          <w:p>
            <w:pPr>
              <w:pStyle w:val="28"/>
            </w:pPr>
            <w:r>
              <w:t>垃圾分类3年服务费</w:t>
            </w:r>
          </w:p>
        </w:tc>
        <w:tc>
          <w:tcPr>
            <w:tcW w:w="2551" w:type="dxa"/>
            <w:vAlign w:val="center"/>
          </w:tcPr>
          <w:p>
            <w:pPr>
              <w:pStyle w:val="28"/>
            </w:pPr>
            <w:r>
              <w:t>554.19万元</w:t>
            </w:r>
          </w:p>
        </w:tc>
        <w:tc>
          <w:tcPr>
            <w:tcW w:w="2268" w:type="dxa"/>
            <w:vAlign w:val="center"/>
          </w:tcPr>
          <w:p>
            <w:pPr>
              <w:pStyle w:val="28"/>
            </w:pPr>
            <w:r>
              <w:t>中标通知书、合同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生活垃圾分类服务及时考评率</w:t>
            </w:r>
          </w:p>
        </w:tc>
        <w:tc>
          <w:tcPr>
            <w:tcW w:w="2835" w:type="dxa"/>
            <w:vAlign w:val="center"/>
          </w:tcPr>
          <w:p>
            <w:pPr>
              <w:pStyle w:val="28"/>
            </w:pPr>
            <w:r>
              <w:t>生活垃圾分类服务及时考评数量占生活垃圾考评总数量的比率</w:t>
            </w:r>
          </w:p>
        </w:tc>
        <w:tc>
          <w:tcPr>
            <w:tcW w:w="2551" w:type="dxa"/>
            <w:vAlign w:val="center"/>
          </w:tcPr>
          <w:p>
            <w:pPr>
              <w:pStyle w:val="28"/>
            </w:pPr>
            <w:r>
              <w:t>≥90%</w:t>
            </w:r>
          </w:p>
        </w:tc>
        <w:tc>
          <w:tcPr>
            <w:tcW w:w="2268" w:type="dxa"/>
            <w:vAlign w:val="center"/>
          </w:tcPr>
          <w:p>
            <w:pPr>
              <w:pStyle w:val="28"/>
            </w:pPr>
            <w:r>
              <w:t>《石家庄市生活垃圾分类工作实施方案》石政办发【2017】59号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投放实施配置率</w:t>
            </w:r>
          </w:p>
        </w:tc>
        <w:tc>
          <w:tcPr>
            <w:tcW w:w="2835" w:type="dxa"/>
            <w:vAlign w:val="center"/>
          </w:tcPr>
          <w:p>
            <w:pPr>
              <w:pStyle w:val="28"/>
            </w:pPr>
            <w:r>
              <w:t>实际投放分类设施个数占应投放分类设施个数的比率</w:t>
            </w:r>
          </w:p>
        </w:tc>
        <w:tc>
          <w:tcPr>
            <w:tcW w:w="2551" w:type="dxa"/>
            <w:vAlign w:val="center"/>
          </w:tcPr>
          <w:p>
            <w:pPr>
              <w:pStyle w:val="28"/>
            </w:pPr>
            <w:r>
              <w:t>≥95%</w:t>
            </w:r>
          </w:p>
        </w:tc>
        <w:tc>
          <w:tcPr>
            <w:tcW w:w="2268" w:type="dxa"/>
            <w:vAlign w:val="center"/>
          </w:tcPr>
          <w:p>
            <w:pPr>
              <w:pStyle w:val="28"/>
            </w:pPr>
            <w:r>
              <w:t>《石家庄市生活垃圾分类工作实施方案》石政办发【2017】60号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使生活垃圾达到减量化</w:t>
            </w:r>
          </w:p>
        </w:tc>
        <w:tc>
          <w:tcPr>
            <w:tcW w:w="2835" w:type="dxa"/>
            <w:vAlign w:val="center"/>
          </w:tcPr>
          <w:p>
            <w:pPr>
              <w:pStyle w:val="28"/>
            </w:pPr>
            <w:r>
              <w:t>生活垃圾合理分类、处置，提升垃圾减量化、资源化、无害化水平.</w:t>
            </w:r>
          </w:p>
        </w:tc>
        <w:tc>
          <w:tcPr>
            <w:tcW w:w="2551" w:type="dxa"/>
            <w:vAlign w:val="center"/>
          </w:tcPr>
          <w:p>
            <w:pPr>
              <w:pStyle w:val="28"/>
            </w:pPr>
            <w:r>
              <w:t>≥95%</w:t>
            </w:r>
          </w:p>
        </w:tc>
        <w:tc>
          <w:tcPr>
            <w:tcW w:w="2268" w:type="dxa"/>
            <w:vAlign w:val="center"/>
          </w:tcPr>
          <w:p>
            <w:pPr>
              <w:pStyle w:val="28"/>
            </w:pPr>
            <w:r>
              <w:t>《石家庄市生活垃圾分类工作实施方案》石政办发【2017】61号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numPr>
          <w:ilvl w:val="0"/>
          <w:numId w:val="5"/>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垃圾分类办公室办公经费绩效目标表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1.生活垃圾分类业务培训、办公耗材、宣传活动、车辆维修、督导员服装费、汇演等，提高居民知晓率、参与率和投放准确率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大型宣传活动次数</w:t>
            </w:r>
          </w:p>
        </w:tc>
        <w:tc>
          <w:tcPr>
            <w:tcW w:w="2835" w:type="dxa"/>
            <w:vAlign w:val="center"/>
          </w:tcPr>
          <w:p>
            <w:pPr>
              <w:pStyle w:val="28"/>
            </w:pPr>
            <w:r>
              <w:t>每年大型宣传活动次数</w:t>
            </w:r>
          </w:p>
        </w:tc>
        <w:tc>
          <w:tcPr>
            <w:tcW w:w="2551" w:type="dxa"/>
            <w:vAlign w:val="center"/>
          </w:tcPr>
          <w:p>
            <w:pPr>
              <w:pStyle w:val="28"/>
            </w:pPr>
            <w:r>
              <w:t>4次</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生活分类办公室办公经费</w:t>
            </w:r>
          </w:p>
        </w:tc>
        <w:tc>
          <w:tcPr>
            <w:tcW w:w="2835" w:type="dxa"/>
            <w:vAlign w:val="center"/>
          </w:tcPr>
          <w:p>
            <w:pPr>
              <w:pStyle w:val="28"/>
            </w:pPr>
            <w:r>
              <w:t>生活分类办公室办公经费</w:t>
            </w:r>
          </w:p>
        </w:tc>
        <w:tc>
          <w:tcPr>
            <w:tcW w:w="2551" w:type="dxa"/>
            <w:vAlign w:val="center"/>
          </w:tcPr>
          <w:p>
            <w:pPr>
              <w:pStyle w:val="28"/>
            </w:pPr>
            <w:r>
              <w:t>10万元</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及时拨付率</w:t>
            </w:r>
          </w:p>
        </w:tc>
        <w:tc>
          <w:tcPr>
            <w:tcW w:w="2835" w:type="dxa"/>
            <w:vAlign w:val="center"/>
          </w:tcPr>
          <w:p>
            <w:pPr>
              <w:pStyle w:val="28"/>
            </w:pPr>
            <w:r>
              <w:t>及时拨付办公经费</w:t>
            </w:r>
          </w:p>
        </w:tc>
        <w:tc>
          <w:tcPr>
            <w:tcW w:w="2551" w:type="dxa"/>
            <w:vAlign w:val="center"/>
          </w:tcPr>
          <w:p>
            <w:pPr>
              <w:pStyle w:val="28"/>
            </w:pPr>
            <w:r>
              <w:t>≥95%</w:t>
            </w:r>
          </w:p>
        </w:tc>
        <w:tc>
          <w:tcPr>
            <w:tcW w:w="2268" w:type="dxa"/>
            <w:vAlign w:val="center"/>
          </w:tcPr>
          <w:p>
            <w:pPr>
              <w:pStyle w:val="28"/>
            </w:pPr>
            <w:r>
              <w:t>《石家庄市2020年生活垃圾分类考评办法》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投放实施配置率</w:t>
            </w:r>
          </w:p>
        </w:tc>
        <w:tc>
          <w:tcPr>
            <w:tcW w:w="2835" w:type="dxa"/>
            <w:vAlign w:val="center"/>
          </w:tcPr>
          <w:p>
            <w:pPr>
              <w:pStyle w:val="28"/>
            </w:pPr>
            <w:r>
              <w:t>实际投放分类设施个数占应投放分类设施个数的比率</w:t>
            </w:r>
          </w:p>
        </w:tc>
        <w:tc>
          <w:tcPr>
            <w:tcW w:w="2551" w:type="dxa"/>
            <w:vAlign w:val="center"/>
          </w:tcPr>
          <w:p>
            <w:pPr>
              <w:pStyle w:val="28"/>
            </w:pPr>
            <w:r>
              <w:t>≥95%</w:t>
            </w:r>
          </w:p>
        </w:tc>
        <w:tc>
          <w:tcPr>
            <w:tcW w:w="2268" w:type="dxa"/>
            <w:vAlign w:val="center"/>
          </w:tcPr>
          <w:p>
            <w:pPr>
              <w:pStyle w:val="28"/>
            </w:pPr>
            <w:r>
              <w:t>《石家庄市生活垃圾分类工作实施方案》石政办发【2017】60号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提高工作效率</w:t>
            </w:r>
          </w:p>
        </w:tc>
        <w:tc>
          <w:tcPr>
            <w:tcW w:w="2835" w:type="dxa"/>
            <w:vAlign w:val="center"/>
          </w:tcPr>
          <w:p>
            <w:pPr>
              <w:pStyle w:val="28"/>
            </w:pPr>
            <w:r>
              <w:t>及时拨付办公经费，切实提升工作效率。</w:t>
            </w:r>
          </w:p>
        </w:tc>
        <w:tc>
          <w:tcPr>
            <w:tcW w:w="2551" w:type="dxa"/>
            <w:vAlign w:val="center"/>
          </w:tcPr>
          <w:p>
            <w:pPr>
              <w:pStyle w:val="28"/>
            </w:pPr>
            <w:r>
              <w:t>≥90%</w:t>
            </w:r>
          </w:p>
        </w:tc>
        <w:tc>
          <w:tcPr>
            <w:tcW w:w="2268" w:type="dxa"/>
            <w:vAlign w:val="center"/>
          </w:tcPr>
          <w:p>
            <w:pPr>
              <w:pStyle w:val="28"/>
            </w:pPr>
            <w:r>
              <w:t>《石家庄市生活垃圾分类工作实施方案》石政办发【2017】61号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单位人员满意率</w:t>
            </w:r>
          </w:p>
        </w:tc>
        <w:tc>
          <w:tcPr>
            <w:tcW w:w="2835" w:type="dxa"/>
            <w:vAlign w:val="center"/>
          </w:tcPr>
          <w:p>
            <w:pPr>
              <w:pStyle w:val="28"/>
            </w:pPr>
            <w:r>
              <w:t>调查中满意和较满意的单位人员数量占全部调查人数比率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numPr>
          <w:ilvl w:val="0"/>
          <w:numId w:val="5"/>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垃圾分类清运车辆租赁费用绩效目标表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1.租用垃圾分类清运车辆，用于垃圾清运，加快我区垃圾分类工作步伐。</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垃圾分类清运车数量</w:t>
            </w:r>
          </w:p>
        </w:tc>
        <w:tc>
          <w:tcPr>
            <w:tcW w:w="2835" w:type="dxa"/>
            <w:vAlign w:val="center"/>
          </w:tcPr>
          <w:p>
            <w:pPr>
              <w:pStyle w:val="28"/>
            </w:pPr>
            <w:r>
              <w:t>垃圾分类清运车数量</w:t>
            </w:r>
          </w:p>
        </w:tc>
        <w:tc>
          <w:tcPr>
            <w:tcW w:w="2551" w:type="dxa"/>
            <w:vAlign w:val="center"/>
          </w:tcPr>
          <w:p>
            <w:pPr>
              <w:pStyle w:val="28"/>
            </w:pPr>
            <w:r>
              <w:t>8辆</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租用垃圾分类清运车辆费用</w:t>
            </w:r>
          </w:p>
        </w:tc>
        <w:tc>
          <w:tcPr>
            <w:tcW w:w="2835" w:type="dxa"/>
            <w:vAlign w:val="center"/>
          </w:tcPr>
          <w:p>
            <w:pPr>
              <w:pStyle w:val="28"/>
            </w:pPr>
            <w:r>
              <w:t>租用垃圾分类清运车辆费用</w:t>
            </w:r>
          </w:p>
        </w:tc>
        <w:tc>
          <w:tcPr>
            <w:tcW w:w="2551" w:type="dxa"/>
            <w:vAlign w:val="center"/>
          </w:tcPr>
          <w:p>
            <w:pPr>
              <w:pStyle w:val="28"/>
            </w:pPr>
            <w:r>
              <w:t>260万元</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垃圾转运日产日清完成率（%）</w:t>
            </w:r>
          </w:p>
        </w:tc>
        <w:tc>
          <w:tcPr>
            <w:tcW w:w="2835" w:type="dxa"/>
            <w:vAlign w:val="center"/>
          </w:tcPr>
          <w:p>
            <w:pPr>
              <w:pStyle w:val="28"/>
            </w:pPr>
            <w:r>
              <w:t>垃圾转运日清量占日产量的比率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机械化清扫率（%）</w:t>
            </w:r>
          </w:p>
        </w:tc>
        <w:tc>
          <w:tcPr>
            <w:tcW w:w="2835" w:type="dxa"/>
            <w:vAlign w:val="center"/>
          </w:tcPr>
          <w:p>
            <w:pPr>
              <w:pStyle w:val="28"/>
            </w:pPr>
            <w:r>
              <w:t>机械化清扫面积占全部清扫面积的比率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全年空气优良天数增长率（%）</w:t>
            </w:r>
          </w:p>
        </w:tc>
        <w:tc>
          <w:tcPr>
            <w:tcW w:w="2835" w:type="dxa"/>
            <w:vAlign w:val="center"/>
          </w:tcPr>
          <w:p>
            <w:pPr>
              <w:pStyle w:val="28"/>
            </w:pPr>
            <w:r>
              <w:t>全年空气优良天数同比增长率</w:t>
            </w:r>
          </w:p>
        </w:tc>
        <w:tc>
          <w:tcPr>
            <w:tcW w:w="2551" w:type="dxa"/>
            <w:vAlign w:val="center"/>
          </w:tcPr>
          <w:p>
            <w:pPr>
              <w:pStyle w:val="28"/>
            </w:pPr>
            <w:r>
              <w:t>≥90%</w:t>
            </w:r>
          </w:p>
        </w:tc>
        <w:tc>
          <w:tcPr>
            <w:tcW w:w="2268" w:type="dxa"/>
            <w:vAlign w:val="center"/>
          </w:tcPr>
          <w:p>
            <w:pPr>
              <w:pStyle w:val="28"/>
            </w:pPr>
            <w:r>
              <w:t>石大气办[2019]1号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5"/>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垃圾填埋场安装雨污分流和沼气收集装置费用绩效目标表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1.为防治病原性害虫的孳生与传播及填埋场恶臭气味的散发，保证垃圾堆体的稳定性和安全性，加快填埋场的稳定化与后续资源利用速度，保护当地生态环境。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黏土覆盖数量</w:t>
            </w:r>
          </w:p>
        </w:tc>
        <w:tc>
          <w:tcPr>
            <w:tcW w:w="2835" w:type="dxa"/>
            <w:vAlign w:val="center"/>
          </w:tcPr>
          <w:p>
            <w:pPr>
              <w:pStyle w:val="28"/>
            </w:pPr>
            <w:r>
              <w:t>黏土覆盖数量约</w:t>
            </w:r>
          </w:p>
        </w:tc>
        <w:tc>
          <w:tcPr>
            <w:tcW w:w="2551" w:type="dxa"/>
            <w:vAlign w:val="center"/>
          </w:tcPr>
          <w:p>
            <w:pPr>
              <w:pStyle w:val="28"/>
            </w:pPr>
            <w:r>
              <w:t>18000立方米</w:t>
            </w:r>
          </w:p>
        </w:tc>
        <w:tc>
          <w:tcPr>
            <w:tcW w:w="2268" w:type="dxa"/>
            <w:vAlign w:val="center"/>
          </w:tcPr>
          <w:p>
            <w:pPr>
              <w:pStyle w:val="28"/>
            </w:pPr>
            <w:r>
              <w:t>《藁城区垃圾填埋场二号库雨污分流和安装沼气收集装置工程施工合同》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垃圾填埋场安装雨污分流和沼气收集装置费用</w:t>
            </w:r>
          </w:p>
        </w:tc>
        <w:tc>
          <w:tcPr>
            <w:tcW w:w="2835" w:type="dxa"/>
            <w:vAlign w:val="center"/>
          </w:tcPr>
          <w:p>
            <w:pPr>
              <w:pStyle w:val="28"/>
            </w:pPr>
            <w:r>
              <w:t>垃圾填埋场安装雨污分流和沼气收集装置费用</w:t>
            </w:r>
          </w:p>
        </w:tc>
        <w:tc>
          <w:tcPr>
            <w:tcW w:w="2551" w:type="dxa"/>
            <w:vAlign w:val="center"/>
          </w:tcPr>
          <w:p>
            <w:pPr>
              <w:pStyle w:val="28"/>
            </w:pPr>
            <w:r>
              <w:t>337.98万元</w:t>
            </w:r>
          </w:p>
        </w:tc>
        <w:tc>
          <w:tcPr>
            <w:tcW w:w="2268" w:type="dxa"/>
            <w:vAlign w:val="center"/>
          </w:tcPr>
          <w:p>
            <w:pPr>
              <w:pStyle w:val="28"/>
            </w:pPr>
            <w:r>
              <w:t>中标通知书及合同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雨污分流和安装沼气收集装置完工率</w:t>
            </w:r>
          </w:p>
        </w:tc>
        <w:tc>
          <w:tcPr>
            <w:tcW w:w="2551" w:type="dxa"/>
            <w:vAlign w:val="center"/>
          </w:tcPr>
          <w:p>
            <w:pPr>
              <w:pStyle w:val="28"/>
            </w:pPr>
            <w:r>
              <w:t>100%</w:t>
            </w:r>
          </w:p>
        </w:tc>
        <w:tc>
          <w:tcPr>
            <w:tcW w:w="2268" w:type="dxa"/>
            <w:vAlign w:val="center"/>
          </w:tcPr>
          <w:p>
            <w:pPr>
              <w:pStyle w:val="28"/>
            </w:pPr>
            <w:r>
              <w:t>《藁城区垃圾填埋场二号库雨污分流和安装沼气收集装置工程施工合同》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验收合格项目占验收项目的比率</w:t>
            </w:r>
          </w:p>
        </w:tc>
        <w:tc>
          <w:tcPr>
            <w:tcW w:w="2551" w:type="dxa"/>
            <w:vAlign w:val="center"/>
          </w:tcPr>
          <w:p>
            <w:pPr>
              <w:pStyle w:val="28"/>
            </w:pPr>
            <w:r>
              <w:t>100%</w:t>
            </w:r>
          </w:p>
        </w:tc>
        <w:tc>
          <w:tcPr>
            <w:tcW w:w="2268"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加快填埋场的稳定化与后续资源利用速度，保护当地生态环境。</w:t>
            </w:r>
          </w:p>
        </w:tc>
        <w:tc>
          <w:tcPr>
            <w:tcW w:w="2835" w:type="dxa"/>
            <w:vAlign w:val="center"/>
          </w:tcPr>
          <w:p>
            <w:pPr>
              <w:pStyle w:val="28"/>
            </w:pPr>
            <w:r>
              <w:t>加快填埋场的稳定化与后续资源利用速度，保护当地生态环境。</w:t>
            </w:r>
          </w:p>
        </w:tc>
        <w:tc>
          <w:tcPr>
            <w:tcW w:w="2551" w:type="dxa"/>
            <w:vAlign w:val="center"/>
          </w:tcPr>
          <w:p>
            <w:pPr>
              <w:pStyle w:val="28"/>
            </w:pPr>
            <w:r>
              <w:t>≥90%</w:t>
            </w:r>
          </w:p>
        </w:tc>
        <w:tc>
          <w:tcPr>
            <w:tcW w:w="2268" w:type="dxa"/>
            <w:vAlign w:val="center"/>
          </w:tcPr>
          <w:p>
            <w:pPr>
              <w:pStyle w:val="28"/>
            </w:pPr>
            <w:r>
              <w:t>《藁城区垃圾填埋场二号库雨污分流和安装沼气收集装置工程》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40、垃圾填埋场土壤监测及制定突发环境事件应急预案费用绩效目标表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1.明确企业用地本次土壤和地下水调查的工作程序、方法和技术要求，尽可能以有限的点位数量确认地块是否存在污染、捕捉污染最严重的区域，为开展监测工作和数据分析提供依据。</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服务数量</w:t>
            </w:r>
          </w:p>
        </w:tc>
        <w:tc>
          <w:tcPr>
            <w:tcW w:w="2835" w:type="dxa"/>
            <w:vAlign w:val="center"/>
          </w:tcPr>
          <w:p>
            <w:pPr>
              <w:pStyle w:val="28"/>
            </w:pPr>
            <w:r>
              <w:t>签订合同的服务数量</w:t>
            </w:r>
          </w:p>
        </w:tc>
        <w:tc>
          <w:tcPr>
            <w:tcW w:w="2551" w:type="dxa"/>
            <w:vAlign w:val="center"/>
          </w:tcPr>
          <w:p>
            <w:pPr>
              <w:pStyle w:val="28"/>
            </w:pPr>
            <w:r>
              <w:t>3项</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应急预案报告的编制、土壤环境监测和土壤环境检测项目</w:t>
            </w:r>
          </w:p>
        </w:tc>
        <w:tc>
          <w:tcPr>
            <w:tcW w:w="2835" w:type="dxa"/>
            <w:vAlign w:val="center"/>
          </w:tcPr>
          <w:p>
            <w:pPr>
              <w:pStyle w:val="28"/>
            </w:pPr>
            <w:r>
              <w:t>应急预案报告的编制、土壤环境监测和土壤环境检测项目费用</w:t>
            </w:r>
          </w:p>
        </w:tc>
        <w:tc>
          <w:tcPr>
            <w:tcW w:w="2551" w:type="dxa"/>
            <w:vAlign w:val="center"/>
          </w:tcPr>
          <w:p>
            <w:pPr>
              <w:pStyle w:val="28"/>
            </w:pPr>
            <w:r>
              <w:t>27.5万元</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合同签订日期内完成率</w:t>
            </w:r>
          </w:p>
        </w:tc>
        <w:tc>
          <w:tcPr>
            <w:tcW w:w="2551" w:type="dxa"/>
            <w:vAlign w:val="center"/>
          </w:tcPr>
          <w:p>
            <w:pPr>
              <w:pStyle w:val="28"/>
            </w:pPr>
            <w:r>
              <w:t>100%</w:t>
            </w:r>
          </w:p>
        </w:tc>
        <w:tc>
          <w:tcPr>
            <w:tcW w:w="2268" w:type="dxa"/>
            <w:vAlign w:val="center"/>
          </w:tcPr>
          <w:p>
            <w:pPr>
              <w:pStyle w:val="28"/>
            </w:pPr>
            <w:r>
              <w:t>《石家庄市藁城区环境卫生服务站土壤环境监测技术咨询合同》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验收合格项目占验收项目的比率</w:t>
            </w:r>
          </w:p>
        </w:tc>
        <w:tc>
          <w:tcPr>
            <w:tcW w:w="2551" w:type="dxa"/>
            <w:vAlign w:val="center"/>
          </w:tcPr>
          <w:p>
            <w:pPr>
              <w:pStyle w:val="28"/>
            </w:pPr>
            <w:r>
              <w:t>100%</w:t>
            </w:r>
          </w:p>
        </w:tc>
        <w:tc>
          <w:tcPr>
            <w:tcW w:w="2268"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捕捉污染最严重的区域，为开展监测工作和数据分析提供依据。</w:t>
            </w:r>
          </w:p>
        </w:tc>
        <w:tc>
          <w:tcPr>
            <w:tcW w:w="2835" w:type="dxa"/>
            <w:vAlign w:val="center"/>
          </w:tcPr>
          <w:p>
            <w:pPr>
              <w:pStyle w:val="28"/>
            </w:pPr>
            <w:r>
              <w:t>捕捉污染最严重的区域，为开展监测工作和数据分析提供依据。</w:t>
            </w:r>
          </w:p>
        </w:tc>
        <w:tc>
          <w:tcPr>
            <w:tcW w:w="2551" w:type="dxa"/>
            <w:vAlign w:val="center"/>
          </w:tcPr>
          <w:p>
            <w:pPr>
              <w:pStyle w:val="28"/>
            </w:pPr>
            <w:r>
              <w:t>≥90%</w:t>
            </w:r>
          </w:p>
        </w:tc>
        <w:tc>
          <w:tcPr>
            <w:tcW w:w="2268" w:type="dxa"/>
            <w:vAlign w:val="center"/>
          </w:tcPr>
          <w:p>
            <w:pPr>
              <w:pStyle w:val="28"/>
            </w:pPr>
            <w:r>
              <w:t>《石家庄市藁城区环境卫生服务站地块2020年土壤环境自行监测方案》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41、垃圾填埋场维护费绩效目标表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确保渗滤液全部安全处置，确保水质安全达标；设施设备完好，无破损、无渗漏、无故障，场区卫生环境整洁；确保全年无安全生产事故发生。生活垃圾无害化处理，保护城市生态环境，保护水土资源不被污染，促进城市可持续发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日处理规模</w:t>
            </w:r>
          </w:p>
        </w:tc>
        <w:tc>
          <w:tcPr>
            <w:tcW w:w="2835" w:type="dxa"/>
            <w:vAlign w:val="center"/>
          </w:tcPr>
          <w:p>
            <w:pPr>
              <w:pStyle w:val="28"/>
            </w:pPr>
            <w:r>
              <w:t>每日垃圾处理数量</w:t>
            </w:r>
          </w:p>
        </w:tc>
        <w:tc>
          <w:tcPr>
            <w:tcW w:w="2551" w:type="dxa"/>
            <w:vAlign w:val="center"/>
          </w:tcPr>
          <w:p>
            <w:pPr>
              <w:pStyle w:val="28"/>
            </w:pPr>
            <w:r>
              <w:t>≥450吨</w:t>
            </w:r>
          </w:p>
        </w:tc>
        <w:tc>
          <w:tcPr>
            <w:tcW w:w="2268" w:type="dxa"/>
            <w:vAlign w:val="center"/>
          </w:tcPr>
          <w:p>
            <w:pPr>
              <w:pStyle w:val="28"/>
            </w:pPr>
            <w:r>
              <w:t>《石家庄市藁城区建筑垃圾处理及生活垃圾分类特许经营项目-特许经营协议》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垃圾填埋场维护费</w:t>
            </w:r>
          </w:p>
        </w:tc>
        <w:tc>
          <w:tcPr>
            <w:tcW w:w="2835" w:type="dxa"/>
            <w:vAlign w:val="center"/>
          </w:tcPr>
          <w:p>
            <w:pPr>
              <w:pStyle w:val="28"/>
            </w:pPr>
            <w:r>
              <w:t>垃圾填埋场维护费</w:t>
            </w:r>
          </w:p>
        </w:tc>
        <w:tc>
          <w:tcPr>
            <w:tcW w:w="2551" w:type="dxa"/>
            <w:vAlign w:val="center"/>
          </w:tcPr>
          <w:p>
            <w:pPr>
              <w:pStyle w:val="28"/>
            </w:pPr>
            <w:r>
              <w:t>410.73万元</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生活垃圾及时处理率</w:t>
            </w:r>
          </w:p>
        </w:tc>
        <w:tc>
          <w:tcPr>
            <w:tcW w:w="2835" w:type="dxa"/>
            <w:vAlign w:val="center"/>
          </w:tcPr>
          <w:p>
            <w:pPr>
              <w:pStyle w:val="28"/>
            </w:pPr>
            <w:r>
              <w:t>每日处理生活垃圾数量占每日进场生活垃圾数量的比率</w:t>
            </w:r>
          </w:p>
        </w:tc>
        <w:tc>
          <w:tcPr>
            <w:tcW w:w="2551" w:type="dxa"/>
            <w:vAlign w:val="center"/>
          </w:tcPr>
          <w:p>
            <w:pPr>
              <w:pStyle w:val="28"/>
            </w:pPr>
            <w:r>
              <w:t>≥95%</w:t>
            </w:r>
          </w:p>
        </w:tc>
        <w:tc>
          <w:tcPr>
            <w:tcW w:w="2268" w:type="dxa"/>
            <w:vAlign w:val="center"/>
          </w:tcPr>
          <w:p>
            <w:pPr>
              <w:pStyle w:val="28"/>
            </w:pPr>
            <w:r>
              <w:t>垃圾处理台账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生活垃圾无害化处理率</w:t>
            </w:r>
          </w:p>
        </w:tc>
        <w:tc>
          <w:tcPr>
            <w:tcW w:w="2835" w:type="dxa"/>
            <w:vAlign w:val="center"/>
          </w:tcPr>
          <w:p>
            <w:pPr>
              <w:pStyle w:val="28"/>
            </w:pPr>
            <w:r>
              <w:t>生活垃圾无害化处理能量占总处理数量的比率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促进城市可持续发展</w:t>
            </w:r>
          </w:p>
        </w:tc>
        <w:tc>
          <w:tcPr>
            <w:tcW w:w="2835" w:type="dxa"/>
            <w:vAlign w:val="center"/>
          </w:tcPr>
          <w:p>
            <w:pPr>
              <w:pStyle w:val="28"/>
            </w:pPr>
            <w:r>
              <w:t>生活垃圾无害化处理，保护城市生态环境，保护水土资源不被污染，促进城市可持续发展。</w:t>
            </w:r>
          </w:p>
        </w:tc>
        <w:tc>
          <w:tcPr>
            <w:tcW w:w="2551" w:type="dxa"/>
            <w:vAlign w:val="center"/>
          </w:tcPr>
          <w:p>
            <w:pPr>
              <w:pStyle w:val="28"/>
            </w:pPr>
            <w:r>
              <w:t>≥95%</w:t>
            </w:r>
          </w:p>
        </w:tc>
        <w:tc>
          <w:tcPr>
            <w:tcW w:w="2268" w:type="dxa"/>
            <w:vAlign w:val="center"/>
          </w:tcPr>
          <w:p>
            <w:pPr>
              <w:pStyle w:val="28"/>
            </w:pPr>
            <w:r>
              <w:t>《石家庄市藁城区建筑垃圾处理及生活垃圾分类特许经营项目-特许经营协议》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居民满意率</w:t>
            </w:r>
          </w:p>
        </w:tc>
        <w:tc>
          <w:tcPr>
            <w:tcW w:w="2835" w:type="dxa"/>
            <w:vAlign w:val="center"/>
          </w:tcPr>
          <w:p>
            <w:pPr>
              <w:pStyle w:val="28"/>
            </w:pPr>
            <w:r>
              <w:t>调查中满意和较满意的居民数量占全部调查人数比率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42、垃圾转运站安装除臭设备绩效目标表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1.为35座垃圾转运站安装除臭设备，完善城市功能，提高城市文明程度和卫生水平，助力创建国家卫生城市，为市民创造更加宜居的城市环境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安装除臭设备数量</w:t>
            </w:r>
          </w:p>
        </w:tc>
        <w:tc>
          <w:tcPr>
            <w:tcW w:w="2835" w:type="dxa"/>
            <w:vAlign w:val="center"/>
          </w:tcPr>
          <w:p>
            <w:pPr>
              <w:pStyle w:val="28"/>
            </w:pPr>
            <w:r>
              <w:t>安装除臭设备数量</w:t>
            </w:r>
          </w:p>
        </w:tc>
        <w:tc>
          <w:tcPr>
            <w:tcW w:w="2551" w:type="dxa"/>
            <w:vAlign w:val="center"/>
          </w:tcPr>
          <w:p>
            <w:pPr>
              <w:pStyle w:val="28"/>
            </w:pPr>
            <w:r>
              <w:t>12套</w:t>
            </w:r>
          </w:p>
        </w:tc>
        <w:tc>
          <w:tcPr>
            <w:tcW w:w="2268" w:type="dxa"/>
            <w:vAlign w:val="center"/>
          </w:tcPr>
          <w:p>
            <w:pPr>
              <w:pStyle w:val="28"/>
            </w:pPr>
            <w:r>
              <w:t>《石家庄市创建国家卫生城市技术评估千分制考评细则》、《石家庄异味污染源排查整治工作方案》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采购单价</w:t>
            </w:r>
          </w:p>
        </w:tc>
        <w:tc>
          <w:tcPr>
            <w:tcW w:w="2835" w:type="dxa"/>
            <w:vAlign w:val="center"/>
          </w:tcPr>
          <w:p>
            <w:pPr>
              <w:pStyle w:val="28"/>
            </w:pPr>
            <w:r>
              <w:t>采购单价</w:t>
            </w:r>
          </w:p>
        </w:tc>
        <w:tc>
          <w:tcPr>
            <w:tcW w:w="2551" w:type="dxa"/>
            <w:vAlign w:val="center"/>
          </w:tcPr>
          <w:p>
            <w:pPr>
              <w:pStyle w:val="28"/>
            </w:pPr>
            <w:r>
              <w:t>3.8万元</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及时采购</w:t>
            </w:r>
          </w:p>
        </w:tc>
        <w:tc>
          <w:tcPr>
            <w:tcW w:w="2835" w:type="dxa"/>
            <w:vAlign w:val="center"/>
          </w:tcPr>
          <w:p>
            <w:pPr>
              <w:pStyle w:val="28"/>
            </w:pPr>
            <w:r>
              <w:t>及时采购</w:t>
            </w:r>
          </w:p>
        </w:tc>
        <w:tc>
          <w:tcPr>
            <w:tcW w:w="2551" w:type="dxa"/>
            <w:vAlign w:val="center"/>
          </w:tcPr>
          <w:p>
            <w:pPr>
              <w:pStyle w:val="28"/>
            </w:pPr>
            <w:r>
              <w:t>100%</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验收合格工程量占总工程量的比率</w:t>
            </w:r>
          </w:p>
        </w:tc>
        <w:tc>
          <w:tcPr>
            <w:tcW w:w="2551" w:type="dxa"/>
            <w:vAlign w:val="center"/>
          </w:tcPr>
          <w:p>
            <w:pPr>
              <w:pStyle w:val="28"/>
            </w:pPr>
            <w:r>
              <w:t>100%</w:t>
            </w:r>
          </w:p>
        </w:tc>
        <w:tc>
          <w:tcPr>
            <w:tcW w:w="2268" w:type="dxa"/>
            <w:vAlign w:val="center"/>
          </w:tcPr>
          <w:p>
            <w:pPr>
              <w:pStyle w:val="28"/>
            </w:pPr>
            <w:r>
              <w:t>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提高城区垃圾转运站建设管理水平，解决垃圾转运站异味污染，改善人居环境质量</w:t>
            </w:r>
          </w:p>
        </w:tc>
        <w:tc>
          <w:tcPr>
            <w:tcW w:w="2835" w:type="dxa"/>
            <w:vAlign w:val="center"/>
          </w:tcPr>
          <w:p>
            <w:pPr>
              <w:pStyle w:val="28"/>
            </w:pPr>
            <w:r>
              <w:t>提高垃圾转运站内外环境，管理标准，管理精细、服务到位。</w:t>
            </w:r>
          </w:p>
        </w:tc>
        <w:tc>
          <w:tcPr>
            <w:tcW w:w="2551" w:type="dxa"/>
            <w:vAlign w:val="center"/>
          </w:tcPr>
          <w:p>
            <w:pPr>
              <w:pStyle w:val="28"/>
            </w:pPr>
            <w:r>
              <w:t>≥90%</w:t>
            </w:r>
          </w:p>
        </w:tc>
        <w:tc>
          <w:tcPr>
            <w:tcW w:w="2268" w:type="dxa"/>
            <w:vAlign w:val="center"/>
          </w:tcPr>
          <w:p>
            <w:pPr>
              <w:pStyle w:val="28"/>
            </w:pPr>
            <w:r>
              <w:t>《石家庄市创建国家卫生城市技术评估千分制考评细则》、《石家庄异味污染源排查整治工作方案》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≥80%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numPr>
          <w:ilvl w:val="0"/>
          <w:numId w:val="6"/>
        </w:num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廉西大街1-2标段养护费（2019.11.16-2020.6.16）绩效目标表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1.植物生长健壮、无病虫害、无裸露地面，分车带植物修剪整齐，造型优美；开花植物能展现良好植物景观。</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垃圾及时清理率</w:t>
            </w:r>
          </w:p>
        </w:tc>
        <w:tc>
          <w:tcPr>
            <w:tcW w:w="2835" w:type="dxa"/>
            <w:vAlign w:val="center"/>
          </w:tcPr>
          <w:p>
            <w:pPr>
              <w:pStyle w:val="28"/>
            </w:pPr>
            <w:r>
              <w:t>绿地垃圾及时清理量占绿地内垃圾总量的比率</w:t>
            </w:r>
          </w:p>
        </w:tc>
        <w:tc>
          <w:tcPr>
            <w:tcW w:w="2551" w:type="dxa"/>
            <w:vAlign w:val="center"/>
          </w:tcPr>
          <w:p>
            <w:pPr>
              <w:pStyle w:val="28"/>
            </w:pPr>
            <w:r>
              <w:t>≥95%</w:t>
            </w:r>
          </w:p>
        </w:tc>
        <w:tc>
          <w:tcPr>
            <w:tcW w:w="2268" w:type="dxa"/>
            <w:vAlign w:val="center"/>
          </w:tcPr>
          <w:p>
            <w:pPr>
              <w:pStyle w:val="28"/>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植物保存率</w:t>
            </w:r>
          </w:p>
        </w:tc>
        <w:tc>
          <w:tcPr>
            <w:tcW w:w="2835" w:type="dxa"/>
            <w:vAlign w:val="center"/>
          </w:tcPr>
          <w:p>
            <w:pPr>
              <w:pStyle w:val="28"/>
            </w:pPr>
            <w:r>
              <w:t>存活植物数量占种植植物数量的比率</w:t>
            </w:r>
          </w:p>
        </w:tc>
        <w:tc>
          <w:tcPr>
            <w:tcW w:w="2551" w:type="dxa"/>
            <w:vAlign w:val="center"/>
          </w:tcPr>
          <w:p>
            <w:pPr>
              <w:pStyle w:val="28"/>
            </w:pPr>
            <w:r>
              <w:t>≥90%</w:t>
            </w:r>
          </w:p>
        </w:tc>
        <w:tc>
          <w:tcPr>
            <w:tcW w:w="2268" w:type="dxa"/>
            <w:vAlign w:val="center"/>
          </w:tcPr>
          <w:p>
            <w:pPr>
              <w:pStyle w:val="28"/>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廉西大街养护时间</w:t>
            </w:r>
          </w:p>
        </w:tc>
        <w:tc>
          <w:tcPr>
            <w:tcW w:w="2835" w:type="dxa"/>
            <w:vAlign w:val="center"/>
          </w:tcPr>
          <w:p>
            <w:pPr>
              <w:pStyle w:val="28"/>
            </w:pPr>
            <w:r>
              <w:t>廉西大街养护时间</w:t>
            </w:r>
          </w:p>
        </w:tc>
        <w:tc>
          <w:tcPr>
            <w:tcW w:w="2551" w:type="dxa"/>
            <w:vAlign w:val="center"/>
          </w:tcPr>
          <w:p>
            <w:pPr>
              <w:pStyle w:val="28"/>
            </w:pPr>
            <w:r>
              <w:t>7个月</w:t>
            </w:r>
          </w:p>
        </w:tc>
        <w:tc>
          <w:tcPr>
            <w:tcW w:w="2268" w:type="dxa"/>
            <w:vAlign w:val="center"/>
          </w:tcPr>
          <w:p>
            <w:pPr>
              <w:pStyle w:val="28"/>
            </w:pPr>
            <w:r>
              <w:t>请示</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廉西大街养护费</w:t>
            </w:r>
          </w:p>
        </w:tc>
        <w:tc>
          <w:tcPr>
            <w:tcW w:w="2835" w:type="dxa"/>
            <w:vAlign w:val="center"/>
          </w:tcPr>
          <w:p>
            <w:pPr>
              <w:pStyle w:val="28"/>
            </w:pPr>
            <w:r>
              <w:t>财政评审廉西大街养护费</w:t>
            </w:r>
          </w:p>
        </w:tc>
        <w:tc>
          <w:tcPr>
            <w:tcW w:w="2551" w:type="dxa"/>
            <w:vAlign w:val="center"/>
          </w:tcPr>
          <w:p>
            <w:pPr>
              <w:pStyle w:val="28"/>
            </w:pPr>
            <w:r>
              <w:t>161.66万元</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保证建成区绿地面积</w:t>
            </w:r>
          </w:p>
        </w:tc>
        <w:tc>
          <w:tcPr>
            <w:tcW w:w="2835" w:type="dxa"/>
            <w:vAlign w:val="center"/>
          </w:tcPr>
          <w:p>
            <w:pPr>
              <w:pStyle w:val="28"/>
            </w:pPr>
            <w:r>
              <w:t>保证建成区绿地面积，创造宜居环境</w:t>
            </w:r>
          </w:p>
        </w:tc>
        <w:tc>
          <w:tcPr>
            <w:tcW w:w="2551" w:type="dxa"/>
            <w:vAlign w:val="center"/>
          </w:tcPr>
          <w:p>
            <w:pPr>
              <w:pStyle w:val="28"/>
            </w:pPr>
            <w:r>
              <w:t>≥90%</w:t>
            </w:r>
          </w:p>
        </w:tc>
        <w:tc>
          <w:tcPr>
            <w:tcW w:w="2268" w:type="dxa"/>
            <w:vAlign w:val="center"/>
          </w:tcPr>
          <w:p>
            <w:pPr>
              <w:pStyle w:val="28"/>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6"/>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廉州路、育英路及迎宾大道灯杆悬挂宫灯工程绩效目标表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1.廉州路、育英路及迎宾大道灯杆悬挂材质为亚克力板宫灯样式串灯，已完成。丰富人民群众的精神文化生活，突出藁城特色，给全区人民营造一个欢乐、祥和、美观的节日气氛。</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悬挂亚克力板宫灯</w:t>
            </w:r>
          </w:p>
        </w:tc>
        <w:tc>
          <w:tcPr>
            <w:tcW w:w="2835" w:type="dxa"/>
            <w:vAlign w:val="center"/>
          </w:tcPr>
          <w:p>
            <w:pPr>
              <w:pStyle w:val="28"/>
            </w:pPr>
            <w:r>
              <w:t>悬挂亚克力板宫灯数量</w:t>
            </w:r>
          </w:p>
        </w:tc>
        <w:tc>
          <w:tcPr>
            <w:tcW w:w="2551" w:type="dxa"/>
            <w:vAlign w:val="center"/>
          </w:tcPr>
          <w:p>
            <w:pPr>
              <w:pStyle w:val="28"/>
            </w:pPr>
            <w:r>
              <w:t>542组</w:t>
            </w:r>
          </w:p>
        </w:tc>
        <w:tc>
          <w:tcPr>
            <w:tcW w:w="2268"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施工进度工程量占总工程量的比率</w:t>
            </w:r>
          </w:p>
        </w:tc>
        <w:tc>
          <w:tcPr>
            <w:tcW w:w="2551" w:type="dxa"/>
            <w:vAlign w:val="center"/>
          </w:tcPr>
          <w:p>
            <w:pPr>
              <w:pStyle w:val="28"/>
            </w:pPr>
            <w:r>
              <w:t>100%</w:t>
            </w:r>
          </w:p>
        </w:tc>
        <w:tc>
          <w:tcPr>
            <w:tcW w:w="2268" w:type="dxa"/>
            <w:vAlign w:val="center"/>
          </w:tcPr>
          <w:p>
            <w:pPr>
              <w:pStyle w:val="28"/>
            </w:pPr>
            <w:r>
              <w:t>合同、验收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工程费合同价格</w:t>
            </w:r>
          </w:p>
        </w:tc>
        <w:tc>
          <w:tcPr>
            <w:tcW w:w="2835" w:type="dxa"/>
            <w:vAlign w:val="center"/>
          </w:tcPr>
          <w:p>
            <w:pPr>
              <w:pStyle w:val="28"/>
            </w:pPr>
            <w:r>
              <w:t>工程费合同价格</w:t>
            </w:r>
          </w:p>
        </w:tc>
        <w:tc>
          <w:tcPr>
            <w:tcW w:w="2551" w:type="dxa"/>
            <w:vAlign w:val="center"/>
          </w:tcPr>
          <w:p>
            <w:pPr>
              <w:pStyle w:val="28"/>
            </w:pPr>
            <w:r>
              <w:t>172.01万元</w:t>
            </w:r>
          </w:p>
        </w:tc>
        <w:tc>
          <w:tcPr>
            <w:tcW w:w="2268" w:type="dxa"/>
            <w:vAlign w:val="center"/>
          </w:tcPr>
          <w:p>
            <w:pPr>
              <w:pStyle w:val="28"/>
            </w:pPr>
            <w:r>
              <w:t>中标通知书、合同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验收合格项目占验收项目的比率</w:t>
            </w:r>
          </w:p>
        </w:tc>
        <w:tc>
          <w:tcPr>
            <w:tcW w:w="2551" w:type="dxa"/>
            <w:vAlign w:val="center"/>
          </w:tcPr>
          <w:p>
            <w:pPr>
              <w:pStyle w:val="28"/>
            </w:pPr>
            <w:r>
              <w:t>100%</w:t>
            </w:r>
          </w:p>
        </w:tc>
        <w:tc>
          <w:tcPr>
            <w:tcW w:w="2268"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提升城市夜景色彩，丰富市民生活</w:t>
            </w:r>
          </w:p>
        </w:tc>
        <w:tc>
          <w:tcPr>
            <w:tcW w:w="2835" w:type="dxa"/>
            <w:vAlign w:val="center"/>
          </w:tcPr>
          <w:p>
            <w:pPr>
              <w:pStyle w:val="28"/>
            </w:pPr>
            <w:r>
              <w:t>提升城市夜景观赏效果</w:t>
            </w:r>
          </w:p>
        </w:tc>
        <w:tc>
          <w:tcPr>
            <w:tcW w:w="2551" w:type="dxa"/>
            <w:vAlign w:val="center"/>
          </w:tcPr>
          <w:p>
            <w:pPr>
              <w:pStyle w:val="28"/>
            </w:pPr>
            <w:r>
              <w:t>≥90%</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45、农村积存生活垃圾清运费用绩效目标表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1.完成农村积存垃圾清运工作。完善提升环卫基础设施水平，落实国家级卫生城市创建工作，提升市容环境卫生水平，创造宜居环境。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动用清运垃圾车</w:t>
            </w:r>
          </w:p>
        </w:tc>
        <w:tc>
          <w:tcPr>
            <w:tcW w:w="2835" w:type="dxa"/>
            <w:vAlign w:val="center"/>
          </w:tcPr>
          <w:p>
            <w:pPr>
              <w:pStyle w:val="28"/>
            </w:pPr>
            <w:r>
              <w:t>动用清运垃圾车数量</w:t>
            </w:r>
          </w:p>
        </w:tc>
        <w:tc>
          <w:tcPr>
            <w:tcW w:w="2551" w:type="dxa"/>
            <w:vAlign w:val="center"/>
          </w:tcPr>
          <w:p>
            <w:pPr>
              <w:pStyle w:val="28"/>
            </w:pPr>
            <w:r>
              <w:t>17406车次</w:t>
            </w:r>
          </w:p>
        </w:tc>
        <w:tc>
          <w:tcPr>
            <w:tcW w:w="2268" w:type="dxa"/>
            <w:vAlign w:val="center"/>
          </w:tcPr>
          <w:p>
            <w:pPr>
              <w:pStyle w:val="28"/>
            </w:pPr>
            <w:r>
              <w:t>农村积存生活垃圾清运情况表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清运费单价</w:t>
            </w:r>
          </w:p>
        </w:tc>
        <w:tc>
          <w:tcPr>
            <w:tcW w:w="2835" w:type="dxa"/>
            <w:vAlign w:val="center"/>
          </w:tcPr>
          <w:p>
            <w:pPr>
              <w:pStyle w:val="28"/>
            </w:pPr>
            <w:r>
              <w:t>307国道以南清运费用单价</w:t>
            </w:r>
          </w:p>
        </w:tc>
        <w:tc>
          <w:tcPr>
            <w:tcW w:w="2551" w:type="dxa"/>
            <w:vAlign w:val="center"/>
          </w:tcPr>
          <w:p>
            <w:pPr>
              <w:pStyle w:val="28"/>
            </w:pPr>
            <w:r>
              <w:t>370元/车</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垃圾转运日产日清完成率（%）</w:t>
            </w:r>
          </w:p>
        </w:tc>
        <w:tc>
          <w:tcPr>
            <w:tcW w:w="2835" w:type="dxa"/>
            <w:vAlign w:val="center"/>
          </w:tcPr>
          <w:p>
            <w:pPr>
              <w:pStyle w:val="28"/>
            </w:pPr>
            <w:r>
              <w:t>垃圾转运日清量占日产量的比率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垃圾中转机械化实施率</w:t>
            </w:r>
          </w:p>
        </w:tc>
        <w:tc>
          <w:tcPr>
            <w:tcW w:w="2835" w:type="dxa"/>
            <w:vAlign w:val="center"/>
          </w:tcPr>
          <w:p>
            <w:pPr>
              <w:pStyle w:val="28"/>
            </w:pPr>
            <w:r>
              <w:t>垃圾机械中转数量占垃圾中转总量的比率</w:t>
            </w:r>
          </w:p>
        </w:tc>
        <w:tc>
          <w:tcPr>
            <w:tcW w:w="2551" w:type="dxa"/>
            <w:vAlign w:val="center"/>
          </w:tcPr>
          <w:p>
            <w:pPr>
              <w:pStyle w:val="28"/>
            </w:pPr>
            <w:r>
              <w:t>≥90%</w:t>
            </w:r>
          </w:p>
        </w:tc>
        <w:tc>
          <w:tcPr>
            <w:tcW w:w="2268" w:type="dxa"/>
            <w:vAlign w:val="center"/>
          </w:tcPr>
          <w:p>
            <w:pPr>
              <w:pStyle w:val="28"/>
            </w:pPr>
            <w:r>
              <w:t>《2018年创建国家卫生城市工作推进方案》《藁城区创建国家卫生城市工作技术评估千分制考评细则》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完善提升环卫基础设施水平</w:t>
            </w:r>
          </w:p>
        </w:tc>
        <w:tc>
          <w:tcPr>
            <w:tcW w:w="2835" w:type="dxa"/>
            <w:vAlign w:val="center"/>
          </w:tcPr>
          <w:p>
            <w:pPr>
              <w:pStyle w:val="28"/>
            </w:pPr>
            <w:r>
              <w:t>完善提升环卫基础设施水平，创造宜居农村环境。</w:t>
            </w:r>
          </w:p>
        </w:tc>
        <w:tc>
          <w:tcPr>
            <w:tcW w:w="2551" w:type="dxa"/>
            <w:vAlign w:val="center"/>
          </w:tcPr>
          <w:p>
            <w:pPr>
              <w:pStyle w:val="28"/>
            </w:pPr>
            <w:r>
              <w:t>≥90%</w:t>
            </w:r>
          </w:p>
        </w:tc>
        <w:tc>
          <w:tcPr>
            <w:tcW w:w="2268" w:type="dxa"/>
            <w:vAlign w:val="center"/>
          </w:tcPr>
          <w:p>
            <w:pPr>
              <w:pStyle w:val="28"/>
            </w:pPr>
            <w:r>
              <w:t>《2018年创建国家卫生城市工作推进方案》《藁城区创建国家卫生城市工作技术评估千分制考评细则》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46、</w:t>
      </w:r>
      <w:r>
        <w:rPr>
          <w:rFonts w:ascii="方正仿宋_GBK" w:hAnsi="方正仿宋_GBK" w:eastAsia="方正仿宋_GBK" w:cs="方正仿宋_GBK"/>
          <w:b/>
          <w:color w:val="000000"/>
          <w:sz w:val="28"/>
        </w:rPr>
        <w:t>农村垃圾分类试点工作经费绩效目标表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1.目标内容1主要用于梅花镇倪家庄村垃圾分类试点工作的运营</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及时签订服务合同</w:t>
            </w:r>
          </w:p>
        </w:tc>
        <w:tc>
          <w:tcPr>
            <w:tcW w:w="2835" w:type="dxa"/>
            <w:vAlign w:val="center"/>
          </w:tcPr>
          <w:p>
            <w:pPr>
              <w:pStyle w:val="28"/>
            </w:pPr>
            <w:r>
              <w:t>及时签订服务合同</w:t>
            </w:r>
          </w:p>
        </w:tc>
        <w:tc>
          <w:tcPr>
            <w:tcW w:w="2551" w:type="dxa"/>
            <w:vAlign w:val="center"/>
          </w:tcPr>
          <w:p>
            <w:pPr>
              <w:pStyle w:val="28"/>
            </w:pPr>
            <w:r>
              <w:t>100%</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村民垃圾分类知晓率</w:t>
            </w:r>
          </w:p>
        </w:tc>
        <w:tc>
          <w:tcPr>
            <w:tcW w:w="2835" w:type="dxa"/>
            <w:vAlign w:val="center"/>
          </w:tcPr>
          <w:p>
            <w:pPr>
              <w:pStyle w:val="28"/>
            </w:pPr>
            <w:r>
              <w:t>村民垃圾分类知晓率</w:t>
            </w:r>
          </w:p>
        </w:tc>
        <w:tc>
          <w:tcPr>
            <w:tcW w:w="2551" w:type="dxa"/>
            <w:vAlign w:val="center"/>
          </w:tcPr>
          <w:p>
            <w:pPr>
              <w:pStyle w:val="28"/>
            </w:pPr>
            <w:r>
              <w:t>100%</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农村垃圾分类试点运营服务费用</w:t>
            </w:r>
          </w:p>
        </w:tc>
        <w:tc>
          <w:tcPr>
            <w:tcW w:w="2835" w:type="dxa"/>
            <w:vAlign w:val="center"/>
          </w:tcPr>
          <w:p>
            <w:pPr>
              <w:pStyle w:val="28"/>
            </w:pPr>
            <w:r>
              <w:t>倪家庄村生活垃圾分类年服务费</w:t>
            </w:r>
          </w:p>
        </w:tc>
        <w:tc>
          <w:tcPr>
            <w:tcW w:w="2551" w:type="dxa"/>
            <w:vAlign w:val="center"/>
          </w:tcPr>
          <w:p>
            <w:pPr>
              <w:pStyle w:val="28"/>
            </w:pPr>
            <w:r>
              <w:t>12万</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农村垃圾分类试点</w:t>
            </w:r>
          </w:p>
        </w:tc>
        <w:tc>
          <w:tcPr>
            <w:tcW w:w="2835" w:type="dxa"/>
            <w:vAlign w:val="center"/>
          </w:tcPr>
          <w:p>
            <w:pPr>
              <w:pStyle w:val="28"/>
            </w:pPr>
            <w:r>
              <w:t>梅花镇倪家庄村</w:t>
            </w:r>
          </w:p>
        </w:tc>
        <w:tc>
          <w:tcPr>
            <w:tcW w:w="2551" w:type="dxa"/>
            <w:vAlign w:val="center"/>
          </w:tcPr>
          <w:p>
            <w:pPr>
              <w:pStyle w:val="28"/>
            </w:pPr>
            <w:r>
              <w:t>1个</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农村生活垃圾分类运营良好，发挥了示范引领作用</w:t>
            </w:r>
          </w:p>
        </w:tc>
        <w:tc>
          <w:tcPr>
            <w:tcW w:w="2835" w:type="dxa"/>
            <w:vAlign w:val="center"/>
          </w:tcPr>
          <w:p>
            <w:pPr>
              <w:pStyle w:val="28"/>
            </w:pPr>
            <w:r>
              <w:t>农村生活垃圾分类运营良好，发挥了示范引领作用</w:t>
            </w:r>
          </w:p>
        </w:tc>
        <w:tc>
          <w:tcPr>
            <w:tcW w:w="2551" w:type="dxa"/>
            <w:vAlign w:val="center"/>
          </w:tcPr>
          <w:p>
            <w:pPr>
              <w:pStyle w:val="28"/>
            </w:pPr>
            <w:r>
              <w:t>≥90%</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居民满意程度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7"/>
        </w:num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农村生活垃圾市场化运营费绩效目标表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1.全区226个农村区域主要街道卫生整洁，小街小巷干净整齐，无垃圾无漂浮物，垃圾桶外无散落垃圾。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及时考核完成率</w:t>
            </w:r>
          </w:p>
        </w:tc>
        <w:tc>
          <w:tcPr>
            <w:tcW w:w="2835" w:type="dxa"/>
            <w:vAlign w:val="center"/>
          </w:tcPr>
          <w:p>
            <w:pPr>
              <w:pStyle w:val="28"/>
            </w:pPr>
            <w:r>
              <w:t>及时完成考核乡镇数量占所有乡镇数量的比率</w:t>
            </w:r>
          </w:p>
        </w:tc>
        <w:tc>
          <w:tcPr>
            <w:tcW w:w="2551" w:type="dxa"/>
            <w:vAlign w:val="center"/>
          </w:tcPr>
          <w:p>
            <w:pPr>
              <w:pStyle w:val="28"/>
            </w:pPr>
            <w:r>
              <w:t>100%</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年运营费</w:t>
            </w:r>
          </w:p>
        </w:tc>
        <w:tc>
          <w:tcPr>
            <w:tcW w:w="2835" w:type="dxa"/>
            <w:vAlign w:val="center"/>
          </w:tcPr>
          <w:p>
            <w:pPr>
              <w:pStyle w:val="28"/>
            </w:pPr>
            <w:r>
              <w:t>年运营费</w:t>
            </w:r>
          </w:p>
        </w:tc>
        <w:tc>
          <w:tcPr>
            <w:tcW w:w="2551" w:type="dxa"/>
            <w:vAlign w:val="center"/>
          </w:tcPr>
          <w:p>
            <w:pPr>
              <w:pStyle w:val="28"/>
            </w:pPr>
            <w:r>
              <w:t>5072.19万元</w:t>
            </w:r>
          </w:p>
        </w:tc>
        <w:tc>
          <w:tcPr>
            <w:tcW w:w="2268" w:type="dxa"/>
            <w:vAlign w:val="center"/>
          </w:tcPr>
          <w:p>
            <w:pPr>
              <w:pStyle w:val="28"/>
            </w:pPr>
            <w:r>
              <w:t>中标通知书、合同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农村垃圾市场化运营覆盖乡镇</w:t>
            </w:r>
          </w:p>
        </w:tc>
        <w:tc>
          <w:tcPr>
            <w:tcW w:w="2835" w:type="dxa"/>
            <w:vAlign w:val="center"/>
          </w:tcPr>
          <w:p>
            <w:pPr>
              <w:pStyle w:val="28"/>
            </w:pPr>
            <w:r>
              <w:t>农村垃圾市场化运营覆盖乡镇数量</w:t>
            </w:r>
          </w:p>
        </w:tc>
        <w:tc>
          <w:tcPr>
            <w:tcW w:w="2551" w:type="dxa"/>
            <w:vAlign w:val="center"/>
          </w:tcPr>
          <w:p>
            <w:pPr>
              <w:pStyle w:val="28"/>
            </w:pPr>
            <w:r>
              <w:t>14个</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清扫保洁率（%）</w:t>
            </w:r>
          </w:p>
        </w:tc>
        <w:tc>
          <w:tcPr>
            <w:tcW w:w="2835" w:type="dxa"/>
            <w:vAlign w:val="center"/>
          </w:tcPr>
          <w:p>
            <w:pPr>
              <w:pStyle w:val="28"/>
            </w:pPr>
            <w:r>
              <w:t>清扫面积占全部应清扫面积的比率</w:t>
            </w:r>
          </w:p>
        </w:tc>
        <w:tc>
          <w:tcPr>
            <w:tcW w:w="2551" w:type="dxa"/>
            <w:vAlign w:val="center"/>
          </w:tcPr>
          <w:p>
            <w:pPr>
              <w:pStyle w:val="28"/>
            </w:pPr>
            <w:r>
              <w:t>≥90%</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改善农村生活环境</w:t>
            </w:r>
          </w:p>
        </w:tc>
        <w:tc>
          <w:tcPr>
            <w:tcW w:w="2835" w:type="dxa"/>
            <w:vAlign w:val="center"/>
          </w:tcPr>
          <w:p>
            <w:pPr>
              <w:pStyle w:val="28"/>
            </w:pPr>
            <w:r>
              <w:t>实现农村环境卫生大改观，农村面貌大提升。</w:t>
            </w:r>
          </w:p>
        </w:tc>
        <w:tc>
          <w:tcPr>
            <w:tcW w:w="2551" w:type="dxa"/>
            <w:vAlign w:val="center"/>
          </w:tcPr>
          <w:p>
            <w:pPr>
              <w:pStyle w:val="28"/>
            </w:pPr>
            <w:r>
              <w:t>≥90%</w:t>
            </w:r>
          </w:p>
        </w:tc>
        <w:tc>
          <w:tcPr>
            <w:tcW w:w="2268" w:type="dxa"/>
            <w:vAlign w:val="center"/>
          </w:tcPr>
          <w:p>
            <w:pPr>
              <w:pStyle w:val="28"/>
            </w:pPr>
            <w:r>
              <w:t>藁政办文【2018】91、92号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7"/>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人民医院北侧停车场建设用地租金绩效目标表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1.完成场地租赁，进行停车场建设。解决停车难、停车乱及由停车设施不足导致的一系列交通问题。</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租赁期限</w:t>
            </w:r>
          </w:p>
        </w:tc>
        <w:tc>
          <w:tcPr>
            <w:tcW w:w="2835" w:type="dxa"/>
            <w:vAlign w:val="center"/>
          </w:tcPr>
          <w:p>
            <w:pPr>
              <w:pStyle w:val="28"/>
            </w:pPr>
            <w:r>
              <w:t>合同租赁期限</w:t>
            </w:r>
          </w:p>
        </w:tc>
        <w:tc>
          <w:tcPr>
            <w:tcW w:w="2551" w:type="dxa"/>
            <w:vAlign w:val="center"/>
          </w:tcPr>
          <w:p>
            <w:pPr>
              <w:pStyle w:val="28"/>
            </w:pPr>
            <w:r>
              <w:t>1年</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验收合格工程量占总工程量的比率</w:t>
            </w:r>
          </w:p>
        </w:tc>
        <w:tc>
          <w:tcPr>
            <w:tcW w:w="2551" w:type="dxa"/>
            <w:vAlign w:val="center"/>
          </w:tcPr>
          <w:p>
            <w:pPr>
              <w:pStyle w:val="28"/>
            </w:pPr>
            <w:r>
              <w:t>100%</w:t>
            </w:r>
          </w:p>
        </w:tc>
        <w:tc>
          <w:tcPr>
            <w:tcW w:w="2268" w:type="dxa"/>
            <w:vAlign w:val="center"/>
          </w:tcPr>
          <w:p>
            <w:pPr>
              <w:pStyle w:val="28"/>
            </w:pPr>
            <w:r>
              <w:t>城市公共停车场工程项目建设标准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租赁价格</w:t>
            </w:r>
          </w:p>
        </w:tc>
        <w:tc>
          <w:tcPr>
            <w:tcW w:w="2835" w:type="dxa"/>
            <w:vAlign w:val="center"/>
          </w:tcPr>
          <w:p>
            <w:pPr>
              <w:pStyle w:val="28"/>
            </w:pPr>
            <w:r>
              <w:t>年租赁价格</w:t>
            </w:r>
          </w:p>
        </w:tc>
        <w:tc>
          <w:tcPr>
            <w:tcW w:w="2551" w:type="dxa"/>
            <w:vAlign w:val="center"/>
          </w:tcPr>
          <w:p>
            <w:pPr>
              <w:pStyle w:val="28"/>
            </w:pPr>
            <w:r>
              <w:t>20万元</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占地面积</w:t>
            </w:r>
          </w:p>
        </w:tc>
        <w:tc>
          <w:tcPr>
            <w:tcW w:w="2835" w:type="dxa"/>
            <w:vAlign w:val="center"/>
          </w:tcPr>
          <w:p>
            <w:pPr>
              <w:pStyle w:val="28"/>
            </w:pPr>
            <w:r>
              <w:t>占地面积</w:t>
            </w:r>
          </w:p>
        </w:tc>
        <w:tc>
          <w:tcPr>
            <w:tcW w:w="2551" w:type="dxa"/>
            <w:vAlign w:val="center"/>
          </w:tcPr>
          <w:p>
            <w:pPr>
              <w:pStyle w:val="28"/>
            </w:pPr>
            <w:r>
              <w:t>8067.5平方米</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停车舒适度</w:t>
            </w:r>
          </w:p>
        </w:tc>
        <w:tc>
          <w:tcPr>
            <w:tcW w:w="2835" w:type="dxa"/>
            <w:vAlign w:val="center"/>
          </w:tcPr>
          <w:p>
            <w:pPr>
              <w:pStyle w:val="28"/>
            </w:pPr>
            <w:r>
              <w:t>缓解居民停车难的问题</w:t>
            </w:r>
          </w:p>
        </w:tc>
        <w:tc>
          <w:tcPr>
            <w:tcW w:w="2551" w:type="dxa"/>
            <w:vAlign w:val="center"/>
          </w:tcPr>
          <w:p>
            <w:pPr>
              <w:pStyle w:val="28"/>
            </w:pPr>
            <w:r>
              <w:t>≥90%</w:t>
            </w:r>
          </w:p>
        </w:tc>
        <w:tc>
          <w:tcPr>
            <w:tcW w:w="2268" w:type="dxa"/>
            <w:vAlign w:val="center"/>
          </w:tcPr>
          <w:p>
            <w:pPr>
              <w:pStyle w:val="28"/>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居民满意程度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7"/>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社区垃圾分类引导员经费绩效目标表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1.12个社区配备垃圾分类引导员，宣传引导垃圾分类工作，提高居民知晓率、参与率和投放准确率。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配备引导员的社区</w:t>
            </w:r>
          </w:p>
        </w:tc>
        <w:tc>
          <w:tcPr>
            <w:tcW w:w="2835" w:type="dxa"/>
            <w:vAlign w:val="center"/>
          </w:tcPr>
          <w:p>
            <w:pPr>
              <w:pStyle w:val="28"/>
            </w:pPr>
            <w:r>
              <w:t>配备引导员的社区数量</w:t>
            </w:r>
          </w:p>
        </w:tc>
        <w:tc>
          <w:tcPr>
            <w:tcW w:w="2551" w:type="dxa"/>
            <w:vAlign w:val="center"/>
          </w:tcPr>
          <w:p>
            <w:pPr>
              <w:pStyle w:val="28"/>
            </w:pPr>
            <w:r>
              <w:t>1228</w:t>
            </w:r>
          </w:p>
        </w:tc>
        <w:tc>
          <w:tcPr>
            <w:tcW w:w="2268" w:type="dxa"/>
            <w:vAlign w:val="center"/>
          </w:tcPr>
          <w:p>
            <w:pPr>
              <w:pStyle w:val="28"/>
            </w:pPr>
            <w:r>
              <w:t>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及时引导参与率</w:t>
            </w:r>
          </w:p>
        </w:tc>
        <w:tc>
          <w:tcPr>
            <w:tcW w:w="2835" w:type="dxa"/>
            <w:vAlign w:val="center"/>
          </w:tcPr>
          <w:p>
            <w:pPr>
              <w:pStyle w:val="28"/>
            </w:pPr>
            <w:r>
              <w:t>及时参与垃圾分类居民数量占社区居民数量的比率</w:t>
            </w:r>
          </w:p>
        </w:tc>
        <w:tc>
          <w:tcPr>
            <w:tcW w:w="2551" w:type="dxa"/>
            <w:vAlign w:val="center"/>
          </w:tcPr>
          <w:p>
            <w:pPr>
              <w:pStyle w:val="28"/>
            </w:pPr>
            <w:r>
              <w:t>≥951675.85</w:t>
            </w:r>
          </w:p>
        </w:tc>
        <w:tc>
          <w:tcPr>
            <w:tcW w:w="2268" w:type="dxa"/>
            <w:vAlign w:val="center"/>
          </w:tcPr>
          <w:p>
            <w:pPr>
              <w:pStyle w:val="28"/>
            </w:pP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社区生活垃圾分类引导员经费</w:t>
            </w:r>
          </w:p>
        </w:tc>
        <w:tc>
          <w:tcPr>
            <w:tcW w:w="2835" w:type="dxa"/>
            <w:vAlign w:val="center"/>
          </w:tcPr>
          <w:p>
            <w:pPr>
              <w:pStyle w:val="28"/>
            </w:pPr>
            <w:r>
              <w:t>引导员工资待遇</w:t>
            </w:r>
          </w:p>
        </w:tc>
        <w:tc>
          <w:tcPr>
            <w:tcW w:w="2551" w:type="dxa"/>
            <w:vAlign w:val="center"/>
          </w:tcPr>
          <w:p>
            <w:pPr>
              <w:pStyle w:val="28"/>
            </w:pPr>
            <w:r>
              <w:t>214.6890</w:t>
            </w:r>
          </w:p>
        </w:tc>
        <w:tc>
          <w:tcPr>
            <w:tcW w:w="2268" w:type="dxa"/>
            <w:vAlign w:val="center"/>
          </w:tcPr>
          <w:p>
            <w:pPr>
              <w:pStyle w:val="28"/>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投放准确率</w:t>
            </w:r>
          </w:p>
        </w:tc>
        <w:tc>
          <w:tcPr>
            <w:tcW w:w="2835" w:type="dxa"/>
            <w:vAlign w:val="center"/>
          </w:tcPr>
          <w:p>
            <w:pPr>
              <w:pStyle w:val="28"/>
            </w:pPr>
            <w:r>
              <w:t>垃圾分类准确次数占投放次数的比率</w:t>
            </w:r>
          </w:p>
        </w:tc>
        <w:tc>
          <w:tcPr>
            <w:tcW w:w="2551" w:type="dxa"/>
            <w:vAlign w:val="center"/>
          </w:tcPr>
          <w:p>
            <w:pPr>
              <w:pStyle w:val="28"/>
            </w:pPr>
            <w:r>
              <w:t>≥6090</w:t>
            </w:r>
          </w:p>
        </w:tc>
        <w:tc>
          <w:tcPr>
            <w:tcW w:w="2268" w:type="dxa"/>
            <w:vAlign w:val="center"/>
          </w:tcPr>
          <w:p>
            <w:pPr>
              <w:pStyle w:val="28"/>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净化环境，提高居民素质</w:t>
            </w:r>
          </w:p>
        </w:tc>
        <w:tc>
          <w:tcPr>
            <w:tcW w:w="2835" w:type="dxa"/>
            <w:vAlign w:val="center"/>
          </w:tcPr>
          <w:p>
            <w:pPr>
              <w:pStyle w:val="28"/>
            </w:pPr>
            <w:r>
              <w:t>净化环境，提高居民素质</w:t>
            </w:r>
          </w:p>
        </w:tc>
        <w:tc>
          <w:tcPr>
            <w:tcW w:w="2551" w:type="dxa"/>
            <w:vAlign w:val="center"/>
          </w:tcPr>
          <w:p>
            <w:pPr>
              <w:pStyle w:val="28"/>
            </w:pPr>
            <w:r>
              <w:t>≥9590</w:t>
            </w:r>
          </w:p>
        </w:tc>
        <w:tc>
          <w:tcPr>
            <w:tcW w:w="2268" w:type="dxa"/>
            <w:vAlign w:val="center"/>
          </w:tcPr>
          <w:p>
            <w:pPr>
              <w:pStyle w:val="28"/>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50、生活垃圾转运栾城、晋州、赵县垃圾焚烧厂处理费绩效目标表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预算数2489万元，其中：运往中节能（石家庄）环保能源有限公司活垃圾处置费用1178万元、晋州华融清润环保能源有限公司（河北久益环保工程有限公司）356万元、卡万塔（石家庄)新能源科技有限公司258万元，农村中转站运输费用696万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签订生活垃圾处置协议</w:t>
            </w:r>
          </w:p>
        </w:tc>
        <w:tc>
          <w:tcPr>
            <w:tcW w:w="2835" w:type="dxa"/>
            <w:vAlign w:val="center"/>
          </w:tcPr>
          <w:p>
            <w:pPr>
              <w:pStyle w:val="28"/>
            </w:pPr>
            <w:r>
              <w:t>签订生活垃圾处置协议数量</w:t>
            </w:r>
          </w:p>
        </w:tc>
        <w:tc>
          <w:tcPr>
            <w:tcW w:w="2551" w:type="dxa"/>
            <w:vAlign w:val="center"/>
          </w:tcPr>
          <w:p>
            <w:pPr>
              <w:pStyle w:val="28"/>
            </w:pPr>
            <w:r>
              <w:t>3个</w:t>
            </w:r>
          </w:p>
        </w:tc>
        <w:tc>
          <w:tcPr>
            <w:tcW w:w="2268" w:type="dxa"/>
            <w:vAlign w:val="center"/>
          </w:tcPr>
          <w:p>
            <w:pPr>
              <w:pStyle w:val="28"/>
            </w:pPr>
            <w:r>
              <w:t>《关于加快封闭停用生活垃圾焚烧处理设施覆盖地区填埋场的通知》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处理藁城区生活垃圾数量</w:t>
            </w:r>
          </w:p>
        </w:tc>
        <w:tc>
          <w:tcPr>
            <w:tcW w:w="2835" w:type="dxa"/>
            <w:vAlign w:val="center"/>
          </w:tcPr>
          <w:p>
            <w:pPr>
              <w:pStyle w:val="28"/>
            </w:pPr>
            <w:r>
              <w:t>处理建成区及乡镇生活垃圾数量约</w:t>
            </w:r>
          </w:p>
        </w:tc>
        <w:tc>
          <w:tcPr>
            <w:tcW w:w="2551" w:type="dxa"/>
            <w:vAlign w:val="center"/>
          </w:tcPr>
          <w:p>
            <w:pPr>
              <w:pStyle w:val="28"/>
            </w:pPr>
            <w:r>
              <w:t>22万吨</w:t>
            </w:r>
          </w:p>
        </w:tc>
        <w:tc>
          <w:tcPr>
            <w:tcW w:w="2268" w:type="dxa"/>
            <w:vAlign w:val="center"/>
          </w:tcPr>
          <w:p>
            <w:pPr>
              <w:pStyle w:val="28"/>
            </w:pPr>
            <w:r>
              <w:t>藁城区人口数量每天产生垃圾08-1.5公斤计算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生活垃圾处理及时率</w:t>
            </w:r>
          </w:p>
        </w:tc>
        <w:tc>
          <w:tcPr>
            <w:tcW w:w="2835" w:type="dxa"/>
            <w:vAlign w:val="center"/>
          </w:tcPr>
          <w:p>
            <w:pPr>
              <w:pStyle w:val="28"/>
            </w:pPr>
            <w:r>
              <w:t>生活垃圾处理及时率占应处理比率</w:t>
            </w:r>
          </w:p>
        </w:tc>
        <w:tc>
          <w:tcPr>
            <w:tcW w:w="2551" w:type="dxa"/>
            <w:vAlign w:val="center"/>
          </w:tcPr>
          <w:p>
            <w:pPr>
              <w:pStyle w:val="28"/>
            </w:pPr>
            <w:r>
              <w:t>100%</w:t>
            </w:r>
          </w:p>
        </w:tc>
        <w:tc>
          <w:tcPr>
            <w:tcW w:w="2268" w:type="dxa"/>
            <w:vAlign w:val="center"/>
          </w:tcPr>
          <w:p>
            <w:pPr>
              <w:pStyle w:val="28"/>
            </w:pPr>
            <w:r>
              <w:t>电厂磅单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生活垃圾处置费用每吨79元、80元，农村中转站运输费用每吨40元</w:t>
            </w:r>
          </w:p>
        </w:tc>
        <w:tc>
          <w:tcPr>
            <w:tcW w:w="2835" w:type="dxa"/>
            <w:vAlign w:val="center"/>
          </w:tcPr>
          <w:p>
            <w:pPr>
              <w:pStyle w:val="28"/>
            </w:pPr>
            <w:r>
              <w:t>生活垃圾处置费用每吨79元、80元，农村中转站运输费用每吨40元</w:t>
            </w:r>
          </w:p>
        </w:tc>
        <w:tc>
          <w:tcPr>
            <w:tcW w:w="2551" w:type="dxa"/>
            <w:vAlign w:val="center"/>
          </w:tcPr>
          <w:p>
            <w:pPr>
              <w:pStyle w:val="28"/>
            </w:pPr>
            <w:r>
              <w:t>≥2489万元</w:t>
            </w:r>
          </w:p>
        </w:tc>
        <w:tc>
          <w:tcPr>
            <w:tcW w:w="2268" w:type="dxa"/>
            <w:vAlign w:val="center"/>
          </w:tcPr>
          <w:p>
            <w:pPr>
              <w:pStyle w:val="28"/>
            </w:pPr>
            <w:r>
              <w:t>签订生活垃圾协议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提升垃圾无害化处理率达到100%，创造优质人居环境的效果。</w:t>
            </w:r>
          </w:p>
        </w:tc>
        <w:tc>
          <w:tcPr>
            <w:tcW w:w="2835" w:type="dxa"/>
            <w:vAlign w:val="center"/>
          </w:tcPr>
          <w:p>
            <w:pPr>
              <w:pStyle w:val="28"/>
            </w:pPr>
            <w:r>
              <w:t>提升垃圾无害化处理率达到100%，创造优质人居环境的效果。</w:t>
            </w:r>
          </w:p>
        </w:tc>
        <w:tc>
          <w:tcPr>
            <w:tcW w:w="2551" w:type="dxa"/>
            <w:vAlign w:val="center"/>
          </w:tcPr>
          <w:p>
            <w:pPr>
              <w:pStyle w:val="28"/>
            </w:pPr>
            <w:r>
              <w:t>100%</w:t>
            </w:r>
          </w:p>
        </w:tc>
        <w:tc>
          <w:tcPr>
            <w:tcW w:w="2268" w:type="dxa"/>
            <w:vAlign w:val="center"/>
          </w:tcPr>
          <w:p>
            <w:pPr>
              <w:pStyle w:val="28"/>
            </w:pPr>
            <w:r>
              <w:t>《河北省“十三五”城镇生活垃圾无害化处理设施建设规划》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51、</w:t>
      </w:r>
      <w:r>
        <w:rPr>
          <w:rFonts w:ascii="方正仿宋_GBK" w:hAnsi="方正仿宋_GBK" w:eastAsia="方正仿宋_GBK" w:cs="方正仿宋_GBK"/>
          <w:b/>
          <w:color w:val="000000"/>
          <w:sz w:val="28"/>
        </w:rPr>
        <w:t>市容管理、监察维护费绩效目标表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1.加强市容管理、渣土管理、广告管理和垃圾处理费收费管理。提高城市管理水平，改善城市容貌，创造有序环境。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协管员数量</w:t>
            </w:r>
          </w:p>
        </w:tc>
        <w:tc>
          <w:tcPr>
            <w:tcW w:w="2835" w:type="dxa"/>
            <w:vAlign w:val="center"/>
          </w:tcPr>
          <w:p>
            <w:pPr>
              <w:pStyle w:val="28"/>
            </w:pPr>
            <w:r>
              <w:t>协管员数量</w:t>
            </w:r>
          </w:p>
        </w:tc>
        <w:tc>
          <w:tcPr>
            <w:tcW w:w="2551" w:type="dxa"/>
            <w:vAlign w:val="center"/>
          </w:tcPr>
          <w:p>
            <w:pPr>
              <w:pStyle w:val="28"/>
            </w:pPr>
            <w:r>
              <w:t>368人</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年维护费</w:t>
            </w:r>
          </w:p>
        </w:tc>
        <w:tc>
          <w:tcPr>
            <w:tcW w:w="2835" w:type="dxa"/>
            <w:vAlign w:val="center"/>
          </w:tcPr>
          <w:p>
            <w:pPr>
              <w:pStyle w:val="28"/>
            </w:pPr>
            <w:r>
              <w:t>财政评审年维护费</w:t>
            </w:r>
          </w:p>
        </w:tc>
        <w:tc>
          <w:tcPr>
            <w:tcW w:w="2551" w:type="dxa"/>
            <w:vAlign w:val="center"/>
          </w:tcPr>
          <w:p>
            <w:pPr>
              <w:pStyle w:val="28"/>
            </w:pPr>
            <w:r>
              <w:t>2002.35万元</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日常巡查及时率（%）</w:t>
            </w:r>
          </w:p>
        </w:tc>
        <w:tc>
          <w:tcPr>
            <w:tcW w:w="2835" w:type="dxa"/>
            <w:vAlign w:val="center"/>
          </w:tcPr>
          <w:p>
            <w:pPr>
              <w:pStyle w:val="28"/>
            </w:pPr>
            <w:r>
              <w:t>有记录的巡查次数占规定巡查到场次数的比率</w:t>
            </w:r>
          </w:p>
        </w:tc>
        <w:tc>
          <w:tcPr>
            <w:tcW w:w="2551" w:type="dxa"/>
            <w:vAlign w:val="center"/>
          </w:tcPr>
          <w:p>
            <w:pPr>
              <w:pStyle w:val="28"/>
            </w:pPr>
            <w:r>
              <w:t>≥90%</w:t>
            </w:r>
          </w:p>
        </w:tc>
        <w:tc>
          <w:tcPr>
            <w:tcW w:w="2268" w:type="dxa"/>
            <w:vAlign w:val="center"/>
          </w:tcPr>
          <w:p>
            <w:pPr>
              <w:pStyle w:val="28"/>
            </w:pPr>
            <w:r>
              <w:t>石家庄市城市市容和环境卫生管理条例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“门前三包”检查合格率</w:t>
            </w:r>
          </w:p>
        </w:tc>
        <w:tc>
          <w:tcPr>
            <w:tcW w:w="2835" w:type="dxa"/>
            <w:vAlign w:val="center"/>
          </w:tcPr>
          <w:p>
            <w:pPr>
              <w:pStyle w:val="28"/>
            </w:pPr>
            <w:r>
              <w:t>“门前三包”检查合格次数占检查总次数的比率</w:t>
            </w:r>
          </w:p>
        </w:tc>
        <w:tc>
          <w:tcPr>
            <w:tcW w:w="2551" w:type="dxa"/>
            <w:vAlign w:val="center"/>
          </w:tcPr>
          <w:p>
            <w:pPr>
              <w:pStyle w:val="28"/>
            </w:pPr>
            <w:r>
              <w:t>≥95%</w:t>
            </w:r>
          </w:p>
        </w:tc>
        <w:tc>
          <w:tcPr>
            <w:tcW w:w="2268" w:type="dxa"/>
            <w:vAlign w:val="center"/>
          </w:tcPr>
          <w:p>
            <w:pPr>
              <w:pStyle w:val="28"/>
            </w:pPr>
            <w:r>
              <w:t>石家庄市城市市容和环境卫生管理条例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市容秩序良好、规范</w:t>
            </w:r>
          </w:p>
        </w:tc>
        <w:tc>
          <w:tcPr>
            <w:tcW w:w="2835" w:type="dxa"/>
            <w:vAlign w:val="center"/>
          </w:tcPr>
          <w:p>
            <w:pPr>
              <w:pStyle w:val="28"/>
            </w:pPr>
            <w:r>
              <w:t>提高城市管理水平，改善城市容貌，创造有序环境。</w:t>
            </w:r>
          </w:p>
        </w:tc>
        <w:tc>
          <w:tcPr>
            <w:tcW w:w="2551" w:type="dxa"/>
            <w:vAlign w:val="center"/>
          </w:tcPr>
          <w:p>
            <w:pPr>
              <w:pStyle w:val="28"/>
            </w:pPr>
            <w:r>
              <w:t>≥90%</w:t>
            </w:r>
          </w:p>
        </w:tc>
        <w:tc>
          <w:tcPr>
            <w:tcW w:w="2268" w:type="dxa"/>
            <w:vAlign w:val="center"/>
          </w:tcPr>
          <w:p>
            <w:pPr>
              <w:pStyle w:val="28"/>
            </w:pPr>
            <w:r>
              <w:t>石家庄市城市市容和环境卫生管理条例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numPr>
          <w:ilvl w:val="0"/>
          <w:numId w:val="8"/>
        </w:num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市容监察考评费绩效目标表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1.生活垃圾实现“日产日清、密闭运输”目标，使乡村街道卫生整洁，无垃圾无漂浮物，垃圾桶外无散落垃圾。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农村垃圾市场化运营考评覆盖乡镇</w:t>
            </w:r>
          </w:p>
        </w:tc>
        <w:tc>
          <w:tcPr>
            <w:tcW w:w="2835" w:type="dxa"/>
            <w:vAlign w:val="center"/>
          </w:tcPr>
          <w:p>
            <w:pPr>
              <w:pStyle w:val="28"/>
            </w:pPr>
            <w:r>
              <w:t>农村垃圾市场化运营考评覆盖乡镇数量</w:t>
            </w:r>
          </w:p>
        </w:tc>
        <w:tc>
          <w:tcPr>
            <w:tcW w:w="2551" w:type="dxa"/>
            <w:vAlign w:val="center"/>
          </w:tcPr>
          <w:p>
            <w:pPr>
              <w:pStyle w:val="28"/>
            </w:pPr>
            <w:r>
              <w:t>14个</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考评及时完成率</w:t>
            </w:r>
          </w:p>
        </w:tc>
        <w:tc>
          <w:tcPr>
            <w:tcW w:w="2835" w:type="dxa"/>
            <w:vAlign w:val="center"/>
          </w:tcPr>
          <w:p>
            <w:pPr>
              <w:pStyle w:val="28"/>
            </w:pPr>
            <w:r>
              <w:t>每月全区农村完成两次考评</w:t>
            </w:r>
          </w:p>
        </w:tc>
        <w:tc>
          <w:tcPr>
            <w:tcW w:w="2551" w:type="dxa"/>
            <w:vAlign w:val="center"/>
          </w:tcPr>
          <w:p>
            <w:pPr>
              <w:pStyle w:val="28"/>
            </w:pPr>
            <w:r>
              <w:t>≥90%</w:t>
            </w:r>
          </w:p>
        </w:tc>
        <w:tc>
          <w:tcPr>
            <w:tcW w:w="2268" w:type="dxa"/>
            <w:vAlign w:val="center"/>
          </w:tcPr>
          <w:p>
            <w:pPr>
              <w:pStyle w:val="28"/>
            </w:pPr>
            <w:r>
              <w:t>制度、考核办法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市容监察考评费</w:t>
            </w:r>
          </w:p>
        </w:tc>
        <w:tc>
          <w:tcPr>
            <w:tcW w:w="2835" w:type="dxa"/>
            <w:vAlign w:val="center"/>
          </w:tcPr>
          <w:p>
            <w:pPr>
              <w:pStyle w:val="28"/>
            </w:pPr>
            <w:r>
              <w:t>年市容监察考评费</w:t>
            </w:r>
          </w:p>
        </w:tc>
        <w:tc>
          <w:tcPr>
            <w:tcW w:w="2551" w:type="dxa"/>
            <w:vAlign w:val="center"/>
          </w:tcPr>
          <w:p>
            <w:pPr>
              <w:pStyle w:val="28"/>
            </w:pPr>
            <w:r>
              <w:t>29.9万元</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考评结果排名</w:t>
            </w:r>
          </w:p>
        </w:tc>
        <w:tc>
          <w:tcPr>
            <w:tcW w:w="2835" w:type="dxa"/>
            <w:vAlign w:val="center"/>
          </w:tcPr>
          <w:p>
            <w:pPr>
              <w:pStyle w:val="28"/>
            </w:pPr>
            <w:r>
              <w:t>完成乡镇月考核排名</w:t>
            </w:r>
          </w:p>
        </w:tc>
        <w:tc>
          <w:tcPr>
            <w:tcW w:w="2551" w:type="dxa"/>
            <w:vAlign w:val="center"/>
          </w:tcPr>
          <w:p>
            <w:pPr>
              <w:pStyle w:val="28"/>
            </w:pPr>
            <w:r>
              <w:t>≥90%</w:t>
            </w:r>
          </w:p>
        </w:tc>
        <w:tc>
          <w:tcPr>
            <w:tcW w:w="2268" w:type="dxa"/>
            <w:vAlign w:val="center"/>
          </w:tcPr>
          <w:p>
            <w:pPr>
              <w:pStyle w:val="28"/>
            </w:pPr>
            <w:r>
              <w:t>制度、考核办法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改善农村生活环境</w:t>
            </w:r>
          </w:p>
        </w:tc>
        <w:tc>
          <w:tcPr>
            <w:tcW w:w="2835" w:type="dxa"/>
            <w:vAlign w:val="center"/>
          </w:tcPr>
          <w:p>
            <w:pPr>
              <w:pStyle w:val="28"/>
            </w:pPr>
            <w:r>
              <w:t>实现农村环境卫生大改观，农村面貌大提升。</w:t>
            </w:r>
          </w:p>
        </w:tc>
        <w:tc>
          <w:tcPr>
            <w:tcW w:w="2551" w:type="dxa"/>
            <w:vAlign w:val="center"/>
          </w:tcPr>
          <w:p>
            <w:pPr>
              <w:pStyle w:val="28"/>
            </w:pPr>
            <w:r>
              <w:t>≥90%</w:t>
            </w:r>
          </w:p>
        </w:tc>
        <w:tc>
          <w:tcPr>
            <w:tcW w:w="2268" w:type="dxa"/>
            <w:vAlign w:val="center"/>
          </w:tcPr>
          <w:p>
            <w:pPr>
              <w:pStyle w:val="28"/>
            </w:pPr>
            <w:r>
              <w:t>藁政办文【2018】91、92号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8"/>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市容中队新办公场所水电暖费绩效目标表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1.提供新增办公楼的水、电、暖费用，有效保障新增办公楼的正常使用，楼内各项工作顺利开展，切实提升城管工作效率。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场地面积</w:t>
            </w:r>
          </w:p>
        </w:tc>
        <w:tc>
          <w:tcPr>
            <w:tcW w:w="2835" w:type="dxa"/>
            <w:vAlign w:val="center"/>
          </w:tcPr>
          <w:p>
            <w:pPr>
              <w:pStyle w:val="28"/>
            </w:pPr>
            <w:r>
              <w:t>使用水、电、暖的场所的建筑面积</w:t>
            </w:r>
          </w:p>
        </w:tc>
        <w:tc>
          <w:tcPr>
            <w:tcW w:w="2551" w:type="dxa"/>
            <w:vAlign w:val="center"/>
          </w:tcPr>
          <w:p>
            <w:pPr>
              <w:pStyle w:val="28"/>
            </w:pPr>
            <w:r>
              <w:t>2100平方米</w:t>
            </w:r>
          </w:p>
        </w:tc>
        <w:tc>
          <w:tcPr>
            <w:tcW w:w="2268" w:type="dxa"/>
            <w:vAlign w:val="center"/>
          </w:tcPr>
          <w:p>
            <w:pPr>
              <w:pStyle w:val="28"/>
            </w:pPr>
            <w:r>
              <w:t>实地测算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及时完成率</w:t>
            </w:r>
          </w:p>
        </w:tc>
        <w:tc>
          <w:tcPr>
            <w:tcW w:w="2835" w:type="dxa"/>
            <w:vAlign w:val="center"/>
          </w:tcPr>
          <w:p>
            <w:pPr>
              <w:pStyle w:val="28"/>
            </w:pPr>
            <w:r>
              <w:t>按期提供水、电、暖费用</w:t>
            </w:r>
          </w:p>
        </w:tc>
        <w:tc>
          <w:tcPr>
            <w:tcW w:w="2551" w:type="dxa"/>
            <w:vAlign w:val="center"/>
          </w:tcPr>
          <w:p>
            <w:pPr>
              <w:pStyle w:val="28"/>
            </w:pPr>
            <w:r>
              <w:t>≥90%</w:t>
            </w:r>
          </w:p>
        </w:tc>
        <w:tc>
          <w:tcPr>
            <w:tcW w:w="2268" w:type="dxa"/>
            <w:vAlign w:val="center"/>
          </w:tcPr>
          <w:p>
            <w:pPr>
              <w:pStyle w:val="28"/>
            </w:pPr>
            <w:r>
              <w:t>实地测算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使用合格率</w:t>
            </w:r>
          </w:p>
        </w:tc>
        <w:tc>
          <w:tcPr>
            <w:tcW w:w="2835" w:type="dxa"/>
            <w:vAlign w:val="center"/>
          </w:tcPr>
          <w:p>
            <w:pPr>
              <w:pStyle w:val="28"/>
            </w:pPr>
            <w:r>
              <w:t>满足行业标准的水、电、暖</w:t>
            </w:r>
          </w:p>
        </w:tc>
        <w:tc>
          <w:tcPr>
            <w:tcW w:w="2551" w:type="dxa"/>
            <w:vAlign w:val="center"/>
          </w:tcPr>
          <w:p>
            <w:pPr>
              <w:pStyle w:val="28"/>
            </w:pPr>
            <w:r>
              <w:t>100%</w:t>
            </w:r>
          </w:p>
        </w:tc>
        <w:tc>
          <w:tcPr>
            <w:tcW w:w="2268" w:type="dxa"/>
            <w:vAlign w:val="center"/>
          </w:tcPr>
          <w:p>
            <w:pPr>
              <w:pStyle w:val="28"/>
            </w:pPr>
            <w:r>
              <w:t>相关行业标准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水、电、暖费用</w:t>
            </w:r>
          </w:p>
        </w:tc>
        <w:tc>
          <w:tcPr>
            <w:tcW w:w="2835" w:type="dxa"/>
            <w:vAlign w:val="center"/>
          </w:tcPr>
          <w:p>
            <w:pPr>
              <w:pStyle w:val="28"/>
            </w:pPr>
            <w:r>
              <w:t>水、电、暖每年费用</w:t>
            </w:r>
          </w:p>
        </w:tc>
        <w:tc>
          <w:tcPr>
            <w:tcW w:w="2551" w:type="dxa"/>
            <w:vAlign w:val="center"/>
          </w:tcPr>
          <w:p>
            <w:pPr>
              <w:pStyle w:val="28"/>
            </w:pPr>
            <w:r>
              <w:t>18.51万元</w:t>
            </w:r>
          </w:p>
        </w:tc>
        <w:tc>
          <w:tcPr>
            <w:tcW w:w="2268" w:type="dxa"/>
            <w:vAlign w:val="center"/>
          </w:tcPr>
          <w:p>
            <w:pPr>
              <w:pStyle w:val="28"/>
            </w:pPr>
            <w:r>
              <w:t>实地测算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提高城管工作效率</w:t>
            </w:r>
          </w:p>
        </w:tc>
        <w:tc>
          <w:tcPr>
            <w:tcW w:w="2835" w:type="dxa"/>
            <w:vAlign w:val="center"/>
          </w:tcPr>
          <w:p>
            <w:pPr>
              <w:pStyle w:val="28"/>
            </w:pPr>
            <w:r>
              <w:t>有效保障新增办公楼的正常使用，楼内各项工作顺利开展，切实提升城管工作效率。</w:t>
            </w:r>
          </w:p>
        </w:tc>
        <w:tc>
          <w:tcPr>
            <w:tcW w:w="2551" w:type="dxa"/>
            <w:vAlign w:val="center"/>
          </w:tcPr>
          <w:p>
            <w:pPr>
              <w:pStyle w:val="28"/>
            </w:pPr>
            <w:r>
              <w:t>≥90%</w:t>
            </w:r>
          </w:p>
        </w:tc>
        <w:tc>
          <w:tcPr>
            <w:tcW w:w="2268" w:type="dxa"/>
            <w:vAlign w:val="center"/>
          </w:tcPr>
          <w:p>
            <w:pPr>
              <w:pStyle w:val="28"/>
            </w:pPr>
            <w:r>
              <w:t>石城管【2018】281号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工作人员满意度</w:t>
            </w:r>
          </w:p>
        </w:tc>
        <w:tc>
          <w:tcPr>
            <w:tcW w:w="2835" w:type="dxa"/>
            <w:vAlign w:val="center"/>
          </w:tcPr>
          <w:p>
            <w:pPr>
              <w:pStyle w:val="28"/>
            </w:pPr>
            <w:r>
              <w:t>工作人员满意度</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8"/>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市政设施维护费绩效目标表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1.确保城区道路、桥梁、排水、路灯等市政基础设施完好。改善城区容貌，方便市民出行。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及时维修率</w:t>
            </w:r>
          </w:p>
        </w:tc>
        <w:tc>
          <w:tcPr>
            <w:tcW w:w="2835" w:type="dxa"/>
            <w:vAlign w:val="center"/>
          </w:tcPr>
          <w:p>
            <w:pPr>
              <w:pStyle w:val="28"/>
            </w:pPr>
            <w:r>
              <w:t>及时维修设施数量占需维修数量的比率</w:t>
            </w:r>
          </w:p>
        </w:tc>
        <w:tc>
          <w:tcPr>
            <w:tcW w:w="2551" w:type="dxa"/>
            <w:vAlign w:val="center"/>
          </w:tcPr>
          <w:p>
            <w:pPr>
              <w:pStyle w:val="28"/>
            </w:pPr>
            <w:r>
              <w:t>≥90%</w:t>
            </w:r>
          </w:p>
        </w:tc>
        <w:tc>
          <w:tcPr>
            <w:tcW w:w="2268" w:type="dxa"/>
            <w:vAlign w:val="center"/>
          </w:tcPr>
          <w:p>
            <w:pPr>
              <w:pStyle w:val="28"/>
            </w:pPr>
            <w:r>
              <w:t>石家庄市城市市政工程设施管理条例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市政维护费</w:t>
            </w:r>
          </w:p>
        </w:tc>
        <w:tc>
          <w:tcPr>
            <w:tcW w:w="2835" w:type="dxa"/>
            <w:vAlign w:val="center"/>
          </w:tcPr>
          <w:p>
            <w:pPr>
              <w:pStyle w:val="28"/>
            </w:pPr>
            <w:r>
              <w:t>财政评审市政设施年维护费</w:t>
            </w:r>
          </w:p>
        </w:tc>
        <w:tc>
          <w:tcPr>
            <w:tcW w:w="2551" w:type="dxa"/>
            <w:vAlign w:val="center"/>
          </w:tcPr>
          <w:p>
            <w:pPr>
              <w:pStyle w:val="28"/>
            </w:pPr>
            <w:r>
              <w:t>1527.73万元</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管护石津渠桥</w:t>
            </w:r>
          </w:p>
        </w:tc>
        <w:tc>
          <w:tcPr>
            <w:tcW w:w="2835" w:type="dxa"/>
            <w:vAlign w:val="center"/>
          </w:tcPr>
          <w:p>
            <w:pPr>
              <w:pStyle w:val="28"/>
            </w:pPr>
            <w:r>
              <w:t>管护石津渠桥数量</w:t>
            </w:r>
          </w:p>
        </w:tc>
        <w:tc>
          <w:tcPr>
            <w:tcW w:w="2551" w:type="dxa"/>
            <w:vAlign w:val="center"/>
          </w:tcPr>
          <w:p>
            <w:pPr>
              <w:pStyle w:val="28"/>
            </w:pPr>
            <w:r>
              <w:t>7座</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道路、桥梁等设施完好率</w:t>
            </w:r>
          </w:p>
        </w:tc>
        <w:tc>
          <w:tcPr>
            <w:tcW w:w="2835" w:type="dxa"/>
            <w:vAlign w:val="center"/>
          </w:tcPr>
          <w:p>
            <w:pPr>
              <w:pStyle w:val="28"/>
            </w:pPr>
            <w:r>
              <w:t>达到可安全使用状态的设施数量占所管理设施的比率</w:t>
            </w:r>
          </w:p>
        </w:tc>
        <w:tc>
          <w:tcPr>
            <w:tcW w:w="2551" w:type="dxa"/>
            <w:vAlign w:val="center"/>
          </w:tcPr>
          <w:p>
            <w:pPr>
              <w:pStyle w:val="28"/>
            </w:pPr>
            <w:r>
              <w:t>≥90%</w:t>
            </w:r>
          </w:p>
        </w:tc>
        <w:tc>
          <w:tcPr>
            <w:tcW w:w="2268" w:type="dxa"/>
            <w:vAlign w:val="center"/>
          </w:tcPr>
          <w:p>
            <w:pPr>
              <w:pStyle w:val="28"/>
            </w:pPr>
            <w:r>
              <w:t>石家庄市城市市政工程设施管理条例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改善城区容貌，方便市民出行。</w:t>
            </w:r>
          </w:p>
        </w:tc>
        <w:tc>
          <w:tcPr>
            <w:tcW w:w="2835" w:type="dxa"/>
            <w:vAlign w:val="center"/>
          </w:tcPr>
          <w:p>
            <w:pPr>
              <w:pStyle w:val="28"/>
            </w:pPr>
            <w:r>
              <w:t>改善城区容貌，方便市民出行。</w:t>
            </w:r>
          </w:p>
        </w:tc>
        <w:tc>
          <w:tcPr>
            <w:tcW w:w="2551" w:type="dxa"/>
            <w:vAlign w:val="center"/>
          </w:tcPr>
          <w:p>
            <w:pPr>
              <w:pStyle w:val="28"/>
            </w:pPr>
            <w:r>
              <w:t>≥90%</w:t>
            </w:r>
          </w:p>
        </w:tc>
        <w:tc>
          <w:tcPr>
            <w:tcW w:w="2268" w:type="dxa"/>
            <w:vAlign w:val="center"/>
          </w:tcPr>
          <w:p>
            <w:pPr>
              <w:pStyle w:val="28"/>
            </w:pPr>
            <w:r>
              <w:t>石家庄市城市市政工程设施管理条例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55、收运、处置厨余垃圾费用绩效目标表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为切实做好生活垃圾分类工作，拟将我区餐厨垃圾收运、处置交给具备资质的第三方公司运行。收费标准依据石家庄市财政局核定补贴标准执行，处置费、运费合计每吨370元。经测算城区日均产生厨余垃圾20吨，年需费用266万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及时率</w:t>
            </w:r>
          </w:p>
        </w:tc>
        <w:tc>
          <w:tcPr>
            <w:tcW w:w="2835" w:type="dxa"/>
            <w:vAlign w:val="center"/>
          </w:tcPr>
          <w:p>
            <w:pPr>
              <w:pStyle w:val="28"/>
            </w:pPr>
            <w:r>
              <w:t>及时签订收运、处置合同</w:t>
            </w:r>
          </w:p>
        </w:tc>
        <w:tc>
          <w:tcPr>
            <w:tcW w:w="2551" w:type="dxa"/>
            <w:vAlign w:val="center"/>
          </w:tcPr>
          <w:p>
            <w:pPr>
              <w:pStyle w:val="28"/>
            </w:pPr>
            <w:r>
              <w:t>100%</w:t>
            </w:r>
          </w:p>
        </w:tc>
        <w:tc>
          <w:tcPr>
            <w:tcW w:w="2268" w:type="dxa"/>
            <w:vAlign w:val="center"/>
          </w:tcPr>
          <w:p>
            <w:pPr>
              <w:pStyle w:val="28"/>
            </w:pPr>
            <w:r>
              <w:t>《关于收运处置厨余垃圾的请示》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暂定补贴标准</w:t>
            </w:r>
          </w:p>
        </w:tc>
        <w:tc>
          <w:tcPr>
            <w:tcW w:w="2835" w:type="dxa"/>
            <w:vAlign w:val="center"/>
          </w:tcPr>
          <w:p>
            <w:pPr>
              <w:pStyle w:val="28"/>
            </w:pPr>
            <w:r>
              <w:t>暂定餐厨垃圾处理补贴标准</w:t>
            </w:r>
          </w:p>
        </w:tc>
        <w:tc>
          <w:tcPr>
            <w:tcW w:w="2551" w:type="dxa"/>
            <w:vAlign w:val="center"/>
          </w:tcPr>
          <w:p>
            <w:pPr>
              <w:pStyle w:val="28"/>
            </w:pPr>
            <w:r>
              <w:t>312元/吨</w:t>
            </w:r>
          </w:p>
        </w:tc>
        <w:tc>
          <w:tcPr>
            <w:tcW w:w="2268" w:type="dxa"/>
            <w:vAlign w:val="center"/>
          </w:tcPr>
          <w:p>
            <w:pPr>
              <w:pStyle w:val="28"/>
            </w:pPr>
            <w:r>
              <w:t>石家庄市财政局文件[2021]19号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日均产生厨余垃圾量</w:t>
            </w:r>
          </w:p>
        </w:tc>
        <w:tc>
          <w:tcPr>
            <w:tcW w:w="2835" w:type="dxa"/>
            <w:vAlign w:val="center"/>
          </w:tcPr>
          <w:p>
            <w:pPr>
              <w:pStyle w:val="28"/>
            </w:pPr>
            <w:r>
              <w:t>日均产生厨余垃圾量</w:t>
            </w:r>
          </w:p>
        </w:tc>
        <w:tc>
          <w:tcPr>
            <w:tcW w:w="2551" w:type="dxa"/>
            <w:vAlign w:val="center"/>
          </w:tcPr>
          <w:p>
            <w:pPr>
              <w:pStyle w:val="28"/>
            </w:pPr>
            <w:r>
              <w:t>20吨</w:t>
            </w:r>
          </w:p>
        </w:tc>
        <w:tc>
          <w:tcPr>
            <w:tcW w:w="2268" w:type="dxa"/>
            <w:vAlign w:val="center"/>
          </w:tcPr>
          <w:p>
            <w:pPr>
              <w:pStyle w:val="28"/>
            </w:pPr>
            <w:r>
              <w:t>《关于收运处置厨余垃圾的请示》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城区厨余垃圾分类收运、处置完成率</w:t>
            </w:r>
          </w:p>
        </w:tc>
        <w:tc>
          <w:tcPr>
            <w:tcW w:w="2835" w:type="dxa"/>
            <w:vAlign w:val="center"/>
          </w:tcPr>
          <w:p>
            <w:pPr>
              <w:pStyle w:val="28"/>
            </w:pPr>
            <w:r>
              <w:t>城区厨余垃圾分类实际收运、处置数量占应收运、处置数量的比例</w:t>
            </w:r>
          </w:p>
        </w:tc>
        <w:tc>
          <w:tcPr>
            <w:tcW w:w="2551" w:type="dxa"/>
            <w:vAlign w:val="center"/>
          </w:tcPr>
          <w:p>
            <w:pPr>
              <w:pStyle w:val="28"/>
            </w:pPr>
            <w:r>
              <w:t>≥90%</w:t>
            </w:r>
          </w:p>
        </w:tc>
        <w:tc>
          <w:tcPr>
            <w:tcW w:w="2268" w:type="dxa"/>
            <w:vAlign w:val="center"/>
          </w:tcPr>
          <w:p>
            <w:pPr>
              <w:pStyle w:val="28"/>
            </w:pPr>
            <w:r>
              <w:t>《石家庄市生活垃圾分类管理条例》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切实提高厨余垃圾处理率。</w:t>
            </w:r>
          </w:p>
        </w:tc>
        <w:tc>
          <w:tcPr>
            <w:tcW w:w="2835" w:type="dxa"/>
            <w:vAlign w:val="center"/>
          </w:tcPr>
          <w:p>
            <w:pPr>
              <w:pStyle w:val="28"/>
            </w:pPr>
            <w:r>
              <w:t>增强居民垃圾分类意识，显著改善居民生活环境</w:t>
            </w:r>
          </w:p>
        </w:tc>
        <w:tc>
          <w:tcPr>
            <w:tcW w:w="2551" w:type="dxa"/>
            <w:vAlign w:val="center"/>
          </w:tcPr>
          <w:p>
            <w:pPr>
              <w:pStyle w:val="28"/>
            </w:pPr>
            <w:r>
              <w:t>≥90%</w:t>
            </w:r>
          </w:p>
        </w:tc>
        <w:tc>
          <w:tcPr>
            <w:tcW w:w="2268" w:type="dxa"/>
            <w:vAlign w:val="center"/>
          </w:tcPr>
          <w:p>
            <w:pPr>
              <w:pStyle w:val="28"/>
            </w:pPr>
            <w:r>
              <w:t>《石家庄市生活垃圾分类管理条例》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56、数字城管运行费绩效目标表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1.数字城管、车辆远程管理平台、视频监控平台、对讲机平台运行正常。为城市管理工作提供技术支持，提高城市智能化管理水平。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视频监控网络点位</w:t>
            </w:r>
          </w:p>
        </w:tc>
        <w:tc>
          <w:tcPr>
            <w:tcW w:w="2835" w:type="dxa"/>
            <w:vAlign w:val="center"/>
          </w:tcPr>
          <w:p>
            <w:pPr>
              <w:pStyle w:val="28"/>
            </w:pPr>
            <w:r>
              <w:t>视频监控点位</w:t>
            </w:r>
          </w:p>
        </w:tc>
        <w:tc>
          <w:tcPr>
            <w:tcW w:w="2551" w:type="dxa"/>
            <w:vAlign w:val="center"/>
          </w:tcPr>
          <w:p>
            <w:pPr>
              <w:pStyle w:val="28"/>
            </w:pPr>
            <w:r>
              <w:t>79点位</w:t>
            </w:r>
          </w:p>
        </w:tc>
        <w:tc>
          <w:tcPr>
            <w:tcW w:w="2268" w:type="dxa"/>
            <w:vAlign w:val="center"/>
          </w:tcPr>
          <w:p>
            <w:pPr>
              <w:pStyle w:val="28"/>
            </w:pPr>
            <w:r>
              <w:t>2019年度数字城管运行经费评审报告恒方咨字[2019]第0474号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数字城管案件及时处理率</w:t>
            </w:r>
          </w:p>
        </w:tc>
        <w:tc>
          <w:tcPr>
            <w:tcW w:w="2835" w:type="dxa"/>
            <w:vAlign w:val="center"/>
          </w:tcPr>
          <w:p>
            <w:pPr>
              <w:pStyle w:val="28"/>
            </w:pPr>
            <w:r>
              <w:t>及时处理案件数量占总案件量的比率</w:t>
            </w:r>
          </w:p>
        </w:tc>
        <w:tc>
          <w:tcPr>
            <w:tcW w:w="2551" w:type="dxa"/>
            <w:vAlign w:val="center"/>
          </w:tcPr>
          <w:p>
            <w:pPr>
              <w:pStyle w:val="28"/>
            </w:pPr>
            <w:r>
              <w:t>≥95%</w:t>
            </w:r>
          </w:p>
        </w:tc>
        <w:tc>
          <w:tcPr>
            <w:tcW w:w="2268" w:type="dxa"/>
            <w:vAlign w:val="center"/>
          </w:tcPr>
          <w:p>
            <w:pPr>
              <w:pStyle w:val="28"/>
            </w:pPr>
            <w:r>
              <w:t>石家庄市市容管理考评办法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突发事件处置率</w:t>
            </w:r>
          </w:p>
        </w:tc>
        <w:tc>
          <w:tcPr>
            <w:tcW w:w="2835" w:type="dxa"/>
            <w:vAlign w:val="center"/>
          </w:tcPr>
          <w:p>
            <w:pPr>
              <w:pStyle w:val="28"/>
            </w:pPr>
            <w:r>
              <w:t>处置完成突发事件新闻数量占突发事件新闻数量的比率</w:t>
            </w:r>
          </w:p>
        </w:tc>
        <w:tc>
          <w:tcPr>
            <w:tcW w:w="2551" w:type="dxa"/>
            <w:vAlign w:val="center"/>
          </w:tcPr>
          <w:p>
            <w:pPr>
              <w:pStyle w:val="28"/>
            </w:pPr>
            <w:r>
              <w:t>≥90%</w:t>
            </w:r>
          </w:p>
        </w:tc>
        <w:tc>
          <w:tcPr>
            <w:tcW w:w="2268" w:type="dxa"/>
            <w:vAlign w:val="center"/>
          </w:tcPr>
          <w:p>
            <w:pPr>
              <w:pStyle w:val="28"/>
            </w:pPr>
            <w:r>
              <w:t>《石家庄市12319城管便民服务热线考评办法》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网络租用、平台维护费用</w:t>
            </w:r>
          </w:p>
        </w:tc>
        <w:tc>
          <w:tcPr>
            <w:tcW w:w="2835" w:type="dxa"/>
            <w:vAlign w:val="center"/>
          </w:tcPr>
          <w:p>
            <w:pPr>
              <w:pStyle w:val="28"/>
            </w:pPr>
            <w:r>
              <w:t>网络年度租用费、平台年度维护费</w:t>
            </w:r>
          </w:p>
        </w:tc>
        <w:tc>
          <w:tcPr>
            <w:tcW w:w="2551" w:type="dxa"/>
            <w:vAlign w:val="center"/>
          </w:tcPr>
          <w:p>
            <w:pPr>
              <w:pStyle w:val="28"/>
            </w:pPr>
            <w:r>
              <w:t>198.65万元</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提高城市管理水平，加大城市管理力度</w:t>
            </w:r>
          </w:p>
        </w:tc>
        <w:tc>
          <w:tcPr>
            <w:tcW w:w="2835" w:type="dxa"/>
            <w:vAlign w:val="center"/>
          </w:tcPr>
          <w:p>
            <w:pPr>
              <w:pStyle w:val="28"/>
            </w:pPr>
            <w:r>
              <w:t>提高城市管理水平，加大城市管理力度</w:t>
            </w:r>
          </w:p>
        </w:tc>
        <w:tc>
          <w:tcPr>
            <w:tcW w:w="2551" w:type="dxa"/>
            <w:vAlign w:val="center"/>
          </w:tcPr>
          <w:p>
            <w:pPr>
              <w:pStyle w:val="28"/>
            </w:pPr>
            <w:r>
              <w:t>≥95%</w:t>
            </w:r>
          </w:p>
        </w:tc>
        <w:tc>
          <w:tcPr>
            <w:tcW w:w="2268" w:type="dxa"/>
            <w:vAlign w:val="center"/>
          </w:tcPr>
          <w:p>
            <w:pPr>
              <w:pStyle w:val="28"/>
            </w:pPr>
            <w:r>
              <w:t>《石家庄市城管局2020年工作要点》、《石家庄市城管局2020年重点任务责任分解》、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numPr>
          <w:ilvl w:val="0"/>
          <w:numId w:val="9"/>
        </w:num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水上公园维护费绩效目标表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1.园内植物生长健壮，路面整洁，照明设施良好，人工湖水质洁净，公厕洁净无异味，园林小品和健身器材设施完好。园内秩序良好，便民服务周到完善。</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垃圾及时清理率</w:t>
            </w:r>
          </w:p>
        </w:tc>
        <w:tc>
          <w:tcPr>
            <w:tcW w:w="2835" w:type="dxa"/>
            <w:vAlign w:val="center"/>
          </w:tcPr>
          <w:p>
            <w:pPr>
              <w:pStyle w:val="28"/>
            </w:pPr>
            <w:r>
              <w:t>绿地垃圾及时清理量占园内垃圾总量的比率</w:t>
            </w:r>
          </w:p>
        </w:tc>
        <w:tc>
          <w:tcPr>
            <w:tcW w:w="2551" w:type="dxa"/>
            <w:vAlign w:val="center"/>
          </w:tcPr>
          <w:p>
            <w:pPr>
              <w:pStyle w:val="28"/>
            </w:pPr>
            <w:r>
              <w:t>≥95%</w:t>
            </w:r>
          </w:p>
        </w:tc>
        <w:tc>
          <w:tcPr>
            <w:tcW w:w="2268" w:type="dxa"/>
            <w:vAlign w:val="center"/>
          </w:tcPr>
          <w:p>
            <w:pPr>
              <w:pStyle w:val="28"/>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公共设施完好率</w:t>
            </w:r>
          </w:p>
        </w:tc>
        <w:tc>
          <w:tcPr>
            <w:tcW w:w="2835" w:type="dxa"/>
            <w:vAlign w:val="center"/>
          </w:tcPr>
          <w:p>
            <w:pPr>
              <w:pStyle w:val="28"/>
            </w:pPr>
            <w:r>
              <w:t>达到可安全使用状态的设施数量占所有公共设施的比率</w:t>
            </w:r>
          </w:p>
        </w:tc>
        <w:tc>
          <w:tcPr>
            <w:tcW w:w="2551" w:type="dxa"/>
            <w:vAlign w:val="center"/>
          </w:tcPr>
          <w:p>
            <w:pPr>
              <w:pStyle w:val="28"/>
            </w:pPr>
            <w:r>
              <w:t>≥90%</w:t>
            </w:r>
          </w:p>
        </w:tc>
        <w:tc>
          <w:tcPr>
            <w:tcW w:w="2268" w:type="dxa"/>
            <w:vAlign w:val="center"/>
          </w:tcPr>
          <w:p>
            <w:pPr>
              <w:pStyle w:val="28"/>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管护公园面积</w:t>
            </w:r>
          </w:p>
        </w:tc>
        <w:tc>
          <w:tcPr>
            <w:tcW w:w="2835" w:type="dxa"/>
            <w:vAlign w:val="center"/>
          </w:tcPr>
          <w:p>
            <w:pPr>
              <w:pStyle w:val="28"/>
            </w:pPr>
            <w:r>
              <w:t>管护公园面积</w:t>
            </w:r>
          </w:p>
        </w:tc>
        <w:tc>
          <w:tcPr>
            <w:tcW w:w="2551" w:type="dxa"/>
            <w:vAlign w:val="center"/>
          </w:tcPr>
          <w:p>
            <w:pPr>
              <w:pStyle w:val="28"/>
            </w:pPr>
            <w:r>
              <w:t>10.29万平方米</w:t>
            </w:r>
          </w:p>
        </w:tc>
        <w:tc>
          <w:tcPr>
            <w:tcW w:w="2268" w:type="dxa"/>
            <w:vAlign w:val="center"/>
          </w:tcPr>
          <w:p>
            <w:pPr>
              <w:pStyle w:val="28"/>
            </w:pPr>
            <w:r>
              <w:t>征地、租地协议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年维护费</w:t>
            </w:r>
          </w:p>
        </w:tc>
        <w:tc>
          <w:tcPr>
            <w:tcW w:w="2835" w:type="dxa"/>
            <w:vAlign w:val="center"/>
          </w:tcPr>
          <w:p>
            <w:pPr>
              <w:pStyle w:val="28"/>
            </w:pPr>
            <w:r>
              <w:t>财政评审年维护费</w:t>
            </w:r>
          </w:p>
        </w:tc>
        <w:tc>
          <w:tcPr>
            <w:tcW w:w="2551" w:type="dxa"/>
            <w:vAlign w:val="center"/>
          </w:tcPr>
          <w:p>
            <w:pPr>
              <w:pStyle w:val="28"/>
            </w:pPr>
            <w:r>
              <w:t>214.64万元</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年接待游客量</w:t>
            </w:r>
          </w:p>
        </w:tc>
        <w:tc>
          <w:tcPr>
            <w:tcW w:w="2835" w:type="dxa"/>
            <w:vAlign w:val="center"/>
          </w:tcPr>
          <w:p>
            <w:pPr>
              <w:pStyle w:val="28"/>
            </w:pPr>
            <w:r>
              <w:t>为市民提供休闲、健身场地</w:t>
            </w:r>
          </w:p>
        </w:tc>
        <w:tc>
          <w:tcPr>
            <w:tcW w:w="2551" w:type="dxa"/>
            <w:vAlign w:val="center"/>
          </w:tcPr>
          <w:p>
            <w:pPr>
              <w:pStyle w:val="28"/>
            </w:pPr>
            <w:r>
              <w:t>≥30万人</w:t>
            </w:r>
          </w:p>
        </w:tc>
        <w:tc>
          <w:tcPr>
            <w:tcW w:w="2268" w:type="dxa"/>
            <w:vAlign w:val="center"/>
          </w:tcPr>
          <w:p>
            <w:pPr>
              <w:pStyle w:val="28"/>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9"/>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污水处理厂（附属街道）和停车场建设工程前期工作费用绩效目标表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1.提升城市排水能力，改善环境质量水平，工程已完成前期工作。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工程项目数量</w:t>
            </w:r>
          </w:p>
        </w:tc>
        <w:tc>
          <w:tcPr>
            <w:tcW w:w="2835" w:type="dxa"/>
            <w:vAlign w:val="center"/>
          </w:tcPr>
          <w:p>
            <w:pPr>
              <w:pStyle w:val="28"/>
            </w:pPr>
            <w:r>
              <w:t>工程项目数量</w:t>
            </w:r>
          </w:p>
        </w:tc>
        <w:tc>
          <w:tcPr>
            <w:tcW w:w="2551" w:type="dxa"/>
            <w:vAlign w:val="center"/>
          </w:tcPr>
          <w:p>
            <w:pPr>
              <w:pStyle w:val="28"/>
            </w:pPr>
            <w:r>
              <w:t>4个</w:t>
            </w:r>
          </w:p>
        </w:tc>
        <w:tc>
          <w:tcPr>
            <w:tcW w:w="2268" w:type="dxa"/>
            <w:vAlign w:val="center"/>
          </w:tcPr>
          <w:p>
            <w:pPr>
              <w:pStyle w:val="28"/>
            </w:pPr>
            <w:r>
              <w:t>文本、合同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及时完成率</w:t>
            </w:r>
          </w:p>
        </w:tc>
        <w:tc>
          <w:tcPr>
            <w:tcW w:w="2835" w:type="dxa"/>
            <w:vAlign w:val="center"/>
          </w:tcPr>
          <w:p>
            <w:pPr>
              <w:pStyle w:val="28"/>
            </w:pPr>
            <w:r>
              <w:t>及时完成工程的前期服务工作</w:t>
            </w:r>
          </w:p>
        </w:tc>
        <w:tc>
          <w:tcPr>
            <w:tcW w:w="2551" w:type="dxa"/>
            <w:vAlign w:val="center"/>
          </w:tcPr>
          <w:p>
            <w:pPr>
              <w:pStyle w:val="28"/>
            </w:pPr>
            <w:r>
              <w:t>≥90%</w:t>
            </w:r>
          </w:p>
        </w:tc>
        <w:tc>
          <w:tcPr>
            <w:tcW w:w="2268" w:type="dxa"/>
            <w:vAlign w:val="center"/>
          </w:tcPr>
          <w:p>
            <w:pPr>
              <w:pStyle w:val="28"/>
            </w:pPr>
            <w:r>
              <w:t>文本、合同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前期服务项目合格率</w:t>
            </w:r>
          </w:p>
        </w:tc>
        <w:tc>
          <w:tcPr>
            <w:tcW w:w="2835" w:type="dxa"/>
            <w:vAlign w:val="center"/>
          </w:tcPr>
          <w:p>
            <w:pPr>
              <w:pStyle w:val="28"/>
            </w:pPr>
            <w:r>
              <w:t>前期服务合格项目数量占所有项目的比率</w:t>
            </w:r>
          </w:p>
        </w:tc>
        <w:tc>
          <w:tcPr>
            <w:tcW w:w="2551" w:type="dxa"/>
            <w:vAlign w:val="center"/>
          </w:tcPr>
          <w:p>
            <w:pPr>
              <w:pStyle w:val="28"/>
            </w:pPr>
            <w:r>
              <w:t>≥90%</w:t>
            </w:r>
          </w:p>
        </w:tc>
        <w:tc>
          <w:tcPr>
            <w:tcW w:w="2268" w:type="dxa"/>
            <w:vAlign w:val="center"/>
          </w:tcPr>
          <w:p>
            <w:pPr>
              <w:pStyle w:val="28"/>
            </w:pPr>
            <w:r>
              <w:t>文本、合同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评审中心其他费最高限价</w:t>
            </w:r>
          </w:p>
        </w:tc>
        <w:tc>
          <w:tcPr>
            <w:tcW w:w="2835" w:type="dxa"/>
            <w:vAlign w:val="center"/>
          </w:tcPr>
          <w:p>
            <w:pPr>
              <w:pStyle w:val="28"/>
            </w:pPr>
            <w:r>
              <w:t>评审中心其他费最高限价</w:t>
            </w:r>
          </w:p>
        </w:tc>
        <w:tc>
          <w:tcPr>
            <w:tcW w:w="2551" w:type="dxa"/>
            <w:vAlign w:val="center"/>
          </w:tcPr>
          <w:p>
            <w:pPr>
              <w:pStyle w:val="28"/>
            </w:pPr>
            <w:r>
              <w:t>624.77万元</w:t>
            </w:r>
          </w:p>
        </w:tc>
        <w:tc>
          <w:tcPr>
            <w:tcW w:w="2268" w:type="dxa"/>
            <w:vAlign w:val="center"/>
          </w:tcPr>
          <w:p>
            <w:pPr>
              <w:pStyle w:val="28"/>
            </w:pPr>
            <w:r>
              <w:t>最高限价评审书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提高基础设施水平</w:t>
            </w:r>
          </w:p>
        </w:tc>
        <w:tc>
          <w:tcPr>
            <w:tcW w:w="2835" w:type="dxa"/>
            <w:vAlign w:val="center"/>
          </w:tcPr>
          <w:p>
            <w:pPr>
              <w:pStyle w:val="28"/>
            </w:pPr>
            <w:r>
              <w:t>提升城市排水能力，改善环境质量水平</w:t>
            </w:r>
          </w:p>
        </w:tc>
        <w:tc>
          <w:tcPr>
            <w:tcW w:w="2551" w:type="dxa"/>
            <w:vAlign w:val="center"/>
          </w:tcPr>
          <w:p>
            <w:pPr>
              <w:pStyle w:val="28"/>
            </w:pPr>
            <w:r>
              <w:t>≥90%</w:t>
            </w:r>
          </w:p>
        </w:tc>
        <w:tc>
          <w:tcPr>
            <w:tcW w:w="2268" w:type="dxa"/>
            <w:vAlign w:val="center"/>
          </w:tcPr>
          <w:p>
            <w:pPr>
              <w:pStyle w:val="28"/>
            </w:pPr>
            <w:r>
              <w:t>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9"/>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新建生活垃圾分类集中投放点费用绩效目标表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1.用于有建设条件的居民小区建设生活垃圾分类集中投放点。提高居民知晓率、参与率和投放准确率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建设生活垃圾集中投放点数量</w:t>
            </w:r>
          </w:p>
        </w:tc>
        <w:tc>
          <w:tcPr>
            <w:tcW w:w="2835" w:type="dxa"/>
            <w:vAlign w:val="center"/>
          </w:tcPr>
          <w:p>
            <w:pPr>
              <w:pStyle w:val="28"/>
            </w:pPr>
            <w:r>
              <w:t>建设生活垃圾集中投放点数量</w:t>
            </w:r>
          </w:p>
        </w:tc>
        <w:tc>
          <w:tcPr>
            <w:tcW w:w="2551" w:type="dxa"/>
            <w:vAlign w:val="center"/>
          </w:tcPr>
          <w:p>
            <w:pPr>
              <w:pStyle w:val="28"/>
            </w:pPr>
            <w:r>
              <w:t>165个</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预算单价</w:t>
            </w:r>
          </w:p>
        </w:tc>
        <w:tc>
          <w:tcPr>
            <w:tcW w:w="2835" w:type="dxa"/>
            <w:vAlign w:val="center"/>
          </w:tcPr>
          <w:p>
            <w:pPr>
              <w:pStyle w:val="28"/>
            </w:pPr>
            <w:r>
              <w:t>预算单价</w:t>
            </w:r>
          </w:p>
        </w:tc>
        <w:tc>
          <w:tcPr>
            <w:tcW w:w="2551" w:type="dxa"/>
            <w:vAlign w:val="center"/>
          </w:tcPr>
          <w:p>
            <w:pPr>
              <w:pStyle w:val="28"/>
            </w:pPr>
            <w:r>
              <w:t>3万元</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知晓率100%，准确率60%</w:t>
            </w:r>
          </w:p>
        </w:tc>
        <w:tc>
          <w:tcPr>
            <w:tcW w:w="2551" w:type="dxa"/>
            <w:vAlign w:val="center"/>
          </w:tcPr>
          <w:p>
            <w:pPr>
              <w:pStyle w:val="28"/>
            </w:pPr>
            <w:r>
              <w:t>≥95%</w:t>
            </w:r>
          </w:p>
        </w:tc>
        <w:tc>
          <w:tcPr>
            <w:tcW w:w="2268" w:type="dxa"/>
            <w:vAlign w:val="center"/>
          </w:tcPr>
          <w:p>
            <w:pPr>
              <w:pStyle w:val="28"/>
            </w:pPr>
            <w:r>
              <w:t>《石家庄市2020年生活垃圾分类考评办法》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验收合格项目占验收项目的比率</w:t>
            </w:r>
          </w:p>
        </w:tc>
        <w:tc>
          <w:tcPr>
            <w:tcW w:w="2551" w:type="dxa"/>
            <w:vAlign w:val="center"/>
          </w:tcPr>
          <w:p>
            <w:pPr>
              <w:pStyle w:val="28"/>
            </w:pPr>
            <w:r>
              <w:t>100%</w:t>
            </w:r>
          </w:p>
        </w:tc>
        <w:tc>
          <w:tcPr>
            <w:tcW w:w="2268" w:type="dxa"/>
            <w:vAlign w:val="center"/>
          </w:tcPr>
          <w:p>
            <w:pPr>
              <w:pStyle w:val="28"/>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减少垃圾污染，提高垃圾无害化利用率</w:t>
            </w:r>
          </w:p>
        </w:tc>
        <w:tc>
          <w:tcPr>
            <w:tcW w:w="2835" w:type="dxa"/>
            <w:vAlign w:val="center"/>
          </w:tcPr>
          <w:p>
            <w:pPr>
              <w:pStyle w:val="28"/>
            </w:pPr>
            <w:r>
              <w:t>减少垃圾污染，提高垃圾无害化利用率</w:t>
            </w:r>
          </w:p>
        </w:tc>
        <w:tc>
          <w:tcPr>
            <w:tcW w:w="2551" w:type="dxa"/>
            <w:vAlign w:val="center"/>
          </w:tcPr>
          <w:p>
            <w:pPr>
              <w:pStyle w:val="28"/>
            </w:pPr>
            <w:r>
              <w:t>≥95%</w:t>
            </w:r>
          </w:p>
        </w:tc>
        <w:tc>
          <w:tcPr>
            <w:tcW w:w="2268" w:type="dxa"/>
            <w:vAlign w:val="center"/>
          </w:tcPr>
          <w:p>
            <w:pPr>
              <w:pStyle w:val="28"/>
            </w:pPr>
            <w:r>
              <w:t>《石家庄市2020年生活垃圾分类考评办法》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9"/>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兴华公园、体育公园办公费用绩效目标表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1.园内秩序良好，便民服务周到完善。满足正常办公需要。</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新增公园数量</w:t>
            </w:r>
          </w:p>
        </w:tc>
        <w:tc>
          <w:tcPr>
            <w:tcW w:w="2835" w:type="dxa"/>
            <w:vAlign w:val="center"/>
          </w:tcPr>
          <w:p>
            <w:pPr>
              <w:pStyle w:val="28"/>
            </w:pPr>
            <w:r>
              <w:t>新增公园数量</w:t>
            </w:r>
          </w:p>
        </w:tc>
        <w:tc>
          <w:tcPr>
            <w:tcW w:w="2551" w:type="dxa"/>
            <w:vAlign w:val="center"/>
          </w:tcPr>
          <w:p>
            <w:pPr>
              <w:pStyle w:val="28"/>
            </w:pPr>
            <w:r>
              <w:t>2个</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资金及时支付率</w:t>
            </w:r>
          </w:p>
        </w:tc>
        <w:tc>
          <w:tcPr>
            <w:tcW w:w="2835" w:type="dxa"/>
            <w:vAlign w:val="center"/>
          </w:tcPr>
          <w:p>
            <w:pPr>
              <w:pStyle w:val="28"/>
            </w:pPr>
            <w:r>
              <w:t>及时支付办公费</w:t>
            </w:r>
          </w:p>
        </w:tc>
        <w:tc>
          <w:tcPr>
            <w:tcW w:w="2551" w:type="dxa"/>
            <w:vAlign w:val="center"/>
          </w:tcPr>
          <w:p>
            <w:pPr>
              <w:pStyle w:val="28"/>
            </w:pPr>
            <w:r>
              <w:t>≥90%</w:t>
            </w:r>
          </w:p>
        </w:tc>
        <w:tc>
          <w:tcPr>
            <w:tcW w:w="2268" w:type="dxa"/>
            <w:vAlign w:val="center"/>
          </w:tcPr>
          <w:p>
            <w:pPr>
              <w:pStyle w:val="28"/>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公共设施完好率</w:t>
            </w:r>
          </w:p>
        </w:tc>
        <w:tc>
          <w:tcPr>
            <w:tcW w:w="2835" w:type="dxa"/>
            <w:vAlign w:val="center"/>
          </w:tcPr>
          <w:p>
            <w:pPr>
              <w:pStyle w:val="28"/>
            </w:pPr>
            <w:r>
              <w:t>达到可安全使用状态的设施数量占所有公共设施的比率</w:t>
            </w:r>
          </w:p>
        </w:tc>
        <w:tc>
          <w:tcPr>
            <w:tcW w:w="2551" w:type="dxa"/>
            <w:vAlign w:val="center"/>
          </w:tcPr>
          <w:p>
            <w:pPr>
              <w:pStyle w:val="28"/>
            </w:pPr>
            <w:r>
              <w:t>≥90%</w:t>
            </w:r>
          </w:p>
        </w:tc>
        <w:tc>
          <w:tcPr>
            <w:tcW w:w="2268" w:type="dxa"/>
            <w:vAlign w:val="center"/>
          </w:tcPr>
          <w:p>
            <w:pPr>
              <w:pStyle w:val="28"/>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年办公费用</w:t>
            </w:r>
          </w:p>
        </w:tc>
        <w:tc>
          <w:tcPr>
            <w:tcW w:w="2835" w:type="dxa"/>
            <w:vAlign w:val="center"/>
          </w:tcPr>
          <w:p>
            <w:pPr>
              <w:pStyle w:val="28"/>
            </w:pPr>
            <w:r>
              <w:t>年办公费用</w:t>
            </w:r>
          </w:p>
        </w:tc>
        <w:tc>
          <w:tcPr>
            <w:tcW w:w="2551" w:type="dxa"/>
            <w:vAlign w:val="center"/>
          </w:tcPr>
          <w:p>
            <w:pPr>
              <w:pStyle w:val="28"/>
            </w:pPr>
            <w:r>
              <w:t>25.9万元</w:t>
            </w:r>
          </w:p>
        </w:tc>
        <w:tc>
          <w:tcPr>
            <w:tcW w:w="2268" w:type="dxa"/>
            <w:vAlign w:val="center"/>
          </w:tcPr>
          <w:p>
            <w:pPr>
              <w:pStyle w:val="28"/>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提高工作效率，更好地服务周边居民</w:t>
            </w:r>
          </w:p>
        </w:tc>
        <w:tc>
          <w:tcPr>
            <w:tcW w:w="2835" w:type="dxa"/>
            <w:vAlign w:val="center"/>
          </w:tcPr>
          <w:p>
            <w:pPr>
              <w:pStyle w:val="28"/>
            </w:pPr>
            <w:r>
              <w:t>提高工作效率，更好地服务周边居民</w:t>
            </w:r>
          </w:p>
        </w:tc>
        <w:tc>
          <w:tcPr>
            <w:tcW w:w="2551" w:type="dxa"/>
            <w:vAlign w:val="center"/>
          </w:tcPr>
          <w:p>
            <w:pPr>
              <w:pStyle w:val="28"/>
            </w:pPr>
            <w:r>
              <w:t>≥90%</w:t>
            </w:r>
          </w:p>
        </w:tc>
        <w:tc>
          <w:tcPr>
            <w:tcW w:w="2268" w:type="dxa"/>
            <w:vAlign w:val="center"/>
          </w:tcPr>
          <w:p>
            <w:pPr>
              <w:pStyle w:val="28"/>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工作人员满意度</w:t>
            </w:r>
          </w:p>
        </w:tc>
        <w:tc>
          <w:tcPr>
            <w:tcW w:w="2835" w:type="dxa"/>
            <w:vAlign w:val="center"/>
          </w:tcPr>
          <w:p>
            <w:pPr>
              <w:pStyle w:val="28"/>
            </w:pPr>
            <w:r>
              <w:t>工作人员满意度</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9"/>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园林绿地维护费绩效目标表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1.绿地整洁，植物修剪合理，土壤墒情良好，无缺株断垄及大面积病虫害发生，生长健壮；园林小品等设施完好。古树名木进行挂牌保护；园林式单位及时申报与初步验收；对社会绿化技术问题进行指导。</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垃圾及时清理率</w:t>
            </w:r>
          </w:p>
        </w:tc>
        <w:tc>
          <w:tcPr>
            <w:tcW w:w="2835" w:type="dxa"/>
            <w:vAlign w:val="center"/>
          </w:tcPr>
          <w:p>
            <w:pPr>
              <w:pStyle w:val="28"/>
            </w:pPr>
            <w:r>
              <w:t>绿地垃圾及时清理量占绿地内垃圾总量的比率</w:t>
            </w:r>
          </w:p>
        </w:tc>
        <w:tc>
          <w:tcPr>
            <w:tcW w:w="2551" w:type="dxa"/>
            <w:vAlign w:val="center"/>
          </w:tcPr>
          <w:p>
            <w:pPr>
              <w:pStyle w:val="28"/>
            </w:pPr>
            <w:r>
              <w:t>≥95%</w:t>
            </w:r>
          </w:p>
        </w:tc>
        <w:tc>
          <w:tcPr>
            <w:tcW w:w="2268" w:type="dxa"/>
            <w:vAlign w:val="center"/>
          </w:tcPr>
          <w:p>
            <w:pPr>
              <w:pStyle w:val="28"/>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公共设施完好率</w:t>
            </w:r>
          </w:p>
        </w:tc>
        <w:tc>
          <w:tcPr>
            <w:tcW w:w="2835" w:type="dxa"/>
            <w:vAlign w:val="center"/>
          </w:tcPr>
          <w:p>
            <w:pPr>
              <w:pStyle w:val="28"/>
            </w:pPr>
            <w:r>
              <w:t>达到可安全使用状态的设施数量占所有公共设施的比率</w:t>
            </w:r>
          </w:p>
        </w:tc>
        <w:tc>
          <w:tcPr>
            <w:tcW w:w="2551" w:type="dxa"/>
            <w:vAlign w:val="center"/>
          </w:tcPr>
          <w:p>
            <w:pPr>
              <w:pStyle w:val="28"/>
            </w:pPr>
            <w:r>
              <w:t>≥90%</w:t>
            </w:r>
          </w:p>
        </w:tc>
        <w:tc>
          <w:tcPr>
            <w:tcW w:w="2268" w:type="dxa"/>
            <w:vAlign w:val="center"/>
          </w:tcPr>
          <w:p>
            <w:pPr>
              <w:pStyle w:val="28"/>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管护主街道数量</w:t>
            </w:r>
          </w:p>
        </w:tc>
        <w:tc>
          <w:tcPr>
            <w:tcW w:w="2835" w:type="dxa"/>
            <w:vAlign w:val="center"/>
          </w:tcPr>
          <w:p>
            <w:pPr>
              <w:pStyle w:val="28"/>
            </w:pPr>
            <w:r>
              <w:t>管护主街道数量</w:t>
            </w:r>
          </w:p>
        </w:tc>
        <w:tc>
          <w:tcPr>
            <w:tcW w:w="2551" w:type="dxa"/>
            <w:vAlign w:val="center"/>
          </w:tcPr>
          <w:p>
            <w:pPr>
              <w:pStyle w:val="28"/>
            </w:pPr>
            <w:r>
              <w:t>37条</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园林绿地年维护费</w:t>
            </w:r>
          </w:p>
        </w:tc>
        <w:tc>
          <w:tcPr>
            <w:tcW w:w="2835" w:type="dxa"/>
            <w:vAlign w:val="center"/>
          </w:tcPr>
          <w:p>
            <w:pPr>
              <w:pStyle w:val="28"/>
            </w:pPr>
            <w:r>
              <w:t>财政评审园林绿地年维护费</w:t>
            </w:r>
          </w:p>
        </w:tc>
        <w:tc>
          <w:tcPr>
            <w:tcW w:w="2551" w:type="dxa"/>
            <w:vAlign w:val="center"/>
          </w:tcPr>
          <w:p>
            <w:pPr>
              <w:pStyle w:val="28"/>
            </w:pPr>
            <w:r>
              <w:t>2242.4万元</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保证建成区绿地面积</w:t>
            </w:r>
          </w:p>
        </w:tc>
        <w:tc>
          <w:tcPr>
            <w:tcW w:w="2835" w:type="dxa"/>
            <w:vAlign w:val="center"/>
          </w:tcPr>
          <w:p>
            <w:pPr>
              <w:pStyle w:val="28"/>
            </w:pPr>
            <w:r>
              <w:t>保证建成区绿地面积，创造宜居环境</w:t>
            </w:r>
          </w:p>
        </w:tc>
        <w:tc>
          <w:tcPr>
            <w:tcW w:w="2551" w:type="dxa"/>
            <w:vAlign w:val="center"/>
          </w:tcPr>
          <w:p>
            <w:pPr>
              <w:pStyle w:val="28"/>
            </w:pPr>
            <w:r>
              <w:t>≥90%</w:t>
            </w:r>
          </w:p>
        </w:tc>
        <w:tc>
          <w:tcPr>
            <w:tcW w:w="2268" w:type="dxa"/>
            <w:vAlign w:val="center"/>
          </w:tcPr>
          <w:p>
            <w:pPr>
              <w:pStyle w:val="28"/>
            </w:pPr>
            <w:r>
              <w:t>石家庄市绿化管理条例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numPr>
          <w:ilvl w:val="0"/>
          <w:numId w:val="9"/>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云数据中心租赁费绩效目标表</w:t>
      </w: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1.目标内容1石家庄市藁城区智慧停车场建设工程数据中心租赁云主机、存储、安全服务的费用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智慧停车场建设工程数据中心租赁设备数量</w:t>
            </w:r>
          </w:p>
        </w:tc>
        <w:tc>
          <w:tcPr>
            <w:tcW w:w="2835" w:type="dxa"/>
            <w:vAlign w:val="center"/>
          </w:tcPr>
          <w:p>
            <w:pPr>
              <w:pStyle w:val="28"/>
            </w:pPr>
            <w:r>
              <w:t>云主机租赁数量</w:t>
            </w:r>
          </w:p>
        </w:tc>
        <w:tc>
          <w:tcPr>
            <w:tcW w:w="2551" w:type="dxa"/>
            <w:vAlign w:val="center"/>
          </w:tcPr>
          <w:p>
            <w:pPr>
              <w:pStyle w:val="28"/>
            </w:pPr>
            <w:r>
              <w:t>≥552vCPU/月</w:t>
            </w:r>
          </w:p>
        </w:tc>
        <w:tc>
          <w:tcPr>
            <w:tcW w:w="2268" w:type="dxa"/>
            <w:vAlign w:val="center"/>
          </w:tcPr>
          <w:p>
            <w:pPr>
              <w:pStyle w:val="28"/>
            </w:pPr>
            <w:r>
              <w:t>《石家庄市藁城区智慧停车场建设工程二标段》合同</w:t>
            </w:r>
          </w:p>
          <w:p>
            <w:pPr>
              <w:pStyle w:val="28"/>
            </w:pPr>
            <w:r>
              <w:t>《石家庄市藁城区智慧停车场建设工程初步设计》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智慧停车场建设工程数据中心租赁费</w:t>
            </w:r>
          </w:p>
        </w:tc>
        <w:tc>
          <w:tcPr>
            <w:tcW w:w="2835" w:type="dxa"/>
            <w:vAlign w:val="center"/>
          </w:tcPr>
          <w:p>
            <w:pPr>
              <w:pStyle w:val="28"/>
            </w:pPr>
            <w:r>
              <w:t>2022年支付数据中心租赁费</w:t>
            </w:r>
          </w:p>
        </w:tc>
        <w:tc>
          <w:tcPr>
            <w:tcW w:w="2551" w:type="dxa"/>
            <w:vAlign w:val="center"/>
          </w:tcPr>
          <w:p>
            <w:pPr>
              <w:pStyle w:val="28"/>
            </w:pPr>
            <w:r>
              <w:t>200万元</w:t>
            </w:r>
          </w:p>
        </w:tc>
        <w:tc>
          <w:tcPr>
            <w:tcW w:w="2268" w:type="dxa"/>
            <w:vAlign w:val="center"/>
          </w:tcPr>
          <w:p>
            <w:pPr>
              <w:pStyle w:val="28"/>
            </w:pPr>
            <w:r>
              <w:t>《石家庄市藁城区智慧停车场建设工程二标段》合同</w:t>
            </w:r>
          </w:p>
          <w:p>
            <w:pPr>
              <w:pStyle w:val="28"/>
            </w:pPr>
            <w:r>
              <w:t>《石家庄市藁城区智慧停车场建设工程初步设计》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智慧停车场建设工程数据中心租赁期</w:t>
            </w:r>
          </w:p>
        </w:tc>
        <w:tc>
          <w:tcPr>
            <w:tcW w:w="2835" w:type="dxa"/>
            <w:vAlign w:val="center"/>
          </w:tcPr>
          <w:p>
            <w:pPr>
              <w:pStyle w:val="28"/>
            </w:pPr>
            <w:r>
              <w:t>自2022年1月1日至2022年12月31日</w:t>
            </w:r>
          </w:p>
        </w:tc>
        <w:tc>
          <w:tcPr>
            <w:tcW w:w="2551" w:type="dxa"/>
            <w:vAlign w:val="center"/>
          </w:tcPr>
          <w:p>
            <w:pPr>
              <w:pStyle w:val="28"/>
            </w:pPr>
            <w:r>
              <w:t>1年</w:t>
            </w:r>
          </w:p>
        </w:tc>
        <w:tc>
          <w:tcPr>
            <w:tcW w:w="2268" w:type="dxa"/>
            <w:vAlign w:val="center"/>
          </w:tcPr>
          <w:p>
            <w:pPr>
              <w:pStyle w:val="28"/>
            </w:pPr>
            <w:r>
              <w:t>《石家庄市藁城区智慧停车场建设工程二标段》合同</w:t>
            </w:r>
          </w:p>
          <w:p>
            <w:pPr>
              <w:pStyle w:val="28"/>
            </w:pPr>
            <w:r>
              <w:t>《石家庄市藁城区智慧停车场建设工程初步设计》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智慧停车场建设工程数据中心安全等级要求</w:t>
            </w:r>
          </w:p>
        </w:tc>
        <w:tc>
          <w:tcPr>
            <w:tcW w:w="2835" w:type="dxa"/>
            <w:vAlign w:val="center"/>
          </w:tcPr>
          <w:p>
            <w:pPr>
              <w:pStyle w:val="28"/>
            </w:pPr>
            <w:r>
              <w:t>满足等保2.0要求</w:t>
            </w:r>
          </w:p>
        </w:tc>
        <w:tc>
          <w:tcPr>
            <w:tcW w:w="2551" w:type="dxa"/>
            <w:vAlign w:val="center"/>
          </w:tcPr>
          <w:p>
            <w:pPr>
              <w:pStyle w:val="28"/>
            </w:pPr>
            <w:r>
              <w:t>≥3级</w:t>
            </w:r>
          </w:p>
        </w:tc>
        <w:tc>
          <w:tcPr>
            <w:tcW w:w="2268" w:type="dxa"/>
            <w:vAlign w:val="center"/>
          </w:tcPr>
          <w:p>
            <w:pPr>
              <w:pStyle w:val="28"/>
            </w:pPr>
            <w:r>
              <w:t>《石家庄市藁城区智慧停车场建设工程二标段》合同</w:t>
            </w:r>
          </w:p>
          <w:p>
            <w:pPr>
              <w:pStyle w:val="28"/>
            </w:pPr>
            <w:r>
              <w:t>《石家庄市藁城区智慧停车场建设工程初步设计》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提升城市管理精细化水平和民生服务水平</w:t>
            </w:r>
          </w:p>
        </w:tc>
        <w:tc>
          <w:tcPr>
            <w:tcW w:w="2835" w:type="dxa"/>
            <w:vAlign w:val="center"/>
          </w:tcPr>
          <w:p>
            <w:pPr>
              <w:pStyle w:val="28"/>
            </w:pPr>
            <w:r>
              <w:t>提升城市管理精细化水平和民生服务水平</w:t>
            </w:r>
          </w:p>
        </w:tc>
        <w:tc>
          <w:tcPr>
            <w:tcW w:w="2551" w:type="dxa"/>
            <w:vAlign w:val="center"/>
          </w:tcPr>
          <w:p>
            <w:pPr>
              <w:pStyle w:val="28"/>
            </w:pPr>
            <w:r>
              <w:t>≥90%</w:t>
            </w:r>
          </w:p>
        </w:tc>
        <w:tc>
          <w:tcPr>
            <w:tcW w:w="2268" w:type="dxa"/>
            <w:vAlign w:val="center"/>
          </w:tcPr>
          <w:p>
            <w:pPr>
              <w:pStyle w:val="28"/>
            </w:pPr>
            <w:r>
              <w:t>《石家庄市藁城区智慧停车场建设工程可行性研究报告》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使用人员满意度</w:t>
            </w:r>
          </w:p>
        </w:tc>
        <w:tc>
          <w:tcPr>
            <w:tcW w:w="2835" w:type="dxa"/>
            <w:vAlign w:val="center"/>
          </w:tcPr>
          <w:p>
            <w:pPr>
              <w:pStyle w:val="28"/>
            </w:pPr>
            <w:r>
              <w:t>使用数据中心人员满意和较满意的数量占全部调查人数的比率</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63、增村镇农村人居环境整治工作经费绩效目标表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1.对增村镇、新赵线两侧环境卫生、景观绿化和小果庄村街道墙体美化进行改造提升</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增村镇农村人居环境整治工作完工，完成占比100%</w:t>
            </w:r>
          </w:p>
        </w:tc>
        <w:tc>
          <w:tcPr>
            <w:tcW w:w="2551" w:type="dxa"/>
            <w:vAlign w:val="center"/>
          </w:tcPr>
          <w:p>
            <w:pPr>
              <w:pStyle w:val="28"/>
            </w:pPr>
            <w:r>
              <w:t>100%</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建设资金</w:t>
            </w:r>
          </w:p>
        </w:tc>
        <w:tc>
          <w:tcPr>
            <w:tcW w:w="2835" w:type="dxa"/>
            <w:vAlign w:val="center"/>
          </w:tcPr>
          <w:p>
            <w:pPr>
              <w:pStyle w:val="28"/>
            </w:pPr>
            <w:r>
              <w:t>绿化30万，护栏4万，围挡6万，墙体彩绘3万。</w:t>
            </w:r>
          </w:p>
        </w:tc>
        <w:tc>
          <w:tcPr>
            <w:tcW w:w="2551" w:type="dxa"/>
            <w:vAlign w:val="center"/>
          </w:tcPr>
          <w:p>
            <w:pPr>
              <w:pStyle w:val="28"/>
            </w:pPr>
            <w:r>
              <w:t>43万</w:t>
            </w:r>
          </w:p>
        </w:tc>
        <w:tc>
          <w:tcPr>
            <w:tcW w:w="2268" w:type="dxa"/>
            <w:vAlign w:val="center"/>
          </w:tcPr>
          <w:p>
            <w:pPr>
              <w:pStyle w:val="28"/>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验收合格项目占验收项目的比率</w:t>
            </w:r>
          </w:p>
        </w:tc>
        <w:tc>
          <w:tcPr>
            <w:tcW w:w="2551" w:type="dxa"/>
            <w:vAlign w:val="center"/>
          </w:tcPr>
          <w:p>
            <w:pPr>
              <w:pStyle w:val="28"/>
            </w:pPr>
            <w:r>
              <w:t>100%</w:t>
            </w:r>
          </w:p>
        </w:tc>
        <w:tc>
          <w:tcPr>
            <w:tcW w:w="2268" w:type="dxa"/>
            <w:vAlign w:val="center"/>
          </w:tcPr>
          <w:p>
            <w:pPr>
              <w:pStyle w:val="28"/>
            </w:pPr>
            <w:r>
              <w:t>财政局现场验收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工程数量</w:t>
            </w:r>
          </w:p>
        </w:tc>
        <w:tc>
          <w:tcPr>
            <w:tcW w:w="2835" w:type="dxa"/>
            <w:vAlign w:val="center"/>
          </w:tcPr>
          <w:p>
            <w:pPr>
              <w:pStyle w:val="28"/>
            </w:pPr>
            <w:r>
              <w:t>工程总数量</w:t>
            </w:r>
          </w:p>
        </w:tc>
        <w:tc>
          <w:tcPr>
            <w:tcW w:w="2551" w:type="dxa"/>
            <w:vAlign w:val="center"/>
          </w:tcPr>
          <w:p>
            <w:pPr>
              <w:pStyle w:val="28"/>
            </w:pPr>
            <w:r>
              <w:t>4个</w:t>
            </w:r>
          </w:p>
        </w:tc>
        <w:tc>
          <w:tcPr>
            <w:tcW w:w="2268" w:type="dxa"/>
            <w:vAlign w:val="center"/>
          </w:tcPr>
          <w:p>
            <w:pPr>
              <w:pStyle w:val="28"/>
            </w:pPr>
            <w:r>
              <w:t>《机场路两侧绿化提升工程施工协议》</w:t>
            </w:r>
          </w:p>
          <w:p>
            <w:pPr>
              <w:pStyle w:val="28"/>
            </w:pPr>
            <w:r>
              <w:t>《机场路围栏安装施工协议》</w:t>
            </w:r>
          </w:p>
          <w:p>
            <w:pPr>
              <w:pStyle w:val="28"/>
            </w:pPr>
            <w:r>
              <w:t>《小果庄村围挡安装工程合同》</w:t>
            </w:r>
          </w:p>
          <w:p>
            <w:pPr>
              <w:pStyle w:val="28"/>
            </w:pPr>
            <w:r>
              <w:t>《彩绘施工合同书》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全面改善增村镇的农村环境</w:t>
            </w:r>
          </w:p>
        </w:tc>
        <w:tc>
          <w:tcPr>
            <w:tcW w:w="2835" w:type="dxa"/>
            <w:vAlign w:val="center"/>
          </w:tcPr>
          <w:p>
            <w:pPr>
              <w:pStyle w:val="28"/>
            </w:pPr>
            <w:r>
              <w:t>全面改善增村镇的农村环境</w:t>
            </w:r>
          </w:p>
        </w:tc>
        <w:tc>
          <w:tcPr>
            <w:tcW w:w="2551" w:type="dxa"/>
            <w:vAlign w:val="center"/>
          </w:tcPr>
          <w:p>
            <w:pPr>
              <w:pStyle w:val="28"/>
            </w:pPr>
            <w:r>
              <w:t>≥95%</w:t>
            </w:r>
          </w:p>
        </w:tc>
        <w:tc>
          <w:tcPr>
            <w:tcW w:w="2268"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居民满意程度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numPr>
          <w:ilvl w:val="0"/>
          <w:numId w:val="0"/>
        </w:numPr>
        <w:spacing w:before="0" w:after="0"/>
        <w:ind w:left="560" w:leftChars="0"/>
        <w:jc w:val="left"/>
        <w:outlineLvl w:val="9"/>
        <w:rPr>
          <w:rFonts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lang w:val="en-US" w:eastAsia="zh-CN"/>
        </w:rPr>
        <w:t>64、</w:t>
      </w:r>
      <w:r>
        <w:rPr>
          <w:rFonts w:ascii="方正仿宋_GBK" w:hAnsi="方正仿宋_GBK" w:eastAsia="方正仿宋_GBK" w:cs="方正仿宋_GBK"/>
          <w:b/>
          <w:color w:val="000000"/>
          <w:sz w:val="28"/>
        </w:rPr>
        <w:t>中医院救护车消毒站聘请服务单位费用绩效目标表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1.保障消毒站日常消杀工作，保障中医院救护车消毒站建设。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时效指标</w:t>
            </w:r>
          </w:p>
        </w:tc>
        <w:tc>
          <w:tcPr>
            <w:tcW w:w="2835" w:type="dxa"/>
            <w:vAlign w:val="center"/>
          </w:tcPr>
          <w:p>
            <w:pPr>
              <w:pStyle w:val="28"/>
            </w:pPr>
            <w:r>
              <w:t>洗消站洗消车辆服务期</w:t>
            </w:r>
          </w:p>
        </w:tc>
        <w:tc>
          <w:tcPr>
            <w:tcW w:w="2835" w:type="dxa"/>
            <w:vAlign w:val="center"/>
          </w:tcPr>
          <w:p>
            <w:pPr>
              <w:pStyle w:val="28"/>
            </w:pPr>
            <w:r>
              <w:t>洗消站洗消车辆服务期从2021年11月1日至2022年5月1日</w:t>
            </w:r>
          </w:p>
        </w:tc>
        <w:tc>
          <w:tcPr>
            <w:tcW w:w="2551" w:type="dxa"/>
            <w:vAlign w:val="center"/>
          </w:tcPr>
          <w:p>
            <w:pPr>
              <w:pStyle w:val="28"/>
            </w:pPr>
            <w:r>
              <w:t>6个月</w:t>
            </w:r>
          </w:p>
        </w:tc>
        <w:tc>
          <w:tcPr>
            <w:tcW w:w="2268" w:type="dxa"/>
            <w:vAlign w:val="center"/>
          </w:tcPr>
          <w:p>
            <w:pPr>
              <w:pStyle w:val="28"/>
            </w:pPr>
            <w:r>
              <w:t>藁城区中医院救护车洗消站洗消车辆服务合同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保障消毒站日常消杀工作</w:t>
            </w:r>
          </w:p>
        </w:tc>
        <w:tc>
          <w:tcPr>
            <w:tcW w:w="2835" w:type="dxa"/>
            <w:vAlign w:val="center"/>
          </w:tcPr>
          <w:p>
            <w:pPr>
              <w:pStyle w:val="28"/>
            </w:pPr>
            <w:r>
              <w:t>保障消毒站日常消杀工作</w:t>
            </w:r>
          </w:p>
        </w:tc>
        <w:tc>
          <w:tcPr>
            <w:tcW w:w="2551" w:type="dxa"/>
            <w:vAlign w:val="center"/>
          </w:tcPr>
          <w:p>
            <w:pPr>
              <w:pStyle w:val="28"/>
            </w:pPr>
            <w:r>
              <w:t>100%</w:t>
            </w:r>
          </w:p>
        </w:tc>
        <w:tc>
          <w:tcPr>
            <w:tcW w:w="2268" w:type="dxa"/>
            <w:vAlign w:val="center"/>
          </w:tcPr>
          <w:p>
            <w:pPr>
              <w:pStyle w:val="28"/>
            </w:pPr>
            <w:r>
              <w:t>藁城区中医院救护车洗消站洗消车辆服务合同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服务费</w:t>
            </w:r>
          </w:p>
        </w:tc>
        <w:tc>
          <w:tcPr>
            <w:tcW w:w="2835" w:type="dxa"/>
            <w:vAlign w:val="center"/>
          </w:tcPr>
          <w:p>
            <w:pPr>
              <w:pStyle w:val="28"/>
            </w:pPr>
            <w:r>
              <w:t>每人每天服务费</w:t>
            </w:r>
          </w:p>
        </w:tc>
        <w:tc>
          <w:tcPr>
            <w:tcW w:w="2551" w:type="dxa"/>
            <w:vAlign w:val="center"/>
          </w:tcPr>
          <w:p>
            <w:pPr>
              <w:pStyle w:val="28"/>
            </w:pPr>
            <w:r>
              <w:t>200元</w:t>
            </w:r>
          </w:p>
        </w:tc>
        <w:tc>
          <w:tcPr>
            <w:tcW w:w="2268" w:type="dxa"/>
            <w:vAlign w:val="center"/>
          </w:tcPr>
          <w:p>
            <w:pPr>
              <w:pStyle w:val="28"/>
            </w:pPr>
            <w:r>
              <w:t>藁城区中医院救护车洗消站洗消车辆服务合同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消毒消杀公司驻场服务人员</w:t>
            </w:r>
          </w:p>
        </w:tc>
        <w:tc>
          <w:tcPr>
            <w:tcW w:w="2835" w:type="dxa"/>
            <w:vAlign w:val="center"/>
          </w:tcPr>
          <w:p>
            <w:pPr>
              <w:pStyle w:val="28"/>
            </w:pPr>
            <w:r>
              <w:t>消毒消杀公司驻场服务人员</w:t>
            </w:r>
          </w:p>
        </w:tc>
        <w:tc>
          <w:tcPr>
            <w:tcW w:w="2551" w:type="dxa"/>
            <w:vAlign w:val="center"/>
          </w:tcPr>
          <w:p>
            <w:pPr>
              <w:pStyle w:val="28"/>
            </w:pPr>
            <w:r>
              <w:t>4人</w:t>
            </w:r>
          </w:p>
        </w:tc>
        <w:tc>
          <w:tcPr>
            <w:tcW w:w="2268" w:type="dxa"/>
            <w:vAlign w:val="center"/>
          </w:tcPr>
          <w:p>
            <w:pPr>
              <w:pStyle w:val="28"/>
            </w:pPr>
            <w:r>
              <w:t>藁城区中医院救护车洗消站洗消车辆服务合同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保障消毒站日常消杀工作</w:t>
            </w:r>
          </w:p>
        </w:tc>
        <w:tc>
          <w:tcPr>
            <w:tcW w:w="2835" w:type="dxa"/>
            <w:vAlign w:val="center"/>
          </w:tcPr>
          <w:p>
            <w:pPr>
              <w:pStyle w:val="28"/>
            </w:pPr>
            <w:r>
              <w:t>保障消毒站日常消杀工作</w:t>
            </w:r>
          </w:p>
        </w:tc>
        <w:tc>
          <w:tcPr>
            <w:tcW w:w="2551" w:type="dxa"/>
            <w:vAlign w:val="center"/>
          </w:tcPr>
          <w:p>
            <w:pPr>
              <w:pStyle w:val="28"/>
            </w:pPr>
            <w:r>
              <w:t>≥90%</w:t>
            </w:r>
          </w:p>
        </w:tc>
        <w:tc>
          <w:tcPr>
            <w:tcW w:w="2268" w:type="dxa"/>
            <w:vAlign w:val="center"/>
          </w:tcPr>
          <w:p>
            <w:pPr>
              <w:pStyle w:val="28"/>
            </w:pPr>
            <w:r>
              <w:t>藁城区中医院救护车洗消站洗消车辆服务合同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居民满意程度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pPr>
    </w:p>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65、中转站运行服务费绩效目标表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1.垃圾清运日产日清，清运车辆车容整洁。完善提升环卫基础设施水平，落实国家级卫生城市创建工作，提升市容环境卫生水平，创造宜居环境。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需维护的中转站数量</w:t>
            </w:r>
          </w:p>
        </w:tc>
        <w:tc>
          <w:tcPr>
            <w:tcW w:w="2835" w:type="dxa"/>
            <w:vAlign w:val="center"/>
          </w:tcPr>
          <w:p>
            <w:pPr>
              <w:pStyle w:val="28"/>
            </w:pPr>
            <w:r>
              <w:t>需维护的中转站数量</w:t>
            </w:r>
          </w:p>
        </w:tc>
        <w:tc>
          <w:tcPr>
            <w:tcW w:w="2551" w:type="dxa"/>
            <w:vAlign w:val="center"/>
          </w:tcPr>
          <w:p>
            <w:pPr>
              <w:pStyle w:val="28"/>
            </w:pPr>
            <w:r>
              <w:t>28座</w:t>
            </w:r>
          </w:p>
        </w:tc>
        <w:tc>
          <w:tcPr>
            <w:tcW w:w="2268" w:type="dxa"/>
            <w:vAlign w:val="center"/>
          </w:tcPr>
          <w:p>
            <w:pPr>
              <w:pStyle w:val="28"/>
            </w:pPr>
            <w:r>
              <w:t>合同、评审报告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中转站运行服务费</w:t>
            </w:r>
          </w:p>
        </w:tc>
        <w:tc>
          <w:tcPr>
            <w:tcW w:w="2835" w:type="dxa"/>
            <w:vAlign w:val="center"/>
          </w:tcPr>
          <w:p>
            <w:pPr>
              <w:pStyle w:val="28"/>
            </w:pPr>
            <w:r>
              <w:t>中转站年运行服务费</w:t>
            </w:r>
          </w:p>
        </w:tc>
        <w:tc>
          <w:tcPr>
            <w:tcW w:w="2551" w:type="dxa"/>
            <w:vAlign w:val="center"/>
          </w:tcPr>
          <w:p>
            <w:pPr>
              <w:pStyle w:val="28"/>
            </w:pPr>
            <w:r>
              <w:t>1675.85万元</w:t>
            </w:r>
          </w:p>
        </w:tc>
        <w:tc>
          <w:tcPr>
            <w:tcW w:w="2268" w:type="dxa"/>
            <w:vAlign w:val="center"/>
          </w:tcPr>
          <w:p>
            <w:pPr>
              <w:pStyle w:val="28"/>
            </w:pPr>
            <w:r>
              <w:t>中标通知书及合同</w:t>
            </w:r>
          </w:p>
        </w:tc>
      </w:tr>
      <w:tr>
        <w:tblPrEx>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垃圾转运日产日清完成率（%）</w:t>
            </w:r>
          </w:p>
        </w:tc>
        <w:tc>
          <w:tcPr>
            <w:tcW w:w="2835" w:type="dxa"/>
            <w:vAlign w:val="center"/>
          </w:tcPr>
          <w:p>
            <w:pPr>
              <w:pStyle w:val="28"/>
            </w:pPr>
            <w:r>
              <w:t>垃圾转运日清量占日产量的比率</w:t>
            </w:r>
          </w:p>
        </w:tc>
        <w:tc>
          <w:tcPr>
            <w:tcW w:w="2551" w:type="dxa"/>
            <w:vAlign w:val="center"/>
          </w:tcPr>
          <w:p>
            <w:pPr>
              <w:pStyle w:val="28"/>
            </w:pPr>
            <w:r>
              <w:t>≥90%</w:t>
            </w:r>
          </w:p>
        </w:tc>
        <w:tc>
          <w:tcPr>
            <w:tcW w:w="2268" w:type="dxa"/>
            <w:vAlign w:val="center"/>
          </w:tcPr>
          <w:p>
            <w:pPr>
              <w:pStyle w:val="28"/>
            </w:pPr>
            <w:r>
              <w:t>石家庄市环境卫生管理条例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垃圾中转机械化实施率</w:t>
            </w:r>
          </w:p>
        </w:tc>
        <w:tc>
          <w:tcPr>
            <w:tcW w:w="2835" w:type="dxa"/>
            <w:vAlign w:val="center"/>
          </w:tcPr>
          <w:p>
            <w:pPr>
              <w:pStyle w:val="28"/>
            </w:pPr>
            <w:r>
              <w:t>垃圾机械中转数量占垃圾中转总量的比率</w:t>
            </w:r>
          </w:p>
        </w:tc>
        <w:tc>
          <w:tcPr>
            <w:tcW w:w="2551" w:type="dxa"/>
            <w:vAlign w:val="center"/>
          </w:tcPr>
          <w:p>
            <w:pPr>
              <w:pStyle w:val="28"/>
            </w:pPr>
            <w:r>
              <w:t>≥90%</w:t>
            </w:r>
          </w:p>
        </w:tc>
        <w:tc>
          <w:tcPr>
            <w:tcW w:w="2268" w:type="dxa"/>
            <w:vAlign w:val="center"/>
          </w:tcPr>
          <w:p>
            <w:pPr>
              <w:pStyle w:val="28"/>
            </w:pPr>
            <w:r>
              <w:t>《2018年创建国家卫生城市工作推进方案》《藁城区创建国家卫生城市工作技术评估千分制考评细则》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垃圾收容设施密闭化，提升市容市貌</w:t>
            </w:r>
          </w:p>
        </w:tc>
        <w:tc>
          <w:tcPr>
            <w:tcW w:w="2835" w:type="dxa"/>
            <w:vAlign w:val="center"/>
          </w:tcPr>
          <w:p>
            <w:pPr>
              <w:pStyle w:val="28"/>
            </w:pPr>
            <w:r>
              <w:t>垃圾收容设施密闭，减少异味散发，提升市容市貌。</w:t>
            </w:r>
          </w:p>
        </w:tc>
        <w:tc>
          <w:tcPr>
            <w:tcW w:w="2551" w:type="dxa"/>
            <w:vAlign w:val="center"/>
          </w:tcPr>
          <w:p>
            <w:pPr>
              <w:pStyle w:val="28"/>
            </w:pPr>
            <w:r>
              <w:t>≥90%</w:t>
            </w:r>
          </w:p>
        </w:tc>
        <w:tc>
          <w:tcPr>
            <w:tcW w:w="2268" w:type="dxa"/>
            <w:vAlign w:val="center"/>
          </w:tcPr>
          <w:p>
            <w:pPr>
              <w:pStyle w:val="28"/>
            </w:pPr>
            <w:r>
              <w:t>《2018年创建国家卫生城市工作推进方案》《藁城区创建国家卫生城市工作技术评估千分制考评细则》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≥90%</w:t>
            </w:r>
          </w:p>
        </w:tc>
        <w:tc>
          <w:tcPr>
            <w:tcW w:w="2268" w:type="dxa"/>
            <w:vAlign w:val="center"/>
          </w:tcPr>
          <w:p>
            <w:pPr>
              <w:pStyle w:val="28"/>
            </w:pPr>
            <w:r>
              <w:t>抽样调查</w:t>
            </w:r>
          </w:p>
        </w:tc>
      </w:tr>
    </w:tbl>
    <w:p>
      <w:pPr>
        <w:pStyle w:val="26"/>
      </w:pPr>
    </w:p>
    <w:p>
      <w:pPr>
        <w:pStyle w:val="26"/>
      </w:pPr>
    </w:p>
    <w:p>
      <w:pPr>
        <w:pStyle w:val="26"/>
      </w:pPr>
    </w:p>
    <w:p>
      <w:pPr>
        <w:pStyle w:val="26"/>
      </w:pPr>
    </w:p>
    <w:p>
      <w:pPr>
        <w:pStyle w:val="26"/>
      </w:pPr>
    </w:p>
    <w:p>
      <w:pPr>
        <w:pStyle w:val="26"/>
        <w:numPr>
          <w:ilvl w:val="0"/>
          <w:numId w:val="10"/>
        </w:num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专项债券付息支出绩效目标表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1.按时足额偿还到期利息，维护地方政府信誉，推动后期债券申请工作。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偿还批次</w:t>
            </w:r>
          </w:p>
        </w:tc>
        <w:tc>
          <w:tcPr>
            <w:tcW w:w="2835" w:type="dxa"/>
            <w:vAlign w:val="center"/>
          </w:tcPr>
          <w:p>
            <w:pPr>
              <w:pStyle w:val="28"/>
            </w:pPr>
            <w:r>
              <w:t>偿还专项债券到期利息批次的数量</w:t>
            </w:r>
          </w:p>
        </w:tc>
        <w:tc>
          <w:tcPr>
            <w:tcW w:w="2551" w:type="dxa"/>
            <w:vAlign w:val="center"/>
          </w:tcPr>
          <w:p>
            <w:pPr>
              <w:pStyle w:val="28"/>
            </w:pPr>
            <w:r>
              <w:t>所有批次</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偿还金额</w:t>
            </w:r>
          </w:p>
        </w:tc>
        <w:tc>
          <w:tcPr>
            <w:tcW w:w="2835" w:type="dxa"/>
            <w:vAlign w:val="center"/>
          </w:tcPr>
          <w:p>
            <w:pPr>
              <w:pStyle w:val="28"/>
            </w:pPr>
            <w:r>
              <w:t>实际偿还占应偿还金额的比例</w:t>
            </w:r>
          </w:p>
        </w:tc>
        <w:tc>
          <w:tcPr>
            <w:tcW w:w="2551" w:type="dxa"/>
            <w:vAlign w:val="center"/>
          </w:tcPr>
          <w:p>
            <w:pPr>
              <w:pStyle w:val="28"/>
            </w:pPr>
            <w:r>
              <w:t>100%</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偿还时间</w:t>
            </w:r>
          </w:p>
        </w:tc>
        <w:tc>
          <w:tcPr>
            <w:tcW w:w="2835" w:type="dxa"/>
            <w:vAlign w:val="center"/>
          </w:tcPr>
          <w:p>
            <w:pPr>
              <w:pStyle w:val="28"/>
            </w:pPr>
            <w:r>
              <w:t>按约定时间及时偿还</w:t>
            </w:r>
          </w:p>
        </w:tc>
        <w:tc>
          <w:tcPr>
            <w:tcW w:w="2551" w:type="dxa"/>
            <w:vAlign w:val="center"/>
          </w:tcPr>
          <w:p>
            <w:pPr>
              <w:pStyle w:val="28"/>
            </w:pPr>
            <w:r>
              <w:t>及时偿还</w:t>
            </w:r>
          </w:p>
        </w:tc>
        <w:tc>
          <w:tcPr>
            <w:tcW w:w="2268" w:type="dxa"/>
            <w:vAlign w:val="center"/>
          </w:tcPr>
          <w:p>
            <w:pPr>
              <w:pStyle w:val="28"/>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偿还标准</w:t>
            </w:r>
          </w:p>
        </w:tc>
        <w:tc>
          <w:tcPr>
            <w:tcW w:w="2835" w:type="dxa"/>
            <w:vAlign w:val="center"/>
          </w:tcPr>
          <w:p>
            <w:pPr>
              <w:pStyle w:val="28"/>
            </w:pPr>
            <w:r>
              <w:t>按协议偿还</w:t>
            </w:r>
          </w:p>
        </w:tc>
        <w:tc>
          <w:tcPr>
            <w:tcW w:w="2551" w:type="dxa"/>
            <w:vAlign w:val="center"/>
          </w:tcPr>
          <w:p>
            <w:pPr>
              <w:pStyle w:val="28"/>
            </w:pPr>
            <w:r>
              <w:t>按标准偿还</w:t>
            </w:r>
          </w:p>
        </w:tc>
        <w:tc>
          <w:tcPr>
            <w:tcW w:w="2268" w:type="dxa"/>
            <w:vAlign w:val="center"/>
          </w:tcPr>
          <w:p>
            <w:pPr>
              <w:pStyle w:val="28"/>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按协议履行还款</w:t>
            </w:r>
          </w:p>
        </w:tc>
        <w:tc>
          <w:tcPr>
            <w:tcW w:w="2835" w:type="dxa"/>
            <w:vAlign w:val="center"/>
          </w:tcPr>
          <w:p>
            <w:pPr>
              <w:pStyle w:val="28"/>
            </w:pPr>
            <w:r>
              <w:t>按协议履行还款，推动后期债券申请工作，更好发挥债券作用</w:t>
            </w:r>
          </w:p>
        </w:tc>
        <w:tc>
          <w:tcPr>
            <w:tcW w:w="2551" w:type="dxa"/>
            <w:vAlign w:val="center"/>
          </w:tcPr>
          <w:p>
            <w:pPr>
              <w:pStyle w:val="28"/>
            </w:pPr>
            <w:r>
              <w:t>债券发行工作正常开展</w:t>
            </w:r>
          </w:p>
        </w:tc>
        <w:tc>
          <w:tcPr>
            <w:tcW w:w="2268" w:type="dxa"/>
            <w:vAlign w:val="center"/>
          </w:tcPr>
          <w:p>
            <w:pPr>
              <w:pStyle w:val="28"/>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上级部门满意度</w:t>
            </w:r>
          </w:p>
        </w:tc>
        <w:tc>
          <w:tcPr>
            <w:tcW w:w="2835" w:type="dxa"/>
            <w:vAlign w:val="center"/>
          </w:tcPr>
          <w:p>
            <w:pPr>
              <w:pStyle w:val="28"/>
            </w:pPr>
            <w:r>
              <w:t>上级部门对还款情况的满意度</w:t>
            </w:r>
          </w:p>
        </w:tc>
        <w:tc>
          <w:tcPr>
            <w:tcW w:w="2551" w:type="dxa"/>
            <w:vAlign w:val="center"/>
          </w:tcPr>
          <w:p>
            <w:pPr>
              <w:pStyle w:val="28"/>
            </w:pPr>
            <w:r>
              <w:t>按上级要求偿还</w:t>
            </w:r>
          </w:p>
        </w:tc>
        <w:tc>
          <w:tcPr>
            <w:tcW w:w="2268" w:type="dxa"/>
            <w:vAlign w:val="center"/>
          </w:tcPr>
          <w:p>
            <w:pPr>
              <w:pStyle w:val="28"/>
            </w:pPr>
            <w:r>
              <w:t>相关文件</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numPr>
          <w:ilvl w:val="0"/>
          <w:numId w:val="10"/>
        </w:numPr>
        <w:spacing w:before="0" w:after="0"/>
        <w:ind w:left="0" w:leftChars="0" w:firstLine="560" w:firstLineChars="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专项债券还本支出绩效目标表</w:t>
      </w:r>
    </w:p>
    <w:p>
      <w:pPr>
        <w:pStyle w:val="26"/>
        <w:numPr>
          <w:ilvl w:val="0"/>
          <w:numId w:val="0"/>
        </w:numPr>
        <w:spacing w:before="0" w:after="0"/>
        <w:jc w:val="left"/>
        <w:outlineLvl w:val="9"/>
        <w:rPr>
          <w:rFonts w:ascii="方正仿宋_GBK" w:hAnsi="方正仿宋_GBK" w:eastAsia="方正仿宋_GBK" w:cs="方正仿宋_GBK"/>
          <w:b/>
          <w:color w:val="000000"/>
          <w:sz w:val="28"/>
        </w:rPr>
      </w:pP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1.按时足额偿还到期本金，维护地方政府信誉，推动后期债券申请工作。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偿还批次</w:t>
            </w:r>
          </w:p>
        </w:tc>
        <w:tc>
          <w:tcPr>
            <w:tcW w:w="2835" w:type="dxa"/>
            <w:vAlign w:val="center"/>
          </w:tcPr>
          <w:p>
            <w:pPr>
              <w:pStyle w:val="28"/>
            </w:pPr>
            <w:r>
              <w:t>偿还专项债券到期本金批次的数量</w:t>
            </w:r>
          </w:p>
        </w:tc>
        <w:tc>
          <w:tcPr>
            <w:tcW w:w="2551" w:type="dxa"/>
            <w:vAlign w:val="center"/>
          </w:tcPr>
          <w:p>
            <w:pPr>
              <w:pStyle w:val="28"/>
            </w:pPr>
            <w:r>
              <w:t>所有批次</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偿还金额</w:t>
            </w:r>
          </w:p>
        </w:tc>
        <w:tc>
          <w:tcPr>
            <w:tcW w:w="2835" w:type="dxa"/>
            <w:vAlign w:val="center"/>
          </w:tcPr>
          <w:p>
            <w:pPr>
              <w:pStyle w:val="28"/>
            </w:pPr>
            <w:r>
              <w:t>实际偿还占应偿还金额的比例</w:t>
            </w:r>
          </w:p>
        </w:tc>
        <w:tc>
          <w:tcPr>
            <w:tcW w:w="2551" w:type="dxa"/>
            <w:vAlign w:val="center"/>
          </w:tcPr>
          <w:p>
            <w:pPr>
              <w:pStyle w:val="28"/>
            </w:pPr>
            <w:r>
              <w:t>100%</w:t>
            </w:r>
          </w:p>
        </w:tc>
        <w:tc>
          <w:tcPr>
            <w:tcW w:w="2268" w:type="dxa"/>
            <w:vAlign w:val="center"/>
          </w:tcPr>
          <w:p>
            <w:pPr>
              <w:pStyle w:val="28"/>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偿还时间</w:t>
            </w:r>
          </w:p>
        </w:tc>
        <w:tc>
          <w:tcPr>
            <w:tcW w:w="2835" w:type="dxa"/>
            <w:vAlign w:val="center"/>
          </w:tcPr>
          <w:p>
            <w:pPr>
              <w:pStyle w:val="28"/>
            </w:pPr>
            <w:r>
              <w:t>按约定时间及时偿还</w:t>
            </w:r>
          </w:p>
        </w:tc>
        <w:tc>
          <w:tcPr>
            <w:tcW w:w="2551" w:type="dxa"/>
            <w:vAlign w:val="center"/>
          </w:tcPr>
          <w:p>
            <w:pPr>
              <w:pStyle w:val="28"/>
            </w:pPr>
            <w:r>
              <w:t>及时偿还</w:t>
            </w:r>
          </w:p>
        </w:tc>
        <w:tc>
          <w:tcPr>
            <w:tcW w:w="2268" w:type="dxa"/>
            <w:vAlign w:val="center"/>
          </w:tcPr>
          <w:p>
            <w:pPr>
              <w:pStyle w:val="28"/>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偿还标准</w:t>
            </w:r>
          </w:p>
        </w:tc>
        <w:tc>
          <w:tcPr>
            <w:tcW w:w="2835" w:type="dxa"/>
            <w:vAlign w:val="center"/>
          </w:tcPr>
          <w:p>
            <w:pPr>
              <w:pStyle w:val="28"/>
            </w:pPr>
            <w:r>
              <w:t>按协议偿还</w:t>
            </w:r>
          </w:p>
        </w:tc>
        <w:tc>
          <w:tcPr>
            <w:tcW w:w="2551" w:type="dxa"/>
            <w:vAlign w:val="center"/>
          </w:tcPr>
          <w:p>
            <w:pPr>
              <w:pStyle w:val="28"/>
            </w:pPr>
            <w:r>
              <w:t>按标准偿还</w:t>
            </w:r>
          </w:p>
        </w:tc>
        <w:tc>
          <w:tcPr>
            <w:tcW w:w="2268" w:type="dxa"/>
            <w:vAlign w:val="center"/>
          </w:tcPr>
          <w:p>
            <w:pPr>
              <w:pStyle w:val="28"/>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可持续影响指标</w:t>
            </w:r>
          </w:p>
        </w:tc>
        <w:tc>
          <w:tcPr>
            <w:tcW w:w="2835" w:type="dxa"/>
            <w:vAlign w:val="center"/>
          </w:tcPr>
          <w:p>
            <w:pPr>
              <w:pStyle w:val="28"/>
            </w:pPr>
            <w:r>
              <w:t>按协议履行还款</w:t>
            </w:r>
          </w:p>
        </w:tc>
        <w:tc>
          <w:tcPr>
            <w:tcW w:w="2835" w:type="dxa"/>
            <w:vAlign w:val="center"/>
          </w:tcPr>
          <w:p>
            <w:pPr>
              <w:pStyle w:val="28"/>
            </w:pPr>
            <w:r>
              <w:t>按协议履行还款，推动后期债券申请工作，更好发挥债券作用</w:t>
            </w:r>
          </w:p>
        </w:tc>
        <w:tc>
          <w:tcPr>
            <w:tcW w:w="2551" w:type="dxa"/>
            <w:vAlign w:val="center"/>
          </w:tcPr>
          <w:p>
            <w:pPr>
              <w:pStyle w:val="28"/>
            </w:pPr>
            <w:r>
              <w:t>债券发行工作正常开展</w:t>
            </w:r>
          </w:p>
        </w:tc>
        <w:tc>
          <w:tcPr>
            <w:tcW w:w="2268" w:type="dxa"/>
            <w:vAlign w:val="center"/>
          </w:tcPr>
          <w:p>
            <w:pPr>
              <w:pStyle w:val="28"/>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上级部门满意度</w:t>
            </w:r>
          </w:p>
        </w:tc>
        <w:tc>
          <w:tcPr>
            <w:tcW w:w="2835" w:type="dxa"/>
            <w:vAlign w:val="center"/>
          </w:tcPr>
          <w:p>
            <w:pPr>
              <w:pStyle w:val="28"/>
            </w:pPr>
            <w:r>
              <w:t>上级部门对还款情况的满意度</w:t>
            </w:r>
          </w:p>
        </w:tc>
        <w:tc>
          <w:tcPr>
            <w:tcW w:w="2551" w:type="dxa"/>
            <w:vAlign w:val="center"/>
          </w:tcPr>
          <w:p>
            <w:pPr>
              <w:pStyle w:val="28"/>
            </w:pPr>
            <w:r>
              <w:t>按上级要求偿还</w:t>
            </w:r>
          </w:p>
        </w:tc>
        <w:tc>
          <w:tcPr>
            <w:tcW w:w="2268" w:type="dxa"/>
            <w:vAlign w:val="center"/>
          </w:tcPr>
          <w:p>
            <w:pPr>
              <w:pStyle w:val="28"/>
            </w:pPr>
            <w:r>
              <w:t>相关文件</w:t>
            </w:r>
          </w:p>
        </w:tc>
      </w:tr>
    </w:tbl>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68、藁城区垃圾处理工程（建设二期生活垃圾填埋场）绩效目标表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1.挖土方填垃圾坝，在库底做防渗膜，坝顶做水泥面层，做混凝土消防通道，栽植乔木防风，修筑渗滤液提升井。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建设二期生活垃圾填埋场</w:t>
            </w:r>
          </w:p>
        </w:tc>
        <w:tc>
          <w:tcPr>
            <w:tcW w:w="2835" w:type="dxa"/>
            <w:vAlign w:val="center"/>
          </w:tcPr>
          <w:p>
            <w:pPr>
              <w:pStyle w:val="28"/>
            </w:pPr>
            <w:r>
              <w:t>建设二期生活垃圾填埋场</w:t>
            </w:r>
          </w:p>
        </w:tc>
        <w:tc>
          <w:tcPr>
            <w:tcW w:w="2551" w:type="dxa"/>
            <w:vAlign w:val="center"/>
          </w:tcPr>
          <w:p>
            <w:pPr>
              <w:pStyle w:val="28"/>
            </w:pPr>
            <w:r>
              <w:t>1座</w:t>
            </w:r>
          </w:p>
        </w:tc>
        <w:tc>
          <w:tcPr>
            <w:tcW w:w="2268" w:type="dxa"/>
            <w:vAlign w:val="center"/>
          </w:tcPr>
          <w:p>
            <w:pPr>
              <w:pStyle w:val="28"/>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工程费</w:t>
            </w:r>
          </w:p>
        </w:tc>
        <w:tc>
          <w:tcPr>
            <w:tcW w:w="2835" w:type="dxa"/>
            <w:vAlign w:val="center"/>
          </w:tcPr>
          <w:p>
            <w:pPr>
              <w:pStyle w:val="28"/>
            </w:pPr>
            <w:r>
              <w:t>工程费余款</w:t>
            </w:r>
          </w:p>
        </w:tc>
        <w:tc>
          <w:tcPr>
            <w:tcW w:w="2551" w:type="dxa"/>
            <w:vAlign w:val="center"/>
          </w:tcPr>
          <w:p>
            <w:pPr>
              <w:pStyle w:val="28"/>
            </w:pPr>
            <w:r>
              <w:t>489.99万元</w:t>
            </w:r>
          </w:p>
        </w:tc>
        <w:tc>
          <w:tcPr>
            <w:tcW w:w="2268" w:type="dxa"/>
            <w:vAlign w:val="center"/>
          </w:tcPr>
          <w:p>
            <w:pPr>
              <w:pStyle w:val="28"/>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及时完工率</w:t>
            </w:r>
          </w:p>
        </w:tc>
        <w:tc>
          <w:tcPr>
            <w:tcW w:w="2835" w:type="dxa"/>
            <w:vAlign w:val="center"/>
          </w:tcPr>
          <w:p>
            <w:pPr>
              <w:pStyle w:val="28"/>
            </w:pPr>
            <w:r>
              <w:t>施工进度工程量占总工程量的比率</w:t>
            </w:r>
          </w:p>
        </w:tc>
        <w:tc>
          <w:tcPr>
            <w:tcW w:w="2551" w:type="dxa"/>
            <w:vAlign w:val="center"/>
          </w:tcPr>
          <w:p>
            <w:pPr>
              <w:pStyle w:val="28"/>
            </w:pPr>
            <w:r>
              <w:t>100%</w:t>
            </w:r>
          </w:p>
        </w:tc>
        <w:tc>
          <w:tcPr>
            <w:tcW w:w="2268" w:type="dxa"/>
            <w:vAlign w:val="center"/>
          </w:tcPr>
          <w:p>
            <w:pPr>
              <w:pStyle w:val="28"/>
            </w:pPr>
            <w:r>
              <w:t>合同、决算评审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验收合格率</w:t>
            </w:r>
          </w:p>
        </w:tc>
        <w:tc>
          <w:tcPr>
            <w:tcW w:w="2835" w:type="dxa"/>
            <w:vAlign w:val="center"/>
          </w:tcPr>
          <w:p>
            <w:pPr>
              <w:pStyle w:val="28"/>
            </w:pPr>
            <w:r>
              <w:t>验收合格工程量占总工程量的比率</w:t>
            </w:r>
          </w:p>
        </w:tc>
        <w:tc>
          <w:tcPr>
            <w:tcW w:w="2551" w:type="dxa"/>
            <w:vAlign w:val="center"/>
          </w:tcPr>
          <w:p>
            <w:pPr>
              <w:pStyle w:val="28"/>
            </w:pPr>
            <w:r>
              <w:t>100%</w:t>
            </w:r>
          </w:p>
        </w:tc>
        <w:tc>
          <w:tcPr>
            <w:tcW w:w="2268" w:type="dxa"/>
            <w:vAlign w:val="center"/>
          </w:tcPr>
          <w:p>
            <w:pPr>
              <w:pStyle w:val="28"/>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生态效益指标</w:t>
            </w:r>
          </w:p>
        </w:tc>
        <w:tc>
          <w:tcPr>
            <w:tcW w:w="2835" w:type="dxa"/>
            <w:vAlign w:val="center"/>
          </w:tcPr>
          <w:p>
            <w:pPr>
              <w:pStyle w:val="28"/>
            </w:pPr>
            <w:r>
              <w:t>生活垃圾减量化、无害化</w:t>
            </w:r>
          </w:p>
        </w:tc>
        <w:tc>
          <w:tcPr>
            <w:tcW w:w="2835" w:type="dxa"/>
            <w:vAlign w:val="center"/>
          </w:tcPr>
          <w:p>
            <w:pPr>
              <w:pStyle w:val="28"/>
            </w:pPr>
            <w:r>
              <w:t>通过增加垃圾填埋库容量，达到生活垃圾减量化、无害化</w:t>
            </w:r>
          </w:p>
        </w:tc>
        <w:tc>
          <w:tcPr>
            <w:tcW w:w="2551" w:type="dxa"/>
            <w:vAlign w:val="center"/>
          </w:tcPr>
          <w:p>
            <w:pPr>
              <w:pStyle w:val="28"/>
            </w:pPr>
            <w:r>
              <w:t>≥90%</w:t>
            </w:r>
          </w:p>
        </w:tc>
        <w:tc>
          <w:tcPr>
            <w:tcW w:w="2268" w:type="dxa"/>
            <w:vAlign w:val="center"/>
          </w:tcPr>
          <w:p>
            <w:pPr>
              <w:pStyle w:val="28"/>
            </w:pPr>
            <w:r>
              <w:t>《石家庄市藁城区建筑垃圾处理及生活垃圾分类特许经营项目-特许经营协议》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居民满意度</w:t>
            </w:r>
          </w:p>
        </w:tc>
        <w:tc>
          <w:tcPr>
            <w:tcW w:w="2835" w:type="dxa"/>
            <w:vAlign w:val="center"/>
          </w:tcPr>
          <w:p>
            <w:pPr>
              <w:pStyle w:val="28"/>
            </w:pPr>
            <w:r>
              <w:t>调查中满意和较满意的居民数量占全部调查人数的比率</w:t>
            </w:r>
          </w:p>
        </w:tc>
        <w:tc>
          <w:tcPr>
            <w:tcW w:w="2551" w:type="dxa"/>
            <w:vAlign w:val="center"/>
          </w:tcPr>
          <w:p>
            <w:pPr>
              <w:pStyle w:val="28"/>
            </w:pPr>
            <w:r>
              <w:t>≥80%</w:t>
            </w:r>
          </w:p>
        </w:tc>
        <w:tc>
          <w:tcPr>
            <w:tcW w:w="2268" w:type="dxa"/>
            <w:vAlign w:val="center"/>
          </w:tcPr>
          <w:p>
            <w:pPr>
              <w:pStyle w:val="28"/>
            </w:pPr>
            <w:r>
              <w:t>抽样调查、调查问卷</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0"/>
      </w:pPr>
      <w:bookmarkStart w:id="37" w:name="_Toc3682"/>
      <w:bookmarkStart w:id="38" w:name="_Toc26662"/>
      <w:r>
        <w:rPr>
          <w:rFonts w:ascii="黑体" w:hAnsi="黑体" w:eastAsia="黑体" w:cs="黑体"/>
          <w:color w:val="000000"/>
          <w:sz w:val="32"/>
        </w:rPr>
        <w:t>六、政府采购预算情况</w:t>
      </w:r>
      <w:bookmarkEnd w:id="37"/>
      <w:bookmarkEnd w:id="38"/>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2022年，石家庄市藁城区城市管理综合行政执法局本级安排政府采购预算2605.00万元。具体内容见下表。</w:t>
      </w:r>
    </w:p>
    <w:p>
      <w:pPr>
        <w:spacing w:before="0" w:after="0" w:line="500" w:lineRule="exact"/>
        <w:ind w:firstLine="560"/>
        <w:jc w:val="center"/>
        <w:outlineLvl w:val="9"/>
        <w:rPr>
          <w:rFonts w:ascii="Times New Roman" w:hAnsi="Times New Roman" w:eastAsia="方正仿宋_GBK" w:cs="Times New Roman"/>
          <w:b w:val="0"/>
          <w:color w:val="000000"/>
          <w:sz w:val="28"/>
        </w:rPr>
      </w:pPr>
      <w:bookmarkStart w:id="39" w:name="_Toc7827"/>
      <w:r>
        <w:rPr>
          <w:rFonts w:ascii="Times New Roman" w:hAnsi="Times New Roman" w:eastAsia="方正仿宋_GBK" w:cs="Times New Roman"/>
          <w:b w:val="0"/>
          <w:color w:val="000000"/>
          <w:sz w:val="28"/>
        </w:rPr>
        <w:t>单位政府采购预算</w:t>
      </w:r>
      <w:bookmarkEnd w:id="39"/>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565001石家庄市藁城区城市管理综合行政执法局本级</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2605.00</w:t>
            </w:r>
          </w:p>
        </w:tc>
        <w:tc>
          <w:tcPr>
            <w:tcW w:w="964" w:type="dxa"/>
            <w:vAlign w:val="center"/>
          </w:tcPr>
          <w:p>
            <w:pPr>
              <w:pStyle w:val="17"/>
            </w:pPr>
          </w:p>
        </w:tc>
        <w:tc>
          <w:tcPr>
            <w:tcW w:w="964" w:type="dxa"/>
            <w:vAlign w:val="center"/>
          </w:tcPr>
          <w:p>
            <w:pPr>
              <w:pStyle w:val="17"/>
            </w:pPr>
            <w:r>
              <w:t>2605.00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2605.00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石家庄市藁城区城市管理综合行政执法局本级小计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2605.00</w:t>
            </w:r>
          </w:p>
        </w:tc>
        <w:tc>
          <w:tcPr>
            <w:tcW w:w="964" w:type="dxa"/>
            <w:vAlign w:val="center"/>
          </w:tcPr>
          <w:p>
            <w:pPr>
              <w:pStyle w:val="17"/>
            </w:pPr>
          </w:p>
        </w:tc>
        <w:tc>
          <w:tcPr>
            <w:tcW w:w="964" w:type="dxa"/>
            <w:vAlign w:val="center"/>
          </w:tcPr>
          <w:p>
            <w:pPr>
              <w:pStyle w:val="17"/>
            </w:pPr>
            <w:r>
              <w:t>2605.00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2605.00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采购移动垃圾压缩设备及配套勾臂车</w:t>
            </w:r>
          </w:p>
        </w:tc>
        <w:tc>
          <w:tcPr>
            <w:tcW w:w="964" w:type="dxa"/>
            <w:vAlign w:val="center"/>
          </w:tcPr>
          <w:p>
            <w:pPr>
              <w:pStyle w:val="13"/>
            </w:pPr>
            <w:r>
              <w:t>183.00</w:t>
            </w:r>
          </w:p>
        </w:tc>
        <w:tc>
          <w:tcPr>
            <w:tcW w:w="1134" w:type="dxa"/>
            <w:vAlign w:val="center"/>
          </w:tcPr>
          <w:p>
            <w:pPr>
              <w:pStyle w:val="14"/>
            </w:pPr>
            <w:r>
              <w:t>垃圾车</w:t>
            </w:r>
          </w:p>
        </w:tc>
        <w:tc>
          <w:tcPr>
            <w:tcW w:w="1134" w:type="dxa"/>
            <w:vAlign w:val="center"/>
          </w:tcPr>
          <w:p>
            <w:pPr>
              <w:pStyle w:val="14"/>
            </w:pPr>
            <w:r>
              <w:t>A0203072801</w:t>
            </w:r>
          </w:p>
        </w:tc>
        <w:tc>
          <w:tcPr>
            <w:tcW w:w="709" w:type="dxa"/>
            <w:vAlign w:val="center"/>
          </w:tcPr>
          <w:p>
            <w:pPr>
              <w:pStyle w:val="15"/>
            </w:pPr>
            <w:r>
              <w:t>辆</w:t>
            </w:r>
          </w:p>
        </w:tc>
        <w:tc>
          <w:tcPr>
            <w:tcW w:w="850" w:type="dxa"/>
            <w:vAlign w:val="center"/>
          </w:tcPr>
          <w:p>
            <w:pPr>
              <w:pStyle w:val="13"/>
            </w:pPr>
            <w:r>
              <w:t>1</w:t>
            </w:r>
          </w:p>
        </w:tc>
        <w:tc>
          <w:tcPr>
            <w:tcW w:w="850" w:type="dxa"/>
            <w:vAlign w:val="center"/>
          </w:tcPr>
          <w:p>
            <w:pPr>
              <w:pStyle w:val="13"/>
            </w:pPr>
            <w:r>
              <w:t>53.00</w:t>
            </w:r>
          </w:p>
        </w:tc>
        <w:tc>
          <w:tcPr>
            <w:tcW w:w="964" w:type="dxa"/>
            <w:vAlign w:val="center"/>
          </w:tcPr>
          <w:p>
            <w:pPr>
              <w:pStyle w:val="13"/>
            </w:pPr>
            <w:r>
              <w:t>53.00</w:t>
            </w:r>
          </w:p>
        </w:tc>
        <w:tc>
          <w:tcPr>
            <w:tcW w:w="964" w:type="dxa"/>
            <w:vAlign w:val="center"/>
          </w:tcPr>
          <w:p>
            <w:pPr>
              <w:pStyle w:val="13"/>
            </w:pPr>
          </w:p>
        </w:tc>
        <w:tc>
          <w:tcPr>
            <w:tcW w:w="964" w:type="dxa"/>
            <w:vAlign w:val="center"/>
          </w:tcPr>
          <w:p>
            <w:pPr>
              <w:pStyle w:val="13"/>
            </w:pPr>
            <w:r>
              <w:t>53.00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采购移动垃圾压缩设备及配套勾臂车</w:t>
            </w:r>
          </w:p>
        </w:tc>
        <w:tc>
          <w:tcPr>
            <w:tcW w:w="964" w:type="dxa"/>
            <w:vAlign w:val="center"/>
          </w:tcPr>
          <w:p>
            <w:pPr>
              <w:pStyle w:val="13"/>
            </w:pPr>
            <w:r>
              <w:t>183.00</w:t>
            </w:r>
          </w:p>
        </w:tc>
        <w:tc>
          <w:tcPr>
            <w:tcW w:w="1134" w:type="dxa"/>
            <w:vAlign w:val="center"/>
          </w:tcPr>
          <w:p>
            <w:pPr>
              <w:pStyle w:val="14"/>
            </w:pPr>
            <w:r>
              <w:t>固体废弃物处理设备</w:t>
            </w:r>
          </w:p>
        </w:tc>
        <w:tc>
          <w:tcPr>
            <w:tcW w:w="1134" w:type="dxa"/>
            <w:vAlign w:val="center"/>
          </w:tcPr>
          <w:p>
            <w:pPr>
              <w:pStyle w:val="14"/>
            </w:pPr>
            <w:r>
              <w:t>A032403</w:t>
            </w:r>
          </w:p>
        </w:tc>
        <w:tc>
          <w:tcPr>
            <w:tcW w:w="709" w:type="dxa"/>
            <w:vAlign w:val="center"/>
          </w:tcPr>
          <w:p>
            <w:pPr>
              <w:pStyle w:val="15"/>
            </w:pPr>
            <w:r>
              <w:t>套</w:t>
            </w:r>
          </w:p>
        </w:tc>
        <w:tc>
          <w:tcPr>
            <w:tcW w:w="850" w:type="dxa"/>
            <w:vAlign w:val="center"/>
          </w:tcPr>
          <w:p>
            <w:pPr>
              <w:pStyle w:val="13"/>
            </w:pPr>
            <w:r>
              <w:t>5</w:t>
            </w:r>
          </w:p>
        </w:tc>
        <w:tc>
          <w:tcPr>
            <w:tcW w:w="850" w:type="dxa"/>
            <w:vAlign w:val="center"/>
          </w:tcPr>
          <w:p>
            <w:pPr>
              <w:pStyle w:val="13"/>
            </w:pPr>
            <w:r>
              <w:t>26.00</w:t>
            </w:r>
          </w:p>
        </w:tc>
        <w:tc>
          <w:tcPr>
            <w:tcW w:w="964" w:type="dxa"/>
            <w:vAlign w:val="center"/>
          </w:tcPr>
          <w:p>
            <w:pPr>
              <w:pStyle w:val="13"/>
            </w:pPr>
            <w:r>
              <w:t>130.00</w:t>
            </w:r>
          </w:p>
        </w:tc>
        <w:tc>
          <w:tcPr>
            <w:tcW w:w="964" w:type="dxa"/>
            <w:vAlign w:val="center"/>
          </w:tcPr>
          <w:p>
            <w:pPr>
              <w:pStyle w:val="13"/>
            </w:pPr>
          </w:p>
        </w:tc>
        <w:tc>
          <w:tcPr>
            <w:tcW w:w="964" w:type="dxa"/>
            <w:vAlign w:val="center"/>
          </w:tcPr>
          <w:p>
            <w:pPr>
              <w:pStyle w:val="13"/>
            </w:pPr>
            <w:r>
              <w:t>130.00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环境卫生维护费</w:t>
            </w:r>
          </w:p>
        </w:tc>
        <w:tc>
          <w:tcPr>
            <w:tcW w:w="964" w:type="dxa"/>
            <w:vAlign w:val="center"/>
          </w:tcPr>
          <w:p>
            <w:pPr>
              <w:pStyle w:val="13"/>
            </w:pPr>
            <w:r>
              <w:t>4268.39</w:t>
            </w:r>
          </w:p>
        </w:tc>
        <w:tc>
          <w:tcPr>
            <w:tcW w:w="1134" w:type="dxa"/>
            <w:vAlign w:val="center"/>
          </w:tcPr>
          <w:p>
            <w:pPr>
              <w:pStyle w:val="14"/>
            </w:pPr>
            <w:r>
              <w:t>普通服装</w:t>
            </w:r>
          </w:p>
        </w:tc>
        <w:tc>
          <w:tcPr>
            <w:tcW w:w="1134" w:type="dxa"/>
            <w:vAlign w:val="center"/>
          </w:tcPr>
          <w:p>
            <w:pPr>
              <w:pStyle w:val="14"/>
            </w:pPr>
            <w:r>
              <w:t>A07030103</w:t>
            </w:r>
          </w:p>
        </w:tc>
        <w:tc>
          <w:tcPr>
            <w:tcW w:w="709" w:type="dxa"/>
            <w:vAlign w:val="center"/>
          </w:tcPr>
          <w:p>
            <w:pPr>
              <w:pStyle w:val="15"/>
            </w:pPr>
            <w:r>
              <w:t>套</w:t>
            </w:r>
          </w:p>
        </w:tc>
        <w:tc>
          <w:tcPr>
            <w:tcW w:w="850" w:type="dxa"/>
            <w:vAlign w:val="center"/>
          </w:tcPr>
          <w:p>
            <w:pPr>
              <w:pStyle w:val="13"/>
            </w:pPr>
            <w:r>
              <w:t>1000</w:t>
            </w:r>
          </w:p>
        </w:tc>
        <w:tc>
          <w:tcPr>
            <w:tcW w:w="850" w:type="dxa"/>
            <w:vAlign w:val="center"/>
          </w:tcPr>
          <w:p>
            <w:pPr>
              <w:pStyle w:val="13"/>
            </w:pPr>
            <w:r>
              <w:t>0.12</w:t>
            </w:r>
          </w:p>
        </w:tc>
        <w:tc>
          <w:tcPr>
            <w:tcW w:w="964" w:type="dxa"/>
            <w:vAlign w:val="center"/>
          </w:tcPr>
          <w:p>
            <w:pPr>
              <w:pStyle w:val="13"/>
            </w:pPr>
            <w:r>
              <w:t>119.00</w:t>
            </w:r>
          </w:p>
        </w:tc>
        <w:tc>
          <w:tcPr>
            <w:tcW w:w="964" w:type="dxa"/>
            <w:vAlign w:val="center"/>
          </w:tcPr>
          <w:p>
            <w:pPr>
              <w:pStyle w:val="13"/>
            </w:pPr>
          </w:p>
        </w:tc>
        <w:tc>
          <w:tcPr>
            <w:tcW w:w="964" w:type="dxa"/>
            <w:vAlign w:val="center"/>
          </w:tcPr>
          <w:p>
            <w:pPr>
              <w:pStyle w:val="13"/>
            </w:pPr>
            <w:r>
              <w:t>119.00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垃圾转运站安装除臭设备</w:t>
            </w:r>
          </w:p>
        </w:tc>
        <w:tc>
          <w:tcPr>
            <w:tcW w:w="964" w:type="dxa"/>
            <w:vAlign w:val="center"/>
          </w:tcPr>
          <w:p>
            <w:pPr>
              <w:pStyle w:val="13"/>
            </w:pPr>
            <w:r>
              <w:t>45.00</w:t>
            </w:r>
          </w:p>
        </w:tc>
        <w:tc>
          <w:tcPr>
            <w:tcW w:w="1134" w:type="dxa"/>
            <w:vAlign w:val="center"/>
          </w:tcPr>
          <w:p>
            <w:pPr>
              <w:pStyle w:val="14"/>
            </w:pPr>
            <w:r>
              <w:t>其他环境污染防治设备</w:t>
            </w:r>
          </w:p>
        </w:tc>
        <w:tc>
          <w:tcPr>
            <w:tcW w:w="1134" w:type="dxa"/>
            <w:vAlign w:val="center"/>
          </w:tcPr>
          <w:p>
            <w:pPr>
              <w:pStyle w:val="14"/>
            </w:pPr>
            <w:r>
              <w:t>A032499</w:t>
            </w:r>
          </w:p>
        </w:tc>
        <w:tc>
          <w:tcPr>
            <w:tcW w:w="709" w:type="dxa"/>
            <w:vAlign w:val="center"/>
          </w:tcPr>
          <w:p>
            <w:pPr>
              <w:pStyle w:val="15"/>
            </w:pPr>
            <w:r>
              <w:t>套</w:t>
            </w:r>
          </w:p>
        </w:tc>
        <w:tc>
          <w:tcPr>
            <w:tcW w:w="850" w:type="dxa"/>
            <w:vAlign w:val="center"/>
          </w:tcPr>
          <w:p>
            <w:pPr>
              <w:pStyle w:val="13"/>
            </w:pPr>
            <w:r>
              <w:t>12</w:t>
            </w:r>
          </w:p>
        </w:tc>
        <w:tc>
          <w:tcPr>
            <w:tcW w:w="850" w:type="dxa"/>
            <w:vAlign w:val="center"/>
          </w:tcPr>
          <w:p>
            <w:pPr>
              <w:pStyle w:val="13"/>
            </w:pPr>
            <w:r>
              <w:t>3.75</w:t>
            </w:r>
          </w:p>
        </w:tc>
        <w:tc>
          <w:tcPr>
            <w:tcW w:w="964" w:type="dxa"/>
            <w:vAlign w:val="center"/>
          </w:tcPr>
          <w:p>
            <w:pPr>
              <w:pStyle w:val="13"/>
            </w:pPr>
            <w:r>
              <w:t>45.00</w:t>
            </w:r>
          </w:p>
        </w:tc>
        <w:tc>
          <w:tcPr>
            <w:tcW w:w="964" w:type="dxa"/>
            <w:vAlign w:val="center"/>
          </w:tcPr>
          <w:p>
            <w:pPr>
              <w:pStyle w:val="13"/>
            </w:pPr>
          </w:p>
        </w:tc>
        <w:tc>
          <w:tcPr>
            <w:tcW w:w="964" w:type="dxa"/>
            <w:vAlign w:val="center"/>
          </w:tcPr>
          <w:p>
            <w:pPr>
              <w:pStyle w:val="13"/>
            </w:pPr>
            <w:r>
              <w:t>45.00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市容管理、监察维护费</w:t>
            </w:r>
          </w:p>
        </w:tc>
        <w:tc>
          <w:tcPr>
            <w:tcW w:w="964" w:type="dxa"/>
            <w:vAlign w:val="center"/>
          </w:tcPr>
          <w:p>
            <w:pPr>
              <w:pStyle w:val="13"/>
            </w:pPr>
            <w:r>
              <w:t>1980.35</w:t>
            </w:r>
          </w:p>
        </w:tc>
        <w:tc>
          <w:tcPr>
            <w:tcW w:w="1134" w:type="dxa"/>
            <w:vAlign w:val="center"/>
          </w:tcPr>
          <w:p>
            <w:pPr>
              <w:pStyle w:val="14"/>
            </w:pPr>
            <w:r>
              <w:t>制服</w:t>
            </w:r>
          </w:p>
        </w:tc>
        <w:tc>
          <w:tcPr>
            <w:tcW w:w="1134" w:type="dxa"/>
            <w:vAlign w:val="center"/>
          </w:tcPr>
          <w:p>
            <w:pPr>
              <w:pStyle w:val="14"/>
            </w:pPr>
            <w:r>
              <w:t>A07030101</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66.00</w:t>
            </w:r>
          </w:p>
        </w:tc>
        <w:tc>
          <w:tcPr>
            <w:tcW w:w="964" w:type="dxa"/>
            <w:vAlign w:val="center"/>
          </w:tcPr>
          <w:p>
            <w:pPr>
              <w:pStyle w:val="13"/>
            </w:pPr>
            <w:r>
              <w:t>66.00</w:t>
            </w:r>
          </w:p>
        </w:tc>
        <w:tc>
          <w:tcPr>
            <w:tcW w:w="964" w:type="dxa"/>
            <w:vAlign w:val="center"/>
          </w:tcPr>
          <w:p>
            <w:pPr>
              <w:pStyle w:val="13"/>
            </w:pPr>
          </w:p>
        </w:tc>
        <w:tc>
          <w:tcPr>
            <w:tcW w:w="964" w:type="dxa"/>
            <w:vAlign w:val="center"/>
          </w:tcPr>
          <w:p>
            <w:pPr>
              <w:pStyle w:val="13"/>
            </w:pPr>
            <w:r>
              <w:t>66.00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市容管理、监察维护费</w:t>
            </w:r>
          </w:p>
        </w:tc>
        <w:tc>
          <w:tcPr>
            <w:tcW w:w="964" w:type="dxa"/>
            <w:vAlign w:val="center"/>
          </w:tcPr>
          <w:p>
            <w:pPr>
              <w:pStyle w:val="13"/>
            </w:pPr>
            <w:r>
              <w:t>1980.35</w:t>
            </w:r>
          </w:p>
        </w:tc>
        <w:tc>
          <w:tcPr>
            <w:tcW w:w="1134" w:type="dxa"/>
            <w:vAlign w:val="center"/>
          </w:tcPr>
          <w:p>
            <w:pPr>
              <w:pStyle w:val="14"/>
            </w:pPr>
            <w:r>
              <w:t>其他服务</w:t>
            </w:r>
          </w:p>
        </w:tc>
        <w:tc>
          <w:tcPr>
            <w:tcW w:w="1134" w:type="dxa"/>
            <w:vAlign w:val="center"/>
          </w:tcPr>
          <w:p>
            <w:pPr>
              <w:pStyle w:val="14"/>
            </w:pPr>
            <w:r>
              <w:t>C99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48.00</w:t>
            </w:r>
          </w:p>
        </w:tc>
        <w:tc>
          <w:tcPr>
            <w:tcW w:w="964" w:type="dxa"/>
            <w:vAlign w:val="center"/>
          </w:tcPr>
          <w:p>
            <w:pPr>
              <w:pStyle w:val="13"/>
            </w:pPr>
            <w:r>
              <w:t>48.00</w:t>
            </w:r>
          </w:p>
        </w:tc>
        <w:tc>
          <w:tcPr>
            <w:tcW w:w="964" w:type="dxa"/>
            <w:vAlign w:val="center"/>
          </w:tcPr>
          <w:p>
            <w:pPr>
              <w:pStyle w:val="13"/>
            </w:pPr>
          </w:p>
        </w:tc>
        <w:tc>
          <w:tcPr>
            <w:tcW w:w="964" w:type="dxa"/>
            <w:vAlign w:val="center"/>
          </w:tcPr>
          <w:p>
            <w:pPr>
              <w:pStyle w:val="13"/>
            </w:pPr>
            <w:r>
              <w:t>48.00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收运、处置厨余垃圾费用</w:t>
            </w:r>
          </w:p>
        </w:tc>
        <w:tc>
          <w:tcPr>
            <w:tcW w:w="964" w:type="dxa"/>
            <w:vAlign w:val="center"/>
          </w:tcPr>
          <w:p>
            <w:pPr>
              <w:pStyle w:val="13"/>
            </w:pPr>
            <w:r>
              <w:t>90.00</w:t>
            </w:r>
          </w:p>
        </w:tc>
        <w:tc>
          <w:tcPr>
            <w:tcW w:w="1134" w:type="dxa"/>
            <w:vAlign w:val="center"/>
          </w:tcPr>
          <w:p>
            <w:pPr>
              <w:pStyle w:val="14"/>
            </w:pPr>
            <w:r>
              <w:t>其他无害固体废物处理服务</w:t>
            </w:r>
          </w:p>
        </w:tc>
        <w:tc>
          <w:tcPr>
            <w:tcW w:w="1134" w:type="dxa"/>
            <w:vAlign w:val="center"/>
          </w:tcPr>
          <w:p>
            <w:pPr>
              <w:pStyle w:val="14"/>
            </w:pPr>
            <w:r>
              <w:t>C1606</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90.00</w:t>
            </w:r>
          </w:p>
        </w:tc>
        <w:tc>
          <w:tcPr>
            <w:tcW w:w="964" w:type="dxa"/>
            <w:vAlign w:val="center"/>
          </w:tcPr>
          <w:p>
            <w:pPr>
              <w:pStyle w:val="13"/>
            </w:pPr>
            <w:r>
              <w:t>90.00</w:t>
            </w:r>
          </w:p>
        </w:tc>
        <w:tc>
          <w:tcPr>
            <w:tcW w:w="964" w:type="dxa"/>
            <w:vAlign w:val="center"/>
          </w:tcPr>
          <w:p>
            <w:pPr>
              <w:pStyle w:val="13"/>
            </w:pPr>
          </w:p>
        </w:tc>
        <w:tc>
          <w:tcPr>
            <w:tcW w:w="964" w:type="dxa"/>
            <w:vAlign w:val="center"/>
          </w:tcPr>
          <w:p>
            <w:pPr>
              <w:pStyle w:val="13"/>
            </w:pPr>
            <w:r>
              <w:t>90.00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园林绿地维护费</w:t>
            </w:r>
          </w:p>
        </w:tc>
        <w:tc>
          <w:tcPr>
            <w:tcW w:w="964" w:type="dxa"/>
            <w:vAlign w:val="center"/>
          </w:tcPr>
          <w:p>
            <w:pPr>
              <w:pStyle w:val="13"/>
            </w:pPr>
            <w:r>
              <w:t>2575.14</w:t>
            </w:r>
          </w:p>
        </w:tc>
        <w:tc>
          <w:tcPr>
            <w:tcW w:w="1134" w:type="dxa"/>
            <w:vAlign w:val="center"/>
          </w:tcPr>
          <w:p>
            <w:pPr>
              <w:pStyle w:val="14"/>
            </w:pPr>
            <w:r>
              <w:t>其他专业施工</w:t>
            </w:r>
          </w:p>
        </w:tc>
        <w:tc>
          <w:tcPr>
            <w:tcW w:w="1134" w:type="dxa"/>
            <w:vAlign w:val="center"/>
          </w:tcPr>
          <w:p>
            <w:pPr>
              <w:pStyle w:val="14"/>
            </w:pPr>
            <w:r>
              <w:t>B0599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190.00</w:t>
            </w:r>
          </w:p>
        </w:tc>
        <w:tc>
          <w:tcPr>
            <w:tcW w:w="964" w:type="dxa"/>
            <w:vAlign w:val="center"/>
          </w:tcPr>
          <w:p>
            <w:pPr>
              <w:pStyle w:val="13"/>
            </w:pPr>
            <w:r>
              <w:t>190.00</w:t>
            </w:r>
          </w:p>
        </w:tc>
        <w:tc>
          <w:tcPr>
            <w:tcW w:w="964" w:type="dxa"/>
            <w:vAlign w:val="center"/>
          </w:tcPr>
          <w:p>
            <w:pPr>
              <w:pStyle w:val="13"/>
            </w:pPr>
          </w:p>
        </w:tc>
        <w:tc>
          <w:tcPr>
            <w:tcW w:w="964" w:type="dxa"/>
            <w:vAlign w:val="center"/>
          </w:tcPr>
          <w:p>
            <w:pPr>
              <w:pStyle w:val="13"/>
            </w:pPr>
            <w:r>
              <w:t>190.00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园林绿地维护费</w:t>
            </w:r>
          </w:p>
        </w:tc>
        <w:tc>
          <w:tcPr>
            <w:tcW w:w="964" w:type="dxa"/>
            <w:vAlign w:val="center"/>
          </w:tcPr>
          <w:p>
            <w:pPr>
              <w:pStyle w:val="13"/>
            </w:pPr>
            <w:r>
              <w:t>2575.14</w:t>
            </w:r>
          </w:p>
        </w:tc>
        <w:tc>
          <w:tcPr>
            <w:tcW w:w="1134" w:type="dxa"/>
            <w:vAlign w:val="center"/>
          </w:tcPr>
          <w:p>
            <w:pPr>
              <w:pStyle w:val="14"/>
            </w:pPr>
            <w:r>
              <w:t>其他专业施工</w:t>
            </w:r>
          </w:p>
        </w:tc>
        <w:tc>
          <w:tcPr>
            <w:tcW w:w="1134" w:type="dxa"/>
            <w:vAlign w:val="center"/>
          </w:tcPr>
          <w:p>
            <w:pPr>
              <w:pStyle w:val="14"/>
            </w:pPr>
            <w:r>
              <w:t>B0599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96.00</w:t>
            </w:r>
          </w:p>
        </w:tc>
        <w:tc>
          <w:tcPr>
            <w:tcW w:w="964" w:type="dxa"/>
            <w:vAlign w:val="center"/>
          </w:tcPr>
          <w:p>
            <w:pPr>
              <w:pStyle w:val="13"/>
            </w:pPr>
            <w:r>
              <w:t>96.00</w:t>
            </w:r>
          </w:p>
        </w:tc>
        <w:tc>
          <w:tcPr>
            <w:tcW w:w="964" w:type="dxa"/>
            <w:vAlign w:val="center"/>
          </w:tcPr>
          <w:p>
            <w:pPr>
              <w:pStyle w:val="13"/>
            </w:pPr>
          </w:p>
        </w:tc>
        <w:tc>
          <w:tcPr>
            <w:tcW w:w="964" w:type="dxa"/>
            <w:vAlign w:val="center"/>
          </w:tcPr>
          <w:p>
            <w:pPr>
              <w:pStyle w:val="13"/>
            </w:pPr>
            <w:r>
              <w:t>96.00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园林绿地维护费</w:t>
            </w:r>
          </w:p>
        </w:tc>
        <w:tc>
          <w:tcPr>
            <w:tcW w:w="964" w:type="dxa"/>
            <w:vAlign w:val="center"/>
          </w:tcPr>
          <w:p>
            <w:pPr>
              <w:pStyle w:val="13"/>
            </w:pPr>
            <w:r>
              <w:t>2575.14</w:t>
            </w:r>
          </w:p>
        </w:tc>
        <w:tc>
          <w:tcPr>
            <w:tcW w:w="1134" w:type="dxa"/>
            <w:vAlign w:val="center"/>
          </w:tcPr>
          <w:p>
            <w:pPr>
              <w:pStyle w:val="14"/>
            </w:pPr>
            <w:r>
              <w:t>园林绿化管理服务</w:t>
            </w:r>
          </w:p>
        </w:tc>
        <w:tc>
          <w:tcPr>
            <w:tcW w:w="1134" w:type="dxa"/>
            <w:vAlign w:val="center"/>
          </w:tcPr>
          <w:p>
            <w:pPr>
              <w:pStyle w:val="14"/>
            </w:pPr>
            <w:r>
              <w:t>C1303</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98.00</w:t>
            </w:r>
          </w:p>
        </w:tc>
        <w:tc>
          <w:tcPr>
            <w:tcW w:w="964" w:type="dxa"/>
            <w:vAlign w:val="center"/>
          </w:tcPr>
          <w:p>
            <w:pPr>
              <w:pStyle w:val="13"/>
            </w:pPr>
            <w:r>
              <w:t>98.00</w:t>
            </w:r>
          </w:p>
        </w:tc>
        <w:tc>
          <w:tcPr>
            <w:tcW w:w="964" w:type="dxa"/>
            <w:vAlign w:val="center"/>
          </w:tcPr>
          <w:p>
            <w:pPr>
              <w:pStyle w:val="13"/>
            </w:pPr>
          </w:p>
        </w:tc>
        <w:tc>
          <w:tcPr>
            <w:tcW w:w="964" w:type="dxa"/>
            <w:vAlign w:val="center"/>
          </w:tcPr>
          <w:p>
            <w:pPr>
              <w:pStyle w:val="13"/>
            </w:pPr>
            <w:r>
              <w:t>98.00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中转站运行服务费</w:t>
            </w:r>
          </w:p>
        </w:tc>
        <w:tc>
          <w:tcPr>
            <w:tcW w:w="964" w:type="dxa"/>
            <w:vAlign w:val="center"/>
          </w:tcPr>
          <w:p>
            <w:pPr>
              <w:pStyle w:val="13"/>
            </w:pPr>
            <w:r>
              <w:t>1949.52</w:t>
            </w:r>
          </w:p>
        </w:tc>
        <w:tc>
          <w:tcPr>
            <w:tcW w:w="1134" w:type="dxa"/>
            <w:vAlign w:val="center"/>
          </w:tcPr>
          <w:p>
            <w:pPr>
              <w:pStyle w:val="14"/>
            </w:pPr>
            <w:r>
              <w:t>市政公共设施管理服务</w:t>
            </w:r>
          </w:p>
        </w:tc>
        <w:tc>
          <w:tcPr>
            <w:tcW w:w="1134" w:type="dxa"/>
            <w:vAlign w:val="center"/>
          </w:tcPr>
          <w:p>
            <w:pPr>
              <w:pStyle w:val="14"/>
            </w:pPr>
            <w:r>
              <w:t>C1302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1670.00</w:t>
            </w:r>
          </w:p>
        </w:tc>
        <w:tc>
          <w:tcPr>
            <w:tcW w:w="964" w:type="dxa"/>
            <w:vAlign w:val="center"/>
          </w:tcPr>
          <w:p>
            <w:pPr>
              <w:pStyle w:val="13"/>
            </w:pPr>
            <w:r>
              <w:t>1670.00</w:t>
            </w:r>
          </w:p>
        </w:tc>
        <w:tc>
          <w:tcPr>
            <w:tcW w:w="964" w:type="dxa"/>
            <w:vAlign w:val="center"/>
          </w:tcPr>
          <w:p>
            <w:pPr>
              <w:pStyle w:val="13"/>
            </w:pPr>
          </w:p>
        </w:tc>
        <w:tc>
          <w:tcPr>
            <w:tcW w:w="964" w:type="dxa"/>
            <w:vAlign w:val="center"/>
          </w:tcPr>
          <w:p>
            <w:pPr>
              <w:pStyle w:val="13"/>
            </w:pPr>
            <w:r>
              <w:t>1670.00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1670.00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pPr>
      <w:bookmarkStart w:id="40" w:name="_Toc24577"/>
      <w:bookmarkStart w:id="41" w:name="_Toc27272"/>
      <w:r>
        <w:rPr>
          <w:rFonts w:ascii="黑体" w:hAnsi="黑体" w:eastAsia="黑体" w:cs="黑体"/>
          <w:color w:val="000000"/>
          <w:sz w:val="32"/>
        </w:rPr>
        <w:t>七、国有资产信息</w:t>
      </w:r>
      <w:bookmarkEnd w:id="40"/>
      <w:bookmarkEnd w:id="41"/>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石家庄市藁城区城市管理综合行政执法局本级上年末固定资产金额为6018.56万元（详见下表）。本年度拟购置固定资产总额为243.61万元，</w:t>
      </w:r>
      <w:r>
        <w:rPr>
          <w:rFonts w:hint="eastAsia" w:eastAsia="方正仿宋_GBK" w:cs="Times New Roman"/>
          <w:b w:val="0"/>
          <w:color w:val="000000"/>
          <w:sz w:val="28"/>
          <w:lang w:eastAsia="zh-CN"/>
        </w:rPr>
        <w:t>用于购买电脑、空调、办公桌椅、车载远程监测设备、不间断电源、湿扫机、防汛应急冲锋舟等，因未达到政府采购限额未</w:t>
      </w:r>
      <w:r>
        <w:rPr>
          <w:rFonts w:ascii="Times New Roman" w:hAnsi="Times New Roman" w:eastAsia="方正仿宋_GBK" w:cs="Times New Roman"/>
          <w:b w:val="0"/>
          <w:color w:val="000000"/>
          <w:sz w:val="28"/>
        </w:rPr>
        <w:t>列入政府采购预算。</w:t>
      </w:r>
    </w:p>
    <w:p>
      <w:pPr>
        <w:spacing w:before="0" w:after="0" w:line="500" w:lineRule="exact"/>
        <w:ind w:firstLine="560"/>
        <w:jc w:val="center"/>
        <w:outlineLvl w:val="9"/>
        <w:rPr>
          <w:rFonts w:ascii="Times New Roman" w:hAnsi="Times New Roman" w:eastAsia="方正仿宋_GBK" w:cs="Times New Roman"/>
          <w:b w:val="0"/>
          <w:color w:val="000000"/>
          <w:sz w:val="28"/>
        </w:rPr>
      </w:pPr>
      <w:bookmarkStart w:id="42" w:name="_Toc18531"/>
      <w:r>
        <w:rPr>
          <w:rFonts w:ascii="Times New Roman" w:hAnsi="Times New Roman" w:eastAsia="方正仿宋_GBK" w:cs="Times New Roman"/>
          <w:b w:val="0"/>
          <w:color w:val="000000"/>
          <w:sz w:val="28"/>
        </w:rPr>
        <w:t>单位固定资产占用情况表</w:t>
      </w:r>
      <w:bookmarkEnd w:id="4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565001石家庄市藁城区城市管理综合行政执法局本级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6018.56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2921.96</w:t>
            </w:r>
          </w:p>
        </w:tc>
        <w:tc>
          <w:tcPr>
            <w:tcW w:w="2835" w:type="dxa"/>
            <w:vAlign w:val="center"/>
          </w:tcPr>
          <w:p>
            <w:pPr>
              <w:pStyle w:val="13"/>
            </w:pPr>
            <w:r>
              <w:t>188.84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2901.96</w:t>
            </w:r>
          </w:p>
        </w:tc>
        <w:tc>
          <w:tcPr>
            <w:tcW w:w="2835" w:type="dxa"/>
            <w:vAlign w:val="center"/>
          </w:tcPr>
          <w:p>
            <w:pPr>
              <w:pStyle w:val="13"/>
            </w:pPr>
            <w:r>
              <w:t>186.30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118</w:t>
            </w:r>
          </w:p>
        </w:tc>
        <w:tc>
          <w:tcPr>
            <w:tcW w:w="2835" w:type="dxa"/>
            <w:vAlign w:val="center"/>
          </w:tcPr>
          <w:p>
            <w:pPr>
              <w:pStyle w:val="13"/>
            </w:pPr>
            <w:r>
              <w:t>3697.49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2375.85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pPr>
      <w:bookmarkStart w:id="43" w:name="_Toc16678"/>
      <w:bookmarkStart w:id="44" w:name="_Toc13421"/>
      <w:r>
        <w:rPr>
          <w:rFonts w:ascii="黑体" w:hAnsi="黑体" w:eastAsia="黑体" w:cs="黑体"/>
          <w:color w:val="000000"/>
          <w:sz w:val="32"/>
        </w:rPr>
        <w:t>八、名词解释</w:t>
      </w:r>
      <w:bookmarkEnd w:id="43"/>
      <w:bookmarkEnd w:id="44"/>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0"/>
      </w:pPr>
      <w:bookmarkStart w:id="45" w:name="_Toc5649"/>
      <w:bookmarkStart w:id="46" w:name="_Toc22869"/>
      <w:r>
        <w:rPr>
          <w:rFonts w:ascii="黑体" w:hAnsi="黑体" w:eastAsia="黑体" w:cs="黑体"/>
          <w:color w:val="000000"/>
          <w:sz w:val="32"/>
        </w:rPr>
        <w:t>九、其他需要说明的事项</w:t>
      </w:r>
      <w:bookmarkEnd w:id="45"/>
      <w:bookmarkEnd w:id="46"/>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AB2F14"/>
    <w:multiLevelType w:val="singleLevel"/>
    <w:tmpl w:val="82AB2F14"/>
    <w:lvl w:ilvl="0" w:tentative="0">
      <w:start w:val="3"/>
      <w:numFmt w:val="chineseCounting"/>
      <w:suff w:val="nothing"/>
      <w:lvlText w:val="%1、"/>
      <w:lvlJc w:val="left"/>
      <w:rPr>
        <w:rFonts w:hint="eastAsia"/>
      </w:rPr>
    </w:lvl>
  </w:abstractNum>
  <w:abstractNum w:abstractNumId="1">
    <w:nsid w:val="9D684672"/>
    <w:multiLevelType w:val="singleLevel"/>
    <w:tmpl w:val="9D684672"/>
    <w:lvl w:ilvl="0" w:tentative="0">
      <w:start w:val="66"/>
      <w:numFmt w:val="decimal"/>
      <w:suff w:val="nothing"/>
      <w:lvlText w:val="%1、"/>
      <w:lvlJc w:val="left"/>
    </w:lvl>
  </w:abstractNum>
  <w:abstractNum w:abstractNumId="2">
    <w:nsid w:val="9DA07BB1"/>
    <w:multiLevelType w:val="singleLevel"/>
    <w:tmpl w:val="9DA07BB1"/>
    <w:lvl w:ilvl="0" w:tentative="0">
      <w:start w:val="52"/>
      <w:numFmt w:val="decimal"/>
      <w:suff w:val="nothing"/>
      <w:lvlText w:val="%1、"/>
      <w:lvlJc w:val="left"/>
    </w:lvl>
  </w:abstractNum>
  <w:abstractNum w:abstractNumId="3">
    <w:nsid w:val="B7463894"/>
    <w:multiLevelType w:val="singleLevel"/>
    <w:tmpl w:val="B7463894"/>
    <w:lvl w:ilvl="0" w:tentative="0">
      <w:start w:val="25"/>
      <w:numFmt w:val="decimal"/>
      <w:suff w:val="nothing"/>
      <w:lvlText w:val="%1、"/>
      <w:lvlJc w:val="left"/>
    </w:lvl>
  </w:abstractNum>
  <w:abstractNum w:abstractNumId="4">
    <w:nsid w:val="C5220077"/>
    <w:multiLevelType w:val="singleLevel"/>
    <w:tmpl w:val="C5220077"/>
    <w:lvl w:ilvl="0" w:tentative="0">
      <w:start w:val="10"/>
      <w:numFmt w:val="decimal"/>
      <w:suff w:val="nothing"/>
      <w:lvlText w:val="%1、"/>
      <w:lvlJc w:val="left"/>
    </w:lvl>
  </w:abstractNum>
  <w:abstractNum w:abstractNumId="5">
    <w:nsid w:val="123D7E1C"/>
    <w:multiLevelType w:val="singleLevel"/>
    <w:tmpl w:val="123D7E1C"/>
    <w:lvl w:ilvl="0" w:tentative="0">
      <w:start w:val="43"/>
      <w:numFmt w:val="decimal"/>
      <w:suff w:val="nothing"/>
      <w:lvlText w:val="%1、"/>
      <w:lvlJc w:val="left"/>
    </w:lvl>
  </w:abstractNum>
  <w:abstractNum w:abstractNumId="6">
    <w:nsid w:val="1AB64E0F"/>
    <w:multiLevelType w:val="singleLevel"/>
    <w:tmpl w:val="1AB64E0F"/>
    <w:lvl w:ilvl="0" w:tentative="0">
      <w:start w:val="7"/>
      <w:numFmt w:val="decimal"/>
      <w:suff w:val="nothing"/>
      <w:lvlText w:val="%1、"/>
      <w:lvlJc w:val="left"/>
    </w:lvl>
  </w:abstractNum>
  <w:abstractNum w:abstractNumId="7">
    <w:nsid w:val="2B6D4C9E"/>
    <w:multiLevelType w:val="singleLevel"/>
    <w:tmpl w:val="2B6D4C9E"/>
    <w:lvl w:ilvl="0" w:tentative="0">
      <w:start w:val="57"/>
      <w:numFmt w:val="decimal"/>
      <w:suff w:val="nothing"/>
      <w:lvlText w:val="%1、"/>
      <w:lvlJc w:val="left"/>
    </w:lvl>
  </w:abstractNum>
  <w:abstractNum w:abstractNumId="8">
    <w:nsid w:val="471EF668"/>
    <w:multiLevelType w:val="singleLevel"/>
    <w:tmpl w:val="471EF668"/>
    <w:lvl w:ilvl="0" w:tentative="0">
      <w:start w:val="4"/>
      <w:numFmt w:val="chineseCounting"/>
      <w:suff w:val="nothing"/>
      <w:lvlText w:val="%1、"/>
      <w:lvlJc w:val="left"/>
      <w:rPr>
        <w:rFonts w:hint="eastAsia"/>
      </w:rPr>
    </w:lvl>
  </w:abstractNum>
  <w:abstractNum w:abstractNumId="9">
    <w:nsid w:val="4D16D655"/>
    <w:multiLevelType w:val="singleLevel"/>
    <w:tmpl w:val="4D16D655"/>
    <w:lvl w:ilvl="0" w:tentative="0">
      <w:start w:val="47"/>
      <w:numFmt w:val="decimal"/>
      <w:suff w:val="nothing"/>
      <w:lvlText w:val="%1、"/>
      <w:lvlJc w:val="left"/>
    </w:lvl>
  </w:abstractNum>
  <w:num w:numId="1">
    <w:abstractNumId w:val="0"/>
  </w:num>
  <w:num w:numId="2">
    <w:abstractNumId w:val="8"/>
  </w:num>
  <w:num w:numId="3">
    <w:abstractNumId w:val="6"/>
  </w:num>
  <w:num w:numId="4">
    <w:abstractNumId w:val="4"/>
  </w:num>
  <w:num w:numId="5">
    <w:abstractNumId w:val="3"/>
  </w:num>
  <w:num w:numId="6">
    <w:abstractNumId w:val="5"/>
  </w:num>
  <w:num w:numId="7">
    <w:abstractNumId w:val="9"/>
  </w:num>
  <w:num w:numId="8">
    <w:abstractNumId w:val="2"/>
  </w:num>
  <w:num w:numId="9">
    <w:abstractNumId w:val="7"/>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UwZGQxNjA3NzE3YjRlZDA5YjA4NDI2YmUzYjkxZDYifQ=="/>
  </w:docVars>
  <w:rsids>
    <w:rsidRoot w:val="00000000"/>
    <w:rsid w:val="00F15515"/>
    <w:rsid w:val="04ED2A54"/>
    <w:rsid w:val="0AB1540D"/>
    <w:rsid w:val="0BDA0806"/>
    <w:rsid w:val="0CE13A38"/>
    <w:rsid w:val="0D4E40CC"/>
    <w:rsid w:val="0E3C0A67"/>
    <w:rsid w:val="102A0042"/>
    <w:rsid w:val="13FE1D0C"/>
    <w:rsid w:val="146A2341"/>
    <w:rsid w:val="185173AC"/>
    <w:rsid w:val="19CE5E5F"/>
    <w:rsid w:val="1AD37036"/>
    <w:rsid w:val="1D0949E5"/>
    <w:rsid w:val="200C5273"/>
    <w:rsid w:val="20BF591B"/>
    <w:rsid w:val="2A394729"/>
    <w:rsid w:val="2BE9563B"/>
    <w:rsid w:val="2DC76754"/>
    <w:rsid w:val="2F312E76"/>
    <w:rsid w:val="2F995D16"/>
    <w:rsid w:val="38B87454"/>
    <w:rsid w:val="420C1561"/>
    <w:rsid w:val="45656A3B"/>
    <w:rsid w:val="48587F72"/>
    <w:rsid w:val="48EB22F0"/>
    <w:rsid w:val="491D0E68"/>
    <w:rsid w:val="4DF544E9"/>
    <w:rsid w:val="510E393B"/>
    <w:rsid w:val="51D9498E"/>
    <w:rsid w:val="563429F5"/>
    <w:rsid w:val="57B32A0E"/>
    <w:rsid w:val="593C66B7"/>
    <w:rsid w:val="596174C1"/>
    <w:rsid w:val="59A11703"/>
    <w:rsid w:val="5A5912C7"/>
    <w:rsid w:val="5C8D1728"/>
    <w:rsid w:val="5E1849D3"/>
    <w:rsid w:val="64254B56"/>
    <w:rsid w:val="6A531844"/>
    <w:rsid w:val="6BBB1A2F"/>
    <w:rsid w:val="6DB30412"/>
    <w:rsid w:val="6E3E4FB0"/>
    <w:rsid w:val="6ED10714"/>
    <w:rsid w:val="705212EA"/>
    <w:rsid w:val="72A63877"/>
    <w:rsid w:val="75BC1706"/>
    <w:rsid w:val="76E62535"/>
    <w:rsid w:val="7BA0483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link w:val="35"/>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0d3230d5-dfc8-4d32-8c1e-0ad5817eb59b"/>
    <w:autoRedefine/>
    <w:qFormat/>
    <w:uiPriority w:val="0"/>
    <w:rPr>
      <w:rFonts w:ascii="Times New Roman" w:hAnsi="Times New Roman" w:eastAsia="Times New Roman" w:cstheme="minorBidi"/>
      <w:sz w:val="24"/>
      <w:szCs w:val="24"/>
      <w:lang w:val="en-US" w:eastAsia="uk-UA" w:bidi="ar-SA"/>
    </w:rPr>
  </w:style>
  <w:style w:type="paragraph" w:customStyle="1" w:styleId="27">
    <w:name w:val="单元格样式1_79b6c72c-293d-4486-ab82-5f505f34eae4"/>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12c90792-6e23-4116-bc2c-20a2d04277d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968113df-8876-40cc-9ab4-ea0ea250e99a"/>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35">
    <w:name w:val="目录 1 Char"/>
    <w:link w:val="3"/>
    <w:autoRedefine/>
    <w:qFormat/>
    <w:uiPriority w:val="0"/>
    <w:rPr>
      <w:rFonts w:ascii="Times New Roman" w:hAnsi="Times New Roman" w:eastAsia="方正仿宋_GBK" w:cs="Times New Roman"/>
      <w:color w:val="000000"/>
      <w:sz w:val="28"/>
      <w:lang w:val="en-US"/>
    </w:rPr>
  </w:style>
  <w:style w:type="paragraph" w:customStyle="1" w:styleId="36">
    <w:name w:val="WPSOffice手动目录 1"/>
    <w:autoRedefine/>
    <w:qFormat/>
    <w:uiPriority w:val="0"/>
    <w:pPr>
      <w:ind w:leftChars="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2022-02-14T17:45:22Z</dcterms:created>
  <dcterms:modified xsi:type="dcterms:W3CDTF">2022-02-14T09:45:21Z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2022-02-14T17:46:14Z</dcterms:created>
  <dcterms:modified xsi:type="dcterms:W3CDTF">2022-02-14T09:46:14Z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2022-02-14T17:45:50Z</dcterms:created>
  <dcterms:modified xsi:type="dcterms:W3CDTF">2022-02-14T09:45:50Z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2022-02-14T17:45:46Z</dcterms:created>
  <dcterms:modified xsi:type="dcterms:W3CDTF">2022-02-14T09:45:45Z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122a37b-6664-4bef-8f10-174b6b11ea5f}">
  <ds:schemaRefs/>
</ds:datastoreItem>
</file>

<file path=customXml/itemProps2.xml><?xml version="1.0" encoding="utf-8"?>
<ds:datastoreItem xmlns:ds="http://schemas.openxmlformats.org/officeDocument/2006/customXml" ds:itemID="{ad82d586-7887-4db8-b353-4b332affb578}">
  <ds:schemaRefs/>
</ds:datastoreItem>
</file>

<file path=customXml/itemProps3.xml><?xml version="1.0" encoding="utf-8"?>
<ds:datastoreItem xmlns:ds="http://schemas.openxmlformats.org/officeDocument/2006/customXml" ds:itemID="{f101be5f-02ae-4e73-b2ed-f4acb57b2b57}">
  <ds:schemaRefs/>
</ds:datastoreItem>
</file>

<file path=customXml/itemProps4.xml><?xml version="1.0" encoding="utf-8"?>
<ds:datastoreItem xmlns:ds="http://schemas.openxmlformats.org/officeDocument/2006/customXml" ds:itemID="{d0d7830a-8cdb-45b1-85df-630f443cc9c1}">
  <ds:schemaRefs/>
</ds:datastoreItem>
</file>

<file path=customXml/itemProps5.xml><?xml version="1.0" encoding="utf-8"?>
<ds:datastoreItem xmlns:ds="http://schemas.openxmlformats.org/officeDocument/2006/customXml" ds:itemID="{cfcc8059-8a0a-4a09-9a6f-1c8ae9704890}">
  <ds:schemaRefs/>
</ds:datastoreItem>
</file>

<file path=customXml/itemProps6.xml><?xml version="1.0" encoding="utf-8"?>
<ds:datastoreItem xmlns:ds="http://schemas.openxmlformats.org/officeDocument/2006/customXml" ds:itemID="{01078310-19fd-484b-8d5e-e3a7a0e808de}">
  <ds:schemaRefs/>
</ds:datastoreItem>
</file>

<file path=customXml/itemProps7.xml><?xml version="1.0" encoding="utf-8"?>
<ds:datastoreItem xmlns:ds="http://schemas.openxmlformats.org/officeDocument/2006/customXml" ds:itemID="{27c218b2-d508-45a9-9efd-36e8b9622208}">
  <ds:schemaRefs/>
</ds:datastoreItem>
</file>

<file path=customXml/itemProps8.xml><?xml version="1.0" encoding="utf-8"?>
<ds:datastoreItem xmlns:ds="http://schemas.openxmlformats.org/officeDocument/2006/customXml" ds:itemID="{d8b57b5f-952c-4414-adb4-132b9faf73fc}">
  <ds:schemaRefs/>
</ds:datastoreItem>
</file>

<file path=docProps/app.xml><?xml version="1.0" encoding="utf-8"?>
<Properties xmlns="http://schemas.openxmlformats.org/officeDocument/2006/extended-properties" xmlns:vt="http://schemas.openxmlformats.org/officeDocument/2006/docPropsVTypes">
  <Pages>105</Pages>
  <Words>30904</Words>
  <Characters>34338</Characters>
  <TotalTime>1</TotalTime>
  <ScaleCrop>false</ScaleCrop>
  <LinksUpToDate>false</LinksUpToDate>
  <CharactersWithSpaces>34667</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2022-02-14T17:46:00Z</dcterms:created>
  <dc:creator>Administrator</dc:creator>
  <cp:lastModifiedBy>李嘉若</cp:lastModifiedBy>
  <dcterms:modified xsi:type="dcterms:W3CDTF">2024-02-23T01:59:46Z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678D2FEB67914E3982E4ABC9815B6FFB</vt:lpwstr>
  </property>
</Properties>
</file>