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石家庄市藁城区城市管理综合行政执法局部门</w:t>
      </w:r>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rPr>
          <w:sz w:val="28"/>
          <w:szCs w:val="28"/>
        </w:rPr>
      </w:pPr>
      <w:r>
        <w:rPr>
          <w:sz w:val="28"/>
          <w:szCs w:val="28"/>
        </w:rPr>
        <w:fldChar w:fldCharType="begin"/>
      </w:r>
      <w:r>
        <w:rPr>
          <w:sz w:val="28"/>
          <w:szCs w:val="28"/>
        </w:rPr>
        <w:instrText xml:space="preserve">TOC \o "2-2" \h \z \u</w:instrText>
      </w:r>
      <w:r>
        <w:rPr>
          <w:sz w:val="28"/>
          <w:szCs w:val="28"/>
        </w:rPr>
        <w:fldChar w:fldCharType="separate"/>
      </w:r>
      <w:r>
        <w:rPr>
          <w:sz w:val="28"/>
          <w:szCs w:val="28"/>
        </w:rPr>
        <w:fldChar w:fldCharType="begin"/>
      </w:r>
      <w:r>
        <w:rPr>
          <w:sz w:val="28"/>
          <w:szCs w:val="28"/>
        </w:rPr>
        <w:instrText xml:space="preserve"> HYPERLINK \l _Toc9486 </w:instrText>
      </w:r>
      <w:r>
        <w:rPr>
          <w:sz w:val="28"/>
          <w:szCs w:val="28"/>
        </w:rPr>
        <w:fldChar w:fldCharType="separate"/>
      </w:r>
      <w:r>
        <w:rPr>
          <w:rFonts w:ascii="方正小标宋_GBK" w:hAnsi="方正小标宋_GBK" w:eastAsia="方正小标宋_GBK" w:cs="方正小标宋_GBK"/>
          <w:sz w:val="28"/>
          <w:szCs w:val="28"/>
        </w:rPr>
        <w:t>部门预算收支总表</w:t>
      </w:r>
      <w:r>
        <w:rPr>
          <w:sz w:val="28"/>
          <w:szCs w:val="28"/>
        </w:rPr>
        <w:tab/>
      </w:r>
      <w:r>
        <w:rPr>
          <w:sz w:val="28"/>
          <w:szCs w:val="28"/>
        </w:rPr>
        <w:fldChar w:fldCharType="begin"/>
      </w:r>
      <w:r>
        <w:rPr>
          <w:sz w:val="28"/>
          <w:szCs w:val="28"/>
        </w:rPr>
        <w:instrText xml:space="preserve"> PAGEREF _Toc9486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_Toc3849 </w:instrText>
      </w:r>
      <w:r>
        <w:rPr>
          <w:sz w:val="28"/>
          <w:szCs w:val="28"/>
        </w:rPr>
        <w:fldChar w:fldCharType="separate"/>
      </w:r>
      <w:r>
        <w:rPr>
          <w:rFonts w:ascii="方正小标宋_GBK" w:hAnsi="方正小标宋_GBK" w:eastAsia="方正小标宋_GBK" w:cs="方正小标宋_GBK"/>
          <w:sz w:val="28"/>
          <w:szCs w:val="28"/>
        </w:rPr>
        <w:t>部门预算收入总表</w:t>
      </w:r>
      <w:r>
        <w:rPr>
          <w:sz w:val="28"/>
          <w:szCs w:val="28"/>
        </w:rPr>
        <w:tab/>
      </w:r>
      <w:r>
        <w:rPr>
          <w:sz w:val="28"/>
          <w:szCs w:val="28"/>
        </w:rPr>
        <w:fldChar w:fldCharType="begin"/>
      </w:r>
      <w:r>
        <w:rPr>
          <w:sz w:val="28"/>
          <w:szCs w:val="28"/>
        </w:rPr>
        <w:instrText xml:space="preserve"> PAGEREF _Toc3849 \h </w:instrText>
      </w:r>
      <w:r>
        <w:rPr>
          <w:sz w:val="28"/>
          <w:szCs w:val="28"/>
        </w:rPr>
        <w:fldChar w:fldCharType="separate"/>
      </w:r>
      <w:r>
        <w:rPr>
          <w:sz w:val="28"/>
          <w:szCs w:val="28"/>
        </w:rPr>
        <w:t>7</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_Toc7456 </w:instrText>
      </w:r>
      <w:r>
        <w:rPr>
          <w:sz w:val="28"/>
          <w:szCs w:val="28"/>
        </w:rPr>
        <w:fldChar w:fldCharType="separate"/>
      </w:r>
      <w:r>
        <w:rPr>
          <w:rFonts w:ascii="方正小标宋_GBK" w:hAnsi="方正小标宋_GBK" w:eastAsia="方正小标宋_GBK" w:cs="方正小标宋_GBK"/>
          <w:sz w:val="28"/>
          <w:szCs w:val="28"/>
        </w:rPr>
        <w:t>部门预算支出总表</w:t>
      </w:r>
      <w:r>
        <w:rPr>
          <w:sz w:val="28"/>
          <w:szCs w:val="28"/>
        </w:rPr>
        <w:tab/>
      </w:r>
      <w:r>
        <w:rPr>
          <w:sz w:val="28"/>
          <w:szCs w:val="28"/>
        </w:rPr>
        <w:fldChar w:fldCharType="begin"/>
      </w:r>
      <w:r>
        <w:rPr>
          <w:sz w:val="28"/>
          <w:szCs w:val="28"/>
        </w:rPr>
        <w:instrText xml:space="preserve"> PAGEREF _Toc7456 \h </w:instrText>
      </w:r>
      <w:r>
        <w:rPr>
          <w:sz w:val="28"/>
          <w:szCs w:val="28"/>
        </w:rPr>
        <w:fldChar w:fldCharType="separate"/>
      </w:r>
      <w:r>
        <w:rPr>
          <w:sz w:val="28"/>
          <w:szCs w:val="28"/>
        </w:rPr>
        <w:t>11</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_Toc8628 </w:instrText>
      </w:r>
      <w:r>
        <w:rPr>
          <w:sz w:val="28"/>
          <w:szCs w:val="28"/>
        </w:rPr>
        <w:fldChar w:fldCharType="separate"/>
      </w:r>
      <w:r>
        <w:rPr>
          <w:rFonts w:ascii="方正小标宋_GBK" w:hAnsi="方正小标宋_GBK" w:eastAsia="方正小标宋_GBK" w:cs="方正小标宋_GBK"/>
          <w:sz w:val="28"/>
          <w:szCs w:val="28"/>
        </w:rPr>
        <w:t>部门预算财政拨款收支总表</w:t>
      </w:r>
      <w:r>
        <w:rPr>
          <w:sz w:val="28"/>
          <w:szCs w:val="28"/>
        </w:rPr>
        <w:tab/>
      </w:r>
      <w:r>
        <w:rPr>
          <w:sz w:val="28"/>
          <w:szCs w:val="28"/>
        </w:rPr>
        <w:fldChar w:fldCharType="begin"/>
      </w:r>
      <w:r>
        <w:rPr>
          <w:sz w:val="28"/>
          <w:szCs w:val="28"/>
        </w:rPr>
        <w:instrText xml:space="preserve"> PAGEREF _Toc8628 \h </w:instrText>
      </w:r>
      <w:r>
        <w:rPr>
          <w:sz w:val="28"/>
          <w:szCs w:val="28"/>
        </w:rPr>
        <w:fldChar w:fldCharType="separate"/>
      </w:r>
      <w:r>
        <w:rPr>
          <w:sz w:val="28"/>
          <w:szCs w:val="28"/>
        </w:rPr>
        <w:t>13</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_Toc3745 </w:instrText>
      </w:r>
      <w:r>
        <w:rPr>
          <w:sz w:val="28"/>
          <w:szCs w:val="28"/>
        </w:rPr>
        <w:fldChar w:fldCharType="separate"/>
      </w:r>
      <w:r>
        <w:rPr>
          <w:rFonts w:ascii="方正小标宋_GBK" w:hAnsi="方正小标宋_GBK" w:eastAsia="方正小标宋_GBK" w:cs="方正小标宋_GBK"/>
          <w:sz w:val="28"/>
          <w:szCs w:val="28"/>
        </w:rPr>
        <w:t>部门预算一般公共预算财政拨款支出表</w:t>
      </w:r>
      <w:r>
        <w:rPr>
          <w:sz w:val="28"/>
          <w:szCs w:val="28"/>
        </w:rPr>
        <w:tab/>
      </w:r>
      <w:r>
        <w:rPr>
          <w:sz w:val="28"/>
          <w:szCs w:val="28"/>
        </w:rPr>
        <w:fldChar w:fldCharType="begin"/>
      </w:r>
      <w:r>
        <w:rPr>
          <w:sz w:val="28"/>
          <w:szCs w:val="28"/>
        </w:rPr>
        <w:instrText xml:space="preserve"> PAGEREF _Toc3745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_Toc593 </w:instrText>
      </w:r>
      <w:r>
        <w:rPr>
          <w:sz w:val="28"/>
          <w:szCs w:val="28"/>
        </w:rPr>
        <w:fldChar w:fldCharType="separate"/>
      </w:r>
      <w:r>
        <w:rPr>
          <w:rFonts w:ascii="方正小标宋_GBK" w:hAnsi="方正小标宋_GBK" w:eastAsia="方正小标宋_GBK" w:cs="方正小标宋_GBK"/>
          <w:sz w:val="28"/>
          <w:szCs w:val="28"/>
        </w:rPr>
        <w:t>部门预算一般公共预算财政拨款基本支出表</w:t>
      </w:r>
      <w:r>
        <w:rPr>
          <w:sz w:val="28"/>
          <w:szCs w:val="28"/>
        </w:rPr>
        <w:tab/>
      </w:r>
      <w:r>
        <w:rPr>
          <w:sz w:val="28"/>
          <w:szCs w:val="28"/>
        </w:rPr>
        <w:fldChar w:fldCharType="begin"/>
      </w:r>
      <w:r>
        <w:rPr>
          <w:sz w:val="28"/>
          <w:szCs w:val="28"/>
        </w:rPr>
        <w:instrText xml:space="preserve"> PAGEREF _Toc593 \h </w:instrText>
      </w:r>
      <w:r>
        <w:rPr>
          <w:sz w:val="28"/>
          <w:szCs w:val="28"/>
        </w:rPr>
        <w:fldChar w:fldCharType="separate"/>
      </w:r>
      <w:r>
        <w:rPr>
          <w:sz w:val="28"/>
          <w:szCs w:val="28"/>
        </w:rPr>
        <w:t>20</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_Toc14472 </w:instrText>
      </w:r>
      <w:r>
        <w:rPr>
          <w:sz w:val="28"/>
          <w:szCs w:val="28"/>
        </w:rPr>
        <w:fldChar w:fldCharType="separate"/>
      </w:r>
      <w:r>
        <w:rPr>
          <w:rFonts w:ascii="方正小标宋_GBK" w:hAnsi="方正小标宋_GBK" w:eastAsia="方正小标宋_GBK" w:cs="方正小标宋_GBK"/>
          <w:sz w:val="28"/>
          <w:szCs w:val="28"/>
        </w:rPr>
        <w:t>部门预算政府基金预算财政拨款支出表</w:t>
      </w:r>
      <w:r>
        <w:rPr>
          <w:sz w:val="28"/>
          <w:szCs w:val="28"/>
        </w:rPr>
        <w:tab/>
      </w:r>
      <w:r>
        <w:rPr>
          <w:sz w:val="28"/>
          <w:szCs w:val="28"/>
        </w:rPr>
        <w:fldChar w:fldCharType="begin"/>
      </w:r>
      <w:r>
        <w:rPr>
          <w:sz w:val="28"/>
          <w:szCs w:val="28"/>
        </w:rPr>
        <w:instrText xml:space="preserve"> PAGEREF _Toc14472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4"/>
        <w:tabs>
          <w:tab w:val="right" w:leader="dot" w:pos="14800"/>
        </w:tabs>
        <w:rPr>
          <w:sz w:val="28"/>
          <w:szCs w:val="28"/>
        </w:rPr>
      </w:pPr>
      <w:r>
        <w:rPr>
          <w:sz w:val="28"/>
          <w:szCs w:val="28"/>
        </w:rPr>
        <w:fldChar w:fldCharType="begin"/>
      </w:r>
      <w:r>
        <w:rPr>
          <w:sz w:val="28"/>
          <w:szCs w:val="28"/>
        </w:rPr>
        <w:instrText xml:space="preserve"> HYPERLINK \l _Toc24574 </w:instrText>
      </w:r>
      <w:r>
        <w:rPr>
          <w:sz w:val="28"/>
          <w:szCs w:val="28"/>
        </w:rPr>
        <w:fldChar w:fldCharType="separate"/>
      </w:r>
      <w:r>
        <w:rPr>
          <w:rFonts w:ascii="方正小标宋_GBK" w:hAnsi="方正小标宋_GBK" w:eastAsia="方正小标宋_GBK" w:cs="方正小标宋_GBK"/>
          <w:sz w:val="28"/>
          <w:szCs w:val="28"/>
        </w:rPr>
        <w:t>部门预算国有资本经营预算财政拨款支出表</w:t>
      </w:r>
      <w:r>
        <w:rPr>
          <w:sz w:val="28"/>
          <w:szCs w:val="28"/>
        </w:rPr>
        <w:tab/>
      </w:r>
      <w:r>
        <w:rPr>
          <w:sz w:val="28"/>
          <w:szCs w:val="28"/>
        </w:rPr>
        <w:fldChar w:fldCharType="begin"/>
      </w:r>
      <w:r>
        <w:rPr>
          <w:sz w:val="28"/>
          <w:szCs w:val="28"/>
        </w:rPr>
        <w:instrText xml:space="preserve"> PAGEREF _Toc24574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4"/>
        <w:tabs>
          <w:tab w:val="right" w:leader="dot" w:pos="14800"/>
        </w:tabs>
      </w:pPr>
      <w:r>
        <w:rPr>
          <w:sz w:val="28"/>
          <w:szCs w:val="28"/>
        </w:rPr>
        <w:fldChar w:fldCharType="begin"/>
      </w:r>
      <w:r>
        <w:rPr>
          <w:sz w:val="28"/>
          <w:szCs w:val="28"/>
        </w:rPr>
        <w:instrText xml:space="preserve"> HYPERLINK \l _Toc20857 </w:instrText>
      </w:r>
      <w:r>
        <w:rPr>
          <w:sz w:val="28"/>
          <w:szCs w:val="28"/>
        </w:rPr>
        <w:fldChar w:fldCharType="separate"/>
      </w:r>
      <w:r>
        <w:rPr>
          <w:rFonts w:ascii="方正小标宋_GBK" w:hAnsi="方正小标宋_GBK" w:eastAsia="方正小标宋_GBK" w:cs="方正小标宋_GBK"/>
          <w:sz w:val="28"/>
          <w:szCs w:val="28"/>
        </w:rPr>
        <w:t>部门预算财政拨款“三公”经费支出表</w:t>
      </w:r>
      <w:r>
        <w:rPr>
          <w:sz w:val="28"/>
          <w:szCs w:val="28"/>
        </w:rPr>
        <w:tab/>
      </w:r>
      <w:r>
        <w:rPr>
          <w:sz w:val="28"/>
          <w:szCs w:val="28"/>
        </w:rPr>
        <w:fldChar w:fldCharType="begin"/>
      </w:r>
      <w:r>
        <w:rPr>
          <w:sz w:val="28"/>
          <w:szCs w:val="28"/>
        </w:rPr>
        <w:instrText xml:space="preserve"> PAGEREF _Toc20857 \h </w:instrText>
      </w:r>
      <w:r>
        <w:rPr>
          <w:sz w:val="28"/>
          <w:szCs w:val="28"/>
        </w:rPr>
        <w:fldChar w:fldCharType="separate"/>
      </w:r>
      <w:r>
        <w:rPr>
          <w:sz w:val="28"/>
          <w:szCs w:val="28"/>
        </w:rPr>
        <w:t>25</w:t>
      </w:r>
      <w:r>
        <w:rPr>
          <w:sz w:val="28"/>
          <w:szCs w:val="28"/>
        </w:rPr>
        <w:fldChar w:fldCharType="end"/>
      </w:r>
      <w:r>
        <w:rPr>
          <w:sz w:val="28"/>
          <w:szCs w:val="28"/>
        </w:rPr>
        <w:fldChar w:fldCharType="end"/>
      </w:r>
    </w:p>
    <w:p>
      <w:r>
        <w:rPr>
          <w:szCs w:val="28"/>
        </w:rP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rPr>
          <w:sz w:val="28"/>
          <w:szCs w:val="28"/>
        </w:rPr>
      </w:pPr>
      <w:r>
        <w:fldChar w:fldCharType="begin"/>
      </w:r>
      <w:r>
        <w:instrText xml:space="preserve">TOC \o "3-3" \h \z \u</w:instrText>
      </w:r>
      <w:r>
        <w:fldChar w:fldCharType="separate"/>
      </w:r>
      <w:r>
        <w:rPr>
          <w:sz w:val="28"/>
          <w:szCs w:val="28"/>
        </w:rPr>
        <w:fldChar w:fldCharType="begin"/>
      </w:r>
      <w:r>
        <w:rPr>
          <w:sz w:val="28"/>
          <w:szCs w:val="28"/>
        </w:rPr>
        <w:instrText xml:space="preserve"> HYPERLINK \l _Toc22227 </w:instrText>
      </w:r>
      <w:r>
        <w:rPr>
          <w:sz w:val="28"/>
          <w:szCs w:val="28"/>
        </w:rPr>
        <w:fldChar w:fldCharType="separate"/>
      </w:r>
      <w:r>
        <w:rPr>
          <w:rFonts w:ascii="黑体" w:hAnsi="黑体" w:eastAsia="黑体" w:cs="黑体"/>
          <w:sz w:val="28"/>
          <w:szCs w:val="28"/>
        </w:rPr>
        <w:t>一、部门职责及机构设置情况</w:t>
      </w:r>
      <w:r>
        <w:rPr>
          <w:sz w:val="28"/>
          <w:szCs w:val="28"/>
        </w:rPr>
        <w:tab/>
      </w:r>
      <w:r>
        <w:rPr>
          <w:sz w:val="28"/>
          <w:szCs w:val="28"/>
        </w:rPr>
        <w:fldChar w:fldCharType="begin"/>
      </w:r>
      <w:r>
        <w:rPr>
          <w:sz w:val="28"/>
          <w:szCs w:val="28"/>
        </w:rPr>
        <w:instrText xml:space="preserve"> PAGEREF _Toc22227 \h </w:instrText>
      </w:r>
      <w:r>
        <w:rPr>
          <w:sz w:val="28"/>
          <w:szCs w:val="28"/>
        </w:rPr>
        <w:fldChar w:fldCharType="separate"/>
      </w:r>
      <w:r>
        <w:rPr>
          <w:sz w:val="28"/>
          <w:szCs w:val="28"/>
        </w:rPr>
        <w:t>27</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_Toc25771 </w:instrText>
      </w:r>
      <w:r>
        <w:rPr>
          <w:sz w:val="28"/>
          <w:szCs w:val="28"/>
        </w:rPr>
        <w:fldChar w:fldCharType="separate"/>
      </w:r>
      <w:r>
        <w:rPr>
          <w:rFonts w:ascii="黑体" w:hAnsi="黑体" w:eastAsia="黑体" w:cs="黑体"/>
          <w:sz w:val="28"/>
          <w:szCs w:val="28"/>
        </w:rPr>
        <w:t>二、部门预算安排的总体情况</w:t>
      </w:r>
      <w:r>
        <w:rPr>
          <w:sz w:val="28"/>
          <w:szCs w:val="28"/>
        </w:rPr>
        <w:tab/>
      </w:r>
      <w:r>
        <w:rPr>
          <w:sz w:val="28"/>
          <w:szCs w:val="28"/>
        </w:rPr>
        <w:fldChar w:fldCharType="begin"/>
      </w:r>
      <w:r>
        <w:rPr>
          <w:sz w:val="28"/>
          <w:szCs w:val="28"/>
        </w:rPr>
        <w:instrText xml:space="preserve"> PAGEREF _Toc25771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_Toc317 </w:instrText>
      </w:r>
      <w:r>
        <w:rPr>
          <w:sz w:val="28"/>
          <w:szCs w:val="28"/>
        </w:rPr>
        <w:fldChar w:fldCharType="separate"/>
      </w:r>
      <w:r>
        <w:rPr>
          <w:rFonts w:hint="eastAsia" w:ascii="黑体" w:hAnsi="黑体" w:eastAsia="黑体" w:cs="黑体"/>
          <w:sz w:val="28"/>
          <w:szCs w:val="28"/>
          <w:lang w:eastAsia="zh-CN"/>
        </w:rPr>
        <w:t>三、</w:t>
      </w:r>
      <w:r>
        <w:rPr>
          <w:rFonts w:ascii="黑体" w:hAnsi="黑体" w:eastAsia="黑体" w:cs="黑体"/>
          <w:sz w:val="28"/>
          <w:szCs w:val="28"/>
        </w:rPr>
        <w:t>机关运行经费安排情况</w:t>
      </w:r>
      <w:r>
        <w:rPr>
          <w:sz w:val="28"/>
          <w:szCs w:val="28"/>
        </w:rPr>
        <w:tab/>
      </w:r>
      <w:r>
        <w:rPr>
          <w:sz w:val="28"/>
          <w:szCs w:val="28"/>
        </w:rPr>
        <w:fldChar w:fldCharType="begin"/>
      </w:r>
      <w:r>
        <w:rPr>
          <w:sz w:val="28"/>
          <w:szCs w:val="28"/>
        </w:rPr>
        <w:instrText xml:space="preserve"> PAGEREF _Toc317 \h </w:instrText>
      </w:r>
      <w:r>
        <w:rPr>
          <w:sz w:val="28"/>
          <w:szCs w:val="28"/>
        </w:rPr>
        <w:fldChar w:fldCharType="separate"/>
      </w:r>
      <w:r>
        <w:rPr>
          <w:sz w:val="28"/>
          <w:szCs w:val="28"/>
        </w:rPr>
        <w:t>29</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_Toc5351 </w:instrText>
      </w:r>
      <w:r>
        <w:rPr>
          <w:sz w:val="28"/>
          <w:szCs w:val="28"/>
        </w:rPr>
        <w:fldChar w:fldCharType="separate"/>
      </w:r>
      <w:r>
        <w:rPr>
          <w:rFonts w:hint="eastAsia" w:ascii="黑体" w:hAnsi="黑体" w:eastAsia="黑体" w:cs="黑体"/>
          <w:sz w:val="28"/>
          <w:szCs w:val="28"/>
          <w:lang w:eastAsia="zh-CN"/>
        </w:rPr>
        <w:t>四、财政拨款“三公”经费预算情况及增减变化原因</w:t>
      </w:r>
      <w:r>
        <w:rPr>
          <w:sz w:val="28"/>
          <w:szCs w:val="28"/>
        </w:rPr>
        <w:tab/>
      </w:r>
      <w:r>
        <w:rPr>
          <w:sz w:val="28"/>
          <w:szCs w:val="28"/>
        </w:rPr>
        <w:fldChar w:fldCharType="begin"/>
      </w:r>
      <w:r>
        <w:rPr>
          <w:sz w:val="28"/>
          <w:szCs w:val="28"/>
        </w:rPr>
        <w:instrText xml:space="preserve"> PAGEREF _Toc5351 \h </w:instrText>
      </w:r>
      <w:r>
        <w:rPr>
          <w:sz w:val="28"/>
          <w:szCs w:val="28"/>
        </w:rPr>
        <w:fldChar w:fldCharType="separate"/>
      </w:r>
      <w:r>
        <w:rPr>
          <w:sz w:val="28"/>
          <w:szCs w:val="28"/>
        </w:rPr>
        <w:t>29</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_Toc10941 </w:instrText>
      </w:r>
      <w:r>
        <w:rPr>
          <w:sz w:val="28"/>
          <w:szCs w:val="28"/>
        </w:rPr>
        <w:fldChar w:fldCharType="separate"/>
      </w:r>
      <w:r>
        <w:rPr>
          <w:rFonts w:hint="eastAsia" w:ascii="黑体" w:hAnsi="黑体" w:eastAsia="黑体" w:cs="黑体"/>
          <w:sz w:val="28"/>
          <w:szCs w:val="28"/>
          <w:lang w:eastAsia="zh-CN"/>
        </w:rPr>
        <w:t>五、预算绩效信息</w:t>
      </w:r>
      <w:r>
        <w:rPr>
          <w:sz w:val="28"/>
          <w:szCs w:val="28"/>
        </w:rPr>
        <w:tab/>
      </w:r>
      <w:r>
        <w:rPr>
          <w:sz w:val="28"/>
          <w:szCs w:val="28"/>
        </w:rPr>
        <w:fldChar w:fldCharType="begin"/>
      </w:r>
      <w:r>
        <w:rPr>
          <w:sz w:val="28"/>
          <w:szCs w:val="28"/>
        </w:rPr>
        <w:instrText xml:space="preserve"> PAGEREF _Toc10941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_Toc4077 </w:instrText>
      </w:r>
      <w:r>
        <w:rPr>
          <w:sz w:val="28"/>
          <w:szCs w:val="28"/>
        </w:rPr>
        <w:fldChar w:fldCharType="separate"/>
      </w:r>
      <w:r>
        <w:rPr>
          <w:rFonts w:ascii="黑体" w:hAnsi="黑体" w:eastAsia="黑体" w:cs="黑体"/>
          <w:sz w:val="28"/>
          <w:szCs w:val="28"/>
        </w:rPr>
        <w:t>六、政府采购预算情况</w:t>
      </w:r>
      <w:r>
        <w:rPr>
          <w:sz w:val="28"/>
          <w:szCs w:val="28"/>
        </w:rPr>
        <w:tab/>
      </w:r>
      <w:r>
        <w:rPr>
          <w:sz w:val="28"/>
          <w:szCs w:val="28"/>
        </w:rPr>
        <w:fldChar w:fldCharType="begin"/>
      </w:r>
      <w:r>
        <w:rPr>
          <w:sz w:val="28"/>
          <w:szCs w:val="28"/>
        </w:rPr>
        <w:instrText xml:space="preserve"> PAGEREF _Toc4077 \h </w:instrText>
      </w:r>
      <w:r>
        <w:rPr>
          <w:sz w:val="28"/>
          <w:szCs w:val="28"/>
        </w:rPr>
        <w:fldChar w:fldCharType="separate"/>
      </w:r>
      <w:r>
        <w:rPr>
          <w:sz w:val="28"/>
          <w:szCs w:val="28"/>
        </w:rPr>
        <w:t>104</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_Toc24757 </w:instrText>
      </w:r>
      <w:r>
        <w:rPr>
          <w:sz w:val="28"/>
          <w:szCs w:val="28"/>
        </w:rPr>
        <w:fldChar w:fldCharType="separate"/>
      </w:r>
      <w:r>
        <w:rPr>
          <w:rFonts w:ascii="黑体" w:hAnsi="黑体" w:eastAsia="黑体" w:cs="黑体"/>
          <w:sz w:val="28"/>
          <w:szCs w:val="28"/>
        </w:rPr>
        <w:t>七、国有资产信息</w:t>
      </w:r>
      <w:r>
        <w:rPr>
          <w:sz w:val="28"/>
          <w:szCs w:val="28"/>
        </w:rPr>
        <w:tab/>
      </w:r>
      <w:r>
        <w:rPr>
          <w:sz w:val="28"/>
          <w:szCs w:val="28"/>
        </w:rPr>
        <w:fldChar w:fldCharType="begin"/>
      </w:r>
      <w:r>
        <w:rPr>
          <w:sz w:val="28"/>
          <w:szCs w:val="28"/>
        </w:rPr>
        <w:instrText xml:space="preserve"> PAGEREF _Toc24757 \h </w:instrText>
      </w:r>
      <w:r>
        <w:rPr>
          <w:sz w:val="28"/>
          <w:szCs w:val="28"/>
        </w:rPr>
        <w:fldChar w:fldCharType="separate"/>
      </w:r>
      <w:r>
        <w:rPr>
          <w:sz w:val="28"/>
          <w:szCs w:val="28"/>
        </w:rPr>
        <w:t>107</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_Toc20484 </w:instrText>
      </w:r>
      <w:r>
        <w:rPr>
          <w:sz w:val="28"/>
          <w:szCs w:val="28"/>
        </w:rPr>
        <w:fldChar w:fldCharType="separate"/>
      </w:r>
      <w:r>
        <w:rPr>
          <w:rFonts w:ascii="黑体" w:hAnsi="黑体" w:eastAsia="黑体" w:cs="黑体"/>
          <w:sz w:val="28"/>
          <w:szCs w:val="28"/>
        </w:rPr>
        <w:t>八、名词解释</w:t>
      </w:r>
      <w:r>
        <w:rPr>
          <w:sz w:val="28"/>
          <w:szCs w:val="28"/>
        </w:rPr>
        <w:tab/>
      </w:r>
      <w:r>
        <w:rPr>
          <w:sz w:val="28"/>
          <w:szCs w:val="28"/>
        </w:rPr>
        <w:fldChar w:fldCharType="begin"/>
      </w:r>
      <w:r>
        <w:rPr>
          <w:sz w:val="28"/>
          <w:szCs w:val="28"/>
        </w:rPr>
        <w:instrText xml:space="preserve"> PAGEREF _Toc20484 \h </w:instrText>
      </w:r>
      <w:r>
        <w:rPr>
          <w:sz w:val="28"/>
          <w:szCs w:val="28"/>
        </w:rPr>
        <w:fldChar w:fldCharType="separate"/>
      </w:r>
      <w:r>
        <w:rPr>
          <w:sz w:val="28"/>
          <w:szCs w:val="28"/>
        </w:rPr>
        <w:t>108</w:t>
      </w:r>
      <w:r>
        <w:rPr>
          <w:sz w:val="28"/>
          <w:szCs w:val="28"/>
        </w:rPr>
        <w:fldChar w:fldCharType="end"/>
      </w:r>
      <w:r>
        <w:rPr>
          <w:sz w:val="28"/>
          <w:szCs w:val="28"/>
        </w:rPr>
        <w:fldChar w:fldCharType="end"/>
      </w:r>
    </w:p>
    <w:p>
      <w:pPr>
        <w:pStyle w:val="2"/>
        <w:tabs>
          <w:tab w:val="right" w:leader="dot" w:pos="14800"/>
        </w:tabs>
      </w:pPr>
      <w:r>
        <w:rPr>
          <w:sz w:val="28"/>
          <w:szCs w:val="28"/>
        </w:rPr>
        <w:fldChar w:fldCharType="begin"/>
      </w:r>
      <w:r>
        <w:rPr>
          <w:sz w:val="28"/>
          <w:szCs w:val="28"/>
        </w:rPr>
        <w:instrText xml:space="preserve"> HYPERLINK \l _Toc29974 </w:instrText>
      </w:r>
      <w:r>
        <w:rPr>
          <w:sz w:val="28"/>
          <w:szCs w:val="28"/>
        </w:rPr>
        <w:fldChar w:fldCharType="separate"/>
      </w:r>
      <w:r>
        <w:rPr>
          <w:rFonts w:ascii="黑体" w:hAnsi="黑体" w:eastAsia="黑体" w:cs="黑体"/>
          <w:sz w:val="28"/>
          <w:szCs w:val="28"/>
        </w:rPr>
        <w:t>九、其他需要说明的事项</w:t>
      </w:r>
      <w:r>
        <w:rPr>
          <w:sz w:val="28"/>
          <w:szCs w:val="28"/>
        </w:rPr>
        <w:tab/>
      </w:r>
      <w:r>
        <w:rPr>
          <w:sz w:val="28"/>
          <w:szCs w:val="28"/>
        </w:rPr>
        <w:fldChar w:fldCharType="begin"/>
      </w:r>
      <w:r>
        <w:rPr>
          <w:sz w:val="28"/>
          <w:szCs w:val="28"/>
        </w:rPr>
        <w:instrText xml:space="preserve"> PAGEREF _Toc29974 \h </w:instrText>
      </w:r>
      <w:r>
        <w:rPr>
          <w:sz w:val="28"/>
          <w:szCs w:val="28"/>
        </w:rPr>
        <w:fldChar w:fldCharType="separate"/>
      </w:r>
      <w:r>
        <w:rPr>
          <w:sz w:val="28"/>
          <w:szCs w:val="28"/>
        </w:rPr>
        <w:t>109</w:t>
      </w:r>
      <w:r>
        <w:rPr>
          <w:sz w:val="28"/>
          <w:szCs w:val="28"/>
        </w:rPr>
        <w:fldChar w:fldCharType="end"/>
      </w:r>
      <w:r>
        <w:rPr>
          <w:sz w:val="28"/>
          <w:szCs w:val="28"/>
        </w:rPr>
        <w:fldChar w:fldCharType="end"/>
      </w:r>
    </w:p>
    <w:p>
      <w:pPr>
        <w:pStyle w:val="3"/>
        <w:tabs>
          <w:tab w:val="right" w:leader="dot" w:pos="14562"/>
        </w:tabs>
      </w:pPr>
      <w:r>
        <w:fldChar w:fldCharType="end"/>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pPr>
        <w:spacing w:before="0" w:after="0" w:line="240" w:lineRule="auto"/>
        <w:ind w:firstLine="0"/>
        <w:jc w:val="center"/>
        <w:outlineLvl w:val="1"/>
      </w:pPr>
      <w:bookmarkStart w:id="0" w:name="_Toc9486"/>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2953.55</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r>
              <w:t>35665.40</w:t>
            </w: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r>
              <w:t>32952.73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38618.95</w:t>
            </w:r>
          </w:p>
        </w:tc>
        <w:tc>
          <w:tcPr>
            <w:tcW w:w="4535" w:type="dxa"/>
            <w:vAlign w:val="center"/>
          </w:tcPr>
          <w:p>
            <w:pPr>
              <w:pStyle w:val="14"/>
            </w:pPr>
            <w:r>
              <w:t>本年支出合计</w:t>
            </w:r>
          </w:p>
        </w:tc>
        <w:tc>
          <w:tcPr>
            <w:tcW w:w="2126" w:type="dxa"/>
            <w:vAlign w:val="center"/>
          </w:tcPr>
          <w:p>
            <w:pPr>
              <w:pStyle w:val="15"/>
            </w:pPr>
            <w:r>
              <w:t>38618.95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38618.95</w:t>
            </w:r>
          </w:p>
        </w:tc>
        <w:tc>
          <w:tcPr>
            <w:tcW w:w="4535" w:type="dxa"/>
            <w:vAlign w:val="center"/>
          </w:tcPr>
          <w:p>
            <w:pPr>
              <w:pStyle w:val="14"/>
            </w:pPr>
            <w:r>
              <w:t>支出总计</w:t>
            </w:r>
          </w:p>
        </w:tc>
        <w:tc>
          <w:tcPr>
            <w:tcW w:w="2126" w:type="dxa"/>
            <w:vAlign w:val="center"/>
          </w:tcPr>
          <w:p>
            <w:pPr>
              <w:pStyle w:val="15"/>
            </w:pPr>
            <w:r>
              <w:t>38618.95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3849"/>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38618.95</w:t>
            </w:r>
          </w:p>
        </w:tc>
        <w:tc>
          <w:tcPr>
            <w:tcW w:w="1134" w:type="dxa"/>
            <w:vAlign w:val="center"/>
          </w:tcPr>
          <w:p>
            <w:pPr>
              <w:pStyle w:val="15"/>
            </w:pPr>
            <w:r>
              <w:t>38618.95</w:t>
            </w:r>
          </w:p>
        </w:tc>
        <w:tc>
          <w:tcPr>
            <w:tcW w:w="1134" w:type="dxa"/>
            <w:vAlign w:val="center"/>
          </w:tcPr>
          <w:p>
            <w:pPr>
              <w:pStyle w:val="15"/>
            </w:pPr>
            <w:r>
              <w:t>38618.95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3"/>
            </w:pPr>
            <w:r>
              <w:t>32952.73</w:t>
            </w:r>
          </w:p>
        </w:tc>
        <w:tc>
          <w:tcPr>
            <w:tcW w:w="1134" w:type="dxa"/>
            <w:vAlign w:val="center"/>
          </w:tcPr>
          <w:p>
            <w:pPr>
              <w:pStyle w:val="13"/>
            </w:pPr>
            <w:r>
              <w:t>32952.73</w:t>
            </w:r>
          </w:p>
        </w:tc>
        <w:tc>
          <w:tcPr>
            <w:tcW w:w="1134" w:type="dxa"/>
            <w:vAlign w:val="center"/>
          </w:tcPr>
          <w:p>
            <w:pPr>
              <w:pStyle w:val="13"/>
            </w:pPr>
            <w:r>
              <w:t>32952.73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3"/>
            </w:pPr>
            <w:r>
              <w:t>2953.55</w:t>
            </w:r>
          </w:p>
        </w:tc>
        <w:tc>
          <w:tcPr>
            <w:tcW w:w="1134" w:type="dxa"/>
            <w:vAlign w:val="center"/>
          </w:tcPr>
          <w:p>
            <w:pPr>
              <w:pStyle w:val="13"/>
            </w:pPr>
            <w:r>
              <w:t>2953.55</w:t>
            </w:r>
          </w:p>
        </w:tc>
        <w:tc>
          <w:tcPr>
            <w:tcW w:w="1134" w:type="dxa"/>
            <w:vAlign w:val="center"/>
          </w:tcPr>
          <w:p>
            <w:pPr>
              <w:pStyle w:val="13"/>
            </w:pPr>
            <w:r>
              <w:t>2953.55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3"/>
            </w:pPr>
            <w:r>
              <w:t>2753.55</w:t>
            </w:r>
          </w:p>
        </w:tc>
        <w:tc>
          <w:tcPr>
            <w:tcW w:w="1134" w:type="dxa"/>
            <w:vAlign w:val="center"/>
          </w:tcPr>
          <w:p>
            <w:pPr>
              <w:pStyle w:val="13"/>
            </w:pPr>
            <w:r>
              <w:t>2753.55</w:t>
            </w:r>
          </w:p>
        </w:tc>
        <w:tc>
          <w:tcPr>
            <w:tcW w:w="1134" w:type="dxa"/>
            <w:vAlign w:val="center"/>
          </w:tcPr>
          <w:p>
            <w:pPr>
              <w:pStyle w:val="13"/>
            </w:pPr>
            <w:r>
              <w:t>2753.55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3"/>
            </w:pPr>
            <w:r>
              <w:t>29999.18</w:t>
            </w:r>
          </w:p>
        </w:tc>
        <w:tc>
          <w:tcPr>
            <w:tcW w:w="1134" w:type="dxa"/>
            <w:vAlign w:val="center"/>
          </w:tcPr>
          <w:p>
            <w:pPr>
              <w:pStyle w:val="13"/>
            </w:pPr>
            <w:r>
              <w:t>29999.18</w:t>
            </w:r>
          </w:p>
        </w:tc>
        <w:tc>
          <w:tcPr>
            <w:tcW w:w="1134" w:type="dxa"/>
            <w:vAlign w:val="center"/>
          </w:tcPr>
          <w:p>
            <w:pPr>
              <w:pStyle w:val="13"/>
            </w:pPr>
            <w:r>
              <w:t>29999.18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3"/>
            </w:pPr>
            <w:r>
              <w:t>19219.71</w:t>
            </w:r>
          </w:p>
        </w:tc>
        <w:tc>
          <w:tcPr>
            <w:tcW w:w="1134" w:type="dxa"/>
            <w:vAlign w:val="center"/>
          </w:tcPr>
          <w:p>
            <w:pPr>
              <w:pStyle w:val="13"/>
            </w:pPr>
            <w:r>
              <w:t>19219.71</w:t>
            </w:r>
          </w:p>
        </w:tc>
        <w:tc>
          <w:tcPr>
            <w:tcW w:w="1134" w:type="dxa"/>
            <w:vAlign w:val="center"/>
          </w:tcPr>
          <w:p>
            <w:pPr>
              <w:pStyle w:val="13"/>
            </w:pPr>
            <w:r>
              <w:t>19219.71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3"/>
            </w:pPr>
            <w:r>
              <w:t>10779.47</w:t>
            </w:r>
          </w:p>
        </w:tc>
        <w:tc>
          <w:tcPr>
            <w:tcW w:w="1134" w:type="dxa"/>
            <w:vAlign w:val="center"/>
          </w:tcPr>
          <w:p>
            <w:pPr>
              <w:pStyle w:val="13"/>
            </w:pPr>
            <w:r>
              <w:t>10779.47</w:t>
            </w:r>
          </w:p>
        </w:tc>
        <w:tc>
          <w:tcPr>
            <w:tcW w:w="1134" w:type="dxa"/>
            <w:vAlign w:val="center"/>
          </w:tcPr>
          <w:p>
            <w:pPr>
              <w:pStyle w:val="13"/>
            </w:pPr>
            <w:r>
              <w:t>10779.47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231</w:t>
            </w:r>
          </w:p>
        </w:tc>
        <w:tc>
          <w:tcPr>
            <w:tcW w:w="1559" w:type="dxa"/>
            <w:vAlign w:val="center"/>
          </w:tcPr>
          <w:p>
            <w:pPr>
              <w:pStyle w:val="12"/>
            </w:pPr>
            <w:r>
              <w:t>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23104</w:t>
            </w:r>
          </w:p>
        </w:tc>
        <w:tc>
          <w:tcPr>
            <w:tcW w:w="1559" w:type="dxa"/>
            <w:vAlign w:val="center"/>
          </w:tcPr>
          <w:p>
            <w:pPr>
              <w:pStyle w:val="12"/>
            </w:pPr>
            <w:r>
              <w:t>地方政府专项债务还本支出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2310411</w:t>
            </w:r>
          </w:p>
        </w:tc>
        <w:tc>
          <w:tcPr>
            <w:tcW w:w="1559" w:type="dxa"/>
            <w:vAlign w:val="center"/>
          </w:tcPr>
          <w:p>
            <w:pPr>
              <w:pStyle w:val="12"/>
            </w:pPr>
            <w:r>
              <w:t>国有土地使用权出让金债务还本支出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2320411</w:t>
            </w:r>
          </w:p>
        </w:tc>
        <w:tc>
          <w:tcPr>
            <w:tcW w:w="1559" w:type="dxa"/>
            <w:vAlign w:val="center"/>
          </w:tcPr>
          <w:p>
            <w:pPr>
              <w:pStyle w:val="12"/>
            </w:pPr>
            <w:r>
              <w:t>国有土地使用权出让金债务付息支出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7456"/>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38618.95</w:t>
            </w:r>
          </w:p>
        </w:tc>
        <w:tc>
          <w:tcPr>
            <w:tcW w:w="1361" w:type="dxa"/>
            <w:vAlign w:val="center"/>
          </w:tcPr>
          <w:p>
            <w:pPr>
              <w:pStyle w:val="15"/>
            </w:pPr>
            <w:r>
              <w:t>2753.55</w:t>
            </w:r>
          </w:p>
        </w:tc>
        <w:tc>
          <w:tcPr>
            <w:tcW w:w="1361" w:type="dxa"/>
            <w:vAlign w:val="center"/>
          </w:tcPr>
          <w:p>
            <w:pPr>
              <w:pStyle w:val="15"/>
            </w:pPr>
            <w:r>
              <w:t>35865.40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3"/>
            </w:pPr>
            <w:r>
              <w:t>32952.73</w:t>
            </w:r>
          </w:p>
        </w:tc>
        <w:tc>
          <w:tcPr>
            <w:tcW w:w="1361" w:type="dxa"/>
            <w:vAlign w:val="center"/>
          </w:tcPr>
          <w:p>
            <w:pPr>
              <w:pStyle w:val="13"/>
            </w:pPr>
            <w:r>
              <w:t>2753.55</w:t>
            </w:r>
          </w:p>
        </w:tc>
        <w:tc>
          <w:tcPr>
            <w:tcW w:w="1361" w:type="dxa"/>
            <w:vAlign w:val="center"/>
          </w:tcPr>
          <w:p>
            <w:pPr>
              <w:pStyle w:val="13"/>
            </w:pPr>
            <w:r>
              <w:t>30199.18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3"/>
            </w:pPr>
            <w:r>
              <w:t>2953.55</w:t>
            </w:r>
          </w:p>
        </w:tc>
        <w:tc>
          <w:tcPr>
            <w:tcW w:w="1361" w:type="dxa"/>
            <w:vAlign w:val="center"/>
          </w:tcPr>
          <w:p>
            <w:pPr>
              <w:pStyle w:val="13"/>
            </w:pPr>
            <w:r>
              <w:t>2753.55</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3"/>
            </w:pPr>
            <w:r>
              <w:t>2753.55</w:t>
            </w:r>
          </w:p>
        </w:tc>
        <w:tc>
          <w:tcPr>
            <w:tcW w:w="1361" w:type="dxa"/>
            <w:vAlign w:val="center"/>
          </w:tcPr>
          <w:p>
            <w:pPr>
              <w:pStyle w:val="13"/>
            </w:pPr>
            <w:r>
              <w:t>2753.55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3"/>
            </w:pPr>
            <w:r>
              <w:t>29999.18</w:t>
            </w:r>
          </w:p>
        </w:tc>
        <w:tc>
          <w:tcPr>
            <w:tcW w:w="1361" w:type="dxa"/>
            <w:vAlign w:val="center"/>
          </w:tcPr>
          <w:p>
            <w:pPr>
              <w:pStyle w:val="13"/>
            </w:pPr>
          </w:p>
        </w:tc>
        <w:tc>
          <w:tcPr>
            <w:tcW w:w="1361" w:type="dxa"/>
            <w:vAlign w:val="center"/>
          </w:tcPr>
          <w:p>
            <w:pPr>
              <w:pStyle w:val="13"/>
            </w:pPr>
            <w:r>
              <w:t>29999.18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3"/>
            </w:pPr>
            <w:r>
              <w:t>19219.71</w:t>
            </w:r>
          </w:p>
        </w:tc>
        <w:tc>
          <w:tcPr>
            <w:tcW w:w="1361" w:type="dxa"/>
            <w:vAlign w:val="center"/>
          </w:tcPr>
          <w:p>
            <w:pPr>
              <w:pStyle w:val="13"/>
            </w:pPr>
          </w:p>
        </w:tc>
        <w:tc>
          <w:tcPr>
            <w:tcW w:w="1361" w:type="dxa"/>
            <w:vAlign w:val="center"/>
          </w:tcPr>
          <w:p>
            <w:pPr>
              <w:pStyle w:val="13"/>
            </w:pPr>
            <w:r>
              <w:t>19219.71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3"/>
            </w:pPr>
            <w:r>
              <w:t>10779.47</w:t>
            </w:r>
          </w:p>
        </w:tc>
        <w:tc>
          <w:tcPr>
            <w:tcW w:w="1361" w:type="dxa"/>
            <w:vAlign w:val="center"/>
          </w:tcPr>
          <w:p>
            <w:pPr>
              <w:pStyle w:val="13"/>
            </w:pPr>
          </w:p>
        </w:tc>
        <w:tc>
          <w:tcPr>
            <w:tcW w:w="1361" w:type="dxa"/>
            <w:vAlign w:val="center"/>
          </w:tcPr>
          <w:p>
            <w:pPr>
              <w:pStyle w:val="13"/>
            </w:pPr>
            <w:r>
              <w:t>10779.47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231</w:t>
            </w:r>
          </w:p>
        </w:tc>
        <w:tc>
          <w:tcPr>
            <w:tcW w:w="4535" w:type="dxa"/>
            <w:vAlign w:val="center"/>
          </w:tcPr>
          <w:p>
            <w:pPr>
              <w:pStyle w:val="12"/>
            </w:pPr>
            <w:r>
              <w:t>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23104</w:t>
            </w:r>
          </w:p>
        </w:tc>
        <w:tc>
          <w:tcPr>
            <w:tcW w:w="4535" w:type="dxa"/>
            <w:vAlign w:val="center"/>
          </w:tcPr>
          <w:p>
            <w:pPr>
              <w:pStyle w:val="12"/>
            </w:pPr>
            <w:r>
              <w:t>地方政府专项债务还本支出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2310411</w:t>
            </w:r>
          </w:p>
        </w:tc>
        <w:tc>
          <w:tcPr>
            <w:tcW w:w="4535" w:type="dxa"/>
            <w:vAlign w:val="center"/>
          </w:tcPr>
          <w:p>
            <w:pPr>
              <w:pStyle w:val="12"/>
            </w:pPr>
            <w:r>
              <w:t>国有土地使用权出让金债务还本支出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2320411</w:t>
            </w:r>
          </w:p>
        </w:tc>
        <w:tc>
          <w:tcPr>
            <w:tcW w:w="4535" w:type="dxa"/>
            <w:vAlign w:val="center"/>
          </w:tcPr>
          <w:p>
            <w:pPr>
              <w:pStyle w:val="12"/>
            </w:pPr>
            <w:r>
              <w:t>国有土地使用权出让金债务付息支出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8628"/>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2953.55</w:t>
            </w:r>
          </w:p>
        </w:tc>
        <w:tc>
          <w:tcPr>
            <w:tcW w:w="3402" w:type="dxa"/>
            <w:vAlign w:val="center"/>
          </w:tcPr>
          <w:p>
            <w:pPr>
              <w:pStyle w:val="12"/>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r>
              <w:t>35665.40</w:t>
            </w: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r>
              <w:t>32952.73</w:t>
            </w:r>
          </w:p>
        </w:tc>
        <w:tc>
          <w:tcPr>
            <w:tcW w:w="1474" w:type="dxa"/>
            <w:vAlign w:val="center"/>
          </w:tcPr>
          <w:p>
            <w:pPr>
              <w:pStyle w:val="13"/>
            </w:pPr>
            <w:r>
              <w:t>2953.55</w:t>
            </w:r>
          </w:p>
        </w:tc>
        <w:tc>
          <w:tcPr>
            <w:tcW w:w="1474" w:type="dxa"/>
            <w:vAlign w:val="center"/>
          </w:tcPr>
          <w:p>
            <w:pPr>
              <w:pStyle w:val="13"/>
            </w:pPr>
            <w:r>
              <w:t>29999.18</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r>
              <w:t>3334.00</w:t>
            </w:r>
          </w:p>
        </w:tc>
        <w:tc>
          <w:tcPr>
            <w:tcW w:w="1474" w:type="dxa"/>
            <w:vAlign w:val="center"/>
          </w:tcPr>
          <w:p>
            <w:pPr>
              <w:pStyle w:val="13"/>
            </w:pPr>
          </w:p>
        </w:tc>
        <w:tc>
          <w:tcPr>
            <w:tcW w:w="1474" w:type="dxa"/>
            <w:vAlign w:val="center"/>
          </w:tcPr>
          <w:p>
            <w:pPr>
              <w:pStyle w:val="13"/>
            </w:pPr>
            <w:r>
              <w:t>3334.00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r>
              <w:t>2332.22</w:t>
            </w:r>
          </w:p>
        </w:tc>
        <w:tc>
          <w:tcPr>
            <w:tcW w:w="1474" w:type="dxa"/>
            <w:vAlign w:val="center"/>
          </w:tcPr>
          <w:p>
            <w:pPr>
              <w:pStyle w:val="13"/>
            </w:pPr>
          </w:p>
        </w:tc>
        <w:tc>
          <w:tcPr>
            <w:tcW w:w="1474" w:type="dxa"/>
            <w:vAlign w:val="center"/>
          </w:tcPr>
          <w:p>
            <w:pPr>
              <w:pStyle w:val="13"/>
            </w:pPr>
            <w:r>
              <w:t>2332.22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38618.95</w:t>
            </w:r>
          </w:p>
        </w:tc>
        <w:tc>
          <w:tcPr>
            <w:tcW w:w="3402" w:type="dxa"/>
            <w:vAlign w:val="center"/>
          </w:tcPr>
          <w:p>
            <w:pPr>
              <w:pStyle w:val="14"/>
            </w:pPr>
            <w:r>
              <w:t>本年支出合计</w:t>
            </w:r>
          </w:p>
        </w:tc>
        <w:tc>
          <w:tcPr>
            <w:tcW w:w="1474" w:type="dxa"/>
            <w:vAlign w:val="center"/>
          </w:tcPr>
          <w:p>
            <w:pPr>
              <w:pStyle w:val="15"/>
            </w:pPr>
            <w:r>
              <w:t>38618.95</w:t>
            </w:r>
          </w:p>
        </w:tc>
        <w:tc>
          <w:tcPr>
            <w:tcW w:w="1474" w:type="dxa"/>
            <w:vAlign w:val="center"/>
          </w:tcPr>
          <w:p>
            <w:pPr>
              <w:pStyle w:val="15"/>
            </w:pPr>
            <w:r>
              <w:t>2953.55</w:t>
            </w:r>
          </w:p>
        </w:tc>
        <w:tc>
          <w:tcPr>
            <w:tcW w:w="1474" w:type="dxa"/>
            <w:vAlign w:val="center"/>
          </w:tcPr>
          <w:p>
            <w:pPr>
              <w:pStyle w:val="15"/>
            </w:pPr>
            <w:r>
              <w:t>35665.40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38618.95</w:t>
            </w:r>
          </w:p>
        </w:tc>
        <w:tc>
          <w:tcPr>
            <w:tcW w:w="3402" w:type="dxa"/>
            <w:vAlign w:val="center"/>
          </w:tcPr>
          <w:p>
            <w:pPr>
              <w:pStyle w:val="14"/>
            </w:pPr>
            <w:r>
              <w:t>支出总计</w:t>
            </w:r>
          </w:p>
        </w:tc>
        <w:tc>
          <w:tcPr>
            <w:tcW w:w="1474" w:type="dxa"/>
            <w:vAlign w:val="center"/>
          </w:tcPr>
          <w:p>
            <w:pPr>
              <w:pStyle w:val="15"/>
            </w:pPr>
            <w:r>
              <w:t>38618.95</w:t>
            </w:r>
          </w:p>
        </w:tc>
        <w:tc>
          <w:tcPr>
            <w:tcW w:w="1474" w:type="dxa"/>
            <w:vAlign w:val="center"/>
          </w:tcPr>
          <w:p>
            <w:pPr>
              <w:pStyle w:val="15"/>
            </w:pPr>
            <w:r>
              <w:t>2953.55</w:t>
            </w:r>
          </w:p>
        </w:tc>
        <w:tc>
          <w:tcPr>
            <w:tcW w:w="1474" w:type="dxa"/>
            <w:vAlign w:val="center"/>
          </w:tcPr>
          <w:p>
            <w:pPr>
              <w:pStyle w:val="15"/>
            </w:pPr>
            <w:r>
              <w:t>35665.40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374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2953.55</w:t>
            </w:r>
          </w:p>
        </w:tc>
        <w:tc>
          <w:tcPr>
            <w:tcW w:w="2551" w:type="dxa"/>
            <w:vAlign w:val="center"/>
          </w:tcPr>
          <w:p>
            <w:pPr>
              <w:pStyle w:val="15"/>
            </w:pPr>
            <w:r>
              <w:t>2753.55</w:t>
            </w:r>
          </w:p>
        </w:tc>
        <w:tc>
          <w:tcPr>
            <w:tcW w:w="2551"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2953.55</w:t>
            </w:r>
          </w:p>
        </w:tc>
        <w:tc>
          <w:tcPr>
            <w:tcW w:w="2551" w:type="dxa"/>
            <w:vAlign w:val="center"/>
          </w:tcPr>
          <w:p>
            <w:pPr>
              <w:pStyle w:val="13"/>
            </w:pPr>
            <w:r>
              <w:t>2753.55</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3"/>
            </w:pPr>
            <w:r>
              <w:t>2953.55</w:t>
            </w:r>
          </w:p>
        </w:tc>
        <w:tc>
          <w:tcPr>
            <w:tcW w:w="2551" w:type="dxa"/>
            <w:vAlign w:val="center"/>
          </w:tcPr>
          <w:p>
            <w:pPr>
              <w:pStyle w:val="13"/>
            </w:pPr>
            <w:r>
              <w:t>2753.55</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3"/>
            </w:pPr>
            <w:r>
              <w:t>2753.55</w:t>
            </w:r>
          </w:p>
        </w:tc>
        <w:tc>
          <w:tcPr>
            <w:tcW w:w="2551" w:type="dxa"/>
            <w:vAlign w:val="center"/>
          </w:tcPr>
          <w:p>
            <w:pPr>
              <w:pStyle w:val="13"/>
            </w:pPr>
            <w:r>
              <w:t>2753.55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593"/>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2753.55</w:t>
            </w:r>
          </w:p>
        </w:tc>
        <w:tc>
          <w:tcPr>
            <w:tcW w:w="2551" w:type="dxa"/>
            <w:vAlign w:val="center"/>
          </w:tcPr>
          <w:p>
            <w:pPr>
              <w:pStyle w:val="15"/>
            </w:pPr>
            <w:r>
              <w:t>2650.51</w:t>
            </w:r>
          </w:p>
        </w:tc>
        <w:tc>
          <w:tcPr>
            <w:tcW w:w="2551" w:type="dxa"/>
            <w:vAlign w:val="center"/>
          </w:tcPr>
          <w:p>
            <w:pPr>
              <w:pStyle w:val="15"/>
            </w:pPr>
            <w:r>
              <w:t>103.04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2644.53</w:t>
            </w:r>
          </w:p>
        </w:tc>
        <w:tc>
          <w:tcPr>
            <w:tcW w:w="2551" w:type="dxa"/>
            <w:vAlign w:val="center"/>
          </w:tcPr>
          <w:p>
            <w:pPr>
              <w:pStyle w:val="13"/>
            </w:pPr>
            <w:r>
              <w:t>2644.53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618.12</w:t>
            </w:r>
          </w:p>
        </w:tc>
        <w:tc>
          <w:tcPr>
            <w:tcW w:w="2551" w:type="dxa"/>
            <w:vAlign w:val="center"/>
          </w:tcPr>
          <w:p>
            <w:pPr>
              <w:pStyle w:val="13"/>
            </w:pPr>
            <w:r>
              <w:t>618.12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658.47</w:t>
            </w:r>
          </w:p>
        </w:tc>
        <w:tc>
          <w:tcPr>
            <w:tcW w:w="2551" w:type="dxa"/>
            <w:vAlign w:val="center"/>
          </w:tcPr>
          <w:p>
            <w:pPr>
              <w:pStyle w:val="13"/>
            </w:pPr>
            <w:r>
              <w:t>658.47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0.89</w:t>
            </w:r>
          </w:p>
        </w:tc>
        <w:tc>
          <w:tcPr>
            <w:tcW w:w="2551" w:type="dxa"/>
            <w:vAlign w:val="center"/>
          </w:tcPr>
          <w:p>
            <w:pPr>
              <w:pStyle w:val="13"/>
            </w:pPr>
            <w:r>
              <w:t>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480.12</w:t>
            </w:r>
          </w:p>
        </w:tc>
        <w:tc>
          <w:tcPr>
            <w:tcW w:w="2551" w:type="dxa"/>
            <w:vAlign w:val="center"/>
          </w:tcPr>
          <w:p>
            <w:pPr>
              <w:pStyle w:val="13"/>
            </w:pPr>
            <w:r>
              <w:t>480.12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227.64</w:t>
            </w:r>
          </w:p>
        </w:tc>
        <w:tc>
          <w:tcPr>
            <w:tcW w:w="2551" w:type="dxa"/>
            <w:vAlign w:val="center"/>
          </w:tcPr>
          <w:p>
            <w:pPr>
              <w:pStyle w:val="13"/>
            </w:pPr>
            <w:r>
              <w:t>227.64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170.22</w:t>
            </w:r>
          </w:p>
        </w:tc>
        <w:tc>
          <w:tcPr>
            <w:tcW w:w="2551" w:type="dxa"/>
            <w:vAlign w:val="center"/>
          </w:tcPr>
          <w:p>
            <w:pPr>
              <w:pStyle w:val="13"/>
            </w:pPr>
            <w:r>
              <w:t>170.22</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92.48</w:t>
            </w:r>
          </w:p>
        </w:tc>
        <w:tc>
          <w:tcPr>
            <w:tcW w:w="2551" w:type="dxa"/>
            <w:vAlign w:val="center"/>
          </w:tcPr>
          <w:p>
            <w:pPr>
              <w:pStyle w:val="13"/>
            </w:pPr>
            <w:r>
              <w:t>92.48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207.87</w:t>
            </w:r>
          </w:p>
        </w:tc>
        <w:tc>
          <w:tcPr>
            <w:tcW w:w="2551" w:type="dxa"/>
            <w:vAlign w:val="center"/>
          </w:tcPr>
          <w:p>
            <w:pPr>
              <w:pStyle w:val="13"/>
            </w:pPr>
            <w:r>
              <w:t>207.87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188.72</w:t>
            </w:r>
          </w:p>
        </w:tc>
        <w:tc>
          <w:tcPr>
            <w:tcW w:w="2551" w:type="dxa"/>
            <w:vAlign w:val="center"/>
          </w:tcPr>
          <w:p>
            <w:pPr>
              <w:pStyle w:val="13"/>
            </w:pPr>
            <w:r>
              <w:t>188.72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103.04</w:t>
            </w:r>
          </w:p>
        </w:tc>
        <w:tc>
          <w:tcPr>
            <w:tcW w:w="2551" w:type="dxa"/>
            <w:vAlign w:val="center"/>
          </w:tcPr>
          <w:p>
            <w:pPr>
              <w:pStyle w:val="13"/>
            </w:pPr>
          </w:p>
        </w:tc>
        <w:tc>
          <w:tcPr>
            <w:tcW w:w="2551" w:type="dxa"/>
            <w:vAlign w:val="center"/>
          </w:tcPr>
          <w:p>
            <w:pPr>
              <w:pStyle w:val="13"/>
            </w:pPr>
            <w:r>
              <w:t>103.04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31.50</w:t>
            </w:r>
          </w:p>
        </w:tc>
        <w:tc>
          <w:tcPr>
            <w:tcW w:w="2551" w:type="dxa"/>
            <w:vAlign w:val="center"/>
          </w:tcPr>
          <w:p>
            <w:pPr>
              <w:pStyle w:val="13"/>
            </w:pPr>
          </w:p>
        </w:tc>
        <w:tc>
          <w:tcPr>
            <w:tcW w:w="2551" w:type="dxa"/>
            <w:vAlign w:val="center"/>
          </w:tcPr>
          <w:p>
            <w:pPr>
              <w:pStyle w:val="13"/>
            </w:pPr>
            <w:r>
              <w:t>31.50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31.50</w:t>
            </w:r>
          </w:p>
        </w:tc>
        <w:tc>
          <w:tcPr>
            <w:tcW w:w="2551" w:type="dxa"/>
            <w:vAlign w:val="center"/>
          </w:tcPr>
          <w:p>
            <w:pPr>
              <w:pStyle w:val="13"/>
            </w:pPr>
          </w:p>
        </w:tc>
        <w:tc>
          <w:tcPr>
            <w:tcW w:w="2551"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13.26</w:t>
            </w:r>
          </w:p>
        </w:tc>
        <w:tc>
          <w:tcPr>
            <w:tcW w:w="2551" w:type="dxa"/>
            <w:vAlign w:val="center"/>
          </w:tcPr>
          <w:p>
            <w:pPr>
              <w:pStyle w:val="13"/>
            </w:pPr>
          </w:p>
        </w:tc>
        <w:tc>
          <w:tcPr>
            <w:tcW w:w="2551" w:type="dxa"/>
            <w:vAlign w:val="center"/>
          </w:tcPr>
          <w:p>
            <w:pPr>
              <w:pStyle w:val="13"/>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15.45</w:t>
            </w:r>
          </w:p>
        </w:tc>
        <w:tc>
          <w:tcPr>
            <w:tcW w:w="2551" w:type="dxa"/>
            <w:vAlign w:val="center"/>
          </w:tcPr>
          <w:p>
            <w:pPr>
              <w:pStyle w:val="13"/>
            </w:pPr>
          </w:p>
        </w:tc>
        <w:tc>
          <w:tcPr>
            <w:tcW w:w="2551" w:type="dxa"/>
            <w:vAlign w:val="center"/>
          </w:tcPr>
          <w:p>
            <w:pPr>
              <w:pStyle w:val="13"/>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9.35</w:t>
            </w:r>
          </w:p>
        </w:tc>
        <w:tc>
          <w:tcPr>
            <w:tcW w:w="2551" w:type="dxa"/>
            <w:vAlign w:val="center"/>
          </w:tcPr>
          <w:p>
            <w:pPr>
              <w:pStyle w:val="13"/>
            </w:pPr>
          </w:p>
        </w:tc>
        <w:tc>
          <w:tcPr>
            <w:tcW w:w="2551" w:type="dxa"/>
            <w:vAlign w:val="center"/>
          </w:tcPr>
          <w:p>
            <w:pPr>
              <w:pStyle w:val="13"/>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5.98</w:t>
            </w:r>
          </w:p>
        </w:tc>
        <w:tc>
          <w:tcPr>
            <w:tcW w:w="2551" w:type="dxa"/>
            <w:vAlign w:val="center"/>
          </w:tcPr>
          <w:p>
            <w:pPr>
              <w:pStyle w:val="13"/>
            </w:pPr>
            <w:r>
              <w:t>5.98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5.98</w:t>
            </w:r>
          </w:p>
        </w:tc>
        <w:tc>
          <w:tcPr>
            <w:tcW w:w="2551" w:type="dxa"/>
            <w:vAlign w:val="center"/>
          </w:tcPr>
          <w:p>
            <w:pPr>
              <w:pStyle w:val="13"/>
            </w:pPr>
            <w:r>
              <w:t>5.98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4472"/>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35665.40</w:t>
            </w:r>
          </w:p>
        </w:tc>
        <w:tc>
          <w:tcPr>
            <w:tcW w:w="2551" w:type="dxa"/>
            <w:vAlign w:val="center"/>
          </w:tcPr>
          <w:p>
            <w:pPr>
              <w:pStyle w:val="15"/>
            </w:pPr>
          </w:p>
        </w:tc>
        <w:tc>
          <w:tcPr>
            <w:tcW w:w="2551" w:type="dxa"/>
            <w:vAlign w:val="center"/>
          </w:tcPr>
          <w:p>
            <w:pPr>
              <w:pStyle w:val="15"/>
            </w:pPr>
            <w:r>
              <w:t>35665.40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29999.18</w:t>
            </w:r>
          </w:p>
        </w:tc>
        <w:tc>
          <w:tcPr>
            <w:tcW w:w="2551" w:type="dxa"/>
            <w:vAlign w:val="center"/>
          </w:tcPr>
          <w:p>
            <w:pPr>
              <w:pStyle w:val="13"/>
            </w:pPr>
          </w:p>
        </w:tc>
        <w:tc>
          <w:tcPr>
            <w:tcW w:w="2551" w:type="dxa"/>
            <w:vAlign w:val="center"/>
          </w:tcPr>
          <w:p>
            <w:pPr>
              <w:pStyle w:val="13"/>
            </w:pPr>
            <w:r>
              <w:t>29999.18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3"/>
            </w:pPr>
            <w:r>
              <w:t>29999.18</w:t>
            </w:r>
          </w:p>
        </w:tc>
        <w:tc>
          <w:tcPr>
            <w:tcW w:w="2551" w:type="dxa"/>
            <w:vAlign w:val="center"/>
          </w:tcPr>
          <w:p>
            <w:pPr>
              <w:pStyle w:val="13"/>
            </w:pPr>
          </w:p>
        </w:tc>
        <w:tc>
          <w:tcPr>
            <w:tcW w:w="2551" w:type="dxa"/>
            <w:vAlign w:val="center"/>
          </w:tcPr>
          <w:p>
            <w:pPr>
              <w:pStyle w:val="13"/>
            </w:pPr>
            <w:r>
              <w:t>29999.18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3"/>
            </w:pPr>
            <w:r>
              <w:t>19219.71</w:t>
            </w:r>
          </w:p>
        </w:tc>
        <w:tc>
          <w:tcPr>
            <w:tcW w:w="2551" w:type="dxa"/>
            <w:vAlign w:val="center"/>
          </w:tcPr>
          <w:p>
            <w:pPr>
              <w:pStyle w:val="13"/>
            </w:pPr>
          </w:p>
        </w:tc>
        <w:tc>
          <w:tcPr>
            <w:tcW w:w="2551" w:type="dxa"/>
            <w:vAlign w:val="center"/>
          </w:tcPr>
          <w:p>
            <w:pPr>
              <w:pStyle w:val="13"/>
            </w:pPr>
            <w:r>
              <w:t>19219.71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3"/>
            </w:pPr>
            <w:r>
              <w:t>10779.47</w:t>
            </w:r>
          </w:p>
        </w:tc>
        <w:tc>
          <w:tcPr>
            <w:tcW w:w="2551" w:type="dxa"/>
            <w:vAlign w:val="center"/>
          </w:tcPr>
          <w:p>
            <w:pPr>
              <w:pStyle w:val="13"/>
            </w:pPr>
          </w:p>
        </w:tc>
        <w:tc>
          <w:tcPr>
            <w:tcW w:w="2551" w:type="dxa"/>
            <w:vAlign w:val="center"/>
          </w:tcPr>
          <w:p>
            <w:pPr>
              <w:pStyle w:val="13"/>
            </w:pPr>
            <w:r>
              <w:t>10779.47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231</w:t>
            </w:r>
          </w:p>
        </w:tc>
        <w:tc>
          <w:tcPr>
            <w:tcW w:w="4535" w:type="dxa"/>
            <w:vAlign w:val="center"/>
          </w:tcPr>
          <w:p>
            <w:pPr>
              <w:pStyle w:val="12"/>
            </w:pPr>
            <w:r>
              <w:t>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23104</w:t>
            </w:r>
          </w:p>
        </w:tc>
        <w:tc>
          <w:tcPr>
            <w:tcW w:w="4535" w:type="dxa"/>
            <w:vAlign w:val="center"/>
          </w:tcPr>
          <w:p>
            <w:pPr>
              <w:pStyle w:val="12"/>
            </w:pPr>
            <w:r>
              <w:t>地方政府专项债务还本支出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2310411</w:t>
            </w:r>
          </w:p>
        </w:tc>
        <w:tc>
          <w:tcPr>
            <w:tcW w:w="4535" w:type="dxa"/>
            <w:vAlign w:val="center"/>
          </w:tcPr>
          <w:p>
            <w:pPr>
              <w:pStyle w:val="12"/>
            </w:pPr>
            <w:r>
              <w:t>国有土地使用权出让金债务还本支出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2320411</w:t>
            </w:r>
          </w:p>
        </w:tc>
        <w:tc>
          <w:tcPr>
            <w:tcW w:w="4535" w:type="dxa"/>
            <w:vAlign w:val="center"/>
          </w:tcPr>
          <w:p>
            <w:pPr>
              <w:pStyle w:val="12"/>
            </w:pPr>
            <w:r>
              <w:t>国有土地使用权出让金债务付息支出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24574"/>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0857"/>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0.60</w:t>
            </w:r>
          </w:p>
        </w:tc>
        <w:tc>
          <w:tcPr>
            <w:tcW w:w="1643" w:type="dxa"/>
            <w:vAlign w:val="center"/>
          </w:tcPr>
          <w:p>
            <w:pPr>
              <w:pStyle w:val="15"/>
              <w:rPr>
                <w:rFonts w:hint="default" w:eastAsia="方正书宋_GBK"/>
                <w:lang w:val="en-US" w:eastAsia="zh-CN"/>
              </w:rPr>
            </w:pPr>
            <w:r>
              <w:rPr>
                <w:rFonts w:hint="eastAsia"/>
                <w:lang w:val="en-US" w:eastAsia="zh-CN"/>
              </w:rPr>
              <w:t>0.60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0.60</w:t>
            </w:r>
          </w:p>
        </w:tc>
        <w:tc>
          <w:tcPr>
            <w:tcW w:w="1643" w:type="dxa"/>
            <w:vAlign w:val="center"/>
          </w:tcPr>
          <w:p>
            <w:pPr>
              <w:pStyle w:val="13"/>
              <w:rPr>
                <w:rFonts w:hint="default" w:eastAsia="方正书宋_GBK"/>
                <w:lang w:val="en-US" w:eastAsia="zh-CN"/>
              </w:rPr>
            </w:pPr>
            <w:r>
              <w:rPr>
                <w:rFonts w:hint="eastAsia"/>
                <w:lang w:val="en-US" w:eastAsia="zh-CN"/>
              </w:rPr>
              <w:t>0.60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石家庄市藁城区城市管理综合行政执法局2022年部门预算信息公开情况说明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石家庄市藁城区城市管理综合行政执法局2022年部门预算信息公开情况说明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》、《地方预决算公开操作规程》和《关于进一步推进预算公开工作的实施意见》规定，现将石家庄市藁城区城市管理综合行政执法局2022年部门预算公开如下：</w:t>
      </w:r>
    </w:p>
    <w:p>
      <w:pPr>
        <w:spacing w:before="10" w:after="10" w:line="360" w:lineRule="auto"/>
        <w:ind w:firstLine="640"/>
        <w:jc w:val="left"/>
        <w:outlineLvl w:val="2"/>
      </w:pPr>
      <w:bookmarkStart w:id="9" w:name="_Toc22227"/>
      <w:bookmarkStart w:id="10" w:name="_Toc17414"/>
      <w:r>
        <w:rPr>
          <w:rFonts w:ascii="黑体" w:hAnsi="黑体" w:eastAsia="黑体" w:cs="黑体"/>
          <w:color w:val="000000"/>
          <w:sz w:val="32"/>
        </w:rPr>
        <w:t>一、部门职责及机构设置情况</w:t>
      </w:r>
      <w:bookmarkEnd w:id="9"/>
      <w:bookmarkEnd w:id="10"/>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（一）负责市容管</w:t>
      </w:r>
      <w:bookmarkStart w:id="24" w:name="_GoBack"/>
      <w:bookmarkEnd w:id="24"/>
      <w:r>
        <w:t>理、监察等城市管理综合行政执法工作。负责主城区市容管理、监察并对各乡镇、开发区城市管理综合行政执法工作监督指导，机动执法；城市市容景观广告牌匾的监督、管理工作；建立数字城管指挥系统，对城市管理工作即时监控，发现问题及时指挥、协调和督办；负责对乡镇环境卫生清扫保洁的督导检查、综合评比和统筹协调工作；负责便民市场规范化运行和日常监管工作；负责城市生活垃圾处理中心的运行管理工作；负责兴华公园和体育公园监管考核工作；开展市容环境卫生、市政公用设施、园林绿化、城乡规划、住房和城乡建设管理五个方面的行政执法和处罚；负责国土、环保、市场监督、交通管理、水务管理等方面的行政处罚；负责执法局安排的其他工作等。</w:t>
      </w:r>
    </w:p>
    <w:p>
      <w:pPr>
        <w:pStyle w:val="17"/>
      </w:pPr>
      <w:r>
        <w:t>（二）负责拟定城市基础设施维护的发展战略和中长期规划；负责城区道路、桥涵、泵站、城市排水、城市路灯等市政公用设施的建设、维修养护及管理工作。</w:t>
      </w:r>
    </w:p>
    <w:p>
      <w:pPr>
        <w:pStyle w:val="17"/>
      </w:pPr>
      <w:r>
        <w:t>（三）负责市容环境卫生管理工作的指导、监督、检查、考核。负责城区、廉州镇城中村街道及国、省、县级道路人工清扫保洁工作、机械化清扫工作及洒水降尘工作；负责城区垃圾清运、转运工作；负责城区垃圾转运站、公厕的建设、维修维护、保养保洁等工作；负责环卫作业车辆购置及管理工作；负责城市生活垃圾分类管理工作；负责城区环境卫生日常巡查等工作。</w:t>
      </w:r>
    </w:p>
    <w:p>
      <w:pPr>
        <w:pStyle w:val="17"/>
      </w:pPr>
      <w:r>
        <w:t>（四）负责城区园林绿化建设、管理。参与制定年度绿化计划；负责建成区绿化规划设计，完成上级提出的绿化指标；落实绿线管制制度，负责“绿色图章”使用；负责园林绿地日常养护管理；承担城市园林绿化工程项目的设计、施工管理；根据国家、省、市相关政策法规开展古树名木保护工作；负责园林式单位的申报与初步验收，完成社会绿化技术问题的指导工作等。</w:t>
      </w:r>
    </w:p>
    <w:p>
      <w:pPr>
        <w:pStyle w:val="17"/>
      </w:pPr>
      <w:r>
        <w:t>（五）负责水上公园、儿童公园的日常养护管理工作。向社会提供休闲、娱乐、健身活动场所；向社会提供植物、花卉的管理知识咨询；对园内植物进行日常绿化管护；搞好园内的环境卫生工作；做好园内游乐设施设备的安全隐患排查和维修保养。</w:t>
      </w:r>
    </w:p>
    <w:p>
      <w:pPr>
        <w:pStyle w:val="17"/>
      </w:pPr>
      <w:r>
        <w:t>（六）完成区委、区政府交办的其他任务。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石家庄市藁城区城市管理综合行政执法局本级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jc w:val="left"/>
        <w:outlineLvl w:val="2"/>
      </w:pPr>
      <w:bookmarkStart w:id="11" w:name="_Toc10858"/>
      <w:bookmarkStart w:id="12" w:name="_Toc25771"/>
      <w:r>
        <w:rPr>
          <w:rFonts w:ascii="黑体" w:hAnsi="黑体" w:eastAsia="黑体" w:cs="黑体"/>
          <w:color w:val="000000"/>
          <w:sz w:val="32"/>
        </w:rPr>
        <w:t>二、部门预算安排的总体情况</w:t>
      </w:r>
      <w:bookmarkEnd w:id="11"/>
      <w:bookmarkEnd w:id="12"/>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按照预算管理有关规定，目前我省部门预算的编制实行综合预算管理，即全部收入和支出都反映在预算中。石家庄市藁城区城市管理综合行政执法局机关及所属事业单位的收支包含在部门预算中。</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ascii="Times New Roman" w:hAnsi="Times New Roman" w:eastAsia="方正仿宋_GBK" w:cs="Times New Roman"/>
          <w:color w:val="000000"/>
          <w:sz w:val="28"/>
          <w:lang w:val="en-US" w:eastAsia="zh-CN"/>
        </w:rPr>
        <w:t>38618.95</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2953.55</w:t>
      </w:r>
      <w:r>
        <w:rPr>
          <w:rFonts w:hint="eastAsia" w:ascii="Times New Roman" w:hAnsi="Times New Roman" w:eastAsia="方正仿宋_GBK" w:cs="Times New Roman"/>
          <w:color w:val="000000"/>
          <w:sz w:val="28"/>
        </w:rPr>
        <w:t>万元，基金预算收入</w:t>
      </w:r>
      <w:r>
        <w:rPr>
          <w:rFonts w:hint="eastAsia" w:ascii="Times New Roman" w:hAnsi="Times New Roman" w:eastAsia="方正仿宋_GBK" w:cs="Times New Roman"/>
          <w:color w:val="000000"/>
          <w:sz w:val="28"/>
          <w:lang w:val="en-US" w:eastAsia="zh-CN"/>
        </w:rPr>
        <w:t>35665.40</w:t>
      </w:r>
      <w:r>
        <w:rPr>
          <w:rFonts w:hint="eastAsia" w:ascii="Times New Roman" w:hAnsi="Times New Roman" w:eastAsia="方正仿宋_GBK" w:cs="Times New Roman"/>
          <w:color w:val="000000"/>
          <w:sz w:val="28"/>
        </w:rPr>
        <w:t>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w:t>
      </w:r>
      <w:r>
        <w:rPr>
          <w:rFonts w:ascii="Times New Roman" w:hAnsi="Times New Roman" w:eastAsia="方正仿宋_GBK" w:cs="Times New Roman"/>
          <w:color w:val="000000"/>
          <w:sz w:val="28"/>
        </w:rPr>
        <w:t>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color w:val="000000"/>
          <w:sz w:val="28"/>
          <w:lang w:val="en-US" w:eastAsia="zh-CN"/>
        </w:rPr>
        <w:t>38618.95</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2753.55</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2650.51</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103.04</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35865.40</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环境卫生维护</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16558.57</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市容管理执法</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3713.70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市政设施维护</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2223.32</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园林绿地维护</w:t>
      </w:r>
      <w:r>
        <w:rPr>
          <w:rFonts w:hint="eastAsia" w:ascii="Times New Roman" w:hAnsi="Times New Roman" w:eastAsia="方正仿宋_GBK" w:cs="Times New Roman"/>
          <w:color w:val="000000"/>
          <w:sz w:val="28"/>
        </w:rPr>
        <w:t>支出</w:t>
      </w:r>
      <w:r>
        <w:rPr>
          <w:rFonts w:hint="eastAsia" w:ascii="Times New Roman" w:hAnsi="Times New Roman" w:eastAsia="方正仿宋_GBK" w:cs="Times New Roman"/>
          <w:color w:val="000000"/>
          <w:sz w:val="28"/>
          <w:lang w:val="en-US" w:eastAsia="zh-CN"/>
        </w:rPr>
        <w:t>3265.37</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垃圾处理支出</w:t>
      </w:r>
      <w:r>
        <w:rPr>
          <w:rFonts w:hint="eastAsia" w:ascii="Times New Roman" w:hAnsi="Times New Roman" w:eastAsia="方正仿宋_GBK" w:cs="Times New Roman"/>
          <w:color w:val="000000"/>
          <w:sz w:val="28"/>
          <w:lang w:val="en-US" w:eastAsia="zh-CN"/>
        </w:rPr>
        <w:t>4438.22</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，专项债券还本付息</w:t>
      </w:r>
      <w:r>
        <w:rPr>
          <w:rFonts w:hint="eastAsia" w:eastAsia="方正仿宋_GBK" w:cs="Times New Roman"/>
          <w:color w:val="000000"/>
          <w:sz w:val="28"/>
          <w:lang w:eastAsia="zh-CN"/>
        </w:rPr>
        <w:t>支出</w:t>
      </w:r>
      <w:r>
        <w:rPr>
          <w:rFonts w:hint="eastAsia" w:ascii="Times New Roman" w:hAnsi="Times New Roman" w:eastAsia="方正仿宋_GBK" w:cs="Times New Roman"/>
          <w:color w:val="000000"/>
          <w:sz w:val="28"/>
          <w:lang w:val="en-US" w:eastAsia="zh-CN"/>
        </w:rPr>
        <w:t>5666.22万元</w:t>
      </w:r>
      <w:r>
        <w:rPr>
          <w:rFonts w:hint="eastAsia" w:ascii="Times New Roman" w:hAnsi="Times New Roman" w:eastAsia="方正仿宋_GBK" w:cs="Times New Roman"/>
          <w:color w:val="000000"/>
          <w:sz w:val="28"/>
        </w:rPr>
        <w:t>；其他支出0万元。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本部门为</w:t>
      </w:r>
      <w:r>
        <w:rPr>
          <w:rFonts w:hint="eastAsia" w:ascii="Times New Roman" w:hAnsi="Times New Roman" w:eastAsia="方正仿宋_GBK" w:cs="Times New Roman"/>
          <w:color w:val="000000"/>
          <w:sz w:val="28"/>
        </w:rPr>
        <w:t>2022年</w:t>
      </w:r>
      <w:r>
        <w:rPr>
          <w:rFonts w:hint="eastAsia" w:ascii="Times New Roman" w:hAnsi="Times New Roman" w:eastAsia="方正仿宋_GBK" w:cs="Times New Roman"/>
          <w:color w:val="000000"/>
          <w:sz w:val="28"/>
          <w:lang w:eastAsia="zh-CN"/>
        </w:rPr>
        <w:t>新成立</w:t>
      </w:r>
      <w:r>
        <w:rPr>
          <w:rFonts w:hint="eastAsia" w:ascii="Times New Roman" w:hAnsi="Times New Roman" w:eastAsia="方正仿宋_GBK" w:cs="Times New Roman"/>
          <w:color w:val="000000"/>
          <w:sz w:val="28"/>
        </w:rPr>
        <w:t>部门</w:t>
      </w:r>
      <w:r>
        <w:rPr>
          <w:rFonts w:hint="eastAsia" w:ascii="Times New Roman" w:hAnsi="Times New Roman" w:eastAsia="方正仿宋_GBK" w:cs="Times New Roman"/>
          <w:color w:val="000000"/>
          <w:sz w:val="28"/>
          <w:lang w:eastAsia="zh-CN"/>
        </w:rPr>
        <w:t>，无与上年增减情况对比。</w:t>
      </w:r>
    </w:p>
    <w:p>
      <w:pPr>
        <w:spacing w:before="10" w:after="10" w:line="360" w:lineRule="auto"/>
        <w:ind w:firstLine="640" w:firstLineChars="200"/>
        <w:jc w:val="left"/>
        <w:outlineLvl w:val="2"/>
        <w:rPr>
          <w:rFonts w:ascii="黑体" w:hAnsi="黑体" w:eastAsia="黑体" w:cs="黑体"/>
          <w:color w:val="000000"/>
          <w:sz w:val="32"/>
        </w:rPr>
      </w:pPr>
      <w:bookmarkStart w:id="13" w:name="_Toc317"/>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3"/>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2022年，我部门机关运行经费共计安排</w:t>
      </w:r>
      <w:r>
        <w:rPr>
          <w:rFonts w:hint="eastAsia" w:ascii="Times New Roman" w:hAnsi="Times New Roman" w:eastAsia="方正仿宋_GBK" w:cs="Times New Roman"/>
          <w:color w:val="000000"/>
          <w:sz w:val="28"/>
          <w:lang w:val="en-US" w:eastAsia="zh-CN"/>
        </w:rPr>
        <w:t>103.04</w:t>
      </w:r>
      <w:r>
        <w:rPr>
          <w:rFonts w:hint="eastAsia" w:ascii="Times New Roman" w:hAnsi="Times New Roman" w:eastAsia="方正仿宋_GBK" w:cs="Times New Roman"/>
          <w:color w:val="000000"/>
          <w:sz w:val="28"/>
          <w:lang w:eastAsia="zh-CN"/>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firstLineChars="200"/>
        <w:jc w:val="left"/>
        <w:outlineLvl w:val="2"/>
        <w:rPr>
          <w:rFonts w:hint="eastAsia" w:ascii="黑体" w:hAnsi="黑体" w:eastAsia="黑体" w:cs="黑体"/>
          <w:color w:val="000000"/>
          <w:sz w:val="32"/>
          <w:lang w:eastAsia="zh-CN"/>
        </w:rPr>
      </w:pPr>
      <w:bookmarkStart w:id="14" w:name="_Toc5351"/>
      <w:r>
        <w:rPr>
          <w:rFonts w:hint="eastAsia" w:ascii="黑体" w:hAnsi="黑体" w:eastAsia="黑体" w:cs="黑体"/>
          <w:color w:val="000000"/>
          <w:sz w:val="32"/>
          <w:lang w:eastAsia="zh-CN"/>
        </w:rPr>
        <w:t>四、财政拨款“三公”经费预算情况及增减变化原因</w:t>
      </w:r>
      <w:bookmarkEnd w:id="14"/>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2022年，我部门财政拨款“三公”经费预算安排</w:t>
      </w:r>
      <w:r>
        <w:rPr>
          <w:rFonts w:hint="eastAsia" w:ascii="Times New Roman" w:hAnsi="Times New Roman" w:eastAsia="方正仿宋_GBK" w:cs="Times New Roman"/>
          <w:color w:val="000000"/>
          <w:sz w:val="28"/>
          <w:lang w:val="en-US" w:eastAsia="zh-CN"/>
        </w:rPr>
        <w:t>0.6</w:t>
      </w:r>
      <w:r>
        <w:rPr>
          <w:rFonts w:hint="eastAsia" w:ascii="Times New Roman" w:hAnsi="Times New Roman" w:eastAsia="方正仿宋_GBK" w:cs="Times New Roman"/>
          <w:color w:val="000000"/>
          <w:sz w:val="28"/>
          <w:lang w:eastAsia="zh-CN"/>
        </w:rPr>
        <w:t>万元，其中：因公出国（境）费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lang w:eastAsia="zh-CN"/>
        </w:rPr>
        <w:t>万元；公务用车购置及运维费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lang w:eastAsia="zh-CN"/>
        </w:rPr>
        <w:t>万元（其中：公务用车购置费0万元，公务用车运行维护费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lang w:eastAsia="zh-CN"/>
        </w:rPr>
        <w:t>万元)；公务接待费</w:t>
      </w:r>
      <w:r>
        <w:rPr>
          <w:rFonts w:hint="eastAsia" w:ascii="Times New Roman" w:hAnsi="Times New Roman" w:eastAsia="方正仿宋_GBK" w:cs="Times New Roman"/>
          <w:color w:val="000000"/>
          <w:sz w:val="28"/>
          <w:lang w:val="en-US" w:eastAsia="zh-CN"/>
        </w:rPr>
        <w:t>0.6</w:t>
      </w:r>
      <w:r>
        <w:rPr>
          <w:rFonts w:hint="eastAsia" w:ascii="Times New Roman" w:hAnsi="Times New Roman" w:eastAsia="方正仿宋_GBK" w:cs="Times New Roman"/>
          <w:color w:val="000000"/>
          <w:sz w:val="28"/>
          <w:lang w:eastAsia="zh-CN"/>
        </w:rPr>
        <w:t>万元。本部门为2022年新成立部门，无与上年增减情况对比。</w:t>
      </w:r>
    </w:p>
    <w:p>
      <w:pPr>
        <w:spacing w:before="10" w:after="10" w:line="360" w:lineRule="auto"/>
        <w:ind w:firstLine="640" w:firstLineChars="200"/>
        <w:jc w:val="left"/>
        <w:outlineLvl w:val="2"/>
        <w:rPr>
          <w:rFonts w:hint="eastAsia" w:ascii="黑体" w:hAnsi="黑体" w:eastAsia="黑体" w:cs="黑体"/>
          <w:color w:val="000000"/>
          <w:sz w:val="32"/>
          <w:lang w:eastAsia="zh-CN"/>
        </w:rPr>
      </w:pPr>
      <w:bookmarkStart w:id="15" w:name="_Toc10941"/>
      <w:r>
        <w:rPr>
          <w:rFonts w:hint="eastAsia" w:ascii="黑体" w:hAnsi="黑体" w:eastAsia="黑体" w:cs="黑体"/>
          <w:color w:val="000000"/>
          <w:sz w:val="32"/>
          <w:lang w:eastAsia="zh-CN"/>
        </w:rPr>
        <w:t>五、预算绩效信息</w:t>
      </w:r>
      <w:bookmarkEnd w:id="15"/>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8"/>
      </w:pPr>
      <w:r>
        <w:t>在区委、区政府的正确领导下，藁城城管秉持“人民城管为人民”的理念，以创造整洁、有序、美观、宜居的现代化城市为目标，全面推动市容卫生整治、基础设施改造、综合行政执法等工作，不断提高城市精细化管理水平。市容环境卫生管理苦练“绣花功夫”，深化“以克论净、深度保洁”，精细落实“门前三包”，坚决制止、依法拆除各类违章建筑，逐步完善渣土运输监管体系；排水管网及道路建设提升改造，新建公共停车场，不断完善市政基础设施建设水平；生活垃圾资源化项目生产线已投产，有效解决生活垃圾处置问题；提高园林绿化标准，合理布局景观小品和“口袋公园”，大力推进一街一景，打造三季有花、四季有景、层次丰富的绿化景观。通过实施城市“净化、绿化、亮化、美化、文化”的“五化法”，推动城市创新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9"/>
      </w:pPr>
      <w:r>
        <w:t>（</w:t>
      </w:r>
      <w:r>
        <w:rPr>
          <w:rFonts w:hint="eastAsia"/>
          <w:lang w:val="en-US" w:eastAsia="zh-CN"/>
        </w:rPr>
        <w:t>1</w:t>
      </w:r>
      <w:r>
        <w:t>）提高城市管理综合执法水平</w:t>
      </w:r>
    </w:p>
    <w:p>
      <w:pPr>
        <w:pStyle w:val="19"/>
      </w:pPr>
      <w:r>
        <w:t>绩效目标：加强城市管理执法，打造规范有序的市容环境</w:t>
      </w:r>
      <w:r>
        <w:rPr>
          <w:rFonts w:hint="eastAsia"/>
          <w:lang w:eastAsia="zh-CN"/>
        </w:rPr>
        <w:t>；</w:t>
      </w:r>
      <w:r>
        <w:t>加大违建整治力度，对各类违建进行依法拆除</w:t>
      </w:r>
      <w:r>
        <w:rPr>
          <w:rFonts w:hint="eastAsia"/>
          <w:lang w:eastAsia="zh-CN"/>
        </w:rPr>
        <w:t>；</w:t>
      </w:r>
      <w:r>
        <w:t>整治违规广告牌匾，全面落实“门前三包”责任制，改善城市容貌形象。</w:t>
      </w:r>
    </w:p>
    <w:p>
      <w:pPr>
        <w:pStyle w:val="19"/>
      </w:pPr>
      <w:r>
        <w:t>绩效指标：全面落实“门前三包”责任制，“门前三包”检查合格率达到90%以上；整治违规广告牌匾，设置公益广告牌匾，广告设施完好率达到90%以上；加强城市管理执法力度，改善城市容貌环境水平。</w:t>
      </w:r>
    </w:p>
    <w:p>
      <w:pPr>
        <w:pStyle w:val="19"/>
      </w:pPr>
      <w:r>
        <w:t>（</w:t>
      </w:r>
      <w:r>
        <w:rPr>
          <w:rFonts w:hint="eastAsia"/>
          <w:lang w:val="en-US" w:eastAsia="zh-CN"/>
        </w:rPr>
        <w:t>2</w:t>
      </w:r>
      <w:r>
        <w:t>）提升城市环境卫生水平</w:t>
      </w:r>
    </w:p>
    <w:p>
      <w:pPr>
        <w:pStyle w:val="19"/>
      </w:pPr>
      <w:r>
        <w:t>绩效目标：严格落实“以克论净、深度保洁”管理模式，强化道路机械清扫和洒水冲洗，做到“车过地净、路见底色”；所有生活垃圾实现“日产日清、密闭运输不落地”，垃圾无害化处理率达到100%；落实“厕所革命”专项行动，增加城市公厕数量，方便市民就近如厕，提高城市文明程度和卫生水平。</w:t>
      </w:r>
    </w:p>
    <w:p>
      <w:pPr>
        <w:pStyle w:val="19"/>
      </w:pPr>
      <w:r>
        <w:t>绩效指标：加强机械化清扫，机械化清扫率达到92%以上；增加城市公厕数量，力争到2021年城区每万人拥有公厕数量达到3-5座；改建密闭压缩式垃圾箱，垃圾中转机械化、密闭化达到90%以上；生活垃圾进场及无害化处理率达到100%，保护城市生态环境，促进城市可持续发展。</w:t>
      </w:r>
    </w:p>
    <w:p>
      <w:pPr>
        <w:pStyle w:val="19"/>
      </w:pPr>
      <w:r>
        <w:t>（</w:t>
      </w:r>
      <w:r>
        <w:rPr>
          <w:rFonts w:hint="eastAsia"/>
          <w:lang w:val="en-US" w:eastAsia="zh-CN"/>
        </w:rPr>
        <w:t>3</w:t>
      </w:r>
      <w:r>
        <w:t>）推进城乡环卫一体化</w:t>
      </w:r>
    </w:p>
    <w:p>
      <w:pPr>
        <w:pStyle w:val="19"/>
      </w:pPr>
      <w:r>
        <w:t>绩效目标：建设农村垃圾中转站并投入使用，真正实现农村垃圾日产日清不落地、垃圾运输全封闭目标；购置环卫作业车辆，提高城乡环境卫生保洁机械化水平；加强农村环卫督查，实施周通报、月评比，推动农村环境卫生整治和城乡环卫一体化工作。</w:t>
      </w:r>
    </w:p>
    <w:p>
      <w:pPr>
        <w:pStyle w:val="19"/>
      </w:pPr>
      <w:r>
        <w:t>绩效指标：强化机械化清扫和洒水降尘，提高农村街道环境卫生水平；加强农村垃圾中转站建设，实现农村垃圾日产日清不落地、垃圾运输全封闭；对农村环境卫生清扫保洁工作开展督查，发现问题后进行整改，问题整改率达到98%以上。</w:t>
      </w:r>
    </w:p>
    <w:p>
      <w:pPr>
        <w:pStyle w:val="19"/>
      </w:pPr>
      <w:r>
        <w:t>（</w:t>
      </w:r>
      <w:r>
        <w:rPr>
          <w:rFonts w:hint="eastAsia"/>
          <w:lang w:val="en-US" w:eastAsia="zh-CN"/>
        </w:rPr>
        <w:t>4</w:t>
      </w:r>
      <w:r>
        <w:t>）加强市政基础设施建设</w:t>
      </w:r>
    </w:p>
    <w:p>
      <w:pPr>
        <w:pStyle w:val="19"/>
      </w:pPr>
      <w:r>
        <w:t>绩效目标：完成廉州路、四明街、工业路、育英路、东城街、廉东大街、站南街、市府路、廉北路、渠北路等排水管网及道路建设工程、公共停车场建设等，提升城市交通能力和基础设施建设水平。</w:t>
      </w:r>
    </w:p>
    <w:p>
      <w:pPr>
        <w:pStyle w:val="19"/>
      </w:pPr>
      <w:r>
        <w:t>绩效指标：完成工程量占计划完成工程量的比率达到90%及以上；通过验收的工程量占建设、修缮总量的比率达到90%及以上；建筑工程达到设计结构或标准的程度达到90%及以上。</w:t>
      </w:r>
    </w:p>
    <w:p>
      <w:pPr>
        <w:pStyle w:val="19"/>
      </w:pPr>
      <w:r>
        <w:t>（</w:t>
      </w:r>
      <w:r>
        <w:rPr>
          <w:rFonts w:hint="eastAsia"/>
          <w:lang w:val="en-US" w:eastAsia="zh-CN"/>
        </w:rPr>
        <w:t>5</w:t>
      </w:r>
      <w:r>
        <w:t>）积极开展生活垃圾分类</w:t>
      </w:r>
    </w:p>
    <w:p>
      <w:pPr>
        <w:pStyle w:val="19"/>
      </w:pPr>
      <w:r>
        <w:t>绩效目标：建设保利东郡、璟华苑、龙华苑、金域华府、园丁花园、盛泽园、东城国际、紫御澜湾等25个生活垃圾分类示范小区，住建局、农业农村局、教育局等10个示范单位，藁城一中、八中、九中等10所示范学校，制作宣传牌和购置垃圾分类桶、垃圾储存柜等，提高居民知晓率、参与率和投放准确率，使生活垃圾合理分类、运输、处置，达到生活垃圾减量化、资源化、无害化，创造优质人居环境。</w:t>
      </w:r>
    </w:p>
    <w:p>
      <w:pPr>
        <w:pStyle w:val="19"/>
      </w:pPr>
      <w:r>
        <w:t>绩效指标：建成垃圾分类示范小区45个，生活垃圾分类服务及时考评数量占生活垃圾考评总数量的比率达到90%以上，实际投放分类设施个数占应投放分类设施个数的比率达到95%以上。</w:t>
      </w:r>
    </w:p>
    <w:p>
      <w:pPr>
        <w:pStyle w:val="19"/>
      </w:pPr>
      <w:r>
        <w:t>（</w:t>
      </w:r>
      <w:r>
        <w:rPr>
          <w:rFonts w:hint="eastAsia"/>
          <w:lang w:val="en-US" w:eastAsia="zh-CN"/>
        </w:rPr>
        <w:t>6</w:t>
      </w:r>
      <w:r>
        <w:t>）拆除违章建筑</w:t>
      </w:r>
    </w:p>
    <w:p>
      <w:pPr>
        <w:pStyle w:val="19"/>
      </w:pPr>
      <w:r>
        <w:t>绩效目标：根据《关于进一步加强城区违法建设整治工作方案》、《关于城中村宅基地建设管理的具体意见》的有关规定，为了加强城市规划建设管理，规范城市建设秩序，打击城区违法建设行为，依法拆除各类违章建筑并清运垃圾，有效减少违建存量，切实提升市容环境和城市治理水平。</w:t>
      </w:r>
    </w:p>
    <w:p>
      <w:pPr>
        <w:pStyle w:val="19"/>
      </w:pPr>
      <w:r>
        <w:t>绩效指标：拆除违章建筑验收合格率达到100%；及时拆除违章建筑率达到100%；通过拆除沿街超高建筑，统一沿街建筑风貌，有效减少违建存量，切实提升市容环境和城市治理水平。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0"/>
      </w:pPr>
      <w:r>
        <w:t>（</w:t>
      </w:r>
      <w:r>
        <w:rPr>
          <w:rFonts w:hint="eastAsia"/>
          <w:lang w:val="en-US" w:eastAsia="zh-CN"/>
        </w:rPr>
        <w:t>1</w:t>
      </w:r>
      <w:r>
        <w:t>）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0"/>
      </w:pPr>
      <w:r>
        <w:t>（</w:t>
      </w:r>
      <w:r>
        <w:rPr>
          <w:rFonts w:hint="eastAsia"/>
          <w:lang w:val="en-US" w:eastAsia="zh-CN"/>
        </w:rPr>
        <w:t>2</w:t>
      </w:r>
      <w:r>
        <w:t>）优化支出管理。按照“谁花钱、谁负责、谁举证”的原则，明确各单位（处室）预算绩效管理职责。实现花钱必问效，确保财务与业务工作紧密衔接。各单位（处室）按要求积极开展预算绩效评价，根据评价结果进行整改，确保绩效目标顺利实现。</w:t>
      </w:r>
    </w:p>
    <w:p>
      <w:pPr>
        <w:pStyle w:val="20"/>
      </w:pPr>
      <w:r>
        <w:t>（</w:t>
      </w:r>
      <w:r>
        <w:rPr>
          <w:rFonts w:hint="eastAsia"/>
          <w:lang w:val="en-US" w:eastAsia="zh-CN"/>
        </w:rPr>
        <w:t>3</w:t>
      </w:r>
      <w:r>
        <w:t>）加强绩效监控。按财政要求开展绩效监控，全程跟踪预算执行进度，对执行过程中发现的问题及时反馈，制定切实可行举措，保障绩效目标按期高质量完成。</w:t>
      </w:r>
    </w:p>
    <w:p>
      <w:pPr>
        <w:pStyle w:val="20"/>
      </w:pPr>
      <w:r>
        <w:t>（</w:t>
      </w:r>
      <w:r>
        <w:rPr>
          <w:rFonts w:hint="eastAsia"/>
          <w:lang w:val="en-US" w:eastAsia="zh-CN"/>
        </w:rPr>
        <w:t>4</w:t>
      </w:r>
      <w:r>
        <w:t>）强化内部监督。注重内部监督制度建设，对绩效运行情况、重大支出决策等重要经济业务事项的决策和执行进行督导，并配合做好审计、财政监督等外部监督工作，确保财政资金安全有效，最大限度发挥财政资金使用效益。</w:t>
      </w:r>
    </w:p>
    <w:p>
      <w:pPr>
        <w:pStyle w:val="20"/>
      </w:pPr>
      <w:r>
        <w:t>（</w:t>
      </w:r>
      <w:r>
        <w:rPr>
          <w:rFonts w:hint="eastAsia"/>
          <w:lang w:val="en-US" w:eastAsia="zh-CN"/>
        </w:rPr>
        <w:t>5</w:t>
      </w:r>
      <w:r>
        <w:t>）做好联动宣传。加强单位内部处室间的协调联动，加大关于预算绩效工作宣传力度，提高对预算绩效管理的重视程度，增强绩效管理意识，促进预算绩效管理水平进一步提升。</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预算项目绩效目标</w:t>
      </w: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1、2020年便民市场改造提升工程财政补助款绩效目标表</w:t>
      </w:r>
    </w:p>
    <w:p>
      <w:pPr>
        <w:pStyle w:val="21"/>
        <w:spacing w:before="0" w:after="0"/>
        <w:ind w:firstLine="56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1.对两个便民市场进行排水、采暖、消防、电气等方面的升级改造，改造成市民生活服务中心综合体便民市场。</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改造的便民市场数量</w:t>
            </w:r>
          </w:p>
        </w:tc>
        <w:tc>
          <w:tcPr>
            <w:tcW w:w="2835" w:type="dxa"/>
            <w:vAlign w:val="center"/>
          </w:tcPr>
          <w:p>
            <w:pPr>
              <w:pStyle w:val="23"/>
            </w:pPr>
            <w:r>
              <w:t>改造的便民市场数量</w:t>
            </w:r>
          </w:p>
        </w:tc>
        <w:tc>
          <w:tcPr>
            <w:tcW w:w="2551" w:type="dxa"/>
            <w:vAlign w:val="center"/>
          </w:tcPr>
          <w:p>
            <w:pPr>
              <w:pStyle w:val="23"/>
            </w:pPr>
            <w:r>
              <w:t>2座</w:t>
            </w:r>
          </w:p>
        </w:tc>
        <w:tc>
          <w:tcPr>
            <w:tcW w:w="2268" w:type="dxa"/>
            <w:vAlign w:val="center"/>
          </w:tcPr>
          <w:p>
            <w:pPr>
              <w:pStyle w:val="23"/>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及时完工项目占全部项目的比率</w:t>
            </w:r>
          </w:p>
        </w:tc>
        <w:tc>
          <w:tcPr>
            <w:tcW w:w="2551" w:type="dxa"/>
            <w:vAlign w:val="center"/>
          </w:tcPr>
          <w:p>
            <w:pPr>
              <w:pStyle w:val="23"/>
            </w:pPr>
            <w:r>
              <w:t>100%</w:t>
            </w:r>
          </w:p>
        </w:tc>
        <w:tc>
          <w:tcPr>
            <w:tcW w:w="2268" w:type="dxa"/>
            <w:vAlign w:val="center"/>
          </w:tcPr>
          <w:p>
            <w:pPr>
              <w:pStyle w:val="23"/>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招标控制价工程费</w:t>
            </w:r>
          </w:p>
        </w:tc>
        <w:tc>
          <w:tcPr>
            <w:tcW w:w="2835" w:type="dxa"/>
            <w:vAlign w:val="center"/>
          </w:tcPr>
          <w:p>
            <w:pPr>
              <w:pStyle w:val="23"/>
            </w:pPr>
            <w:r>
              <w:t>按招标控制价工程费财政补助</w:t>
            </w:r>
          </w:p>
        </w:tc>
        <w:tc>
          <w:tcPr>
            <w:tcW w:w="2551" w:type="dxa"/>
            <w:vAlign w:val="center"/>
          </w:tcPr>
          <w:p>
            <w:pPr>
              <w:pStyle w:val="23"/>
            </w:pPr>
            <w:r>
              <w:t>270万元</w:t>
            </w:r>
          </w:p>
        </w:tc>
        <w:tc>
          <w:tcPr>
            <w:tcW w:w="2268" w:type="dxa"/>
            <w:vAlign w:val="center"/>
          </w:tcPr>
          <w:p>
            <w:pPr>
              <w:pStyle w:val="23"/>
            </w:pPr>
            <w:r>
              <w:t>招标控制价及政府办通知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≥95%</w:t>
            </w:r>
          </w:p>
        </w:tc>
        <w:tc>
          <w:tcPr>
            <w:tcW w:w="2268" w:type="dxa"/>
            <w:vAlign w:val="center"/>
          </w:tcPr>
          <w:p>
            <w:pPr>
              <w:pStyle w:val="23"/>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提升居民购物环境，保障市民食品安全，提升城市管理水平。</w:t>
            </w:r>
          </w:p>
        </w:tc>
        <w:tc>
          <w:tcPr>
            <w:tcW w:w="2835" w:type="dxa"/>
            <w:vAlign w:val="center"/>
          </w:tcPr>
          <w:p>
            <w:pPr>
              <w:pStyle w:val="23"/>
            </w:pPr>
            <w:r>
              <w:t>提升居民购物环境，保障市民食品安全，提升城市管理水平。</w:t>
            </w:r>
          </w:p>
        </w:tc>
        <w:tc>
          <w:tcPr>
            <w:tcW w:w="2551" w:type="dxa"/>
            <w:vAlign w:val="center"/>
          </w:tcPr>
          <w:p>
            <w:pPr>
              <w:pStyle w:val="23"/>
            </w:pPr>
            <w:r>
              <w:t>≥90%</w:t>
            </w:r>
          </w:p>
        </w:tc>
        <w:tc>
          <w:tcPr>
            <w:tcW w:w="2268" w:type="dxa"/>
            <w:vAlign w:val="center"/>
          </w:tcPr>
          <w:p>
            <w:pPr>
              <w:pStyle w:val="23"/>
            </w:pPr>
            <w:r>
              <w:t>市场管理制度及食品安全法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2、2020年垃圾渗滤液应急处理运营费绩效目标表</w:t>
      </w:r>
    </w:p>
    <w:p>
      <w:pPr>
        <w:pStyle w:val="21"/>
        <w:spacing w:before="0" w:after="0"/>
        <w:ind w:firstLine="56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1.垃圾填埋场二号库渗滤液积存量大，存在外溢的风险，本项目所采用的工艺对积存的渗滤液进行应急处理，能回收利用的废水尽可能回收利用，同时不产生二次污染。</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2020年渗滤液处理数量</w:t>
            </w:r>
          </w:p>
        </w:tc>
        <w:tc>
          <w:tcPr>
            <w:tcW w:w="2835" w:type="dxa"/>
            <w:vAlign w:val="center"/>
          </w:tcPr>
          <w:p>
            <w:pPr>
              <w:pStyle w:val="23"/>
            </w:pPr>
            <w:r>
              <w:t>2020年渗滤液处理完成净水数量</w:t>
            </w:r>
          </w:p>
        </w:tc>
        <w:tc>
          <w:tcPr>
            <w:tcW w:w="2551" w:type="dxa"/>
            <w:vAlign w:val="center"/>
          </w:tcPr>
          <w:p>
            <w:pPr>
              <w:pStyle w:val="23"/>
            </w:pPr>
            <w:r>
              <w:t>14100吨</w:t>
            </w:r>
          </w:p>
        </w:tc>
        <w:tc>
          <w:tcPr>
            <w:tcW w:w="2268" w:type="dxa"/>
            <w:vAlign w:val="center"/>
          </w:tcPr>
          <w:p>
            <w:pPr>
              <w:pStyle w:val="23"/>
            </w:pPr>
            <w:r>
              <w:t>渗滤液处理确认书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处理费用</w:t>
            </w:r>
          </w:p>
        </w:tc>
        <w:tc>
          <w:tcPr>
            <w:tcW w:w="2835" w:type="dxa"/>
            <w:vAlign w:val="center"/>
          </w:tcPr>
          <w:p>
            <w:pPr>
              <w:pStyle w:val="23"/>
            </w:pPr>
            <w:r>
              <w:t>处理费用单价</w:t>
            </w:r>
          </w:p>
        </w:tc>
        <w:tc>
          <w:tcPr>
            <w:tcW w:w="2551" w:type="dxa"/>
            <w:vAlign w:val="center"/>
          </w:tcPr>
          <w:p>
            <w:pPr>
              <w:pStyle w:val="23"/>
            </w:pPr>
            <w:r>
              <w:t>247元/吨</w:t>
            </w:r>
          </w:p>
        </w:tc>
        <w:tc>
          <w:tcPr>
            <w:tcW w:w="2268" w:type="dxa"/>
            <w:vAlign w:val="center"/>
          </w:tcPr>
          <w:p>
            <w:pPr>
              <w:pStyle w:val="23"/>
            </w:pPr>
            <w:r>
              <w:t>中标通知书，《藁城区生活垃圾渗滤液应急处理项目服务运营合同》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 xml:space="preserve">       及时处理渗滤液占应处理渗滤液比率</w:t>
            </w:r>
          </w:p>
        </w:tc>
        <w:tc>
          <w:tcPr>
            <w:tcW w:w="2551" w:type="dxa"/>
            <w:vAlign w:val="center"/>
          </w:tcPr>
          <w:p>
            <w:pPr>
              <w:pStyle w:val="23"/>
            </w:pPr>
            <w:r>
              <w:t>≥90%</w:t>
            </w:r>
          </w:p>
        </w:tc>
        <w:tc>
          <w:tcPr>
            <w:tcW w:w="2268" w:type="dxa"/>
            <w:vAlign w:val="center"/>
          </w:tcPr>
          <w:p>
            <w:pPr>
              <w:pStyle w:val="23"/>
            </w:pPr>
            <w:r>
              <w:t>渗滤液应急处理台账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出水合格率</w:t>
            </w:r>
          </w:p>
        </w:tc>
        <w:tc>
          <w:tcPr>
            <w:tcW w:w="2835" w:type="dxa"/>
            <w:vAlign w:val="center"/>
          </w:tcPr>
          <w:p>
            <w:pPr>
              <w:pStyle w:val="23"/>
            </w:pPr>
            <w:r>
              <w:t>合格出水量占总量的比率</w:t>
            </w:r>
          </w:p>
        </w:tc>
        <w:tc>
          <w:tcPr>
            <w:tcW w:w="2551" w:type="dxa"/>
            <w:vAlign w:val="center"/>
          </w:tcPr>
          <w:p>
            <w:pPr>
              <w:pStyle w:val="23"/>
            </w:pPr>
            <w:r>
              <w:t>≥90%</w:t>
            </w:r>
          </w:p>
        </w:tc>
        <w:tc>
          <w:tcPr>
            <w:tcW w:w="2268" w:type="dxa"/>
            <w:vAlign w:val="center"/>
          </w:tcPr>
          <w:p>
            <w:pPr>
              <w:pStyle w:val="23"/>
            </w:pPr>
            <w:r>
              <w:t>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 xml:space="preserve"> 对渗滤液收集集中应急处理，避免外溢的风险，不产生二次污染。</w:t>
            </w:r>
          </w:p>
        </w:tc>
        <w:tc>
          <w:tcPr>
            <w:tcW w:w="2835" w:type="dxa"/>
            <w:vAlign w:val="center"/>
          </w:tcPr>
          <w:p>
            <w:pPr>
              <w:pStyle w:val="23"/>
            </w:pPr>
            <w:r>
              <w:t xml:space="preserve">  对渗滤液收集集中应急处理，避免外溢的风险，不产生二次污染。</w:t>
            </w:r>
          </w:p>
        </w:tc>
        <w:tc>
          <w:tcPr>
            <w:tcW w:w="2551" w:type="dxa"/>
            <w:vAlign w:val="center"/>
          </w:tcPr>
          <w:p>
            <w:pPr>
              <w:pStyle w:val="23"/>
            </w:pPr>
            <w:r>
              <w:t>≥90%</w:t>
            </w:r>
          </w:p>
        </w:tc>
        <w:tc>
          <w:tcPr>
            <w:tcW w:w="2268" w:type="dxa"/>
            <w:vAlign w:val="center"/>
          </w:tcPr>
          <w:p>
            <w:pPr>
              <w:pStyle w:val="23"/>
            </w:pPr>
            <w:r>
              <w:t>《藁城区生活垃圾填埋场垃圾渗滤液应急处理项目技术文件》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≥95%</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3、2020年生活垃圾分类工作经费绩效目标表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1.通过建设示范小区、单位、学校，制作宣传牌和购置垃圾分类桶、垃圾储存柜等，达到生活垃圾合理分类、处置。提升垃圾减量化、资源化、无害化水平，创造优质人居环境的效果。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签订垃圾分类服务合同的单位</w:t>
            </w:r>
          </w:p>
        </w:tc>
        <w:tc>
          <w:tcPr>
            <w:tcW w:w="2835" w:type="dxa"/>
            <w:vAlign w:val="center"/>
          </w:tcPr>
          <w:p>
            <w:pPr>
              <w:pStyle w:val="23"/>
            </w:pPr>
            <w:r>
              <w:t>签订垃圾分类服务合同的单位</w:t>
            </w:r>
          </w:p>
        </w:tc>
        <w:tc>
          <w:tcPr>
            <w:tcW w:w="2551" w:type="dxa"/>
            <w:vAlign w:val="center"/>
          </w:tcPr>
          <w:p>
            <w:pPr>
              <w:pStyle w:val="23"/>
            </w:pPr>
            <w:r>
              <w:t>2个</w:t>
            </w:r>
          </w:p>
        </w:tc>
        <w:tc>
          <w:tcPr>
            <w:tcW w:w="2268" w:type="dxa"/>
            <w:vAlign w:val="center"/>
          </w:tcPr>
          <w:p>
            <w:pPr>
              <w:pStyle w:val="2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2021年生活垃圾分类工作经费</w:t>
            </w:r>
          </w:p>
        </w:tc>
        <w:tc>
          <w:tcPr>
            <w:tcW w:w="2835" w:type="dxa"/>
            <w:vAlign w:val="center"/>
          </w:tcPr>
          <w:p>
            <w:pPr>
              <w:pStyle w:val="23"/>
            </w:pPr>
            <w:r>
              <w:t>2021年生活垃圾分类工作经费</w:t>
            </w:r>
          </w:p>
        </w:tc>
        <w:tc>
          <w:tcPr>
            <w:tcW w:w="2551" w:type="dxa"/>
            <w:vAlign w:val="center"/>
          </w:tcPr>
          <w:p>
            <w:pPr>
              <w:pStyle w:val="23"/>
            </w:pPr>
            <w:r>
              <w:t>180万元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生活垃圾分类服务及时考评率</w:t>
            </w:r>
          </w:p>
        </w:tc>
        <w:tc>
          <w:tcPr>
            <w:tcW w:w="2835" w:type="dxa"/>
            <w:vAlign w:val="center"/>
          </w:tcPr>
          <w:p>
            <w:pPr>
              <w:pStyle w:val="23"/>
            </w:pPr>
            <w:r>
              <w:t>生活垃圾分类服务及时考评数量占生活垃圾考评总数量的比率</w:t>
            </w:r>
          </w:p>
        </w:tc>
        <w:tc>
          <w:tcPr>
            <w:tcW w:w="2551" w:type="dxa"/>
            <w:vAlign w:val="center"/>
          </w:tcPr>
          <w:p>
            <w:pPr>
              <w:pStyle w:val="23"/>
            </w:pPr>
            <w:r>
              <w:t>≥90%</w:t>
            </w:r>
          </w:p>
        </w:tc>
        <w:tc>
          <w:tcPr>
            <w:tcW w:w="2268" w:type="dxa"/>
            <w:vAlign w:val="center"/>
          </w:tcPr>
          <w:p>
            <w:pPr>
              <w:pStyle w:val="23"/>
            </w:pPr>
            <w:r>
              <w:t>《石家庄市生活垃圾分类工作实施方案》石政办发【2017】59号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投放实施配置率</w:t>
            </w:r>
          </w:p>
        </w:tc>
        <w:tc>
          <w:tcPr>
            <w:tcW w:w="2835" w:type="dxa"/>
            <w:vAlign w:val="center"/>
          </w:tcPr>
          <w:p>
            <w:pPr>
              <w:pStyle w:val="23"/>
            </w:pPr>
            <w:r>
              <w:t>实际投放分类设施个数占应投放分类设施个数的比率</w:t>
            </w:r>
          </w:p>
        </w:tc>
        <w:tc>
          <w:tcPr>
            <w:tcW w:w="2551" w:type="dxa"/>
            <w:vAlign w:val="center"/>
          </w:tcPr>
          <w:p>
            <w:pPr>
              <w:pStyle w:val="23"/>
            </w:pPr>
            <w:r>
              <w:t>≥95%</w:t>
            </w:r>
          </w:p>
        </w:tc>
        <w:tc>
          <w:tcPr>
            <w:tcW w:w="2268" w:type="dxa"/>
            <w:vAlign w:val="center"/>
          </w:tcPr>
          <w:p>
            <w:pPr>
              <w:pStyle w:val="23"/>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使生活垃圾达到减量化、资源化、无害化水平</w:t>
            </w:r>
          </w:p>
        </w:tc>
        <w:tc>
          <w:tcPr>
            <w:tcW w:w="2835" w:type="dxa"/>
            <w:vAlign w:val="center"/>
          </w:tcPr>
          <w:p>
            <w:pPr>
              <w:pStyle w:val="23"/>
            </w:pPr>
            <w:r>
              <w:t>生活垃圾合理分类、处置，提升垃圾减量化、资源化、无害化水平.</w:t>
            </w:r>
          </w:p>
        </w:tc>
        <w:tc>
          <w:tcPr>
            <w:tcW w:w="2551" w:type="dxa"/>
            <w:vAlign w:val="center"/>
          </w:tcPr>
          <w:p>
            <w:pPr>
              <w:pStyle w:val="23"/>
            </w:pPr>
            <w:r>
              <w:t>≥95%</w:t>
            </w:r>
          </w:p>
        </w:tc>
        <w:tc>
          <w:tcPr>
            <w:tcW w:w="2268" w:type="dxa"/>
            <w:vAlign w:val="center"/>
          </w:tcPr>
          <w:p>
            <w:pPr>
              <w:pStyle w:val="23"/>
            </w:pPr>
            <w:r>
              <w:t>《石家庄市生活垃圾分类工作实施方案》石政办发【2017】61号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4、2020年生活垃圾应急处理服务费绩效目标表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1.完成生活垃圾的减量化、无害化、资源化处理。</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日处理规模</w:t>
            </w:r>
          </w:p>
        </w:tc>
        <w:tc>
          <w:tcPr>
            <w:tcW w:w="2835" w:type="dxa"/>
            <w:vAlign w:val="center"/>
          </w:tcPr>
          <w:p>
            <w:pPr>
              <w:pStyle w:val="23"/>
            </w:pPr>
            <w:r>
              <w:t>每日处理的垃圾量</w:t>
            </w:r>
          </w:p>
        </w:tc>
        <w:tc>
          <w:tcPr>
            <w:tcW w:w="2551" w:type="dxa"/>
            <w:vAlign w:val="center"/>
          </w:tcPr>
          <w:p>
            <w:pPr>
              <w:pStyle w:val="23"/>
            </w:pPr>
            <w:r>
              <w:t>450吨</w:t>
            </w:r>
          </w:p>
        </w:tc>
        <w:tc>
          <w:tcPr>
            <w:tcW w:w="2268" w:type="dxa"/>
            <w:vAlign w:val="center"/>
          </w:tcPr>
          <w:p>
            <w:pPr>
              <w:pStyle w:val="23"/>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生活垃圾及时处理率</w:t>
            </w:r>
          </w:p>
        </w:tc>
        <w:tc>
          <w:tcPr>
            <w:tcW w:w="2835" w:type="dxa"/>
            <w:vAlign w:val="center"/>
          </w:tcPr>
          <w:p>
            <w:pPr>
              <w:pStyle w:val="23"/>
            </w:pPr>
            <w:r>
              <w:t>每日处理生活垃圾数量占每日进场生活垃圾数量的比率</w:t>
            </w:r>
          </w:p>
        </w:tc>
        <w:tc>
          <w:tcPr>
            <w:tcW w:w="2551" w:type="dxa"/>
            <w:vAlign w:val="center"/>
          </w:tcPr>
          <w:p>
            <w:pPr>
              <w:pStyle w:val="23"/>
            </w:pPr>
            <w:r>
              <w:t>≥95%</w:t>
            </w:r>
          </w:p>
        </w:tc>
        <w:tc>
          <w:tcPr>
            <w:tcW w:w="2268" w:type="dxa"/>
            <w:vAlign w:val="center"/>
          </w:tcPr>
          <w:p>
            <w:pPr>
              <w:pStyle w:val="23"/>
            </w:pPr>
            <w:r>
              <w:t>垃圾处理台账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生活垃圾无害化处理率</w:t>
            </w:r>
          </w:p>
        </w:tc>
        <w:tc>
          <w:tcPr>
            <w:tcW w:w="2835" w:type="dxa"/>
            <w:vAlign w:val="center"/>
          </w:tcPr>
          <w:p>
            <w:pPr>
              <w:pStyle w:val="23"/>
            </w:pPr>
            <w:r>
              <w:t>生活垃圾无害化处理能量占总处理数量的比率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生活垃圾应急处理费</w:t>
            </w:r>
          </w:p>
        </w:tc>
        <w:tc>
          <w:tcPr>
            <w:tcW w:w="2835" w:type="dxa"/>
            <w:vAlign w:val="center"/>
          </w:tcPr>
          <w:p>
            <w:pPr>
              <w:pStyle w:val="23"/>
            </w:pPr>
            <w:r>
              <w:t>生活垃圾应急处理费</w:t>
            </w:r>
          </w:p>
        </w:tc>
        <w:tc>
          <w:tcPr>
            <w:tcW w:w="2551" w:type="dxa"/>
            <w:vAlign w:val="center"/>
          </w:tcPr>
          <w:p>
            <w:pPr>
              <w:pStyle w:val="23"/>
            </w:pPr>
            <w:r>
              <w:t>430万元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促进城市可持续发展</w:t>
            </w:r>
          </w:p>
        </w:tc>
        <w:tc>
          <w:tcPr>
            <w:tcW w:w="2835" w:type="dxa"/>
            <w:vAlign w:val="center"/>
          </w:tcPr>
          <w:p>
            <w:pPr>
              <w:pStyle w:val="23"/>
            </w:pPr>
            <w:r>
              <w:t>生活垃圾无害化处理，保护城市生态环境，保护水土资源不被污染，促进城市可持续发展。</w:t>
            </w:r>
          </w:p>
        </w:tc>
        <w:tc>
          <w:tcPr>
            <w:tcW w:w="2551" w:type="dxa"/>
            <w:vAlign w:val="center"/>
          </w:tcPr>
          <w:p>
            <w:pPr>
              <w:pStyle w:val="23"/>
            </w:pPr>
            <w:r>
              <w:t>≥95%</w:t>
            </w:r>
          </w:p>
        </w:tc>
        <w:tc>
          <w:tcPr>
            <w:tcW w:w="2268" w:type="dxa"/>
            <w:vAlign w:val="center"/>
          </w:tcPr>
          <w:p>
            <w:pPr>
              <w:pStyle w:val="23"/>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color w:val="000000"/>
          <w:sz w:val="28"/>
        </w:rPr>
        <w:t>5、2021年渗滤液应急处理费用绩效目标表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用于处理垃圾在填埋和堆放过程中产生的渗滤液，处理总量不超过14100吨，垃圾填埋场二号库渗滤液积存量大，存在外溢的风险，本项目所采用的工艺对积存的渗滤液进行应急处理，能回收利用的废水尽可能回收利用，同时不产生二次污染。</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2021年预计渗滤液处理数量</w:t>
            </w:r>
          </w:p>
        </w:tc>
        <w:tc>
          <w:tcPr>
            <w:tcW w:w="2835" w:type="dxa"/>
            <w:vAlign w:val="center"/>
          </w:tcPr>
          <w:p>
            <w:pPr>
              <w:pStyle w:val="23"/>
            </w:pPr>
            <w:r>
              <w:t>2021年预计渗滤液处理完成净水数量</w:t>
            </w:r>
          </w:p>
        </w:tc>
        <w:tc>
          <w:tcPr>
            <w:tcW w:w="2551" w:type="dxa"/>
            <w:vAlign w:val="center"/>
          </w:tcPr>
          <w:p>
            <w:pPr>
              <w:pStyle w:val="23"/>
            </w:pPr>
            <w:r>
              <w:t>20000吨</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处理费用</w:t>
            </w:r>
          </w:p>
        </w:tc>
        <w:tc>
          <w:tcPr>
            <w:tcW w:w="2835" w:type="dxa"/>
            <w:vAlign w:val="center"/>
          </w:tcPr>
          <w:p>
            <w:pPr>
              <w:pStyle w:val="23"/>
            </w:pPr>
            <w:r>
              <w:t>处理费用单价</w:t>
            </w:r>
          </w:p>
        </w:tc>
        <w:tc>
          <w:tcPr>
            <w:tcW w:w="2551" w:type="dxa"/>
            <w:vAlign w:val="center"/>
          </w:tcPr>
          <w:p>
            <w:pPr>
              <w:pStyle w:val="23"/>
            </w:pPr>
            <w:r>
              <w:t>247元/吨</w:t>
            </w:r>
          </w:p>
        </w:tc>
        <w:tc>
          <w:tcPr>
            <w:tcW w:w="2268" w:type="dxa"/>
            <w:vAlign w:val="center"/>
          </w:tcPr>
          <w:p>
            <w:pPr>
              <w:pStyle w:val="23"/>
            </w:pPr>
            <w:r>
              <w:t>中标通知书，《藁城区生活垃圾渗滤液应急处理项目服务运营合同》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及时处理渗滤液占应处理渗滤液比率</w:t>
            </w:r>
          </w:p>
        </w:tc>
        <w:tc>
          <w:tcPr>
            <w:tcW w:w="2551" w:type="dxa"/>
            <w:vAlign w:val="center"/>
          </w:tcPr>
          <w:p>
            <w:pPr>
              <w:pStyle w:val="23"/>
            </w:pPr>
            <w:r>
              <w:t>≥90%</w:t>
            </w:r>
          </w:p>
        </w:tc>
        <w:tc>
          <w:tcPr>
            <w:tcW w:w="2268" w:type="dxa"/>
            <w:vAlign w:val="center"/>
          </w:tcPr>
          <w:p>
            <w:pPr>
              <w:pStyle w:val="23"/>
            </w:pPr>
            <w:r>
              <w:t>渗滤液应急处理台账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出水合格率</w:t>
            </w:r>
          </w:p>
        </w:tc>
        <w:tc>
          <w:tcPr>
            <w:tcW w:w="2835" w:type="dxa"/>
            <w:vAlign w:val="center"/>
          </w:tcPr>
          <w:p>
            <w:pPr>
              <w:pStyle w:val="23"/>
            </w:pPr>
            <w:r>
              <w:t>合格出水量占总量的比率</w:t>
            </w:r>
          </w:p>
        </w:tc>
        <w:tc>
          <w:tcPr>
            <w:tcW w:w="2551" w:type="dxa"/>
            <w:vAlign w:val="center"/>
          </w:tcPr>
          <w:p>
            <w:pPr>
              <w:pStyle w:val="23"/>
            </w:pPr>
            <w:r>
              <w:t>≥90%</w:t>
            </w:r>
          </w:p>
        </w:tc>
        <w:tc>
          <w:tcPr>
            <w:tcW w:w="2268" w:type="dxa"/>
            <w:vAlign w:val="center"/>
          </w:tcPr>
          <w:p>
            <w:pPr>
              <w:pStyle w:val="23"/>
            </w:pPr>
            <w:r>
              <w:t>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 xml:space="preserve"> 对渗滤液收集集中应急处理，避免外溢的风险，不产生二次污染。</w:t>
            </w:r>
          </w:p>
        </w:tc>
        <w:tc>
          <w:tcPr>
            <w:tcW w:w="2835" w:type="dxa"/>
            <w:vAlign w:val="center"/>
          </w:tcPr>
          <w:p>
            <w:pPr>
              <w:pStyle w:val="23"/>
            </w:pPr>
            <w:r>
              <w:t>对渗滤液收集集中应急处理，避免外溢的风险，不产生二次污染。</w:t>
            </w:r>
          </w:p>
        </w:tc>
        <w:tc>
          <w:tcPr>
            <w:tcW w:w="2551" w:type="dxa"/>
            <w:vAlign w:val="center"/>
          </w:tcPr>
          <w:p>
            <w:pPr>
              <w:pStyle w:val="23"/>
            </w:pPr>
            <w:r>
              <w:t>≥90%</w:t>
            </w:r>
          </w:p>
        </w:tc>
        <w:tc>
          <w:tcPr>
            <w:tcW w:w="2268" w:type="dxa"/>
            <w:vAlign w:val="center"/>
          </w:tcPr>
          <w:p>
            <w:pPr>
              <w:pStyle w:val="23"/>
            </w:pPr>
            <w:r>
              <w:t>《藁城区生活垃圾填埋场垃圾渗滤液应急处理项目技术文件》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≥95%</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6、2021年生活垃圾资源化处理运营费绩效目标表</w:t>
      </w:r>
    </w:p>
    <w:p>
      <w:pPr>
        <w:pStyle w:val="21"/>
        <w:spacing w:before="0" w:after="0"/>
        <w:ind w:firstLine="56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1.12月底完成一条生产线，生活垃圾资源化处理项目建成后将彻底解决石家庄市的生活垃圾和市政污泥的处理问题。</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2020年12月底完成一条生产线</w:t>
            </w:r>
          </w:p>
        </w:tc>
        <w:tc>
          <w:tcPr>
            <w:tcW w:w="2835" w:type="dxa"/>
            <w:vAlign w:val="center"/>
          </w:tcPr>
          <w:p>
            <w:pPr>
              <w:pStyle w:val="23"/>
            </w:pPr>
            <w:r>
              <w:t>2020年12月底完成一条生产线</w:t>
            </w:r>
          </w:p>
        </w:tc>
        <w:tc>
          <w:tcPr>
            <w:tcW w:w="2551" w:type="dxa"/>
            <w:vAlign w:val="center"/>
          </w:tcPr>
          <w:p>
            <w:pPr>
              <w:pStyle w:val="23"/>
            </w:pPr>
            <w:r>
              <w:t>100%</w:t>
            </w:r>
          </w:p>
        </w:tc>
        <w:tc>
          <w:tcPr>
            <w:tcW w:w="2268" w:type="dxa"/>
            <w:vAlign w:val="center"/>
          </w:tcPr>
          <w:p>
            <w:pPr>
              <w:pStyle w:val="23"/>
            </w:pPr>
            <w:r>
              <w:t xml:space="preserve">  《河北省石家庄市藁城区生活垃圾资源化处理项目PPP项目合同》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rPr>
                <w:rFonts w:hint="eastAsia"/>
                <w:lang w:val="en-US" w:eastAsia="zh-CN"/>
              </w:rPr>
              <w:t>截至</w:t>
            </w:r>
            <w:r>
              <w:t>目前完成总工程量的比率</w:t>
            </w:r>
          </w:p>
        </w:tc>
        <w:tc>
          <w:tcPr>
            <w:tcW w:w="2551" w:type="dxa"/>
            <w:vAlign w:val="center"/>
          </w:tcPr>
          <w:p>
            <w:pPr>
              <w:pStyle w:val="23"/>
            </w:pPr>
            <w:r>
              <w:t>75%</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合同价格</w:t>
            </w:r>
          </w:p>
        </w:tc>
        <w:tc>
          <w:tcPr>
            <w:tcW w:w="2835" w:type="dxa"/>
            <w:vAlign w:val="center"/>
          </w:tcPr>
          <w:p>
            <w:pPr>
              <w:pStyle w:val="23"/>
            </w:pPr>
            <w:r>
              <w:t>合同总价格</w:t>
            </w:r>
          </w:p>
        </w:tc>
        <w:tc>
          <w:tcPr>
            <w:tcW w:w="2551" w:type="dxa"/>
            <w:vAlign w:val="center"/>
          </w:tcPr>
          <w:p>
            <w:pPr>
              <w:pStyle w:val="23"/>
            </w:pPr>
            <w:r>
              <w:t>1800万元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通过生产线处理，达到生活垃圾减量化、无害化</w:t>
            </w:r>
          </w:p>
        </w:tc>
        <w:tc>
          <w:tcPr>
            <w:tcW w:w="2835" w:type="dxa"/>
            <w:vAlign w:val="center"/>
          </w:tcPr>
          <w:p>
            <w:pPr>
              <w:pStyle w:val="23"/>
            </w:pPr>
            <w:r>
              <w:t>有效改善石家庄市的生态环境</w:t>
            </w:r>
          </w:p>
        </w:tc>
        <w:tc>
          <w:tcPr>
            <w:tcW w:w="2551" w:type="dxa"/>
            <w:vAlign w:val="center"/>
          </w:tcPr>
          <w:p>
            <w:pPr>
              <w:pStyle w:val="23"/>
            </w:pPr>
            <w:r>
              <w:t>≥90%</w:t>
            </w:r>
          </w:p>
        </w:tc>
        <w:tc>
          <w:tcPr>
            <w:tcW w:w="2268" w:type="dxa"/>
            <w:vAlign w:val="center"/>
          </w:tcPr>
          <w:p>
            <w:pPr>
              <w:pStyle w:val="23"/>
            </w:pPr>
            <w:r>
              <w:t>《石家庄市藁城区生活垃圾资源化处理项目可行性研究报告》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1"/>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北马街南延（育才路-农科所）综合整治-路牙安装、改造绩效目标表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1.拆除旧路牙，更换、安装青石路牙</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安装路牙石长度</w:t>
            </w:r>
          </w:p>
        </w:tc>
        <w:tc>
          <w:tcPr>
            <w:tcW w:w="2835" w:type="dxa"/>
            <w:vAlign w:val="center"/>
          </w:tcPr>
          <w:p>
            <w:pPr>
              <w:pStyle w:val="23"/>
            </w:pPr>
            <w:r>
              <w:t>安装路牙石长度</w:t>
            </w:r>
          </w:p>
        </w:tc>
        <w:tc>
          <w:tcPr>
            <w:tcW w:w="2551" w:type="dxa"/>
            <w:vAlign w:val="center"/>
          </w:tcPr>
          <w:p>
            <w:pPr>
              <w:pStyle w:val="23"/>
            </w:pPr>
            <w:r>
              <w:t>7690米</w:t>
            </w:r>
          </w:p>
        </w:tc>
        <w:tc>
          <w:tcPr>
            <w:tcW w:w="2268" w:type="dxa"/>
            <w:vAlign w:val="center"/>
          </w:tcPr>
          <w:p>
            <w:pPr>
              <w:pStyle w:val="23"/>
            </w:pPr>
            <w:r>
              <w:t>踏勘报告书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路沿石主材费</w:t>
            </w:r>
          </w:p>
        </w:tc>
        <w:tc>
          <w:tcPr>
            <w:tcW w:w="2835" w:type="dxa"/>
            <w:vAlign w:val="center"/>
          </w:tcPr>
          <w:p>
            <w:pPr>
              <w:pStyle w:val="23"/>
            </w:pPr>
            <w:r>
              <w:t>路沿石主材费</w:t>
            </w:r>
          </w:p>
        </w:tc>
        <w:tc>
          <w:tcPr>
            <w:tcW w:w="2551" w:type="dxa"/>
            <w:vAlign w:val="center"/>
          </w:tcPr>
          <w:p>
            <w:pPr>
              <w:pStyle w:val="23"/>
            </w:pPr>
            <w:r>
              <w:t>46.44元/米</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执行《市政噵路工程质量检验评定标准CJJ1-90》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改善居民出行环境</w:t>
            </w:r>
          </w:p>
        </w:tc>
        <w:tc>
          <w:tcPr>
            <w:tcW w:w="2835" w:type="dxa"/>
            <w:vAlign w:val="center"/>
          </w:tcPr>
          <w:p>
            <w:pPr>
              <w:pStyle w:val="23"/>
            </w:pPr>
            <w:r>
              <w:t>改善居民出行环境</w:t>
            </w:r>
          </w:p>
        </w:tc>
        <w:tc>
          <w:tcPr>
            <w:tcW w:w="2551" w:type="dxa"/>
            <w:vAlign w:val="center"/>
          </w:tcPr>
          <w:p>
            <w:pPr>
              <w:pStyle w:val="23"/>
            </w:pPr>
            <w:r>
              <w:t>≥90%</w:t>
            </w:r>
          </w:p>
        </w:tc>
        <w:tc>
          <w:tcPr>
            <w:tcW w:w="2268" w:type="dxa"/>
            <w:vAlign w:val="center"/>
          </w:tcPr>
          <w:p>
            <w:pPr>
              <w:pStyle w:val="2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便民市场维护费绩效目标表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1.通过食品检测，加强食品安全管理。提升市民购物环境、方便周围居民购物。</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每日使用食品检测试剂进行检测</w:t>
            </w:r>
          </w:p>
        </w:tc>
        <w:tc>
          <w:tcPr>
            <w:tcW w:w="2835" w:type="dxa"/>
            <w:vAlign w:val="center"/>
          </w:tcPr>
          <w:p>
            <w:pPr>
              <w:pStyle w:val="23"/>
            </w:pPr>
            <w:r>
              <w:t>每日要对食品进行检测（包括蔬菜、水果、熟食、生肉等）使用试剂数量</w:t>
            </w:r>
          </w:p>
        </w:tc>
        <w:tc>
          <w:tcPr>
            <w:tcW w:w="2551" w:type="dxa"/>
            <w:vAlign w:val="center"/>
          </w:tcPr>
          <w:p>
            <w:pPr>
              <w:pStyle w:val="23"/>
            </w:pPr>
            <w:r>
              <w:t>≥40个</w:t>
            </w:r>
          </w:p>
        </w:tc>
        <w:tc>
          <w:tcPr>
            <w:tcW w:w="2268" w:type="dxa"/>
            <w:vAlign w:val="center"/>
          </w:tcPr>
          <w:p>
            <w:pPr>
              <w:pStyle w:val="23"/>
            </w:pPr>
            <w:r>
              <w:t>每日公布检测公示并记录台账。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投诉案件及时整改率</w:t>
            </w:r>
          </w:p>
        </w:tc>
        <w:tc>
          <w:tcPr>
            <w:tcW w:w="2835" w:type="dxa"/>
            <w:vAlign w:val="center"/>
          </w:tcPr>
          <w:p>
            <w:pPr>
              <w:pStyle w:val="23"/>
            </w:pPr>
            <w:r>
              <w:t>及时整改案件与投诉案件比率</w:t>
            </w:r>
          </w:p>
        </w:tc>
        <w:tc>
          <w:tcPr>
            <w:tcW w:w="2551" w:type="dxa"/>
            <w:vAlign w:val="center"/>
          </w:tcPr>
          <w:p>
            <w:pPr>
              <w:pStyle w:val="23"/>
            </w:pPr>
            <w:r>
              <w:t>≥95%</w:t>
            </w:r>
          </w:p>
        </w:tc>
        <w:tc>
          <w:tcPr>
            <w:tcW w:w="2268" w:type="dxa"/>
            <w:vAlign w:val="center"/>
          </w:tcPr>
          <w:p>
            <w:pPr>
              <w:pStyle w:val="23"/>
            </w:pPr>
            <w:r>
              <w:t>由大气办及创建办发放督办函已及时整改后并附整改照片发至邮箱。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便民市场维护费</w:t>
            </w:r>
          </w:p>
        </w:tc>
        <w:tc>
          <w:tcPr>
            <w:tcW w:w="2835" w:type="dxa"/>
            <w:vAlign w:val="center"/>
          </w:tcPr>
          <w:p>
            <w:pPr>
              <w:pStyle w:val="23"/>
            </w:pPr>
            <w:r>
              <w:t>按照便民市场出租合同，已收定支</w:t>
            </w:r>
          </w:p>
        </w:tc>
        <w:tc>
          <w:tcPr>
            <w:tcW w:w="2551" w:type="dxa"/>
            <w:vAlign w:val="center"/>
          </w:tcPr>
          <w:p>
            <w:pPr>
              <w:pStyle w:val="23"/>
            </w:pPr>
            <w:r>
              <w:t>48万元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设施完好率</w:t>
            </w:r>
          </w:p>
        </w:tc>
        <w:tc>
          <w:tcPr>
            <w:tcW w:w="2835" w:type="dxa"/>
            <w:vAlign w:val="center"/>
          </w:tcPr>
          <w:p>
            <w:pPr>
              <w:pStyle w:val="23"/>
            </w:pPr>
            <w:r>
              <w:t>可安全使用设施占所有设施比率</w:t>
            </w:r>
          </w:p>
        </w:tc>
        <w:tc>
          <w:tcPr>
            <w:tcW w:w="2551" w:type="dxa"/>
            <w:vAlign w:val="center"/>
          </w:tcPr>
          <w:p>
            <w:pPr>
              <w:pStyle w:val="23"/>
            </w:pPr>
            <w:r>
              <w:t>≥90%</w:t>
            </w:r>
          </w:p>
        </w:tc>
        <w:tc>
          <w:tcPr>
            <w:tcW w:w="2268" w:type="dxa"/>
            <w:vAlign w:val="center"/>
          </w:tcPr>
          <w:p>
            <w:pPr>
              <w:pStyle w:val="23"/>
            </w:pPr>
            <w:r>
              <w:t>市场管理制度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加强食品安全管理，方便周围居民购物</w:t>
            </w:r>
          </w:p>
        </w:tc>
        <w:tc>
          <w:tcPr>
            <w:tcW w:w="2835" w:type="dxa"/>
            <w:vAlign w:val="center"/>
          </w:tcPr>
          <w:p>
            <w:pPr>
              <w:pStyle w:val="23"/>
            </w:pPr>
            <w:r>
              <w:t>加强食品安全管理，提升市民购物环境、方便周围居民购物</w:t>
            </w:r>
          </w:p>
        </w:tc>
        <w:tc>
          <w:tcPr>
            <w:tcW w:w="2551" w:type="dxa"/>
            <w:vAlign w:val="center"/>
          </w:tcPr>
          <w:p>
            <w:pPr>
              <w:pStyle w:val="23"/>
            </w:pPr>
            <w:r>
              <w:t>≥90%</w:t>
            </w:r>
          </w:p>
        </w:tc>
        <w:tc>
          <w:tcPr>
            <w:tcW w:w="2268" w:type="dxa"/>
            <w:vAlign w:val="center"/>
          </w:tcPr>
          <w:p>
            <w:pPr>
              <w:pStyle w:val="23"/>
            </w:pPr>
            <w:r>
              <w:t>市创卫办、及市场管理制度，和食品安全法。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补2020年环卫车辆租赁费（洁丰公司）绩效目标表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1.加强垃圾清运及机械化清扫、洗扫、高压清洗路面的程度，有效减少道路扬尘。扩大清扫和清运范围，包括307国道、省道、县道和廉州镇城中村。</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以克论净考核道路浮沉</w:t>
            </w:r>
          </w:p>
        </w:tc>
        <w:tc>
          <w:tcPr>
            <w:tcW w:w="2835" w:type="dxa"/>
            <w:vAlign w:val="center"/>
          </w:tcPr>
          <w:p>
            <w:pPr>
              <w:pStyle w:val="23"/>
            </w:pPr>
            <w:r>
              <w:t>使用以克论净检测车和手持吸尘器，随机抽查测定点位。</w:t>
            </w:r>
          </w:p>
        </w:tc>
        <w:tc>
          <w:tcPr>
            <w:tcW w:w="2551" w:type="dxa"/>
            <w:vAlign w:val="center"/>
          </w:tcPr>
          <w:p>
            <w:pPr>
              <w:pStyle w:val="23"/>
            </w:pPr>
            <w:r>
              <w:t>＜10克/平方米</w:t>
            </w:r>
          </w:p>
        </w:tc>
        <w:tc>
          <w:tcPr>
            <w:tcW w:w="2268" w:type="dxa"/>
            <w:vAlign w:val="center"/>
          </w:tcPr>
          <w:p>
            <w:pPr>
              <w:pStyle w:val="23"/>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补2020年环卫车辆租赁费（洁丰公司）</w:t>
            </w:r>
          </w:p>
        </w:tc>
        <w:tc>
          <w:tcPr>
            <w:tcW w:w="2835" w:type="dxa"/>
            <w:vAlign w:val="center"/>
          </w:tcPr>
          <w:p>
            <w:pPr>
              <w:pStyle w:val="23"/>
            </w:pPr>
            <w:r>
              <w:t>补2020年环卫车辆租赁费（洁丰公司）</w:t>
            </w:r>
          </w:p>
        </w:tc>
        <w:tc>
          <w:tcPr>
            <w:tcW w:w="2551" w:type="dxa"/>
            <w:vAlign w:val="center"/>
          </w:tcPr>
          <w:p>
            <w:pPr>
              <w:pStyle w:val="23"/>
            </w:pPr>
            <w:r>
              <w:t>319.44万元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补2020年垃圾转运站租地费绩效目标表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1.租赁土地建设公厕转运站，有利于方便市民如厕、投放生活垃圾。</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公厕转运站数量</w:t>
            </w:r>
          </w:p>
        </w:tc>
        <w:tc>
          <w:tcPr>
            <w:tcW w:w="2835" w:type="dxa"/>
            <w:vAlign w:val="center"/>
          </w:tcPr>
          <w:p>
            <w:pPr>
              <w:pStyle w:val="23"/>
            </w:pPr>
            <w:r>
              <w:t>需要租赁土地建设公厕转运站的数量</w:t>
            </w:r>
          </w:p>
        </w:tc>
        <w:tc>
          <w:tcPr>
            <w:tcW w:w="2551" w:type="dxa"/>
            <w:vAlign w:val="center"/>
          </w:tcPr>
          <w:p>
            <w:pPr>
              <w:pStyle w:val="23"/>
            </w:pPr>
            <w:r>
              <w:t>8座</w:t>
            </w:r>
          </w:p>
        </w:tc>
        <w:tc>
          <w:tcPr>
            <w:tcW w:w="2268" w:type="dxa"/>
            <w:vAlign w:val="center"/>
          </w:tcPr>
          <w:p>
            <w:pPr>
              <w:pStyle w:val="23"/>
            </w:pPr>
            <w:r>
              <w:t>《石家庄市城市管理委员会关于城市厕所革命专项工作方案》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签订土地租赁协议，公厕转运站及时完工</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补2019、2020年租地费</w:t>
            </w:r>
          </w:p>
        </w:tc>
        <w:tc>
          <w:tcPr>
            <w:tcW w:w="2835" w:type="dxa"/>
            <w:vAlign w:val="center"/>
          </w:tcPr>
          <w:p>
            <w:pPr>
              <w:pStyle w:val="23"/>
            </w:pPr>
            <w:r>
              <w:t>补2019、2020年租地费</w:t>
            </w:r>
          </w:p>
        </w:tc>
        <w:tc>
          <w:tcPr>
            <w:tcW w:w="2551" w:type="dxa"/>
            <w:vAlign w:val="center"/>
          </w:tcPr>
          <w:p>
            <w:pPr>
              <w:pStyle w:val="23"/>
            </w:pPr>
            <w:r>
              <w:t>4.16万元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社会服务能力提升</w:t>
            </w:r>
          </w:p>
        </w:tc>
        <w:tc>
          <w:tcPr>
            <w:tcW w:w="2835" w:type="dxa"/>
            <w:vAlign w:val="center"/>
          </w:tcPr>
          <w:p>
            <w:pPr>
              <w:pStyle w:val="23"/>
            </w:pPr>
            <w:r>
              <w:t>公共基础设施增加，服务社会能力显著提升。</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spacing w:before="0" w:after="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采购移动垃圾压缩设备及配套勾臂车绩效目标表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1.为15座垃圾转运站采购移动式垃圾压缩设备15套，采购配套勾臂车3辆</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采购压缩设备数量</w:t>
            </w:r>
          </w:p>
        </w:tc>
        <w:tc>
          <w:tcPr>
            <w:tcW w:w="2835" w:type="dxa"/>
            <w:vAlign w:val="center"/>
          </w:tcPr>
          <w:p>
            <w:pPr>
              <w:pStyle w:val="23"/>
            </w:pPr>
            <w:r>
              <w:t>采购移动式垃圾压缩设备数量</w:t>
            </w:r>
          </w:p>
        </w:tc>
        <w:tc>
          <w:tcPr>
            <w:tcW w:w="2551" w:type="dxa"/>
            <w:vAlign w:val="center"/>
          </w:tcPr>
          <w:p>
            <w:pPr>
              <w:pStyle w:val="23"/>
            </w:pPr>
            <w:r>
              <w:t>15套</w:t>
            </w:r>
          </w:p>
        </w:tc>
        <w:tc>
          <w:tcPr>
            <w:tcW w:w="2268" w:type="dxa"/>
            <w:vAlign w:val="center"/>
          </w:tcPr>
          <w:p>
            <w:pPr>
              <w:pStyle w:val="23"/>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采购车辆数量</w:t>
            </w:r>
          </w:p>
        </w:tc>
        <w:tc>
          <w:tcPr>
            <w:tcW w:w="2835" w:type="dxa"/>
            <w:vAlign w:val="center"/>
          </w:tcPr>
          <w:p>
            <w:pPr>
              <w:pStyle w:val="23"/>
            </w:pPr>
            <w:r>
              <w:t>采购配套勾臂车数量</w:t>
            </w:r>
          </w:p>
        </w:tc>
        <w:tc>
          <w:tcPr>
            <w:tcW w:w="2551" w:type="dxa"/>
            <w:vAlign w:val="center"/>
          </w:tcPr>
          <w:p>
            <w:pPr>
              <w:pStyle w:val="23"/>
            </w:pPr>
            <w:r>
              <w:t>3辆</w:t>
            </w:r>
          </w:p>
        </w:tc>
        <w:tc>
          <w:tcPr>
            <w:tcW w:w="2268" w:type="dxa"/>
            <w:vAlign w:val="center"/>
          </w:tcPr>
          <w:p>
            <w:pPr>
              <w:pStyle w:val="23"/>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采购单价</w:t>
            </w:r>
          </w:p>
        </w:tc>
        <w:tc>
          <w:tcPr>
            <w:tcW w:w="2835" w:type="dxa"/>
            <w:vAlign w:val="center"/>
          </w:tcPr>
          <w:p>
            <w:pPr>
              <w:pStyle w:val="23"/>
            </w:pPr>
            <w:r>
              <w:t>移动式垃圾压缩设备单价</w:t>
            </w:r>
          </w:p>
        </w:tc>
        <w:tc>
          <w:tcPr>
            <w:tcW w:w="2551" w:type="dxa"/>
            <w:vAlign w:val="center"/>
          </w:tcPr>
          <w:p>
            <w:pPr>
              <w:pStyle w:val="23"/>
            </w:pPr>
            <w:r>
              <w:t>26万元</w:t>
            </w:r>
          </w:p>
        </w:tc>
        <w:tc>
          <w:tcPr>
            <w:tcW w:w="2268" w:type="dxa"/>
            <w:vAlign w:val="center"/>
          </w:tcPr>
          <w:p>
            <w:pPr>
              <w:pStyle w:val="23"/>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采购单价</w:t>
            </w:r>
          </w:p>
        </w:tc>
        <w:tc>
          <w:tcPr>
            <w:tcW w:w="2835" w:type="dxa"/>
            <w:vAlign w:val="center"/>
          </w:tcPr>
          <w:p>
            <w:pPr>
              <w:pStyle w:val="23"/>
            </w:pPr>
            <w:r>
              <w:t>配套勾臂车单价</w:t>
            </w:r>
          </w:p>
        </w:tc>
        <w:tc>
          <w:tcPr>
            <w:tcW w:w="2551" w:type="dxa"/>
            <w:vAlign w:val="center"/>
          </w:tcPr>
          <w:p>
            <w:pPr>
              <w:pStyle w:val="23"/>
            </w:pPr>
            <w:r>
              <w:t>53万元</w:t>
            </w:r>
          </w:p>
        </w:tc>
        <w:tc>
          <w:tcPr>
            <w:tcW w:w="2268" w:type="dxa"/>
            <w:vAlign w:val="center"/>
          </w:tcPr>
          <w:p>
            <w:pPr>
              <w:pStyle w:val="23"/>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及时采购</w:t>
            </w:r>
          </w:p>
        </w:tc>
        <w:tc>
          <w:tcPr>
            <w:tcW w:w="2835" w:type="dxa"/>
            <w:vAlign w:val="center"/>
          </w:tcPr>
          <w:p>
            <w:pPr>
              <w:pStyle w:val="23"/>
            </w:pPr>
            <w:r>
              <w:t>及时采购</w:t>
            </w:r>
          </w:p>
        </w:tc>
        <w:tc>
          <w:tcPr>
            <w:tcW w:w="2551" w:type="dxa"/>
            <w:vAlign w:val="center"/>
          </w:tcPr>
          <w:p>
            <w:pPr>
              <w:pStyle w:val="23"/>
            </w:pPr>
            <w:r>
              <w:t>100%</w:t>
            </w:r>
          </w:p>
        </w:tc>
        <w:tc>
          <w:tcPr>
            <w:tcW w:w="2268" w:type="dxa"/>
            <w:vAlign w:val="center"/>
          </w:tcPr>
          <w:p>
            <w:pPr>
              <w:pStyle w:val="23"/>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提高城区垃圾转运站建设管理水平，解决市民倒垃圾问题，改善人居环境质量</w:t>
            </w:r>
          </w:p>
        </w:tc>
        <w:tc>
          <w:tcPr>
            <w:tcW w:w="2835" w:type="dxa"/>
            <w:vAlign w:val="center"/>
          </w:tcPr>
          <w:p>
            <w:pPr>
              <w:pStyle w:val="23"/>
            </w:pPr>
            <w:r>
              <w:t>提高垃圾转运站管理标准，管理精细、服务到位。</w:t>
            </w:r>
          </w:p>
        </w:tc>
        <w:tc>
          <w:tcPr>
            <w:tcW w:w="2551" w:type="dxa"/>
            <w:vAlign w:val="center"/>
          </w:tcPr>
          <w:p>
            <w:pPr>
              <w:pStyle w:val="23"/>
            </w:pPr>
            <w:r>
              <w:t>≥90%</w:t>
            </w:r>
          </w:p>
        </w:tc>
        <w:tc>
          <w:tcPr>
            <w:tcW w:w="2268" w:type="dxa"/>
            <w:vAlign w:val="center"/>
          </w:tcPr>
          <w:p>
            <w:pPr>
              <w:pStyle w:val="23"/>
            </w:pPr>
            <w:r>
              <w:t>《生活垃圾转运站设计规范》（CJJ/T-2016）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≥80%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拆除违章建筑经费绩效目标表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1.通过拆除沿街超高建筑，统一沿街建筑风貌，有效减少违建存量，切实提升市容环境和社区治理水平。</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及时完工项目占所有项目的比率</w:t>
            </w:r>
          </w:p>
        </w:tc>
        <w:tc>
          <w:tcPr>
            <w:tcW w:w="2551" w:type="dxa"/>
            <w:vAlign w:val="center"/>
          </w:tcPr>
          <w:p>
            <w:pPr>
              <w:pStyle w:val="23"/>
            </w:pPr>
            <w:r>
              <w:t>100%</w:t>
            </w:r>
          </w:p>
        </w:tc>
        <w:tc>
          <w:tcPr>
            <w:tcW w:w="2268" w:type="dxa"/>
            <w:vAlign w:val="center"/>
          </w:tcPr>
          <w:p>
            <w:pPr>
              <w:pStyle w:val="23"/>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拆除违章建筑费用</w:t>
            </w:r>
          </w:p>
        </w:tc>
        <w:tc>
          <w:tcPr>
            <w:tcW w:w="2835" w:type="dxa"/>
            <w:vAlign w:val="center"/>
          </w:tcPr>
          <w:p>
            <w:pPr>
              <w:pStyle w:val="23"/>
            </w:pPr>
            <w:r>
              <w:t>拆除违章建筑费用大约</w:t>
            </w:r>
          </w:p>
        </w:tc>
        <w:tc>
          <w:tcPr>
            <w:tcW w:w="2551" w:type="dxa"/>
            <w:vAlign w:val="center"/>
          </w:tcPr>
          <w:p>
            <w:pPr>
              <w:pStyle w:val="23"/>
            </w:pPr>
            <w:r>
              <w:t>500万元</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拆除数量</w:t>
            </w:r>
          </w:p>
        </w:tc>
        <w:tc>
          <w:tcPr>
            <w:tcW w:w="2835" w:type="dxa"/>
            <w:vAlign w:val="center"/>
          </w:tcPr>
          <w:p>
            <w:pPr>
              <w:pStyle w:val="23"/>
            </w:pPr>
            <w:r>
              <w:t>拆除违建数量</w:t>
            </w:r>
          </w:p>
        </w:tc>
        <w:tc>
          <w:tcPr>
            <w:tcW w:w="2551" w:type="dxa"/>
            <w:vAlign w:val="center"/>
          </w:tcPr>
          <w:p>
            <w:pPr>
              <w:pStyle w:val="23"/>
            </w:pPr>
            <w:r>
              <w:t>410处</w:t>
            </w:r>
          </w:p>
        </w:tc>
        <w:tc>
          <w:tcPr>
            <w:tcW w:w="2268" w:type="dxa"/>
            <w:vAlign w:val="center"/>
          </w:tcPr>
          <w:p>
            <w:pPr>
              <w:pStyle w:val="23"/>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验收合格项目占所验收项目的比率</w:t>
            </w:r>
          </w:p>
        </w:tc>
        <w:tc>
          <w:tcPr>
            <w:tcW w:w="2551" w:type="dxa"/>
            <w:vAlign w:val="center"/>
          </w:tcPr>
          <w:p>
            <w:pPr>
              <w:pStyle w:val="23"/>
            </w:pPr>
            <w:r>
              <w:t>100%</w:t>
            </w:r>
          </w:p>
        </w:tc>
        <w:tc>
          <w:tcPr>
            <w:tcW w:w="2268" w:type="dxa"/>
            <w:vAlign w:val="center"/>
          </w:tcPr>
          <w:p>
            <w:pPr>
              <w:pStyle w:val="23"/>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提升市容市貌</w:t>
            </w:r>
          </w:p>
        </w:tc>
        <w:tc>
          <w:tcPr>
            <w:tcW w:w="2835" w:type="dxa"/>
            <w:vAlign w:val="center"/>
          </w:tcPr>
          <w:p>
            <w:pPr>
              <w:pStyle w:val="23"/>
            </w:pPr>
            <w:r>
              <w:t>统一沿街建筑风貌，切实提升市容市貌</w:t>
            </w:r>
          </w:p>
        </w:tc>
        <w:tc>
          <w:tcPr>
            <w:tcW w:w="2551" w:type="dxa"/>
            <w:vAlign w:val="center"/>
          </w:tcPr>
          <w:p>
            <w:pPr>
              <w:pStyle w:val="23"/>
            </w:pPr>
            <w:r>
              <w:t>≥90%</w:t>
            </w:r>
          </w:p>
        </w:tc>
        <w:tc>
          <w:tcPr>
            <w:tcW w:w="2268" w:type="dxa"/>
            <w:vAlign w:val="center"/>
          </w:tcPr>
          <w:p>
            <w:pPr>
              <w:pStyle w:val="23"/>
            </w:pPr>
            <w:r>
              <w:t>《关于城中村宅基地建设管理的具体意见》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城管标准化中队建设绩效目标表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1.办公场地固定，沿街选址，便于出勤，便于工作，满足不断增加的执法人员、车辆、设备的使用。按照标准化中队的建设要求，项目及时完工，创建优美办公场所。</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及时完工项目占所有项目的比率</w:t>
            </w:r>
          </w:p>
        </w:tc>
        <w:tc>
          <w:tcPr>
            <w:tcW w:w="2551" w:type="dxa"/>
            <w:vAlign w:val="center"/>
          </w:tcPr>
          <w:p>
            <w:pPr>
              <w:pStyle w:val="23"/>
            </w:pPr>
            <w:r>
              <w:t>100%</w:t>
            </w:r>
          </w:p>
        </w:tc>
        <w:tc>
          <w:tcPr>
            <w:tcW w:w="2268" w:type="dxa"/>
            <w:vAlign w:val="center"/>
          </w:tcPr>
          <w:p>
            <w:pPr>
              <w:pStyle w:val="23"/>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办公用房使用面积</w:t>
            </w:r>
          </w:p>
        </w:tc>
        <w:tc>
          <w:tcPr>
            <w:tcW w:w="2835" w:type="dxa"/>
            <w:vAlign w:val="center"/>
          </w:tcPr>
          <w:p>
            <w:pPr>
              <w:pStyle w:val="23"/>
            </w:pPr>
            <w:r>
              <w:t>办公用房使用面积</w:t>
            </w:r>
          </w:p>
        </w:tc>
        <w:tc>
          <w:tcPr>
            <w:tcW w:w="2551" w:type="dxa"/>
            <w:vAlign w:val="center"/>
          </w:tcPr>
          <w:p>
            <w:pPr>
              <w:pStyle w:val="23"/>
            </w:pPr>
            <w:r>
              <w:t>4300平方米</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办公楼装修费用</w:t>
            </w:r>
          </w:p>
        </w:tc>
        <w:tc>
          <w:tcPr>
            <w:tcW w:w="2835" w:type="dxa"/>
            <w:vAlign w:val="center"/>
          </w:tcPr>
          <w:p>
            <w:pPr>
              <w:pStyle w:val="23"/>
            </w:pPr>
            <w:r>
              <w:t>办公楼装修费用合同价</w:t>
            </w:r>
          </w:p>
        </w:tc>
        <w:tc>
          <w:tcPr>
            <w:tcW w:w="2551" w:type="dxa"/>
            <w:vAlign w:val="center"/>
          </w:tcPr>
          <w:p>
            <w:pPr>
              <w:pStyle w:val="23"/>
            </w:pPr>
            <w:r>
              <w:t>314.65万元</w:t>
            </w:r>
          </w:p>
        </w:tc>
        <w:tc>
          <w:tcPr>
            <w:tcW w:w="2268" w:type="dxa"/>
            <w:vAlign w:val="center"/>
          </w:tcPr>
          <w:p>
            <w:pPr>
              <w:pStyle w:val="23"/>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验收合格项目占所验收项目的比率</w:t>
            </w:r>
          </w:p>
        </w:tc>
        <w:tc>
          <w:tcPr>
            <w:tcW w:w="2551" w:type="dxa"/>
            <w:vAlign w:val="center"/>
          </w:tcPr>
          <w:p>
            <w:pPr>
              <w:pStyle w:val="23"/>
            </w:pPr>
            <w:r>
              <w:t>100%</w:t>
            </w:r>
          </w:p>
        </w:tc>
        <w:tc>
          <w:tcPr>
            <w:tcW w:w="2268" w:type="dxa"/>
            <w:vAlign w:val="center"/>
          </w:tcPr>
          <w:p>
            <w:pPr>
              <w:pStyle w:val="23"/>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满足标准化中队建设要求</w:t>
            </w:r>
          </w:p>
        </w:tc>
        <w:tc>
          <w:tcPr>
            <w:tcW w:w="2835" w:type="dxa"/>
            <w:vAlign w:val="center"/>
          </w:tcPr>
          <w:p>
            <w:pPr>
              <w:pStyle w:val="23"/>
            </w:pPr>
            <w:r>
              <w:t>办公场地固定，沿街选址，便于出勤，合理规划办公区域，设置办公设施。</w:t>
            </w:r>
          </w:p>
        </w:tc>
        <w:tc>
          <w:tcPr>
            <w:tcW w:w="2551" w:type="dxa"/>
            <w:vAlign w:val="center"/>
          </w:tcPr>
          <w:p>
            <w:pPr>
              <w:pStyle w:val="23"/>
            </w:pPr>
            <w:r>
              <w:t>≥95%</w:t>
            </w:r>
          </w:p>
        </w:tc>
        <w:tc>
          <w:tcPr>
            <w:tcW w:w="2268" w:type="dxa"/>
            <w:vAlign w:val="center"/>
          </w:tcPr>
          <w:p>
            <w:pPr>
              <w:pStyle w:val="23"/>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工作人员满意度</w:t>
            </w:r>
          </w:p>
        </w:tc>
        <w:tc>
          <w:tcPr>
            <w:tcW w:w="2835" w:type="dxa"/>
            <w:vAlign w:val="center"/>
          </w:tcPr>
          <w:p>
            <w:pPr>
              <w:pStyle w:val="23"/>
            </w:pPr>
            <w:r>
              <w:t>调查中满意和较满意的</w:t>
            </w:r>
            <w:r>
              <w:rPr>
                <w:rFonts w:hint="eastAsia"/>
                <w:lang w:eastAsia="zh-CN"/>
              </w:rPr>
              <w:t>工作人员</w:t>
            </w:r>
            <w:r>
              <w:t>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城区段石黄高速两侧绿化费用绩效目标表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1.完成了石黄高速两侧城区段进行绿化栽植树木37712株，绿化面积400.83亩。弥补了省级园林城市要求中“城区防护林指标”空缺。</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及时完工工程量占总工程量的比率</w:t>
            </w:r>
          </w:p>
        </w:tc>
        <w:tc>
          <w:tcPr>
            <w:tcW w:w="2551" w:type="dxa"/>
            <w:vAlign w:val="center"/>
          </w:tcPr>
          <w:p>
            <w:pPr>
              <w:pStyle w:val="23"/>
            </w:pPr>
            <w:r>
              <w:t>100%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栽植树木数量</w:t>
            </w:r>
          </w:p>
        </w:tc>
        <w:tc>
          <w:tcPr>
            <w:tcW w:w="2835" w:type="dxa"/>
            <w:vAlign w:val="center"/>
          </w:tcPr>
          <w:p>
            <w:pPr>
              <w:pStyle w:val="23"/>
            </w:pPr>
            <w:r>
              <w:t>栽植树木数量</w:t>
            </w:r>
          </w:p>
        </w:tc>
        <w:tc>
          <w:tcPr>
            <w:tcW w:w="2551" w:type="dxa"/>
            <w:vAlign w:val="center"/>
          </w:tcPr>
          <w:p>
            <w:pPr>
              <w:pStyle w:val="23"/>
            </w:pPr>
            <w:r>
              <w:t>37712株</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栽植树木存活率</w:t>
            </w:r>
          </w:p>
        </w:tc>
        <w:tc>
          <w:tcPr>
            <w:tcW w:w="2835" w:type="dxa"/>
            <w:vAlign w:val="center"/>
          </w:tcPr>
          <w:p>
            <w:pPr>
              <w:pStyle w:val="23"/>
            </w:pPr>
            <w:r>
              <w:t>栽植树木存活数量占所栽植数量的比率</w:t>
            </w:r>
          </w:p>
        </w:tc>
        <w:tc>
          <w:tcPr>
            <w:tcW w:w="2551" w:type="dxa"/>
            <w:vAlign w:val="center"/>
          </w:tcPr>
          <w:p>
            <w:pPr>
              <w:pStyle w:val="23"/>
            </w:pPr>
            <w:r>
              <w:t>≥90%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财政决算</w:t>
            </w:r>
          </w:p>
        </w:tc>
        <w:tc>
          <w:tcPr>
            <w:tcW w:w="2835" w:type="dxa"/>
            <w:vAlign w:val="center"/>
          </w:tcPr>
          <w:p>
            <w:pPr>
              <w:pStyle w:val="23"/>
            </w:pPr>
            <w:r>
              <w:t>财政决算工程费</w:t>
            </w:r>
          </w:p>
        </w:tc>
        <w:tc>
          <w:tcPr>
            <w:tcW w:w="2551" w:type="dxa"/>
            <w:vAlign w:val="center"/>
          </w:tcPr>
          <w:p>
            <w:pPr>
              <w:pStyle w:val="23"/>
            </w:pPr>
            <w:r>
              <w:t>294.1万元</w:t>
            </w:r>
          </w:p>
        </w:tc>
        <w:tc>
          <w:tcPr>
            <w:tcW w:w="2268" w:type="dxa"/>
            <w:vAlign w:val="center"/>
          </w:tcPr>
          <w:p>
            <w:pPr>
              <w:pStyle w:val="23"/>
            </w:pPr>
            <w:r>
              <w:t>财政决算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增大城区绿化面积</w:t>
            </w:r>
          </w:p>
        </w:tc>
        <w:tc>
          <w:tcPr>
            <w:tcW w:w="2835" w:type="dxa"/>
            <w:vAlign w:val="center"/>
          </w:tcPr>
          <w:p>
            <w:pPr>
              <w:pStyle w:val="23"/>
            </w:pPr>
            <w:r>
              <w:t>增大城区绿化面积，创造宜居环境</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城区基础设施提升改造-便民市场工程绩效目标表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1.完成市场的建成及室内装修的等各项工程内容。改善城区容貌，改善居民的菜篮子工程，方便市民生活。</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及时完工项目占全部项目的比率</w:t>
            </w:r>
          </w:p>
        </w:tc>
        <w:tc>
          <w:tcPr>
            <w:tcW w:w="2551" w:type="dxa"/>
            <w:vAlign w:val="center"/>
          </w:tcPr>
          <w:p>
            <w:pPr>
              <w:pStyle w:val="23"/>
            </w:pPr>
            <w:r>
              <w:t>≥90%</w:t>
            </w:r>
          </w:p>
        </w:tc>
        <w:tc>
          <w:tcPr>
            <w:tcW w:w="2268" w:type="dxa"/>
            <w:vAlign w:val="center"/>
          </w:tcPr>
          <w:p>
            <w:pPr>
              <w:pStyle w:val="23"/>
            </w:pPr>
            <w:r>
              <w:t>工程计量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建成数量</w:t>
            </w:r>
          </w:p>
        </w:tc>
        <w:tc>
          <w:tcPr>
            <w:tcW w:w="2835" w:type="dxa"/>
            <w:vAlign w:val="center"/>
          </w:tcPr>
          <w:p>
            <w:pPr>
              <w:pStyle w:val="23"/>
            </w:pPr>
            <w:r>
              <w:t>按预算数量完成</w:t>
            </w:r>
          </w:p>
        </w:tc>
        <w:tc>
          <w:tcPr>
            <w:tcW w:w="2551" w:type="dxa"/>
            <w:vAlign w:val="center"/>
          </w:tcPr>
          <w:p>
            <w:pPr>
              <w:pStyle w:val="23"/>
            </w:pPr>
            <w:r>
              <w:t>2座</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工程费决算金额</w:t>
            </w:r>
          </w:p>
        </w:tc>
        <w:tc>
          <w:tcPr>
            <w:tcW w:w="2551" w:type="dxa"/>
            <w:vAlign w:val="center"/>
          </w:tcPr>
          <w:p>
            <w:pPr>
              <w:pStyle w:val="23"/>
            </w:pPr>
            <w:r>
              <w:t>1766.55万元</w:t>
            </w:r>
          </w:p>
        </w:tc>
        <w:tc>
          <w:tcPr>
            <w:tcW w:w="2268" w:type="dxa"/>
            <w:vAlign w:val="center"/>
          </w:tcPr>
          <w:p>
            <w:pPr>
              <w:pStyle w:val="2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居民满意程度</w:t>
            </w:r>
          </w:p>
        </w:tc>
        <w:tc>
          <w:tcPr>
            <w:tcW w:w="2835" w:type="dxa"/>
            <w:vAlign w:val="center"/>
          </w:tcPr>
          <w:p>
            <w:pPr>
              <w:pStyle w:val="23"/>
            </w:pPr>
            <w:r>
              <w:t>改善城区容貌，改善居民的菜篮子工程，方便市民生活。</w:t>
            </w:r>
          </w:p>
        </w:tc>
        <w:tc>
          <w:tcPr>
            <w:tcW w:w="2551" w:type="dxa"/>
            <w:vAlign w:val="center"/>
          </w:tcPr>
          <w:p>
            <w:pPr>
              <w:pStyle w:val="23"/>
            </w:pPr>
            <w:r>
              <w:t>≥90%</w:t>
            </w:r>
          </w:p>
        </w:tc>
        <w:tc>
          <w:tcPr>
            <w:tcW w:w="2268" w:type="dxa"/>
            <w:vAlign w:val="center"/>
          </w:tcPr>
          <w:p>
            <w:pPr>
              <w:pStyle w:val="2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≥95%</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城区基础设施提升改造-城区公厕绩效目标表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1.完成改建9个公厕，提升城市基础设施建设水平。完善城市功能，提高城市文明程度和卫生水平，助力创建国家卫生城市，为市民创造更加宜居的城市环境。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及时完工项目占全部项目的比率</w:t>
            </w:r>
          </w:p>
        </w:tc>
        <w:tc>
          <w:tcPr>
            <w:tcW w:w="2551" w:type="dxa"/>
            <w:vAlign w:val="center"/>
          </w:tcPr>
          <w:p>
            <w:pPr>
              <w:pStyle w:val="23"/>
            </w:pPr>
            <w:r>
              <w:t>≥90%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建成数量</w:t>
            </w:r>
          </w:p>
        </w:tc>
        <w:tc>
          <w:tcPr>
            <w:tcW w:w="2835" w:type="dxa"/>
            <w:vAlign w:val="center"/>
          </w:tcPr>
          <w:p>
            <w:pPr>
              <w:pStyle w:val="23"/>
            </w:pPr>
            <w:r>
              <w:t>建成公厕数量</w:t>
            </w:r>
          </w:p>
        </w:tc>
        <w:tc>
          <w:tcPr>
            <w:tcW w:w="2551" w:type="dxa"/>
            <w:vAlign w:val="center"/>
          </w:tcPr>
          <w:p>
            <w:pPr>
              <w:pStyle w:val="23"/>
            </w:pPr>
            <w:r>
              <w:t>8座</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工程费决算金额</w:t>
            </w:r>
          </w:p>
        </w:tc>
        <w:tc>
          <w:tcPr>
            <w:tcW w:w="2551" w:type="dxa"/>
            <w:vAlign w:val="center"/>
          </w:tcPr>
          <w:p>
            <w:pPr>
              <w:pStyle w:val="23"/>
            </w:pPr>
            <w:r>
              <w:t>664.44万元</w:t>
            </w:r>
          </w:p>
        </w:tc>
        <w:tc>
          <w:tcPr>
            <w:tcW w:w="2268" w:type="dxa"/>
            <w:vAlign w:val="center"/>
          </w:tcPr>
          <w:p>
            <w:pPr>
              <w:pStyle w:val="2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出行环境舒适度</w:t>
            </w:r>
          </w:p>
        </w:tc>
        <w:tc>
          <w:tcPr>
            <w:tcW w:w="2835" w:type="dxa"/>
            <w:vAlign w:val="center"/>
          </w:tcPr>
          <w:p>
            <w:pPr>
              <w:pStyle w:val="23"/>
            </w:pPr>
            <w:r>
              <w:t>改善城区市容市貌，提升城市整体形象。</w:t>
            </w:r>
          </w:p>
        </w:tc>
        <w:tc>
          <w:tcPr>
            <w:tcW w:w="2551" w:type="dxa"/>
            <w:vAlign w:val="center"/>
          </w:tcPr>
          <w:p>
            <w:pPr>
              <w:pStyle w:val="23"/>
            </w:pPr>
            <w:r>
              <w:t>≥90%</w:t>
            </w:r>
          </w:p>
        </w:tc>
        <w:tc>
          <w:tcPr>
            <w:tcW w:w="2268" w:type="dxa"/>
            <w:vAlign w:val="center"/>
          </w:tcPr>
          <w:p>
            <w:pPr>
              <w:pStyle w:val="23"/>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城区排水管网清淤工程绩效目标表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1.排水管网疏通、清淤。</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疏通排水管网长度</w:t>
            </w:r>
          </w:p>
        </w:tc>
        <w:tc>
          <w:tcPr>
            <w:tcW w:w="2835" w:type="dxa"/>
            <w:vAlign w:val="center"/>
          </w:tcPr>
          <w:p>
            <w:pPr>
              <w:pStyle w:val="23"/>
            </w:pPr>
            <w:r>
              <w:t>疏通排水管网长度</w:t>
            </w:r>
          </w:p>
        </w:tc>
        <w:tc>
          <w:tcPr>
            <w:tcW w:w="2551" w:type="dxa"/>
            <w:vAlign w:val="center"/>
          </w:tcPr>
          <w:p>
            <w:pPr>
              <w:pStyle w:val="23"/>
            </w:pPr>
            <w:r>
              <w:t>44484米</w:t>
            </w:r>
          </w:p>
        </w:tc>
        <w:tc>
          <w:tcPr>
            <w:tcW w:w="2268" w:type="dxa"/>
            <w:vAlign w:val="center"/>
          </w:tcPr>
          <w:p>
            <w:pPr>
              <w:pStyle w:val="23"/>
            </w:pPr>
            <w:r>
              <w:t>工程现场踏勘记录表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工程费决算评审</w:t>
            </w:r>
          </w:p>
        </w:tc>
        <w:tc>
          <w:tcPr>
            <w:tcW w:w="2551" w:type="dxa"/>
            <w:vAlign w:val="center"/>
          </w:tcPr>
          <w:p>
            <w:pPr>
              <w:pStyle w:val="23"/>
            </w:pPr>
            <w:r>
              <w:t>278.51万元</w:t>
            </w:r>
          </w:p>
        </w:tc>
        <w:tc>
          <w:tcPr>
            <w:tcW w:w="2268" w:type="dxa"/>
            <w:vAlign w:val="center"/>
          </w:tcPr>
          <w:p>
            <w:pPr>
              <w:pStyle w:val="23"/>
            </w:pPr>
            <w:r>
              <w:t>财政决算评审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优化生活环境</w:t>
            </w:r>
          </w:p>
        </w:tc>
        <w:tc>
          <w:tcPr>
            <w:tcW w:w="2835" w:type="dxa"/>
            <w:vAlign w:val="center"/>
          </w:tcPr>
          <w:p>
            <w:pPr>
              <w:pStyle w:val="23"/>
            </w:pPr>
            <w:r>
              <w:t>提高基础设施水平</w:t>
            </w:r>
          </w:p>
        </w:tc>
        <w:tc>
          <w:tcPr>
            <w:tcW w:w="2551" w:type="dxa"/>
            <w:vAlign w:val="center"/>
          </w:tcPr>
          <w:p>
            <w:pPr>
              <w:pStyle w:val="23"/>
            </w:pPr>
            <w:r>
              <w:t>≥90%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城区西部排水管网疏通工程绩效目标表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1.对城区四明街以西的排水管网进行清淤，掏挖检查井杂物，吸污车抽吸污泥污水。疏通排水管网，使排水管网畅通、不堵塞。</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清理管道长度</w:t>
            </w:r>
          </w:p>
        </w:tc>
        <w:tc>
          <w:tcPr>
            <w:tcW w:w="2835" w:type="dxa"/>
            <w:vAlign w:val="center"/>
          </w:tcPr>
          <w:p>
            <w:pPr>
              <w:pStyle w:val="23"/>
            </w:pPr>
            <w:r>
              <w:t>清理管道长度</w:t>
            </w:r>
          </w:p>
        </w:tc>
        <w:tc>
          <w:tcPr>
            <w:tcW w:w="2551" w:type="dxa"/>
            <w:vAlign w:val="center"/>
          </w:tcPr>
          <w:p>
            <w:pPr>
              <w:pStyle w:val="23"/>
            </w:pPr>
            <w:r>
              <w:t>54200米</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财政决算评审工程费</w:t>
            </w:r>
          </w:p>
        </w:tc>
        <w:tc>
          <w:tcPr>
            <w:tcW w:w="2551" w:type="dxa"/>
            <w:vAlign w:val="center"/>
          </w:tcPr>
          <w:p>
            <w:pPr>
              <w:pStyle w:val="23"/>
            </w:pPr>
            <w:r>
              <w:t>279.86万元</w:t>
            </w:r>
          </w:p>
        </w:tc>
        <w:tc>
          <w:tcPr>
            <w:tcW w:w="2268" w:type="dxa"/>
            <w:vAlign w:val="center"/>
          </w:tcPr>
          <w:p>
            <w:pPr>
              <w:pStyle w:val="23"/>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优化生活环境</w:t>
            </w:r>
          </w:p>
        </w:tc>
        <w:tc>
          <w:tcPr>
            <w:tcW w:w="2835" w:type="dxa"/>
            <w:vAlign w:val="center"/>
          </w:tcPr>
          <w:p>
            <w:pPr>
              <w:pStyle w:val="23"/>
            </w:pPr>
            <w:r>
              <w:t>改善城区面貌，方便市民出行</w:t>
            </w:r>
          </w:p>
        </w:tc>
        <w:tc>
          <w:tcPr>
            <w:tcW w:w="2551" w:type="dxa"/>
            <w:vAlign w:val="center"/>
          </w:tcPr>
          <w:p>
            <w:pPr>
              <w:pStyle w:val="23"/>
            </w:pPr>
            <w:r>
              <w:t>≥90%</w:t>
            </w:r>
          </w:p>
        </w:tc>
        <w:tc>
          <w:tcPr>
            <w:tcW w:w="2268" w:type="dxa"/>
            <w:vAlign w:val="center"/>
          </w:tcPr>
          <w:p>
            <w:pPr>
              <w:pStyle w:val="23"/>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城市公园维护费绩效目标表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1.园内植物生长健壮，路面整洁，照明设施良好，人工湖水质洁净，公厕洁净无异味，园林小品和健身器材设施完好。</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垃圾及时清理率</w:t>
            </w:r>
          </w:p>
        </w:tc>
        <w:tc>
          <w:tcPr>
            <w:tcW w:w="2835" w:type="dxa"/>
            <w:vAlign w:val="center"/>
          </w:tcPr>
          <w:p>
            <w:pPr>
              <w:pStyle w:val="23"/>
            </w:pPr>
            <w:r>
              <w:t>绿地垃圾及时清理量占园内垃圾总量的比率</w:t>
            </w:r>
          </w:p>
        </w:tc>
        <w:tc>
          <w:tcPr>
            <w:tcW w:w="2551" w:type="dxa"/>
            <w:vAlign w:val="center"/>
          </w:tcPr>
          <w:p>
            <w:pPr>
              <w:pStyle w:val="23"/>
            </w:pPr>
            <w:r>
              <w:t>≥95%</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公共设施完好率</w:t>
            </w:r>
          </w:p>
        </w:tc>
        <w:tc>
          <w:tcPr>
            <w:tcW w:w="2835" w:type="dxa"/>
            <w:vAlign w:val="center"/>
          </w:tcPr>
          <w:p>
            <w:pPr>
              <w:pStyle w:val="23"/>
            </w:pPr>
            <w:r>
              <w:t>达到可安全使用状态的设施数量占所有公共设施的比率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管护公园数量</w:t>
            </w:r>
          </w:p>
        </w:tc>
        <w:tc>
          <w:tcPr>
            <w:tcW w:w="2835" w:type="dxa"/>
            <w:vAlign w:val="center"/>
          </w:tcPr>
          <w:p>
            <w:pPr>
              <w:pStyle w:val="23"/>
            </w:pPr>
            <w:r>
              <w:t>管护公园数量</w:t>
            </w:r>
          </w:p>
        </w:tc>
        <w:tc>
          <w:tcPr>
            <w:tcW w:w="2551" w:type="dxa"/>
            <w:vAlign w:val="center"/>
          </w:tcPr>
          <w:p>
            <w:pPr>
              <w:pStyle w:val="23"/>
            </w:pPr>
            <w:r>
              <w:t>2个</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育才公园、长盛园年维护费</w:t>
            </w:r>
          </w:p>
        </w:tc>
        <w:tc>
          <w:tcPr>
            <w:tcW w:w="2835" w:type="dxa"/>
            <w:vAlign w:val="center"/>
          </w:tcPr>
          <w:p>
            <w:pPr>
              <w:pStyle w:val="23"/>
            </w:pPr>
            <w:r>
              <w:t>财政评审育才公园、长盛园年维护费</w:t>
            </w:r>
          </w:p>
        </w:tc>
        <w:tc>
          <w:tcPr>
            <w:tcW w:w="2551" w:type="dxa"/>
            <w:vAlign w:val="center"/>
          </w:tcPr>
          <w:p>
            <w:pPr>
              <w:pStyle w:val="23"/>
            </w:pPr>
            <w:r>
              <w:t>28.67万元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年接待游客量</w:t>
            </w:r>
          </w:p>
        </w:tc>
        <w:tc>
          <w:tcPr>
            <w:tcW w:w="2835" w:type="dxa"/>
            <w:vAlign w:val="center"/>
          </w:tcPr>
          <w:p>
            <w:pPr>
              <w:pStyle w:val="23"/>
            </w:pPr>
            <w:r>
              <w:t>为市民提供休闲、健身场地</w:t>
            </w:r>
          </w:p>
        </w:tc>
        <w:tc>
          <w:tcPr>
            <w:tcW w:w="2551" w:type="dxa"/>
            <w:vAlign w:val="center"/>
          </w:tcPr>
          <w:p>
            <w:pPr>
              <w:pStyle w:val="23"/>
            </w:pPr>
            <w:r>
              <w:t>≥33万人</w:t>
            </w:r>
          </w:p>
        </w:tc>
        <w:tc>
          <w:tcPr>
            <w:tcW w:w="2268" w:type="dxa"/>
            <w:vAlign w:val="center"/>
          </w:tcPr>
          <w:p>
            <w:pPr>
              <w:pStyle w:val="23"/>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代收垃圾处理费服务费绩效目标表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1.完成垃圾处理费征收工作，实行收支两条线管理，及时将所收款全额上缴区财政。</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代收垃圾处理费</w:t>
            </w:r>
          </w:p>
        </w:tc>
        <w:tc>
          <w:tcPr>
            <w:tcW w:w="2835" w:type="dxa"/>
            <w:vAlign w:val="center"/>
          </w:tcPr>
          <w:p>
            <w:pPr>
              <w:pStyle w:val="23"/>
            </w:pPr>
            <w:r>
              <w:t>代收垃圾处理费金额</w:t>
            </w:r>
          </w:p>
        </w:tc>
        <w:tc>
          <w:tcPr>
            <w:tcW w:w="2551" w:type="dxa"/>
            <w:vAlign w:val="center"/>
          </w:tcPr>
          <w:p>
            <w:pPr>
              <w:pStyle w:val="23"/>
            </w:pPr>
            <w:r>
              <w:t>194.15万元</w:t>
            </w:r>
          </w:p>
        </w:tc>
        <w:tc>
          <w:tcPr>
            <w:tcW w:w="2268" w:type="dxa"/>
            <w:vAlign w:val="center"/>
          </w:tcPr>
          <w:p>
            <w:pPr>
              <w:pStyle w:val="23"/>
            </w:pPr>
            <w:r>
              <w:t>收费票据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及时上缴率</w:t>
            </w:r>
          </w:p>
        </w:tc>
        <w:tc>
          <w:tcPr>
            <w:tcW w:w="2835" w:type="dxa"/>
            <w:vAlign w:val="center"/>
          </w:tcPr>
          <w:p>
            <w:pPr>
              <w:pStyle w:val="23"/>
            </w:pPr>
            <w:r>
              <w:t>及时上缴收费金额占总收费金额的比率</w:t>
            </w:r>
          </w:p>
        </w:tc>
        <w:tc>
          <w:tcPr>
            <w:tcW w:w="2551" w:type="dxa"/>
            <w:vAlign w:val="center"/>
          </w:tcPr>
          <w:p>
            <w:pPr>
              <w:pStyle w:val="23"/>
            </w:pPr>
            <w:r>
              <w:t>100%</w:t>
            </w:r>
          </w:p>
        </w:tc>
        <w:tc>
          <w:tcPr>
            <w:tcW w:w="2268" w:type="dxa"/>
            <w:vAlign w:val="center"/>
          </w:tcPr>
          <w:p>
            <w:pPr>
              <w:pStyle w:val="23"/>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服务费</w:t>
            </w:r>
          </w:p>
        </w:tc>
        <w:tc>
          <w:tcPr>
            <w:tcW w:w="2835" w:type="dxa"/>
            <w:vAlign w:val="center"/>
          </w:tcPr>
          <w:p>
            <w:pPr>
              <w:pStyle w:val="23"/>
            </w:pPr>
            <w:r>
              <w:t>代收垃圾处理费服务费</w:t>
            </w:r>
          </w:p>
        </w:tc>
        <w:tc>
          <w:tcPr>
            <w:tcW w:w="2551" w:type="dxa"/>
            <w:vAlign w:val="center"/>
          </w:tcPr>
          <w:p>
            <w:pPr>
              <w:pStyle w:val="23"/>
            </w:pPr>
            <w:r>
              <w:t>17.47万元</w:t>
            </w:r>
          </w:p>
        </w:tc>
        <w:tc>
          <w:tcPr>
            <w:tcW w:w="2268" w:type="dxa"/>
            <w:vAlign w:val="center"/>
          </w:tcPr>
          <w:p>
            <w:pPr>
              <w:pStyle w:val="23"/>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费用收缴率</w:t>
            </w:r>
          </w:p>
        </w:tc>
        <w:tc>
          <w:tcPr>
            <w:tcW w:w="2835" w:type="dxa"/>
            <w:vAlign w:val="center"/>
          </w:tcPr>
          <w:p>
            <w:pPr>
              <w:pStyle w:val="23"/>
            </w:pPr>
            <w:r>
              <w:t>实收费用额占应收费用的比率</w:t>
            </w:r>
          </w:p>
        </w:tc>
        <w:tc>
          <w:tcPr>
            <w:tcW w:w="2551" w:type="dxa"/>
            <w:vAlign w:val="center"/>
          </w:tcPr>
          <w:p>
            <w:pPr>
              <w:pStyle w:val="23"/>
            </w:pPr>
            <w:r>
              <w:t>≥90%</w:t>
            </w:r>
          </w:p>
        </w:tc>
        <w:tc>
          <w:tcPr>
            <w:tcW w:w="2268" w:type="dxa"/>
            <w:vAlign w:val="center"/>
          </w:tcPr>
          <w:p>
            <w:pPr>
              <w:pStyle w:val="23"/>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促进城市可持续发展</w:t>
            </w:r>
          </w:p>
        </w:tc>
        <w:tc>
          <w:tcPr>
            <w:tcW w:w="2835" w:type="dxa"/>
            <w:vAlign w:val="center"/>
          </w:tcPr>
          <w:p>
            <w:pPr>
              <w:pStyle w:val="23"/>
            </w:pPr>
            <w:r>
              <w:t>生活垃圾无害化处理，保护城市生态环境，保护水土资源不被污染，促进城市可持续发展。</w:t>
            </w:r>
          </w:p>
        </w:tc>
        <w:tc>
          <w:tcPr>
            <w:tcW w:w="2551" w:type="dxa"/>
            <w:vAlign w:val="center"/>
          </w:tcPr>
          <w:p>
            <w:pPr>
              <w:pStyle w:val="23"/>
            </w:pPr>
            <w:r>
              <w:t>≥90%</w:t>
            </w:r>
          </w:p>
        </w:tc>
        <w:tc>
          <w:tcPr>
            <w:tcW w:w="2268" w:type="dxa"/>
            <w:vAlign w:val="center"/>
          </w:tcPr>
          <w:p>
            <w:pPr>
              <w:pStyle w:val="23"/>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儿童公园景观提升工程绩效目标表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1.建设新的儿童娱乐区，新建休闲广场、建设绿地、种植树木。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工期</w:t>
            </w:r>
          </w:p>
        </w:tc>
        <w:tc>
          <w:tcPr>
            <w:tcW w:w="2835" w:type="dxa"/>
            <w:vAlign w:val="center"/>
          </w:tcPr>
          <w:p>
            <w:pPr>
              <w:pStyle w:val="23"/>
            </w:pPr>
            <w:r>
              <w:t>中标工期2022年3月--2022年6月</w:t>
            </w:r>
          </w:p>
        </w:tc>
        <w:tc>
          <w:tcPr>
            <w:tcW w:w="2551" w:type="dxa"/>
            <w:vAlign w:val="center"/>
          </w:tcPr>
          <w:p>
            <w:pPr>
              <w:pStyle w:val="23"/>
            </w:pPr>
            <w:r>
              <w:t>≤120天</w:t>
            </w:r>
          </w:p>
        </w:tc>
        <w:tc>
          <w:tcPr>
            <w:tcW w:w="2268" w:type="dxa"/>
            <w:vAlign w:val="center"/>
          </w:tcPr>
          <w:p>
            <w:pPr>
              <w:pStyle w:val="2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《建设工程质量管理条例》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中标</w:t>
            </w:r>
          </w:p>
        </w:tc>
        <w:tc>
          <w:tcPr>
            <w:tcW w:w="2835" w:type="dxa"/>
            <w:vAlign w:val="center"/>
          </w:tcPr>
          <w:p>
            <w:pPr>
              <w:pStyle w:val="23"/>
            </w:pPr>
            <w:r>
              <w:t>中标价</w:t>
            </w:r>
          </w:p>
        </w:tc>
        <w:tc>
          <w:tcPr>
            <w:tcW w:w="2551" w:type="dxa"/>
            <w:vAlign w:val="center"/>
          </w:tcPr>
          <w:p>
            <w:pPr>
              <w:pStyle w:val="23"/>
            </w:pPr>
            <w:r>
              <w:t>179.21万元</w:t>
            </w:r>
          </w:p>
        </w:tc>
        <w:tc>
          <w:tcPr>
            <w:tcW w:w="2268" w:type="dxa"/>
            <w:vAlign w:val="center"/>
          </w:tcPr>
          <w:p>
            <w:pPr>
              <w:pStyle w:val="2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工程项目数量</w:t>
            </w:r>
          </w:p>
        </w:tc>
        <w:tc>
          <w:tcPr>
            <w:tcW w:w="2835" w:type="dxa"/>
            <w:vAlign w:val="center"/>
          </w:tcPr>
          <w:p>
            <w:pPr>
              <w:pStyle w:val="23"/>
            </w:pPr>
            <w:r>
              <w:t>新增19项，拆除4项，修复4项</w:t>
            </w:r>
          </w:p>
        </w:tc>
        <w:tc>
          <w:tcPr>
            <w:tcW w:w="2551" w:type="dxa"/>
            <w:vAlign w:val="center"/>
          </w:tcPr>
          <w:p>
            <w:pPr>
              <w:pStyle w:val="23"/>
            </w:pPr>
            <w:r>
              <w:t>27个</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提升公园的娱乐锻炼休闲环境</w:t>
            </w:r>
          </w:p>
        </w:tc>
        <w:tc>
          <w:tcPr>
            <w:tcW w:w="2835" w:type="dxa"/>
            <w:vAlign w:val="center"/>
          </w:tcPr>
          <w:p>
            <w:pPr>
              <w:pStyle w:val="23"/>
            </w:pPr>
            <w:r>
              <w:t>改善公园景观环境，缓解居民锻炼、休闲、场所的不足</w:t>
            </w:r>
          </w:p>
        </w:tc>
        <w:tc>
          <w:tcPr>
            <w:tcW w:w="2551" w:type="dxa"/>
            <w:vAlign w:val="center"/>
          </w:tcPr>
          <w:p>
            <w:pPr>
              <w:pStyle w:val="23"/>
            </w:pPr>
            <w:r>
              <w:t>≥90%</w:t>
            </w:r>
          </w:p>
        </w:tc>
        <w:tc>
          <w:tcPr>
            <w:tcW w:w="2268" w:type="dxa"/>
            <w:vAlign w:val="center"/>
          </w:tcPr>
          <w:p>
            <w:pPr>
              <w:pStyle w:val="2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1"/>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儿童公园维护费绩效目标表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1.园内植物生长健壮，路面整洁，照明设施良好，人工湖水质洁净，公厕洁净无异味，园林小品和健身器材设施完好。园内秩序良好，便民服务周到完善。</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垃圾及时清理率</w:t>
            </w:r>
          </w:p>
        </w:tc>
        <w:tc>
          <w:tcPr>
            <w:tcW w:w="2835" w:type="dxa"/>
            <w:vAlign w:val="center"/>
          </w:tcPr>
          <w:p>
            <w:pPr>
              <w:pStyle w:val="23"/>
            </w:pPr>
            <w:r>
              <w:t>绿地垃圾及时清理量占园内垃圾总量的比率</w:t>
            </w:r>
          </w:p>
        </w:tc>
        <w:tc>
          <w:tcPr>
            <w:tcW w:w="2551" w:type="dxa"/>
            <w:vAlign w:val="center"/>
          </w:tcPr>
          <w:p>
            <w:pPr>
              <w:pStyle w:val="23"/>
            </w:pPr>
            <w:r>
              <w:t>≥95%</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公共设施完好率</w:t>
            </w:r>
          </w:p>
        </w:tc>
        <w:tc>
          <w:tcPr>
            <w:tcW w:w="2835" w:type="dxa"/>
            <w:vAlign w:val="center"/>
          </w:tcPr>
          <w:p>
            <w:pPr>
              <w:pStyle w:val="23"/>
            </w:pPr>
            <w:r>
              <w:t>达到可安全使用状态的设施数量占所有公共设施的比率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管护公园面积</w:t>
            </w:r>
          </w:p>
        </w:tc>
        <w:tc>
          <w:tcPr>
            <w:tcW w:w="2835" w:type="dxa"/>
            <w:vAlign w:val="center"/>
          </w:tcPr>
          <w:p>
            <w:pPr>
              <w:pStyle w:val="23"/>
            </w:pPr>
            <w:r>
              <w:t>管护公园面积</w:t>
            </w:r>
          </w:p>
        </w:tc>
        <w:tc>
          <w:tcPr>
            <w:tcW w:w="2551" w:type="dxa"/>
            <w:vAlign w:val="center"/>
          </w:tcPr>
          <w:p>
            <w:pPr>
              <w:pStyle w:val="23"/>
            </w:pPr>
            <w:r>
              <w:t>3.14万平方米</w:t>
            </w:r>
          </w:p>
        </w:tc>
        <w:tc>
          <w:tcPr>
            <w:tcW w:w="2268" w:type="dxa"/>
            <w:vAlign w:val="center"/>
          </w:tcPr>
          <w:p>
            <w:pPr>
              <w:pStyle w:val="23"/>
            </w:pPr>
            <w:r>
              <w:t>征地、租地协议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年维护费</w:t>
            </w:r>
          </w:p>
        </w:tc>
        <w:tc>
          <w:tcPr>
            <w:tcW w:w="2835" w:type="dxa"/>
            <w:vAlign w:val="center"/>
          </w:tcPr>
          <w:p>
            <w:pPr>
              <w:pStyle w:val="23"/>
            </w:pPr>
            <w:r>
              <w:t>财政评审年维护费</w:t>
            </w:r>
          </w:p>
        </w:tc>
        <w:tc>
          <w:tcPr>
            <w:tcW w:w="2551" w:type="dxa"/>
            <w:vAlign w:val="center"/>
          </w:tcPr>
          <w:p>
            <w:pPr>
              <w:pStyle w:val="23"/>
            </w:pPr>
            <w:r>
              <w:t>99.73万元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年接待游客量</w:t>
            </w:r>
          </w:p>
        </w:tc>
        <w:tc>
          <w:tcPr>
            <w:tcW w:w="2835" w:type="dxa"/>
            <w:vAlign w:val="center"/>
          </w:tcPr>
          <w:p>
            <w:pPr>
              <w:pStyle w:val="23"/>
            </w:pPr>
            <w:r>
              <w:t>为市民提供休闲、健身场地</w:t>
            </w:r>
          </w:p>
        </w:tc>
        <w:tc>
          <w:tcPr>
            <w:tcW w:w="2551" w:type="dxa"/>
            <w:vAlign w:val="center"/>
          </w:tcPr>
          <w:p>
            <w:pPr>
              <w:pStyle w:val="23"/>
            </w:pPr>
            <w:r>
              <w:t>≥33万人</w:t>
            </w:r>
          </w:p>
        </w:tc>
        <w:tc>
          <w:tcPr>
            <w:tcW w:w="2268" w:type="dxa"/>
            <w:vAlign w:val="center"/>
          </w:tcPr>
          <w:p>
            <w:pPr>
              <w:pStyle w:val="23"/>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23、改建移动公厕压缩设备及配套车辆绩效目标表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1.垃圾清运日产日清，清运车辆车容整洁。完善提升环卫基础设施水平，落实国家级卫生城市创建工作，提升市容环境卫生水平，创造宜居环境。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改建公厕转运站的数量</w:t>
            </w:r>
          </w:p>
        </w:tc>
        <w:tc>
          <w:tcPr>
            <w:tcW w:w="2835" w:type="dxa"/>
            <w:vAlign w:val="center"/>
          </w:tcPr>
          <w:p>
            <w:pPr>
              <w:pStyle w:val="23"/>
            </w:pPr>
            <w:r>
              <w:t>改建的公厕转运站的数量</w:t>
            </w:r>
          </w:p>
        </w:tc>
        <w:tc>
          <w:tcPr>
            <w:tcW w:w="2551" w:type="dxa"/>
            <w:vAlign w:val="center"/>
          </w:tcPr>
          <w:p>
            <w:pPr>
              <w:pStyle w:val="23"/>
            </w:pPr>
            <w:r>
              <w:t>15座</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改建移动公厕压缩设备及配套车辆费用</w:t>
            </w:r>
          </w:p>
        </w:tc>
        <w:tc>
          <w:tcPr>
            <w:tcW w:w="2835" w:type="dxa"/>
            <w:vAlign w:val="center"/>
          </w:tcPr>
          <w:p>
            <w:pPr>
              <w:pStyle w:val="23"/>
            </w:pPr>
            <w:r>
              <w:t>改建移动公厕压缩设备及配套车辆费用余款</w:t>
            </w:r>
          </w:p>
        </w:tc>
        <w:tc>
          <w:tcPr>
            <w:tcW w:w="2551" w:type="dxa"/>
            <w:vAlign w:val="center"/>
          </w:tcPr>
          <w:p>
            <w:pPr>
              <w:pStyle w:val="23"/>
            </w:pPr>
            <w:r>
              <w:t>289.25万元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垃圾中转机械化实施率</w:t>
            </w:r>
          </w:p>
        </w:tc>
        <w:tc>
          <w:tcPr>
            <w:tcW w:w="2835" w:type="dxa"/>
            <w:vAlign w:val="center"/>
          </w:tcPr>
          <w:p>
            <w:pPr>
              <w:pStyle w:val="23"/>
            </w:pPr>
            <w:r>
              <w:t>垃圾机械中转数量占垃圾中转总量的比率</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垃圾收容设施密闭化，提升市容市貌</w:t>
            </w:r>
          </w:p>
        </w:tc>
        <w:tc>
          <w:tcPr>
            <w:tcW w:w="2835" w:type="dxa"/>
            <w:vAlign w:val="center"/>
          </w:tcPr>
          <w:p>
            <w:pPr>
              <w:pStyle w:val="23"/>
            </w:pPr>
            <w:r>
              <w:t>垃圾收容设施密闭，减少异味散发，提升市容市貌。</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24、</w:t>
      </w:r>
      <w:r>
        <w:rPr>
          <w:rFonts w:ascii="方正仿宋_GBK" w:hAnsi="方正仿宋_GBK" w:eastAsia="方正仿宋_GBK" w:cs="方正仿宋_GBK"/>
          <w:b/>
          <w:color w:val="000000"/>
          <w:sz w:val="28"/>
        </w:rPr>
        <w:t>公厕改建及新建工程（三标）绩效目标表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1.新建、改建两座公厕，工程已完工。提升基础设施建设水平，方便市民就近如厕，提高城市文明程度和卫生水平，创造更加宜居的城市环境。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合同价格</w:t>
            </w:r>
          </w:p>
        </w:tc>
        <w:tc>
          <w:tcPr>
            <w:tcW w:w="2835" w:type="dxa"/>
            <w:vAlign w:val="center"/>
          </w:tcPr>
          <w:p>
            <w:pPr>
              <w:pStyle w:val="23"/>
            </w:pPr>
            <w:r>
              <w:t>合同价格</w:t>
            </w:r>
          </w:p>
        </w:tc>
        <w:tc>
          <w:tcPr>
            <w:tcW w:w="2551" w:type="dxa"/>
            <w:vAlign w:val="center"/>
          </w:tcPr>
          <w:p>
            <w:pPr>
              <w:pStyle w:val="23"/>
            </w:pPr>
            <w:r>
              <w:t>88.58万元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新建、改建公厕数量</w:t>
            </w:r>
          </w:p>
        </w:tc>
        <w:tc>
          <w:tcPr>
            <w:tcW w:w="2835" w:type="dxa"/>
            <w:vAlign w:val="center"/>
          </w:tcPr>
          <w:p>
            <w:pPr>
              <w:pStyle w:val="23"/>
            </w:pPr>
            <w:r>
              <w:t>新建、改建公厕数量</w:t>
            </w:r>
          </w:p>
        </w:tc>
        <w:tc>
          <w:tcPr>
            <w:tcW w:w="2551" w:type="dxa"/>
            <w:vAlign w:val="center"/>
          </w:tcPr>
          <w:p>
            <w:pPr>
              <w:pStyle w:val="23"/>
            </w:pPr>
            <w:r>
              <w:t>2座</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提高城区万人拥有公厕数量</w:t>
            </w:r>
          </w:p>
        </w:tc>
        <w:tc>
          <w:tcPr>
            <w:tcW w:w="2835" w:type="dxa"/>
            <w:vAlign w:val="center"/>
          </w:tcPr>
          <w:p>
            <w:pPr>
              <w:pStyle w:val="23"/>
            </w:pPr>
            <w:r>
              <w:t>通过增加城市公厕数量，力争到2020年城区每万人拥有公厕数量达到3-5座</w:t>
            </w:r>
          </w:p>
        </w:tc>
        <w:tc>
          <w:tcPr>
            <w:tcW w:w="2551" w:type="dxa"/>
            <w:vAlign w:val="center"/>
          </w:tcPr>
          <w:p>
            <w:pPr>
              <w:pStyle w:val="23"/>
            </w:pPr>
            <w:r>
              <w:t>≥90%</w:t>
            </w:r>
          </w:p>
        </w:tc>
        <w:tc>
          <w:tcPr>
            <w:tcW w:w="2268" w:type="dxa"/>
            <w:vAlign w:val="center"/>
          </w:tcPr>
          <w:p>
            <w:pPr>
              <w:pStyle w:val="23"/>
            </w:pPr>
            <w:r>
              <w:t>《河北省城市公共厕所建设改造实施方案》     《石家庄市城市管理委员会关于城市厕所革命专项工作方案》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numPr>
          <w:ilvl w:val="0"/>
          <w:numId w:val="2"/>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公益事业租地费绩效目标表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1.通过增加公园绿地、公厕转运站、便民市场建设，改善市容市貌，营造宜居的城市环境。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提高城区万人拥有公厕数量，助力创建国家卫生城市</w:t>
            </w:r>
          </w:p>
        </w:tc>
        <w:tc>
          <w:tcPr>
            <w:tcW w:w="2835" w:type="dxa"/>
            <w:vAlign w:val="center"/>
          </w:tcPr>
          <w:p>
            <w:pPr>
              <w:pStyle w:val="23"/>
            </w:pPr>
            <w:r>
              <w:t>通过增加城市公厕数量，力争到2020年城区每万人拥有公厕数量达到3-5座</w:t>
            </w:r>
          </w:p>
        </w:tc>
        <w:tc>
          <w:tcPr>
            <w:tcW w:w="2551" w:type="dxa"/>
            <w:vAlign w:val="center"/>
          </w:tcPr>
          <w:p>
            <w:pPr>
              <w:pStyle w:val="23"/>
            </w:pPr>
            <w:r>
              <w:t>≥4座</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公益事业租地费</w:t>
            </w:r>
          </w:p>
        </w:tc>
        <w:tc>
          <w:tcPr>
            <w:tcW w:w="2835" w:type="dxa"/>
            <w:vAlign w:val="center"/>
          </w:tcPr>
          <w:p>
            <w:pPr>
              <w:pStyle w:val="23"/>
            </w:pPr>
            <w:r>
              <w:t>年公益事业租地费</w:t>
            </w:r>
          </w:p>
        </w:tc>
        <w:tc>
          <w:tcPr>
            <w:tcW w:w="2551" w:type="dxa"/>
            <w:vAlign w:val="center"/>
          </w:tcPr>
          <w:p>
            <w:pPr>
              <w:pStyle w:val="23"/>
            </w:pPr>
            <w:r>
              <w:t>97.91万元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租地费及时拨付</w:t>
            </w:r>
          </w:p>
        </w:tc>
        <w:tc>
          <w:tcPr>
            <w:tcW w:w="2835" w:type="dxa"/>
            <w:vAlign w:val="center"/>
          </w:tcPr>
          <w:p>
            <w:pPr>
              <w:pStyle w:val="23"/>
            </w:pPr>
            <w:r>
              <w:t>租地费及时拨付</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占道经营减少率</w:t>
            </w:r>
          </w:p>
        </w:tc>
        <w:tc>
          <w:tcPr>
            <w:tcW w:w="2835" w:type="dxa"/>
            <w:vAlign w:val="center"/>
          </w:tcPr>
          <w:p>
            <w:pPr>
              <w:pStyle w:val="23"/>
            </w:pPr>
            <w:r>
              <w:t>占道经营减少数量占规范经营数量的比率</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社会服务能力提升</w:t>
            </w:r>
          </w:p>
        </w:tc>
        <w:tc>
          <w:tcPr>
            <w:tcW w:w="2835" w:type="dxa"/>
            <w:vAlign w:val="center"/>
          </w:tcPr>
          <w:p>
            <w:pPr>
              <w:pStyle w:val="23"/>
            </w:pPr>
            <w:r>
              <w:t>公共基础设施增加，服务社会能力显著提升。</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公园健身步道工程绩效目标表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1.建设健康步道2条及附属设施。水上、儿童公园路面破损得到改善，完善公园的健身功能，增加城市功能，提升城市品位。</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工期</w:t>
            </w:r>
          </w:p>
        </w:tc>
        <w:tc>
          <w:tcPr>
            <w:tcW w:w="2835" w:type="dxa"/>
            <w:vAlign w:val="center"/>
          </w:tcPr>
          <w:p>
            <w:pPr>
              <w:pStyle w:val="23"/>
            </w:pPr>
            <w:r>
              <w:t>中标工期2020.9.8--2020.10.25</w:t>
            </w:r>
          </w:p>
        </w:tc>
        <w:tc>
          <w:tcPr>
            <w:tcW w:w="2551" w:type="dxa"/>
            <w:vAlign w:val="center"/>
          </w:tcPr>
          <w:p>
            <w:pPr>
              <w:pStyle w:val="23"/>
            </w:pPr>
            <w:r>
              <w:t>≤47天</w:t>
            </w:r>
          </w:p>
        </w:tc>
        <w:tc>
          <w:tcPr>
            <w:tcW w:w="2268" w:type="dxa"/>
            <w:vAlign w:val="center"/>
          </w:tcPr>
          <w:p>
            <w:pPr>
              <w:pStyle w:val="2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《建设工程质量管理条例》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中标</w:t>
            </w:r>
          </w:p>
        </w:tc>
        <w:tc>
          <w:tcPr>
            <w:tcW w:w="2835" w:type="dxa"/>
            <w:vAlign w:val="center"/>
          </w:tcPr>
          <w:p>
            <w:pPr>
              <w:pStyle w:val="23"/>
            </w:pPr>
            <w:r>
              <w:t>结算价</w:t>
            </w:r>
          </w:p>
        </w:tc>
        <w:tc>
          <w:tcPr>
            <w:tcW w:w="2551" w:type="dxa"/>
            <w:vAlign w:val="center"/>
          </w:tcPr>
          <w:p>
            <w:pPr>
              <w:pStyle w:val="23"/>
            </w:pPr>
            <w:r>
              <w:t>257.18万元</w:t>
            </w:r>
          </w:p>
        </w:tc>
        <w:tc>
          <w:tcPr>
            <w:tcW w:w="2268" w:type="dxa"/>
            <w:vAlign w:val="center"/>
          </w:tcPr>
          <w:p>
            <w:pPr>
              <w:pStyle w:val="23"/>
            </w:pPr>
            <w:r>
              <w:t>结算书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公共停车场</w:t>
            </w:r>
          </w:p>
        </w:tc>
        <w:tc>
          <w:tcPr>
            <w:tcW w:w="2835" w:type="dxa"/>
            <w:vAlign w:val="center"/>
          </w:tcPr>
          <w:p>
            <w:pPr>
              <w:pStyle w:val="23"/>
            </w:pPr>
            <w:r>
              <w:t>水上、儿童公园健身步道数量</w:t>
            </w:r>
          </w:p>
        </w:tc>
        <w:tc>
          <w:tcPr>
            <w:tcW w:w="2551" w:type="dxa"/>
            <w:vAlign w:val="center"/>
          </w:tcPr>
          <w:p>
            <w:pPr>
              <w:pStyle w:val="23"/>
            </w:pPr>
            <w:r>
              <w:t>2条</w:t>
            </w:r>
          </w:p>
        </w:tc>
        <w:tc>
          <w:tcPr>
            <w:tcW w:w="2268" w:type="dxa"/>
            <w:vAlign w:val="center"/>
          </w:tcPr>
          <w:p>
            <w:pPr>
              <w:pStyle w:val="23"/>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步道环境舒适度</w:t>
            </w:r>
          </w:p>
        </w:tc>
        <w:tc>
          <w:tcPr>
            <w:tcW w:w="2835" w:type="dxa"/>
            <w:vAlign w:val="center"/>
          </w:tcPr>
          <w:p>
            <w:pPr>
              <w:pStyle w:val="23"/>
            </w:pPr>
            <w:r>
              <w:t>方便居民健身步行，解决了公园没健康步道的问题，完善公园功能</w:t>
            </w:r>
          </w:p>
        </w:tc>
        <w:tc>
          <w:tcPr>
            <w:tcW w:w="2551" w:type="dxa"/>
            <w:vAlign w:val="center"/>
          </w:tcPr>
          <w:p>
            <w:pPr>
              <w:pStyle w:val="23"/>
            </w:pPr>
            <w:r>
              <w:t>≥90%</w:t>
            </w:r>
          </w:p>
        </w:tc>
        <w:tc>
          <w:tcPr>
            <w:tcW w:w="2268" w:type="dxa"/>
            <w:vAlign w:val="center"/>
          </w:tcPr>
          <w:p>
            <w:pPr>
              <w:pStyle w:val="2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购置城中村环卫作业车辆绩效目标表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1.购置环卫车辆，加强机械化清扫力度，改善空气质量。做好城中村日常清扫保洁工作，做到城中村生活垃圾日产日清，提升城中村街道环境卫生质量。</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购置城中村环卫作业车辆数量</w:t>
            </w:r>
          </w:p>
        </w:tc>
        <w:tc>
          <w:tcPr>
            <w:tcW w:w="2835" w:type="dxa"/>
            <w:vAlign w:val="center"/>
          </w:tcPr>
          <w:p>
            <w:pPr>
              <w:pStyle w:val="23"/>
            </w:pPr>
            <w:r>
              <w:t>购置城中村环卫作业车辆数量</w:t>
            </w:r>
          </w:p>
        </w:tc>
        <w:tc>
          <w:tcPr>
            <w:tcW w:w="2551" w:type="dxa"/>
            <w:vAlign w:val="center"/>
          </w:tcPr>
          <w:p>
            <w:pPr>
              <w:pStyle w:val="23"/>
            </w:pPr>
            <w:r>
              <w:t>16辆</w:t>
            </w:r>
          </w:p>
        </w:tc>
        <w:tc>
          <w:tcPr>
            <w:tcW w:w="2268" w:type="dxa"/>
            <w:vAlign w:val="center"/>
          </w:tcPr>
          <w:p>
            <w:pPr>
              <w:pStyle w:val="23"/>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购置城中村环卫作业车辆费用</w:t>
            </w:r>
          </w:p>
        </w:tc>
        <w:tc>
          <w:tcPr>
            <w:tcW w:w="2835" w:type="dxa"/>
            <w:vAlign w:val="center"/>
          </w:tcPr>
          <w:p>
            <w:pPr>
              <w:pStyle w:val="23"/>
            </w:pPr>
            <w:r>
              <w:t>购置城中村环卫作业车辆费用</w:t>
            </w:r>
          </w:p>
        </w:tc>
        <w:tc>
          <w:tcPr>
            <w:tcW w:w="2551" w:type="dxa"/>
            <w:vAlign w:val="center"/>
          </w:tcPr>
          <w:p>
            <w:pPr>
              <w:pStyle w:val="23"/>
            </w:pPr>
            <w:r>
              <w:t>118.6万元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购置公厕除臭设施绩效目标表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1.26座公厕符合提质升级要求，需加装52套除臭设施。有效改善了公厕卫生状况，切实解决公厕异味难题。</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购置公厕除臭设施数量</w:t>
            </w:r>
          </w:p>
        </w:tc>
        <w:tc>
          <w:tcPr>
            <w:tcW w:w="2835" w:type="dxa"/>
            <w:vAlign w:val="center"/>
          </w:tcPr>
          <w:p>
            <w:pPr>
              <w:pStyle w:val="23"/>
            </w:pPr>
            <w:r>
              <w:t>购置公厕除臭设施数量</w:t>
            </w:r>
          </w:p>
        </w:tc>
        <w:tc>
          <w:tcPr>
            <w:tcW w:w="2551" w:type="dxa"/>
            <w:vAlign w:val="center"/>
          </w:tcPr>
          <w:p>
            <w:pPr>
              <w:pStyle w:val="23"/>
            </w:pPr>
            <w:r>
              <w:t>52套</w:t>
            </w:r>
          </w:p>
        </w:tc>
        <w:tc>
          <w:tcPr>
            <w:tcW w:w="2268" w:type="dxa"/>
            <w:vAlign w:val="center"/>
          </w:tcPr>
          <w:p>
            <w:pPr>
              <w:pStyle w:val="23"/>
            </w:pPr>
            <w:r>
              <w:t>关于购置公厕除臭设施的请示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采购单价</w:t>
            </w:r>
          </w:p>
        </w:tc>
        <w:tc>
          <w:tcPr>
            <w:tcW w:w="2835" w:type="dxa"/>
            <w:vAlign w:val="center"/>
          </w:tcPr>
          <w:p>
            <w:pPr>
              <w:pStyle w:val="23"/>
            </w:pPr>
            <w:r>
              <w:t>采购单价</w:t>
            </w:r>
          </w:p>
        </w:tc>
        <w:tc>
          <w:tcPr>
            <w:tcW w:w="2551" w:type="dxa"/>
            <w:vAlign w:val="center"/>
          </w:tcPr>
          <w:p>
            <w:pPr>
              <w:pStyle w:val="23"/>
            </w:pPr>
            <w:r>
              <w:t>4800元</w:t>
            </w:r>
          </w:p>
        </w:tc>
        <w:tc>
          <w:tcPr>
            <w:tcW w:w="2268" w:type="dxa"/>
            <w:vAlign w:val="center"/>
          </w:tcPr>
          <w:p>
            <w:pPr>
              <w:pStyle w:val="23"/>
            </w:pPr>
            <w:r>
              <w:t>关于购置公厕除臭设施的请示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及时率</w:t>
            </w:r>
          </w:p>
        </w:tc>
        <w:tc>
          <w:tcPr>
            <w:tcW w:w="2835" w:type="dxa"/>
            <w:vAlign w:val="center"/>
          </w:tcPr>
          <w:p>
            <w:pPr>
              <w:pStyle w:val="23"/>
            </w:pPr>
            <w:r>
              <w:t>及时采购</w:t>
            </w:r>
          </w:p>
        </w:tc>
        <w:tc>
          <w:tcPr>
            <w:tcW w:w="2551" w:type="dxa"/>
            <w:vAlign w:val="center"/>
          </w:tcPr>
          <w:p>
            <w:pPr>
              <w:pStyle w:val="23"/>
            </w:pPr>
            <w:r>
              <w:t>100%</w:t>
            </w:r>
          </w:p>
        </w:tc>
        <w:tc>
          <w:tcPr>
            <w:tcW w:w="2268" w:type="dxa"/>
            <w:vAlign w:val="center"/>
          </w:tcPr>
          <w:p>
            <w:pPr>
              <w:pStyle w:val="23"/>
            </w:pPr>
            <w:r>
              <w:t>《2021年度县城建设指标任务》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行业标准</w:t>
            </w:r>
          </w:p>
        </w:tc>
        <w:tc>
          <w:tcPr>
            <w:tcW w:w="2835" w:type="dxa"/>
            <w:vAlign w:val="center"/>
          </w:tcPr>
          <w:p>
            <w:pPr>
              <w:pStyle w:val="23"/>
            </w:pPr>
            <w:r>
              <w:t>行业标准</w:t>
            </w:r>
          </w:p>
        </w:tc>
        <w:tc>
          <w:tcPr>
            <w:tcW w:w="2551" w:type="dxa"/>
            <w:vAlign w:val="center"/>
          </w:tcPr>
          <w:p>
            <w:pPr>
              <w:pStyle w:val="23"/>
            </w:pPr>
            <w:r>
              <w:t>100%</w:t>
            </w:r>
          </w:p>
        </w:tc>
        <w:tc>
          <w:tcPr>
            <w:tcW w:w="2268" w:type="dxa"/>
            <w:vAlign w:val="center"/>
          </w:tcPr>
          <w:p>
            <w:pPr>
              <w:pStyle w:val="23"/>
            </w:pPr>
            <w:r>
              <w:t>《2201年石家庄市A类县提质升级指标体系》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提高城区公厕建设管理水平，解决市民如厕难、环境差问题，改善人居环境质量</w:t>
            </w:r>
          </w:p>
        </w:tc>
        <w:tc>
          <w:tcPr>
            <w:tcW w:w="2835" w:type="dxa"/>
            <w:vAlign w:val="center"/>
          </w:tcPr>
          <w:p>
            <w:pPr>
              <w:pStyle w:val="23"/>
            </w:pPr>
            <w:r>
              <w:t>提高公厕内外环境，管理标准，管理精细、服务到位。</w:t>
            </w:r>
          </w:p>
        </w:tc>
        <w:tc>
          <w:tcPr>
            <w:tcW w:w="2551" w:type="dxa"/>
            <w:vAlign w:val="center"/>
          </w:tcPr>
          <w:p>
            <w:pPr>
              <w:pStyle w:val="23"/>
            </w:pPr>
            <w:r>
              <w:t>≥90%</w:t>
            </w:r>
          </w:p>
        </w:tc>
        <w:tc>
          <w:tcPr>
            <w:tcW w:w="2268" w:type="dxa"/>
            <w:vAlign w:val="center"/>
          </w:tcPr>
          <w:p>
            <w:pPr>
              <w:pStyle w:val="23"/>
            </w:pPr>
            <w:r>
              <w:t>《加强石家庄市主城区公厕提标建设管理的实施方案》</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调查问卷</w:t>
            </w:r>
          </w:p>
        </w:tc>
      </w:tr>
    </w:tbl>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购置雾炮车费用绩效目标表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1.购置雾炮车，改善空气质量。加强街道扬尘治理，提升城区环境卫生质量。</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购置雾炮车数量</w:t>
            </w:r>
          </w:p>
        </w:tc>
        <w:tc>
          <w:tcPr>
            <w:tcW w:w="2835" w:type="dxa"/>
            <w:vAlign w:val="center"/>
          </w:tcPr>
          <w:p>
            <w:pPr>
              <w:pStyle w:val="23"/>
            </w:pPr>
            <w:r>
              <w:t>购置雾炮车数量</w:t>
            </w:r>
          </w:p>
        </w:tc>
        <w:tc>
          <w:tcPr>
            <w:tcW w:w="2551" w:type="dxa"/>
            <w:vAlign w:val="center"/>
          </w:tcPr>
          <w:p>
            <w:pPr>
              <w:pStyle w:val="23"/>
            </w:pPr>
            <w:r>
              <w:t>2辆</w:t>
            </w:r>
          </w:p>
        </w:tc>
        <w:tc>
          <w:tcPr>
            <w:tcW w:w="2268" w:type="dxa"/>
            <w:vAlign w:val="center"/>
          </w:tcPr>
          <w:p>
            <w:pPr>
              <w:pStyle w:val="23"/>
            </w:pPr>
            <w:r>
              <w:t>供货合同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购置雾炮车费用</w:t>
            </w:r>
          </w:p>
        </w:tc>
        <w:tc>
          <w:tcPr>
            <w:tcW w:w="2835" w:type="dxa"/>
            <w:vAlign w:val="center"/>
          </w:tcPr>
          <w:p>
            <w:pPr>
              <w:pStyle w:val="23"/>
            </w:pPr>
            <w:r>
              <w:t>购置雾炮车费用</w:t>
            </w:r>
          </w:p>
        </w:tc>
        <w:tc>
          <w:tcPr>
            <w:tcW w:w="2551" w:type="dxa"/>
            <w:vAlign w:val="center"/>
          </w:tcPr>
          <w:p>
            <w:pPr>
              <w:pStyle w:val="23"/>
            </w:pPr>
            <w:r>
              <w:t>136.8万元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环境卫生维护费绩效目标表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1.城区街道卫生整洁，小街小巷干净整齐，无垃圾无漂浮物，垃圾桶外无散落垃圾，所有生活垃圾实现“日产日清、密闭运输”目标。维护公厕、转运站和垃圾箱点等环卫基础设施和车辆的正常运行。</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维护的公厕转运站的数量</w:t>
            </w:r>
          </w:p>
        </w:tc>
        <w:tc>
          <w:tcPr>
            <w:tcW w:w="2835" w:type="dxa"/>
            <w:vAlign w:val="center"/>
          </w:tcPr>
          <w:p>
            <w:pPr>
              <w:pStyle w:val="23"/>
            </w:pPr>
            <w:r>
              <w:t>维护的公厕转运站的数量</w:t>
            </w:r>
          </w:p>
        </w:tc>
        <w:tc>
          <w:tcPr>
            <w:tcW w:w="2551" w:type="dxa"/>
            <w:vAlign w:val="center"/>
          </w:tcPr>
          <w:p>
            <w:pPr>
              <w:pStyle w:val="23"/>
            </w:pPr>
            <w:r>
              <w:t>34座</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环境卫生维护费</w:t>
            </w:r>
          </w:p>
        </w:tc>
        <w:tc>
          <w:tcPr>
            <w:tcW w:w="2835" w:type="dxa"/>
            <w:vAlign w:val="center"/>
          </w:tcPr>
          <w:p>
            <w:pPr>
              <w:pStyle w:val="23"/>
            </w:pPr>
            <w:r>
              <w:t>环境卫生维护费</w:t>
            </w:r>
          </w:p>
        </w:tc>
        <w:tc>
          <w:tcPr>
            <w:tcW w:w="2551" w:type="dxa"/>
            <w:vAlign w:val="center"/>
          </w:tcPr>
          <w:p>
            <w:pPr>
              <w:pStyle w:val="23"/>
            </w:pPr>
            <w:r>
              <w:t>4983.94万元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环卫设施完好率（%）</w:t>
            </w:r>
          </w:p>
        </w:tc>
        <w:tc>
          <w:tcPr>
            <w:tcW w:w="2835" w:type="dxa"/>
            <w:vAlign w:val="center"/>
          </w:tcPr>
          <w:p>
            <w:pPr>
              <w:pStyle w:val="23"/>
            </w:pPr>
            <w:r>
              <w:t>环卫设施可正常使用数量占所有数量的比率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优化人居环境</w:t>
            </w:r>
          </w:p>
        </w:tc>
        <w:tc>
          <w:tcPr>
            <w:tcW w:w="2835" w:type="dxa"/>
            <w:vAlign w:val="center"/>
          </w:tcPr>
          <w:p>
            <w:pPr>
              <w:pStyle w:val="23"/>
            </w:pPr>
            <w:r>
              <w:t>街道干净整洁，优化了人居环境</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调查问卷</w:t>
            </w:r>
          </w:p>
        </w:tc>
      </w:tr>
    </w:tbl>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环卫车辆保险费绩效目标表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1.环卫作业车辆，及时缴纳保险费用，合理规避风险，最大限度减少事故损失。有利于安全生产。</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参保车辆数量</w:t>
            </w:r>
          </w:p>
        </w:tc>
        <w:tc>
          <w:tcPr>
            <w:tcW w:w="2835" w:type="dxa"/>
            <w:vAlign w:val="center"/>
          </w:tcPr>
          <w:p>
            <w:pPr>
              <w:pStyle w:val="23"/>
            </w:pPr>
            <w:r>
              <w:t>参保车辆数量</w:t>
            </w:r>
          </w:p>
        </w:tc>
        <w:tc>
          <w:tcPr>
            <w:tcW w:w="2551" w:type="dxa"/>
            <w:vAlign w:val="center"/>
          </w:tcPr>
          <w:p>
            <w:pPr>
              <w:pStyle w:val="23"/>
            </w:pPr>
            <w:r>
              <w:t>252辆</w:t>
            </w:r>
          </w:p>
        </w:tc>
        <w:tc>
          <w:tcPr>
            <w:tcW w:w="2268"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环卫车辆保险费</w:t>
            </w:r>
          </w:p>
        </w:tc>
        <w:tc>
          <w:tcPr>
            <w:tcW w:w="2835" w:type="dxa"/>
            <w:vAlign w:val="center"/>
          </w:tcPr>
          <w:p>
            <w:pPr>
              <w:pStyle w:val="23"/>
            </w:pPr>
            <w:r>
              <w:t>环卫车辆保险费</w:t>
            </w:r>
          </w:p>
        </w:tc>
        <w:tc>
          <w:tcPr>
            <w:tcW w:w="2551" w:type="dxa"/>
            <w:vAlign w:val="center"/>
          </w:tcPr>
          <w:p>
            <w:pPr>
              <w:pStyle w:val="23"/>
            </w:pPr>
            <w:r>
              <w:t>134.1万元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安全生产标准化达标率（%）</w:t>
            </w:r>
          </w:p>
        </w:tc>
        <w:tc>
          <w:tcPr>
            <w:tcW w:w="2835" w:type="dxa"/>
            <w:vAlign w:val="center"/>
          </w:tcPr>
          <w:p>
            <w:pPr>
              <w:pStyle w:val="23"/>
            </w:pPr>
            <w:r>
              <w:t>达标的安全生产次数占安全生产总数的比率</w:t>
            </w:r>
          </w:p>
        </w:tc>
        <w:tc>
          <w:tcPr>
            <w:tcW w:w="2551" w:type="dxa"/>
            <w:vAlign w:val="center"/>
          </w:tcPr>
          <w:p>
            <w:pPr>
              <w:pStyle w:val="23"/>
            </w:pPr>
            <w:r>
              <w:t>≥90%</w:t>
            </w:r>
          </w:p>
        </w:tc>
        <w:tc>
          <w:tcPr>
            <w:tcW w:w="2268" w:type="dxa"/>
            <w:vAlign w:val="center"/>
          </w:tcPr>
          <w:p>
            <w:pPr>
              <w:pStyle w:val="23"/>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环卫车辆租赁费（财茂公司）绩效目标表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1.加强垃圾清运及机械化清扫、洗扫、高压清洗路面的程度，有效减少道路扬尘。扩大清扫和清运范围，包括307国道、省道、县道和廉州镇城中村。</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以克论净考核道路浮沉</w:t>
            </w:r>
          </w:p>
        </w:tc>
        <w:tc>
          <w:tcPr>
            <w:tcW w:w="2835" w:type="dxa"/>
            <w:vAlign w:val="center"/>
          </w:tcPr>
          <w:p>
            <w:pPr>
              <w:pStyle w:val="23"/>
            </w:pPr>
            <w:r>
              <w:t>使用以克论净检测车和手持吸尘器，随机抽查测定点位。</w:t>
            </w:r>
          </w:p>
        </w:tc>
        <w:tc>
          <w:tcPr>
            <w:tcW w:w="2551" w:type="dxa"/>
            <w:vAlign w:val="center"/>
          </w:tcPr>
          <w:p>
            <w:pPr>
              <w:pStyle w:val="23"/>
            </w:pPr>
            <w:r>
              <w:t>＜10克/平方米</w:t>
            </w:r>
          </w:p>
        </w:tc>
        <w:tc>
          <w:tcPr>
            <w:tcW w:w="2268" w:type="dxa"/>
            <w:vAlign w:val="center"/>
          </w:tcPr>
          <w:p>
            <w:pPr>
              <w:pStyle w:val="23"/>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环卫车辆租赁费（财茂公司）</w:t>
            </w:r>
          </w:p>
        </w:tc>
        <w:tc>
          <w:tcPr>
            <w:tcW w:w="2835" w:type="dxa"/>
            <w:vAlign w:val="center"/>
          </w:tcPr>
          <w:p>
            <w:pPr>
              <w:pStyle w:val="23"/>
            </w:pPr>
            <w:r>
              <w:t>环卫车辆年租赁费（财茂公司）</w:t>
            </w:r>
          </w:p>
        </w:tc>
        <w:tc>
          <w:tcPr>
            <w:tcW w:w="2551" w:type="dxa"/>
            <w:vAlign w:val="center"/>
          </w:tcPr>
          <w:p>
            <w:pPr>
              <w:pStyle w:val="23"/>
            </w:pPr>
            <w:r>
              <w:t>1615万元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环卫车辆租赁费（洁丰公司）绩效目标表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1.加强垃圾清运及机械化清扫、洗扫、高压清洗路面的程度，有效减少道路扬尘。扩大清扫和清运范围，包括307国道、省道、县道和廉州镇城中村。</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以克论净考核道路浮沉</w:t>
            </w:r>
          </w:p>
        </w:tc>
        <w:tc>
          <w:tcPr>
            <w:tcW w:w="2835" w:type="dxa"/>
            <w:vAlign w:val="center"/>
          </w:tcPr>
          <w:p>
            <w:pPr>
              <w:pStyle w:val="23"/>
            </w:pPr>
            <w:r>
              <w:t>使用以克论净检测车和手持吸尘器，随机抽查测定点位。</w:t>
            </w:r>
          </w:p>
        </w:tc>
        <w:tc>
          <w:tcPr>
            <w:tcW w:w="2551" w:type="dxa"/>
            <w:vAlign w:val="center"/>
          </w:tcPr>
          <w:p>
            <w:pPr>
              <w:pStyle w:val="23"/>
            </w:pPr>
            <w:r>
              <w:t>＜10克/平方米</w:t>
            </w:r>
          </w:p>
        </w:tc>
        <w:tc>
          <w:tcPr>
            <w:tcW w:w="2268" w:type="dxa"/>
            <w:vAlign w:val="center"/>
          </w:tcPr>
          <w:p>
            <w:pPr>
              <w:pStyle w:val="23"/>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环卫车辆租赁费（洁丰公司）</w:t>
            </w:r>
          </w:p>
        </w:tc>
        <w:tc>
          <w:tcPr>
            <w:tcW w:w="2835" w:type="dxa"/>
            <w:vAlign w:val="center"/>
          </w:tcPr>
          <w:p>
            <w:pPr>
              <w:pStyle w:val="23"/>
            </w:pPr>
            <w:r>
              <w:t>环卫车辆租赁费（洁丰公司）</w:t>
            </w:r>
          </w:p>
        </w:tc>
        <w:tc>
          <w:tcPr>
            <w:tcW w:w="2551" w:type="dxa"/>
            <w:vAlign w:val="center"/>
          </w:tcPr>
          <w:p>
            <w:pPr>
              <w:pStyle w:val="23"/>
            </w:pPr>
            <w:r>
              <w:t>638.88万元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军训费用绩效目标表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1.完成每年两期，每期5天的城管执法人员封闭式军事训练。切实提高城管执法人员的素质和水平，进一步巩固“强基础、转作风、树形象”专项行动成果。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军训人数</w:t>
            </w:r>
          </w:p>
        </w:tc>
        <w:tc>
          <w:tcPr>
            <w:tcW w:w="2835" w:type="dxa"/>
            <w:vAlign w:val="center"/>
          </w:tcPr>
          <w:p>
            <w:pPr>
              <w:pStyle w:val="23"/>
            </w:pPr>
            <w:r>
              <w:t>参加军训的人员数量</w:t>
            </w:r>
          </w:p>
        </w:tc>
        <w:tc>
          <w:tcPr>
            <w:tcW w:w="2551" w:type="dxa"/>
            <w:vAlign w:val="center"/>
          </w:tcPr>
          <w:p>
            <w:pPr>
              <w:pStyle w:val="23"/>
            </w:pPr>
            <w:r>
              <w:t>400人</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及时完成率</w:t>
            </w:r>
          </w:p>
        </w:tc>
        <w:tc>
          <w:tcPr>
            <w:tcW w:w="2835" w:type="dxa"/>
            <w:vAlign w:val="center"/>
          </w:tcPr>
          <w:p>
            <w:pPr>
              <w:pStyle w:val="23"/>
            </w:pPr>
            <w:r>
              <w:t>按期完成军训</w:t>
            </w:r>
          </w:p>
        </w:tc>
        <w:tc>
          <w:tcPr>
            <w:tcW w:w="2551" w:type="dxa"/>
            <w:vAlign w:val="center"/>
          </w:tcPr>
          <w:p>
            <w:pPr>
              <w:pStyle w:val="23"/>
            </w:pPr>
            <w:r>
              <w:t>100%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军训合格率</w:t>
            </w:r>
          </w:p>
        </w:tc>
        <w:tc>
          <w:tcPr>
            <w:tcW w:w="2835" w:type="dxa"/>
            <w:vAlign w:val="center"/>
          </w:tcPr>
          <w:p>
            <w:pPr>
              <w:pStyle w:val="23"/>
            </w:pPr>
            <w:r>
              <w:t>军训考核合格的人数占总参训人数的比率</w:t>
            </w:r>
          </w:p>
        </w:tc>
        <w:tc>
          <w:tcPr>
            <w:tcW w:w="2551" w:type="dxa"/>
            <w:vAlign w:val="center"/>
          </w:tcPr>
          <w:p>
            <w:pPr>
              <w:pStyle w:val="23"/>
            </w:pPr>
            <w:r>
              <w:t>≥90%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人均军训成本</w:t>
            </w:r>
          </w:p>
        </w:tc>
        <w:tc>
          <w:tcPr>
            <w:tcW w:w="2835" w:type="dxa"/>
            <w:vAlign w:val="center"/>
          </w:tcPr>
          <w:p>
            <w:pPr>
              <w:pStyle w:val="23"/>
            </w:pPr>
            <w:r>
              <w:t>每人每天的军训费用</w:t>
            </w:r>
          </w:p>
        </w:tc>
        <w:tc>
          <w:tcPr>
            <w:tcW w:w="2551" w:type="dxa"/>
            <w:vAlign w:val="center"/>
          </w:tcPr>
          <w:p>
            <w:pPr>
              <w:pStyle w:val="23"/>
            </w:pPr>
            <w:r>
              <w:t>150元/人/天</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执法人员素质提升</w:t>
            </w:r>
          </w:p>
        </w:tc>
        <w:tc>
          <w:tcPr>
            <w:tcW w:w="2835" w:type="dxa"/>
            <w:vAlign w:val="center"/>
          </w:tcPr>
          <w:p>
            <w:pPr>
              <w:pStyle w:val="23"/>
            </w:pPr>
            <w:r>
              <w:t>执法人员的形象面貌、纪律意识、法治意识得到显著提升</w:t>
            </w:r>
          </w:p>
        </w:tc>
        <w:tc>
          <w:tcPr>
            <w:tcW w:w="2551" w:type="dxa"/>
            <w:vAlign w:val="center"/>
          </w:tcPr>
          <w:p>
            <w:pPr>
              <w:pStyle w:val="23"/>
            </w:pPr>
            <w:r>
              <w:t>≥90%</w:t>
            </w:r>
          </w:p>
        </w:tc>
        <w:tc>
          <w:tcPr>
            <w:tcW w:w="2268" w:type="dxa"/>
            <w:vAlign w:val="center"/>
          </w:tcPr>
          <w:p>
            <w:pPr>
              <w:pStyle w:val="23"/>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调查中满意和较满意的服务对象数量占全部调查人数的比率</w:t>
            </w:r>
          </w:p>
        </w:tc>
        <w:tc>
          <w:tcPr>
            <w:tcW w:w="2551" w:type="dxa"/>
            <w:vAlign w:val="center"/>
          </w:tcPr>
          <w:p>
            <w:pPr>
              <w:pStyle w:val="23"/>
            </w:pPr>
            <w:r>
              <w:t>≥90%</w:t>
            </w:r>
          </w:p>
        </w:tc>
        <w:tc>
          <w:tcPr>
            <w:tcW w:w="2268" w:type="dxa"/>
            <w:vAlign w:val="center"/>
          </w:tcPr>
          <w:p>
            <w:pPr>
              <w:pStyle w:val="23"/>
            </w:pPr>
            <w:r>
              <w:t>调查问卷</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看守所污水管道改造工程绩效目标表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1.东城街东侧铺设Φ500污水管道及检查井；兴华路接头污水池，安装污水泵。</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铺设污水管道长度</w:t>
            </w:r>
          </w:p>
        </w:tc>
        <w:tc>
          <w:tcPr>
            <w:tcW w:w="2835" w:type="dxa"/>
            <w:vAlign w:val="center"/>
          </w:tcPr>
          <w:p>
            <w:pPr>
              <w:pStyle w:val="23"/>
            </w:pPr>
            <w:r>
              <w:t>铺设污水管道长度</w:t>
            </w:r>
          </w:p>
        </w:tc>
        <w:tc>
          <w:tcPr>
            <w:tcW w:w="2551" w:type="dxa"/>
            <w:vAlign w:val="center"/>
          </w:tcPr>
          <w:p>
            <w:pPr>
              <w:pStyle w:val="23"/>
            </w:pPr>
            <w:r>
              <w:t>1840米</w:t>
            </w:r>
          </w:p>
        </w:tc>
        <w:tc>
          <w:tcPr>
            <w:tcW w:w="2268" w:type="dxa"/>
            <w:vAlign w:val="center"/>
          </w:tcPr>
          <w:p>
            <w:pPr>
              <w:pStyle w:val="23"/>
            </w:pPr>
            <w:r>
              <w:t>踏勘记录表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工程费决算评审</w:t>
            </w:r>
          </w:p>
        </w:tc>
        <w:tc>
          <w:tcPr>
            <w:tcW w:w="2551" w:type="dxa"/>
            <w:vAlign w:val="center"/>
          </w:tcPr>
          <w:p>
            <w:pPr>
              <w:pStyle w:val="23"/>
            </w:pPr>
            <w:r>
              <w:t>86.05万元</w:t>
            </w:r>
          </w:p>
        </w:tc>
        <w:tc>
          <w:tcPr>
            <w:tcW w:w="2268" w:type="dxa"/>
            <w:vAlign w:val="center"/>
          </w:tcPr>
          <w:p>
            <w:pPr>
              <w:pStyle w:val="23"/>
            </w:pPr>
            <w:r>
              <w:t>财政决算评审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减少对周边环境污染</w:t>
            </w:r>
          </w:p>
        </w:tc>
        <w:tc>
          <w:tcPr>
            <w:tcW w:w="2835" w:type="dxa"/>
            <w:vAlign w:val="center"/>
          </w:tcPr>
          <w:p>
            <w:pPr>
              <w:pStyle w:val="23"/>
            </w:pPr>
            <w:r>
              <w:t>改善看守所生活用水排水系统，对工作生活秩序带来极大方便，减少对周边环境污染。</w:t>
            </w:r>
          </w:p>
        </w:tc>
        <w:tc>
          <w:tcPr>
            <w:tcW w:w="2551" w:type="dxa"/>
            <w:vAlign w:val="center"/>
          </w:tcPr>
          <w:p>
            <w:pPr>
              <w:pStyle w:val="23"/>
            </w:pPr>
            <w:r>
              <w:t>≥95%</w:t>
            </w:r>
          </w:p>
        </w:tc>
        <w:tc>
          <w:tcPr>
            <w:tcW w:w="2268" w:type="dxa"/>
            <w:vAlign w:val="center"/>
          </w:tcPr>
          <w:p>
            <w:pPr>
              <w:pStyle w:val="23"/>
            </w:pPr>
            <w:r>
              <w:t>建设工程监理合同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1.用于建设保利东郡、璟华苑、东城国际、紫御澜湾等13个生活垃圾分类示范小区，提高居民知晓率、参与率和投放准确率。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垃圾分类示范小区数量</w:t>
            </w:r>
          </w:p>
        </w:tc>
        <w:tc>
          <w:tcPr>
            <w:tcW w:w="2835" w:type="dxa"/>
            <w:vAlign w:val="center"/>
          </w:tcPr>
          <w:p>
            <w:pPr>
              <w:pStyle w:val="23"/>
            </w:pPr>
            <w:r>
              <w:t>垃圾分类示范小区数量</w:t>
            </w:r>
          </w:p>
        </w:tc>
        <w:tc>
          <w:tcPr>
            <w:tcW w:w="2551" w:type="dxa"/>
            <w:vAlign w:val="center"/>
          </w:tcPr>
          <w:p>
            <w:pPr>
              <w:pStyle w:val="23"/>
            </w:pPr>
            <w:r>
              <w:t>13个</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垃圾分类服务费费</w:t>
            </w:r>
          </w:p>
        </w:tc>
        <w:tc>
          <w:tcPr>
            <w:tcW w:w="2835" w:type="dxa"/>
            <w:vAlign w:val="center"/>
          </w:tcPr>
          <w:p>
            <w:pPr>
              <w:pStyle w:val="23"/>
            </w:pPr>
            <w:r>
              <w:t>垃圾分类3年服务费</w:t>
            </w:r>
          </w:p>
        </w:tc>
        <w:tc>
          <w:tcPr>
            <w:tcW w:w="2551" w:type="dxa"/>
            <w:vAlign w:val="center"/>
          </w:tcPr>
          <w:p>
            <w:pPr>
              <w:pStyle w:val="23"/>
            </w:pPr>
            <w:r>
              <w:t>554.19万元</w:t>
            </w:r>
          </w:p>
        </w:tc>
        <w:tc>
          <w:tcPr>
            <w:tcW w:w="2268" w:type="dxa"/>
            <w:vAlign w:val="center"/>
          </w:tcPr>
          <w:p>
            <w:pPr>
              <w:pStyle w:val="23"/>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生活垃圾分类服务及时考评率</w:t>
            </w:r>
          </w:p>
        </w:tc>
        <w:tc>
          <w:tcPr>
            <w:tcW w:w="2835" w:type="dxa"/>
            <w:vAlign w:val="center"/>
          </w:tcPr>
          <w:p>
            <w:pPr>
              <w:pStyle w:val="23"/>
            </w:pPr>
            <w:r>
              <w:t>生活垃圾分类服务及时考评数量占生活垃圾考评总数量的比率</w:t>
            </w:r>
          </w:p>
        </w:tc>
        <w:tc>
          <w:tcPr>
            <w:tcW w:w="2551" w:type="dxa"/>
            <w:vAlign w:val="center"/>
          </w:tcPr>
          <w:p>
            <w:pPr>
              <w:pStyle w:val="23"/>
            </w:pPr>
            <w:r>
              <w:t>≥90%</w:t>
            </w:r>
          </w:p>
        </w:tc>
        <w:tc>
          <w:tcPr>
            <w:tcW w:w="2268" w:type="dxa"/>
            <w:vAlign w:val="center"/>
          </w:tcPr>
          <w:p>
            <w:pPr>
              <w:pStyle w:val="23"/>
            </w:pPr>
            <w:r>
              <w:t>《石家庄市生活垃圾分类工作实施方案》石政办发【2017】59号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投放实施配置率</w:t>
            </w:r>
          </w:p>
        </w:tc>
        <w:tc>
          <w:tcPr>
            <w:tcW w:w="2835" w:type="dxa"/>
            <w:vAlign w:val="center"/>
          </w:tcPr>
          <w:p>
            <w:pPr>
              <w:pStyle w:val="23"/>
            </w:pPr>
            <w:r>
              <w:t>实际投放分类设施个数占应投放分类设施个数的比率</w:t>
            </w:r>
          </w:p>
        </w:tc>
        <w:tc>
          <w:tcPr>
            <w:tcW w:w="2551" w:type="dxa"/>
            <w:vAlign w:val="center"/>
          </w:tcPr>
          <w:p>
            <w:pPr>
              <w:pStyle w:val="23"/>
            </w:pPr>
            <w:r>
              <w:t>≥95%</w:t>
            </w:r>
          </w:p>
        </w:tc>
        <w:tc>
          <w:tcPr>
            <w:tcW w:w="2268" w:type="dxa"/>
            <w:vAlign w:val="center"/>
          </w:tcPr>
          <w:p>
            <w:pPr>
              <w:pStyle w:val="23"/>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使生活垃圾达到减量化</w:t>
            </w:r>
          </w:p>
        </w:tc>
        <w:tc>
          <w:tcPr>
            <w:tcW w:w="2835" w:type="dxa"/>
            <w:vAlign w:val="center"/>
          </w:tcPr>
          <w:p>
            <w:pPr>
              <w:pStyle w:val="23"/>
            </w:pPr>
            <w:r>
              <w:t>生活垃圾合理分类、处置，提升垃圾减量化、资源化、无害化水平.</w:t>
            </w:r>
          </w:p>
        </w:tc>
        <w:tc>
          <w:tcPr>
            <w:tcW w:w="2551" w:type="dxa"/>
            <w:vAlign w:val="center"/>
          </w:tcPr>
          <w:p>
            <w:pPr>
              <w:pStyle w:val="23"/>
            </w:pPr>
            <w:r>
              <w:t>≥95%</w:t>
            </w:r>
          </w:p>
        </w:tc>
        <w:tc>
          <w:tcPr>
            <w:tcW w:w="2268" w:type="dxa"/>
            <w:vAlign w:val="center"/>
          </w:tcPr>
          <w:p>
            <w:pPr>
              <w:pStyle w:val="23"/>
            </w:pPr>
            <w:r>
              <w:t>《石家庄市生活垃圾分类工作实施方案》石政办发【2017】61号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垃圾分类办公室办公经费绩效目标表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1.生活垃圾分类业务培训、办公耗材、宣传活动、车辆维修、督导员服装费、汇演等，提高居民知晓率、参与率和投放准确率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大型宣传活动次数</w:t>
            </w:r>
          </w:p>
        </w:tc>
        <w:tc>
          <w:tcPr>
            <w:tcW w:w="2835" w:type="dxa"/>
            <w:vAlign w:val="center"/>
          </w:tcPr>
          <w:p>
            <w:pPr>
              <w:pStyle w:val="23"/>
            </w:pPr>
            <w:r>
              <w:t>每年大型宣传活动次数</w:t>
            </w:r>
          </w:p>
        </w:tc>
        <w:tc>
          <w:tcPr>
            <w:tcW w:w="2551" w:type="dxa"/>
            <w:vAlign w:val="center"/>
          </w:tcPr>
          <w:p>
            <w:pPr>
              <w:pStyle w:val="23"/>
            </w:pPr>
            <w:r>
              <w:t>4次</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生活分类办公室办公经费</w:t>
            </w:r>
          </w:p>
        </w:tc>
        <w:tc>
          <w:tcPr>
            <w:tcW w:w="2835" w:type="dxa"/>
            <w:vAlign w:val="center"/>
          </w:tcPr>
          <w:p>
            <w:pPr>
              <w:pStyle w:val="23"/>
            </w:pPr>
            <w:r>
              <w:t>生活分类办公室办公经费</w:t>
            </w:r>
          </w:p>
        </w:tc>
        <w:tc>
          <w:tcPr>
            <w:tcW w:w="2551" w:type="dxa"/>
            <w:vAlign w:val="center"/>
          </w:tcPr>
          <w:p>
            <w:pPr>
              <w:pStyle w:val="23"/>
            </w:pPr>
            <w:r>
              <w:t>10万元</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及时拨付率</w:t>
            </w:r>
          </w:p>
        </w:tc>
        <w:tc>
          <w:tcPr>
            <w:tcW w:w="2835" w:type="dxa"/>
            <w:vAlign w:val="center"/>
          </w:tcPr>
          <w:p>
            <w:pPr>
              <w:pStyle w:val="23"/>
            </w:pPr>
            <w:r>
              <w:t>及时拨付办公经费</w:t>
            </w:r>
          </w:p>
        </w:tc>
        <w:tc>
          <w:tcPr>
            <w:tcW w:w="2551" w:type="dxa"/>
            <w:vAlign w:val="center"/>
          </w:tcPr>
          <w:p>
            <w:pPr>
              <w:pStyle w:val="23"/>
            </w:pPr>
            <w:r>
              <w:t>≥95%</w:t>
            </w:r>
          </w:p>
        </w:tc>
        <w:tc>
          <w:tcPr>
            <w:tcW w:w="2268" w:type="dxa"/>
            <w:vAlign w:val="center"/>
          </w:tcPr>
          <w:p>
            <w:pPr>
              <w:pStyle w:val="23"/>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投放实施配置率</w:t>
            </w:r>
          </w:p>
        </w:tc>
        <w:tc>
          <w:tcPr>
            <w:tcW w:w="2835" w:type="dxa"/>
            <w:vAlign w:val="center"/>
          </w:tcPr>
          <w:p>
            <w:pPr>
              <w:pStyle w:val="23"/>
            </w:pPr>
            <w:r>
              <w:t>实际投放分类设施个数占应投放分类设施个数的比率</w:t>
            </w:r>
          </w:p>
        </w:tc>
        <w:tc>
          <w:tcPr>
            <w:tcW w:w="2551" w:type="dxa"/>
            <w:vAlign w:val="center"/>
          </w:tcPr>
          <w:p>
            <w:pPr>
              <w:pStyle w:val="23"/>
            </w:pPr>
            <w:r>
              <w:t>≥95%</w:t>
            </w:r>
          </w:p>
        </w:tc>
        <w:tc>
          <w:tcPr>
            <w:tcW w:w="2268" w:type="dxa"/>
            <w:vAlign w:val="center"/>
          </w:tcPr>
          <w:p>
            <w:pPr>
              <w:pStyle w:val="23"/>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提高工作效率</w:t>
            </w:r>
          </w:p>
        </w:tc>
        <w:tc>
          <w:tcPr>
            <w:tcW w:w="2835" w:type="dxa"/>
            <w:vAlign w:val="center"/>
          </w:tcPr>
          <w:p>
            <w:pPr>
              <w:pStyle w:val="23"/>
            </w:pPr>
            <w:r>
              <w:t>及时拨付办公经费，切实提升工作效率。</w:t>
            </w:r>
          </w:p>
        </w:tc>
        <w:tc>
          <w:tcPr>
            <w:tcW w:w="2551" w:type="dxa"/>
            <w:vAlign w:val="center"/>
          </w:tcPr>
          <w:p>
            <w:pPr>
              <w:pStyle w:val="23"/>
            </w:pPr>
            <w:r>
              <w:t>≥90%</w:t>
            </w:r>
          </w:p>
        </w:tc>
        <w:tc>
          <w:tcPr>
            <w:tcW w:w="2268" w:type="dxa"/>
            <w:vAlign w:val="center"/>
          </w:tcPr>
          <w:p>
            <w:pPr>
              <w:pStyle w:val="23"/>
            </w:pPr>
            <w:r>
              <w:t>《石家庄市生活垃圾分类工作实施方案》石政办发【2017】61号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单位人员满意率</w:t>
            </w:r>
          </w:p>
        </w:tc>
        <w:tc>
          <w:tcPr>
            <w:tcW w:w="2835" w:type="dxa"/>
            <w:vAlign w:val="center"/>
          </w:tcPr>
          <w:p>
            <w:pPr>
              <w:pStyle w:val="23"/>
            </w:pPr>
            <w:r>
              <w:t>调查中满意和较满意的单位人员数量占全部调查人数比率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2"/>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垃圾分类清运车辆租赁费用绩效目标表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1.租用垃圾分类清运车辆，用于垃圾清运，加快我区垃圾分类工作步伐。</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垃圾分类清运车数量</w:t>
            </w:r>
          </w:p>
        </w:tc>
        <w:tc>
          <w:tcPr>
            <w:tcW w:w="2835" w:type="dxa"/>
            <w:vAlign w:val="center"/>
          </w:tcPr>
          <w:p>
            <w:pPr>
              <w:pStyle w:val="23"/>
            </w:pPr>
            <w:r>
              <w:t>垃圾分类清运车数量</w:t>
            </w:r>
          </w:p>
        </w:tc>
        <w:tc>
          <w:tcPr>
            <w:tcW w:w="2551" w:type="dxa"/>
            <w:vAlign w:val="center"/>
          </w:tcPr>
          <w:p>
            <w:pPr>
              <w:pStyle w:val="23"/>
            </w:pPr>
            <w:r>
              <w:t>8辆</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租用垃圾分类清运车辆费用</w:t>
            </w:r>
          </w:p>
        </w:tc>
        <w:tc>
          <w:tcPr>
            <w:tcW w:w="2835" w:type="dxa"/>
            <w:vAlign w:val="center"/>
          </w:tcPr>
          <w:p>
            <w:pPr>
              <w:pStyle w:val="23"/>
            </w:pPr>
            <w:r>
              <w:t>租用垃圾分类清运车辆费用</w:t>
            </w:r>
          </w:p>
        </w:tc>
        <w:tc>
          <w:tcPr>
            <w:tcW w:w="2551" w:type="dxa"/>
            <w:vAlign w:val="center"/>
          </w:tcPr>
          <w:p>
            <w:pPr>
              <w:pStyle w:val="23"/>
            </w:pPr>
            <w:r>
              <w:t>260万元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机械化清扫率（%）</w:t>
            </w:r>
          </w:p>
        </w:tc>
        <w:tc>
          <w:tcPr>
            <w:tcW w:w="2835" w:type="dxa"/>
            <w:vAlign w:val="center"/>
          </w:tcPr>
          <w:p>
            <w:pPr>
              <w:pStyle w:val="23"/>
            </w:pPr>
            <w:r>
              <w:t>机械化清扫面积占全部清扫面积的比率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全年空气优良天数增长率（%）</w:t>
            </w:r>
          </w:p>
        </w:tc>
        <w:tc>
          <w:tcPr>
            <w:tcW w:w="2835" w:type="dxa"/>
            <w:vAlign w:val="center"/>
          </w:tcPr>
          <w:p>
            <w:pPr>
              <w:pStyle w:val="23"/>
            </w:pPr>
            <w:r>
              <w:t>全年空气优良天数同比增长率</w:t>
            </w:r>
          </w:p>
        </w:tc>
        <w:tc>
          <w:tcPr>
            <w:tcW w:w="2551" w:type="dxa"/>
            <w:vAlign w:val="center"/>
          </w:tcPr>
          <w:p>
            <w:pPr>
              <w:pStyle w:val="23"/>
            </w:pPr>
            <w:r>
              <w:t>≥90%</w:t>
            </w:r>
          </w:p>
        </w:tc>
        <w:tc>
          <w:tcPr>
            <w:tcW w:w="2268" w:type="dxa"/>
            <w:vAlign w:val="center"/>
          </w:tcPr>
          <w:p>
            <w:pPr>
              <w:pStyle w:val="23"/>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39、垃圾填埋场安装雨污分流和沼气收集装置费用绩效目标表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1.为防治病原性害虫的孳生与传播及填埋场恶臭气味的散发，保证垃圾堆体的稳定性和安全性，加快填埋场的稳定化与后续资源利用速度，保护当地生态环境。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黏土覆盖数量</w:t>
            </w:r>
          </w:p>
        </w:tc>
        <w:tc>
          <w:tcPr>
            <w:tcW w:w="2835" w:type="dxa"/>
            <w:vAlign w:val="center"/>
          </w:tcPr>
          <w:p>
            <w:pPr>
              <w:pStyle w:val="23"/>
            </w:pPr>
            <w:r>
              <w:t>黏土覆盖数量约</w:t>
            </w:r>
          </w:p>
        </w:tc>
        <w:tc>
          <w:tcPr>
            <w:tcW w:w="2551" w:type="dxa"/>
            <w:vAlign w:val="center"/>
          </w:tcPr>
          <w:p>
            <w:pPr>
              <w:pStyle w:val="23"/>
            </w:pPr>
            <w:r>
              <w:t>18000立方米</w:t>
            </w:r>
          </w:p>
        </w:tc>
        <w:tc>
          <w:tcPr>
            <w:tcW w:w="2268" w:type="dxa"/>
            <w:vAlign w:val="center"/>
          </w:tcPr>
          <w:p>
            <w:pPr>
              <w:pStyle w:val="23"/>
            </w:pPr>
            <w:r>
              <w:t>《藁城区垃圾填埋场二号库雨污分流和安装沼气收集装置工程施工合同》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垃圾填埋场安装雨污分流和沼气收集装置费用</w:t>
            </w:r>
          </w:p>
        </w:tc>
        <w:tc>
          <w:tcPr>
            <w:tcW w:w="2835" w:type="dxa"/>
            <w:vAlign w:val="center"/>
          </w:tcPr>
          <w:p>
            <w:pPr>
              <w:pStyle w:val="23"/>
            </w:pPr>
            <w:r>
              <w:t>垃圾填埋场安装雨污分流和沼气收集装置费用</w:t>
            </w:r>
          </w:p>
        </w:tc>
        <w:tc>
          <w:tcPr>
            <w:tcW w:w="2551" w:type="dxa"/>
            <w:vAlign w:val="center"/>
          </w:tcPr>
          <w:p>
            <w:pPr>
              <w:pStyle w:val="23"/>
            </w:pPr>
            <w:r>
              <w:t>337.98万元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雨污分流和安装沼气收集装置完工率</w:t>
            </w:r>
          </w:p>
        </w:tc>
        <w:tc>
          <w:tcPr>
            <w:tcW w:w="2551" w:type="dxa"/>
            <w:vAlign w:val="center"/>
          </w:tcPr>
          <w:p>
            <w:pPr>
              <w:pStyle w:val="23"/>
            </w:pPr>
            <w:r>
              <w:t>100%</w:t>
            </w:r>
          </w:p>
        </w:tc>
        <w:tc>
          <w:tcPr>
            <w:tcW w:w="2268" w:type="dxa"/>
            <w:vAlign w:val="center"/>
          </w:tcPr>
          <w:p>
            <w:pPr>
              <w:pStyle w:val="23"/>
            </w:pPr>
            <w:r>
              <w:t>《藁城区垃圾填埋场二号库雨污分流和安装沼气收集装置工程施工合同》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加快填埋场的稳定化与后续资源利用速度，保护当地生态环境。</w:t>
            </w:r>
          </w:p>
        </w:tc>
        <w:tc>
          <w:tcPr>
            <w:tcW w:w="2835" w:type="dxa"/>
            <w:vAlign w:val="center"/>
          </w:tcPr>
          <w:p>
            <w:pPr>
              <w:pStyle w:val="23"/>
            </w:pPr>
            <w:r>
              <w:t>加快填埋场的稳定化与后续资源利用速度，保护当地生态环境。</w:t>
            </w:r>
          </w:p>
        </w:tc>
        <w:tc>
          <w:tcPr>
            <w:tcW w:w="2551" w:type="dxa"/>
            <w:vAlign w:val="center"/>
          </w:tcPr>
          <w:p>
            <w:pPr>
              <w:pStyle w:val="23"/>
            </w:pPr>
            <w:r>
              <w:t>≥90%</w:t>
            </w:r>
          </w:p>
        </w:tc>
        <w:tc>
          <w:tcPr>
            <w:tcW w:w="2268" w:type="dxa"/>
            <w:vAlign w:val="center"/>
          </w:tcPr>
          <w:p>
            <w:pPr>
              <w:pStyle w:val="23"/>
            </w:pPr>
            <w:r>
              <w:t>《藁城区垃圾填埋场二号库雨污分流和安装沼气收集装置工程》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40、垃圾填埋场土壤监测及制定突发环境事件应急预案费用绩效目标表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1.明确企业用地本次土壤和地下水调查的工作程序、方法和技术要求，尽可能以有限的点位数量确认地块是否存在污染、捕捉污染最严重的区域，为开展监测工作和数据分析提供依据。</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服务数量</w:t>
            </w:r>
          </w:p>
        </w:tc>
        <w:tc>
          <w:tcPr>
            <w:tcW w:w="2835" w:type="dxa"/>
            <w:vAlign w:val="center"/>
          </w:tcPr>
          <w:p>
            <w:pPr>
              <w:pStyle w:val="23"/>
            </w:pPr>
            <w:r>
              <w:t>签订合同的服务数量</w:t>
            </w:r>
          </w:p>
        </w:tc>
        <w:tc>
          <w:tcPr>
            <w:tcW w:w="2551" w:type="dxa"/>
            <w:vAlign w:val="center"/>
          </w:tcPr>
          <w:p>
            <w:pPr>
              <w:pStyle w:val="23"/>
            </w:pPr>
            <w:r>
              <w:t>3项</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应急预案报告的编制、土壤环境监测和土壤环境检测项目</w:t>
            </w:r>
          </w:p>
        </w:tc>
        <w:tc>
          <w:tcPr>
            <w:tcW w:w="2835" w:type="dxa"/>
            <w:vAlign w:val="center"/>
          </w:tcPr>
          <w:p>
            <w:pPr>
              <w:pStyle w:val="23"/>
            </w:pPr>
            <w:r>
              <w:t>应急预案报告的编制、土壤环境监测和土壤环境检测项目费用</w:t>
            </w:r>
          </w:p>
        </w:tc>
        <w:tc>
          <w:tcPr>
            <w:tcW w:w="2551" w:type="dxa"/>
            <w:vAlign w:val="center"/>
          </w:tcPr>
          <w:p>
            <w:pPr>
              <w:pStyle w:val="23"/>
            </w:pPr>
            <w:r>
              <w:t>27.5万元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合同签订日期内完成率</w:t>
            </w:r>
          </w:p>
        </w:tc>
        <w:tc>
          <w:tcPr>
            <w:tcW w:w="2551" w:type="dxa"/>
            <w:vAlign w:val="center"/>
          </w:tcPr>
          <w:p>
            <w:pPr>
              <w:pStyle w:val="23"/>
            </w:pPr>
            <w:r>
              <w:t>100%</w:t>
            </w:r>
          </w:p>
        </w:tc>
        <w:tc>
          <w:tcPr>
            <w:tcW w:w="2268" w:type="dxa"/>
            <w:vAlign w:val="center"/>
          </w:tcPr>
          <w:p>
            <w:pPr>
              <w:pStyle w:val="23"/>
            </w:pPr>
            <w:r>
              <w:t>《石家庄市藁城区环境卫生服务站土壤环境监测技术咨询合同》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捕捉污染最严重的区域，为开展监测工作和数据分析提供依据。</w:t>
            </w:r>
          </w:p>
        </w:tc>
        <w:tc>
          <w:tcPr>
            <w:tcW w:w="2835" w:type="dxa"/>
            <w:vAlign w:val="center"/>
          </w:tcPr>
          <w:p>
            <w:pPr>
              <w:pStyle w:val="23"/>
            </w:pPr>
            <w:r>
              <w:t>捕捉污染最严重的区域，为开展监测工作和数据分析提供依据。</w:t>
            </w:r>
          </w:p>
        </w:tc>
        <w:tc>
          <w:tcPr>
            <w:tcW w:w="2551" w:type="dxa"/>
            <w:vAlign w:val="center"/>
          </w:tcPr>
          <w:p>
            <w:pPr>
              <w:pStyle w:val="23"/>
            </w:pPr>
            <w:r>
              <w:t>≥90%</w:t>
            </w:r>
          </w:p>
        </w:tc>
        <w:tc>
          <w:tcPr>
            <w:tcW w:w="2268" w:type="dxa"/>
            <w:vAlign w:val="center"/>
          </w:tcPr>
          <w:p>
            <w:pPr>
              <w:pStyle w:val="23"/>
            </w:pPr>
            <w:r>
              <w:t>《石家庄市藁城区环境卫生服务站地块2020年土壤环境自行监测方案》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41、垃圾填埋场维护费绩效目标表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确保渗滤液全部安全处置，确保水质安全达标；设施设备完好，无破损、无渗漏、无故障，场区卫生环境整洁；确保全年无安全生产事故发生。生活垃圾无害化处理，保护城市生态环境，保护水土资源不被污染，促进城市可持续发展。</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日处理规模</w:t>
            </w:r>
          </w:p>
        </w:tc>
        <w:tc>
          <w:tcPr>
            <w:tcW w:w="2835" w:type="dxa"/>
            <w:vAlign w:val="center"/>
          </w:tcPr>
          <w:p>
            <w:pPr>
              <w:pStyle w:val="23"/>
            </w:pPr>
            <w:r>
              <w:t>每日垃圾处理数量</w:t>
            </w:r>
          </w:p>
        </w:tc>
        <w:tc>
          <w:tcPr>
            <w:tcW w:w="2551" w:type="dxa"/>
            <w:vAlign w:val="center"/>
          </w:tcPr>
          <w:p>
            <w:pPr>
              <w:pStyle w:val="23"/>
            </w:pPr>
            <w:r>
              <w:t>≥450吨</w:t>
            </w:r>
          </w:p>
        </w:tc>
        <w:tc>
          <w:tcPr>
            <w:tcW w:w="2268" w:type="dxa"/>
            <w:vAlign w:val="center"/>
          </w:tcPr>
          <w:p>
            <w:pPr>
              <w:pStyle w:val="23"/>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垃圾填埋场维护费</w:t>
            </w:r>
          </w:p>
        </w:tc>
        <w:tc>
          <w:tcPr>
            <w:tcW w:w="2835" w:type="dxa"/>
            <w:vAlign w:val="center"/>
          </w:tcPr>
          <w:p>
            <w:pPr>
              <w:pStyle w:val="23"/>
            </w:pPr>
            <w:r>
              <w:t>垃圾填埋场维护费</w:t>
            </w:r>
          </w:p>
        </w:tc>
        <w:tc>
          <w:tcPr>
            <w:tcW w:w="2551" w:type="dxa"/>
            <w:vAlign w:val="center"/>
          </w:tcPr>
          <w:p>
            <w:pPr>
              <w:pStyle w:val="23"/>
            </w:pPr>
            <w:r>
              <w:t>410.73万元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生活垃圾及时处理率</w:t>
            </w:r>
          </w:p>
        </w:tc>
        <w:tc>
          <w:tcPr>
            <w:tcW w:w="2835" w:type="dxa"/>
            <w:vAlign w:val="center"/>
          </w:tcPr>
          <w:p>
            <w:pPr>
              <w:pStyle w:val="23"/>
            </w:pPr>
            <w:r>
              <w:t>每日处理生活垃圾数量占每日进场生活垃圾数量的比率</w:t>
            </w:r>
          </w:p>
        </w:tc>
        <w:tc>
          <w:tcPr>
            <w:tcW w:w="2551" w:type="dxa"/>
            <w:vAlign w:val="center"/>
          </w:tcPr>
          <w:p>
            <w:pPr>
              <w:pStyle w:val="23"/>
            </w:pPr>
            <w:r>
              <w:t>≥95%</w:t>
            </w:r>
          </w:p>
        </w:tc>
        <w:tc>
          <w:tcPr>
            <w:tcW w:w="2268" w:type="dxa"/>
            <w:vAlign w:val="center"/>
          </w:tcPr>
          <w:p>
            <w:pPr>
              <w:pStyle w:val="23"/>
            </w:pPr>
            <w:r>
              <w:t>垃圾处理台账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生活垃圾无害化处理率</w:t>
            </w:r>
          </w:p>
        </w:tc>
        <w:tc>
          <w:tcPr>
            <w:tcW w:w="2835" w:type="dxa"/>
            <w:vAlign w:val="center"/>
          </w:tcPr>
          <w:p>
            <w:pPr>
              <w:pStyle w:val="23"/>
            </w:pPr>
            <w:r>
              <w:t>生活垃圾无害化处理能量占总处理数量的比率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促进城市可持续发展</w:t>
            </w:r>
          </w:p>
        </w:tc>
        <w:tc>
          <w:tcPr>
            <w:tcW w:w="2835" w:type="dxa"/>
            <w:vAlign w:val="center"/>
          </w:tcPr>
          <w:p>
            <w:pPr>
              <w:pStyle w:val="23"/>
            </w:pPr>
            <w:r>
              <w:t>生活垃圾无害化处理，保护城市生态环境，保护水土资源不被污染，促进城市可持续发展。</w:t>
            </w:r>
          </w:p>
        </w:tc>
        <w:tc>
          <w:tcPr>
            <w:tcW w:w="2551" w:type="dxa"/>
            <w:vAlign w:val="center"/>
          </w:tcPr>
          <w:p>
            <w:pPr>
              <w:pStyle w:val="23"/>
            </w:pPr>
            <w:r>
              <w:t>≥95%</w:t>
            </w:r>
          </w:p>
        </w:tc>
        <w:tc>
          <w:tcPr>
            <w:tcW w:w="2268" w:type="dxa"/>
            <w:vAlign w:val="center"/>
          </w:tcPr>
          <w:p>
            <w:pPr>
              <w:pStyle w:val="23"/>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居民满意率</w:t>
            </w:r>
          </w:p>
        </w:tc>
        <w:tc>
          <w:tcPr>
            <w:tcW w:w="2835" w:type="dxa"/>
            <w:vAlign w:val="center"/>
          </w:tcPr>
          <w:p>
            <w:pPr>
              <w:pStyle w:val="23"/>
            </w:pPr>
            <w:r>
              <w:t>调查中满意和较满意的居民数量占全部调查人数比率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numPr>
          <w:ilvl w:val="0"/>
          <w:numId w:val="3"/>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垃圾转运站安装除臭设备绩效目标表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1.为35座垃圾转运站安装除臭设备，完善城市功能，提高城市文明程度和卫生水平，助力创建国家卫生城市，为市民创造更加宜居的城市环境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安装除臭设备数量</w:t>
            </w:r>
          </w:p>
        </w:tc>
        <w:tc>
          <w:tcPr>
            <w:tcW w:w="2835" w:type="dxa"/>
            <w:vAlign w:val="center"/>
          </w:tcPr>
          <w:p>
            <w:pPr>
              <w:pStyle w:val="23"/>
            </w:pPr>
            <w:r>
              <w:t>安装除臭设备数量</w:t>
            </w:r>
          </w:p>
        </w:tc>
        <w:tc>
          <w:tcPr>
            <w:tcW w:w="2551" w:type="dxa"/>
            <w:vAlign w:val="center"/>
          </w:tcPr>
          <w:p>
            <w:pPr>
              <w:pStyle w:val="23"/>
            </w:pPr>
            <w:r>
              <w:t>12套</w:t>
            </w:r>
          </w:p>
        </w:tc>
        <w:tc>
          <w:tcPr>
            <w:tcW w:w="2268" w:type="dxa"/>
            <w:vAlign w:val="center"/>
          </w:tcPr>
          <w:p>
            <w:pPr>
              <w:pStyle w:val="23"/>
            </w:pPr>
            <w:r>
              <w:t>《石家庄市创建国家卫生城市技术评估千分制考评细则》、《石家庄异味污染源排查整治工作方案》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采购单价</w:t>
            </w:r>
          </w:p>
        </w:tc>
        <w:tc>
          <w:tcPr>
            <w:tcW w:w="2835" w:type="dxa"/>
            <w:vAlign w:val="center"/>
          </w:tcPr>
          <w:p>
            <w:pPr>
              <w:pStyle w:val="23"/>
            </w:pPr>
            <w:r>
              <w:t>采购单价</w:t>
            </w:r>
          </w:p>
        </w:tc>
        <w:tc>
          <w:tcPr>
            <w:tcW w:w="2551" w:type="dxa"/>
            <w:vAlign w:val="center"/>
          </w:tcPr>
          <w:p>
            <w:pPr>
              <w:pStyle w:val="23"/>
            </w:pPr>
            <w:r>
              <w:t>3.8万元</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及时采购</w:t>
            </w:r>
          </w:p>
        </w:tc>
        <w:tc>
          <w:tcPr>
            <w:tcW w:w="2835" w:type="dxa"/>
            <w:vAlign w:val="center"/>
          </w:tcPr>
          <w:p>
            <w:pPr>
              <w:pStyle w:val="23"/>
            </w:pPr>
            <w:r>
              <w:t>及时采购</w:t>
            </w:r>
          </w:p>
        </w:tc>
        <w:tc>
          <w:tcPr>
            <w:tcW w:w="2551" w:type="dxa"/>
            <w:vAlign w:val="center"/>
          </w:tcPr>
          <w:p>
            <w:pPr>
              <w:pStyle w:val="23"/>
            </w:pPr>
            <w:r>
              <w:t>100%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提高城区垃圾转运站建设管理水平，解决垃圾转运站异味污染，改善人居环境质量</w:t>
            </w:r>
          </w:p>
        </w:tc>
        <w:tc>
          <w:tcPr>
            <w:tcW w:w="2835" w:type="dxa"/>
            <w:vAlign w:val="center"/>
          </w:tcPr>
          <w:p>
            <w:pPr>
              <w:pStyle w:val="23"/>
            </w:pPr>
            <w:r>
              <w:t>提高垃圾转运站内外环境，管理标准，管理精细、服务到位。</w:t>
            </w:r>
          </w:p>
        </w:tc>
        <w:tc>
          <w:tcPr>
            <w:tcW w:w="2551" w:type="dxa"/>
            <w:vAlign w:val="center"/>
          </w:tcPr>
          <w:p>
            <w:pPr>
              <w:pStyle w:val="23"/>
            </w:pPr>
            <w:r>
              <w:t>≥90%</w:t>
            </w:r>
          </w:p>
        </w:tc>
        <w:tc>
          <w:tcPr>
            <w:tcW w:w="2268" w:type="dxa"/>
            <w:vAlign w:val="center"/>
          </w:tcPr>
          <w:p>
            <w:pPr>
              <w:pStyle w:val="23"/>
            </w:pPr>
            <w:r>
              <w:t>《石家庄市创建国家卫生城市技术评估千分制考评细则》、《石家庄异味污染源排查整治工作方案》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≥80%</w:t>
            </w:r>
          </w:p>
        </w:tc>
        <w:tc>
          <w:tcPr>
            <w:tcW w:w="2268" w:type="dxa"/>
            <w:vAlign w:val="center"/>
          </w:tcPr>
          <w:p>
            <w:pPr>
              <w:pStyle w:val="23"/>
            </w:pPr>
            <w:r>
              <w:t>抽样调查</w:t>
            </w:r>
          </w:p>
        </w:tc>
      </w:tr>
    </w:tbl>
    <w:p>
      <w:pPr>
        <w:pStyle w:val="21"/>
      </w:pPr>
    </w:p>
    <w:p>
      <w:pPr>
        <w:pStyle w:val="21"/>
      </w:pPr>
    </w:p>
    <w:p>
      <w:pPr>
        <w:pStyle w:val="21"/>
      </w:pPr>
    </w:p>
    <w:p>
      <w:pPr>
        <w:pStyle w:val="21"/>
        <w:numPr>
          <w:ilvl w:val="0"/>
          <w:numId w:val="3"/>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廉西大街1-2标段养护费（2019.11.16-2020.6.16）绩效目标表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1.植物生长健壮、无病虫害、无裸露地面，分车带植物修剪整齐，造型优美；开花植物能展现良好植物景观。</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垃圾及时清理率</w:t>
            </w:r>
          </w:p>
        </w:tc>
        <w:tc>
          <w:tcPr>
            <w:tcW w:w="2835" w:type="dxa"/>
            <w:vAlign w:val="center"/>
          </w:tcPr>
          <w:p>
            <w:pPr>
              <w:pStyle w:val="23"/>
            </w:pPr>
            <w:r>
              <w:t>绿地垃圾及时清理量占绿地内垃圾总量的比率</w:t>
            </w:r>
          </w:p>
        </w:tc>
        <w:tc>
          <w:tcPr>
            <w:tcW w:w="2551" w:type="dxa"/>
            <w:vAlign w:val="center"/>
          </w:tcPr>
          <w:p>
            <w:pPr>
              <w:pStyle w:val="23"/>
            </w:pPr>
            <w:r>
              <w:t>≥95%</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植物保存率</w:t>
            </w:r>
          </w:p>
        </w:tc>
        <w:tc>
          <w:tcPr>
            <w:tcW w:w="2835" w:type="dxa"/>
            <w:vAlign w:val="center"/>
          </w:tcPr>
          <w:p>
            <w:pPr>
              <w:pStyle w:val="23"/>
            </w:pPr>
            <w:r>
              <w:t>存活植物数量占种植植物数量的比率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廉西大街养护时间</w:t>
            </w:r>
          </w:p>
        </w:tc>
        <w:tc>
          <w:tcPr>
            <w:tcW w:w="2835" w:type="dxa"/>
            <w:vAlign w:val="center"/>
          </w:tcPr>
          <w:p>
            <w:pPr>
              <w:pStyle w:val="23"/>
            </w:pPr>
            <w:r>
              <w:t>廉西大街养护时间</w:t>
            </w:r>
          </w:p>
        </w:tc>
        <w:tc>
          <w:tcPr>
            <w:tcW w:w="2551" w:type="dxa"/>
            <w:vAlign w:val="center"/>
          </w:tcPr>
          <w:p>
            <w:pPr>
              <w:pStyle w:val="23"/>
            </w:pPr>
            <w:r>
              <w:t>7个月</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廉西大街养护费</w:t>
            </w:r>
          </w:p>
        </w:tc>
        <w:tc>
          <w:tcPr>
            <w:tcW w:w="2835" w:type="dxa"/>
            <w:vAlign w:val="center"/>
          </w:tcPr>
          <w:p>
            <w:pPr>
              <w:pStyle w:val="23"/>
            </w:pPr>
            <w:r>
              <w:t>财政评审廉西大街养护费</w:t>
            </w:r>
          </w:p>
        </w:tc>
        <w:tc>
          <w:tcPr>
            <w:tcW w:w="2551" w:type="dxa"/>
            <w:vAlign w:val="center"/>
          </w:tcPr>
          <w:p>
            <w:pPr>
              <w:pStyle w:val="23"/>
            </w:pPr>
            <w:r>
              <w:t>161.66万元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保证建成区绿地面积</w:t>
            </w:r>
          </w:p>
        </w:tc>
        <w:tc>
          <w:tcPr>
            <w:tcW w:w="2835" w:type="dxa"/>
            <w:vAlign w:val="center"/>
          </w:tcPr>
          <w:p>
            <w:pPr>
              <w:pStyle w:val="23"/>
            </w:pPr>
            <w:r>
              <w:t>保证建成区绿地面积，创造宜居环境</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3"/>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廉州路、育英路及迎宾大道灯杆悬挂宫灯工程绩效目标表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1.廉州路、育英路及迎宾大道灯杆悬挂材质为亚克力板宫灯样式串灯，已完成。丰富人民群众的精神文化生活，突出藁城特色，给全区人民营造一个欢乐、祥和、美观的节日气氛。</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悬挂亚克力板宫灯</w:t>
            </w:r>
          </w:p>
        </w:tc>
        <w:tc>
          <w:tcPr>
            <w:tcW w:w="2835" w:type="dxa"/>
            <w:vAlign w:val="center"/>
          </w:tcPr>
          <w:p>
            <w:pPr>
              <w:pStyle w:val="23"/>
            </w:pPr>
            <w:r>
              <w:t>悬挂亚克力板宫灯数量</w:t>
            </w:r>
          </w:p>
        </w:tc>
        <w:tc>
          <w:tcPr>
            <w:tcW w:w="2551" w:type="dxa"/>
            <w:vAlign w:val="center"/>
          </w:tcPr>
          <w:p>
            <w:pPr>
              <w:pStyle w:val="23"/>
            </w:pPr>
            <w:r>
              <w:t>542组</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工程费合同价格</w:t>
            </w:r>
          </w:p>
        </w:tc>
        <w:tc>
          <w:tcPr>
            <w:tcW w:w="2835" w:type="dxa"/>
            <w:vAlign w:val="center"/>
          </w:tcPr>
          <w:p>
            <w:pPr>
              <w:pStyle w:val="23"/>
            </w:pPr>
            <w:r>
              <w:t>工程费合同价格</w:t>
            </w:r>
          </w:p>
        </w:tc>
        <w:tc>
          <w:tcPr>
            <w:tcW w:w="2551" w:type="dxa"/>
            <w:vAlign w:val="center"/>
          </w:tcPr>
          <w:p>
            <w:pPr>
              <w:pStyle w:val="23"/>
            </w:pPr>
            <w:r>
              <w:t>172.01万元</w:t>
            </w:r>
          </w:p>
        </w:tc>
        <w:tc>
          <w:tcPr>
            <w:tcW w:w="2268" w:type="dxa"/>
            <w:vAlign w:val="center"/>
          </w:tcPr>
          <w:p>
            <w:pPr>
              <w:pStyle w:val="23"/>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提升城市夜景色彩，丰富市民生活</w:t>
            </w:r>
          </w:p>
        </w:tc>
        <w:tc>
          <w:tcPr>
            <w:tcW w:w="2835" w:type="dxa"/>
            <w:vAlign w:val="center"/>
          </w:tcPr>
          <w:p>
            <w:pPr>
              <w:pStyle w:val="23"/>
            </w:pPr>
            <w:r>
              <w:t>提升城市夜景观赏效果</w:t>
            </w:r>
          </w:p>
        </w:tc>
        <w:tc>
          <w:tcPr>
            <w:tcW w:w="2551" w:type="dxa"/>
            <w:vAlign w:val="center"/>
          </w:tcPr>
          <w:p>
            <w:pPr>
              <w:pStyle w:val="23"/>
            </w:pPr>
            <w:r>
              <w:t>≥90%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45、农村积存生活垃圾清运费用绩效目标表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1.完成农村积存垃圾清运工作。完善提升环卫基础设施水平，落实国家级卫生城市创建工作，提升市容环境卫生水平，创造宜居环境。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动用清运垃圾车</w:t>
            </w:r>
          </w:p>
        </w:tc>
        <w:tc>
          <w:tcPr>
            <w:tcW w:w="2835" w:type="dxa"/>
            <w:vAlign w:val="center"/>
          </w:tcPr>
          <w:p>
            <w:pPr>
              <w:pStyle w:val="23"/>
            </w:pPr>
            <w:r>
              <w:t>动用清运垃圾车数量</w:t>
            </w:r>
          </w:p>
        </w:tc>
        <w:tc>
          <w:tcPr>
            <w:tcW w:w="2551" w:type="dxa"/>
            <w:vAlign w:val="center"/>
          </w:tcPr>
          <w:p>
            <w:pPr>
              <w:pStyle w:val="23"/>
            </w:pPr>
            <w:r>
              <w:t>17406车次</w:t>
            </w:r>
          </w:p>
        </w:tc>
        <w:tc>
          <w:tcPr>
            <w:tcW w:w="2268" w:type="dxa"/>
            <w:vAlign w:val="center"/>
          </w:tcPr>
          <w:p>
            <w:pPr>
              <w:pStyle w:val="23"/>
            </w:pPr>
            <w:r>
              <w:t>农村积存生活垃圾清运情况表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清运费单价</w:t>
            </w:r>
          </w:p>
        </w:tc>
        <w:tc>
          <w:tcPr>
            <w:tcW w:w="2835" w:type="dxa"/>
            <w:vAlign w:val="center"/>
          </w:tcPr>
          <w:p>
            <w:pPr>
              <w:pStyle w:val="23"/>
            </w:pPr>
            <w:r>
              <w:t>307国道以南清运费用单价</w:t>
            </w:r>
          </w:p>
        </w:tc>
        <w:tc>
          <w:tcPr>
            <w:tcW w:w="2551" w:type="dxa"/>
            <w:vAlign w:val="center"/>
          </w:tcPr>
          <w:p>
            <w:pPr>
              <w:pStyle w:val="23"/>
            </w:pPr>
            <w:r>
              <w:t>370元/车</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垃圾中转机械化实施率</w:t>
            </w:r>
          </w:p>
        </w:tc>
        <w:tc>
          <w:tcPr>
            <w:tcW w:w="2835" w:type="dxa"/>
            <w:vAlign w:val="center"/>
          </w:tcPr>
          <w:p>
            <w:pPr>
              <w:pStyle w:val="23"/>
            </w:pPr>
            <w:r>
              <w:t>垃圾机械中转数量占垃圾中转总量的比率</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完善提升环卫基础设施水平</w:t>
            </w:r>
          </w:p>
        </w:tc>
        <w:tc>
          <w:tcPr>
            <w:tcW w:w="2835" w:type="dxa"/>
            <w:vAlign w:val="center"/>
          </w:tcPr>
          <w:p>
            <w:pPr>
              <w:pStyle w:val="23"/>
            </w:pPr>
            <w:r>
              <w:t>完善提升环卫基础设施水平，创造宜居农村环境。</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46、</w:t>
      </w:r>
      <w:r>
        <w:rPr>
          <w:rFonts w:ascii="方正仿宋_GBK" w:hAnsi="方正仿宋_GBK" w:eastAsia="方正仿宋_GBK" w:cs="方正仿宋_GBK"/>
          <w:b/>
          <w:color w:val="000000"/>
          <w:sz w:val="28"/>
        </w:rPr>
        <w:t>农村垃圾分类试点工作经费绩效目标表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1.目标内容1主要用于梅花镇倪家庄村垃圾分类试点工作的运营</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及时签订服务合同</w:t>
            </w:r>
          </w:p>
        </w:tc>
        <w:tc>
          <w:tcPr>
            <w:tcW w:w="2835" w:type="dxa"/>
            <w:vAlign w:val="center"/>
          </w:tcPr>
          <w:p>
            <w:pPr>
              <w:pStyle w:val="23"/>
            </w:pPr>
            <w:r>
              <w:t>及时签订服务合同</w:t>
            </w:r>
          </w:p>
        </w:tc>
        <w:tc>
          <w:tcPr>
            <w:tcW w:w="2551" w:type="dxa"/>
            <w:vAlign w:val="center"/>
          </w:tcPr>
          <w:p>
            <w:pPr>
              <w:pStyle w:val="23"/>
            </w:pPr>
            <w:r>
              <w:t>100%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村民垃圾分类知晓率</w:t>
            </w:r>
          </w:p>
        </w:tc>
        <w:tc>
          <w:tcPr>
            <w:tcW w:w="2835" w:type="dxa"/>
            <w:vAlign w:val="center"/>
          </w:tcPr>
          <w:p>
            <w:pPr>
              <w:pStyle w:val="23"/>
            </w:pPr>
            <w:r>
              <w:t>村民垃圾分类知晓率</w:t>
            </w:r>
          </w:p>
        </w:tc>
        <w:tc>
          <w:tcPr>
            <w:tcW w:w="2551" w:type="dxa"/>
            <w:vAlign w:val="center"/>
          </w:tcPr>
          <w:p>
            <w:pPr>
              <w:pStyle w:val="23"/>
            </w:pPr>
            <w:r>
              <w:t>100%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农村垃圾分类试点运营服务费用</w:t>
            </w:r>
          </w:p>
        </w:tc>
        <w:tc>
          <w:tcPr>
            <w:tcW w:w="2835" w:type="dxa"/>
            <w:vAlign w:val="center"/>
          </w:tcPr>
          <w:p>
            <w:pPr>
              <w:pStyle w:val="23"/>
            </w:pPr>
            <w:r>
              <w:t>倪家庄村生活垃圾分类年服务费</w:t>
            </w:r>
          </w:p>
        </w:tc>
        <w:tc>
          <w:tcPr>
            <w:tcW w:w="2551" w:type="dxa"/>
            <w:vAlign w:val="center"/>
          </w:tcPr>
          <w:p>
            <w:pPr>
              <w:pStyle w:val="23"/>
            </w:pPr>
            <w:r>
              <w:t>12万</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农村垃圾分类试点</w:t>
            </w:r>
          </w:p>
        </w:tc>
        <w:tc>
          <w:tcPr>
            <w:tcW w:w="2835" w:type="dxa"/>
            <w:vAlign w:val="center"/>
          </w:tcPr>
          <w:p>
            <w:pPr>
              <w:pStyle w:val="23"/>
            </w:pPr>
            <w:r>
              <w:t>梅花镇倪家庄村</w:t>
            </w:r>
          </w:p>
        </w:tc>
        <w:tc>
          <w:tcPr>
            <w:tcW w:w="2551" w:type="dxa"/>
            <w:vAlign w:val="center"/>
          </w:tcPr>
          <w:p>
            <w:pPr>
              <w:pStyle w:val="23"/>
            </w:pPr>
            <w:r>
              <w:t>1个</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农村生活垃圾分类运营良好，发挥了示范引领作用</w:t>
            </w:r>
          </w:p>
        </w:tc>
        <w:tc>
          <w:tcPr>
            <w:tcW w:w="2835" w:type="dxa"/>
            <w:vAlign w:val="center"/>
          </w:tcPr>
          <w:p>
            <w:pPr>
              <w:pStyle w:val="23"/>
            </w:pPr>
            <w:r>
              <w:t>农村生活垃圾分类运营良好，发挥了示范引领作用</w:t>
            </w:r>
          </w:p>
        </w:tc>
        <w:tc>
          <w:tcPr>
            <w:tcW w:w="2551" w:type="dxa"/>
            <w:vAlign w:val="center"/>
          </w:tcPr>
          <w:p>
            <w:pPr>
              <w:pStyle w:val="23"/>
            </w:pPr>
            <w:r>
              <w:t>≥90%</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调查问卷</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47、</w:t>
      </w:r>
      <w:r>
        <w:rPr>
          <w:rFonts w:ascii="方正仿宋_GBK" w:hAnsi="方正仿宋_GBK" w:eastAsia="方正仿宋_GBK" w:cs="方正仿宋_GBK"/>
          <w:b/>
          <w:color w:val="000000"/>
          <w:sz w:val="28"/>
        </w:rPr>
        <w:t>农村生活垃圾市场化运营费绩效目标表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1.全区226个农村区域主要街道卫生整洁，小街小巷干净整齐，无垃圾无漂浮物，垃圾桶外无散落垃圾。</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及时考核完成率</w:t>
            </w:r>
          </w:p>
        </w:tc>
        <w:tc>
          <w:tcPr>
            <w:tcW w:w="2835" w:type="dxa"/>
            <w:vAlign w:val="center"/>
          </w:tcPr>
          <w:p>
            <w:pPr>
              <w:pStyle w:val="23"/>
            </w:pPr>
            <w:r>
              <w:t>及时完成考核乡镇数量占所有乡镇数量的比率</w:t>
            </w:r>
          </w:p>
        </w:tc>
        <w:tc>
          <w:tcPr>
            <w:tcW w:w="2551" w:type="dxa"/>
            <w:vAlign w:val="center"/>
          </w:tcPr>
          <w:p>
            <w:pPr>
              <w:pStyle w:val="23"/>
            </w:pPr>
            <w:r>
              <w:t>100%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年运营费</w:t>
            </w:r>
          </w:p>
        </w:tc>
        <w:tc>
          <w:tcPr>
            <w:tcW w:w="2835" w:type="dxa"/>
            <w:vAlign w:val="center"/>
          </w:tcPr>
          <w:p>
            <w:pPr>
              <w:pStyle w:val="23"/>
            </w:pPr>
            <w:r>
              <w:t>年运营费</w:t>
            </w:r>
          </w:p>
        </w:tc>
        <w:tc>
          <w:tcPr>
            <w:tcW w:w="2551" w:type="dxa"/>
            <w:vAlign w:val="center"/>
          </w:tcPr>
          <w:p>
            <w:pPr>
              <w:pStyle w:val="23"/>
            </w:pPr>
            <w:r>
              <w:t>5072.19万元</w:t>
            </w:r>
          </w:p>
        </w:tc>
        <w:tc>
          <w:tcPr>
            <w:tcW w:w="2268" w:type="dxa"/>
            <w:vAlign w:val="center"/>
          </w:tcPr>
          <w:p>
            <w:pPr>
              <w:pStyle w:val="23"/>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农村垃圾市场化运营覆盖乡镇</w:t>
            </w:r>
          </w:p>
        </w:tc>
        <w:tc>
          <w:tcPr>
            <w:tcW w:w="2835" w:type="dxa"/>
            <w:vAlign w:val="center"/>
          </w:tcPr>
          <w:p>
            <w:pPr>
              <w:pStyle w:val="23"/>
            </w:pPr>
            <w:r>
              <w:t>农村垃圾市场化运营覆盖乡镇数量</w:t>
            </w:r>
          </w:p>
        </w:tc>
        <w:tc>
          <w:tcPr>
            <w:tcW w:w="2551" w:type="dxa"/>
            <w:vAlign w:val="center"/>
          </w:tcPr>
          <w:p>
            <w:pPr>
              <w:pStyle w:val="23"/>
            </w:pPr>
            <w:r>
              <w:t>14个</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清扫保洁率（%）</w:t>
            </w:r>
          </w:p>
        </w:tc>
        <w:tc>
          <w:tcPr>
            <w:tcW w:w="2835" w:type="dxa"/>
            <w:vAlign w:val="center"/>
          </w:tcPr>
          <w:p>
            <w:pPr>
              <w:pStyle w:val="23"/>
            </w:pPr>
            <w:r>
              <w:t>清扫面积占全部应清扫面积的比率</w:t>
            </w:r>
          </w:p>
        </w:tc>
        <w:tc>
          <w:tcPr>
            <w:tcW w:w="2551" w:type="dxa"/>
            <w:vAlign w:val="center"/>
          </w:tcPr>
          <w:p>
            <w:pPr>
              <w:pStyle w:val="23"/>
            </w:pPr>
            <w:r>
              <w:t>≥90%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改善农村生活环境</w:t>
            </w:r>
          </w:p>
        </w:tc>
        <w:tc>
          <w:tcPr>
            <w:tcW w:w="2835" w:type="dxa"/>
            <w:vAlign w:val="center"/>
          </w:tcPr>
          <w:p>
            <w:pPr>
              <w:pStyle w:val="23"/>
            </w:pPr>
            <w:r>
              <w:t>实现农村环境卫生大改观，农村面貌大提升。</w:t>
            </w:r>
          </w:p>
        </w:tc>
        <w:tc>
          <w:tcPr>
            <w:tcW w:w="2551" w:type="dxa"/>
            <w:vAlign w:val="center"/>
          </w:tcPr>
          <w:p>
            <w:pPr>
              <w:pStyle w:val="23"/>
            </w:pPr>
            <w:r>
              <w:t>≥90%</w:t>
            </w:r>
          </w:p>
        </w:tc>
        <w:tc>
          <w:tcPr>
            <w:tcW w:w="2268" w:type="dxa"/>
            <w:vAlign w:val="center"/>
          </w:tcPr>
          <w:p>
            <w:pPr>
              <w:pStyle w:val="23"/>
            </w:pPr>
            <w:r>
              <w:t>藁政办文【2018】91、92号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48、</w:t>
      </w:r>
      <w:r>
        <w:rPr>
          <w:rFonts w:ascii="方正仿宋_GBK" w:hAnsi="方正仿宋_GBK" w:eastAsia="方正仿宋_GBK" w:cs="方正仿宋_GBK"/>
          <w:b/>
          <w:color w:val="000000"/>
          <w:sz w:val="28"/>
        </w:rPr>
        <w:t>人民医院北侧停车场建设用地租金绩效目标表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1.完成场地租赁，进行停车场建设。解决停车难、停车乱及由停车设施不足导致的一系列交通问题。</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租赁期限</w:t>
            </w:r>
          </w:p>
        </w:tc>
        <w:tc>
          <w:tcPr>
            <w:tcW w:w="2835" w:type="dxa"/>
            <w:vAlign w:val="center"/>
          </w:tcPr>
          <w:p>
            <w:pPr>
              <w:pStyle w:val="23"/>
            </w:pPr>
            <w:r>
              <w:t>合同租赁期限</w:t>
            </w:r>
          </w:p>
        </w:tc>
        <w:tc>
          <w:tcPr>
            <w:tcW w:w="2551" w:type="dxa"/>
            <w:vAlign w:val="center"/>
          </w:tcPr>
          <w:p>
            <w:pPr>
              <w:pStyle w:val="23"/>
            </w:pPr>
            <w:r>
              <w:t>1年</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城市公共停车场工程项目建设标准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租赁价格</w:t>
            </w:r>
          </w:p>
        </w:tc>
        <w:tc>
          <w:tcPr>
            <w:tcW w:w="2835" w:type="dxa"/>
            <w:vAlign w:val="center"/>
          </w:tcPr>
          <w:p>
            <w:pPr>
              <w:pStyle w:val="23"/>
            </w:pPr>
            <w:r>
              <w:t>年租赁价格</w:t>
            </w:r>
          </w:p>
        </w:tc>
        <w:tc>
          <w:tcPr>
            <w:tcW w:w="2551" w:type="dxa"/>
            <w:vAlign w:val="center"/>
          </w:tcPr>
          <w:p>
            <w:pPr>
              <w:pStyle w:val="23"/>
            </w:pPr>
            <w:r>
              <w:t>20万元</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占地面积</w:t>
            </w:r>
          </w:p>
        </w:tc>
        <w:tc>
          <w:tcPr>
            <w:tcW w:w="2835" w:type="dxa"/>
            <w:vAlign w:val="center"/>
          </w:tcPr>
          <w:p>
            <w:pPr>
              <w:pStyle w:val="23"/>
            </w:pPr>
            <w:r>
              <w:t>占地面积</w:t>
            </w:r>
          </w:p>
        </w:tc>
        <w:tc>
          <w:tcPr>
            <w:tcW w:w="2551" w:type="dxa"/>
            <w:vAlign w:val="center"/>
          </w:tcPr>
          <w:p>
            <w:pPr>
              <w:pStyle w:val="23"/>
            </w:pPr>
            <w:r>
              <w:t>8067.5平方米</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停车舒适度</w:t>
            </w:r>
          </w:p>
        </w:tc>
        <w:tc>
          <w:tcPr>
            <w:tcW w:w="2835" w:type="dxa"/>
            <w:vAlign w:val="center"/>
          </w:tcPr>
          <w:p>
            <w:pPr>
              <w:pStyle w:val="23"/>
            </w:pPr>
            <w:r>
              <w:t>缓解居民停车难的问题</w:t>
            </w:r>
          </w:p>
        </w:tc>
        <w:tc>
          <w:tcPr>
            <w:tcW w:w="2551" w:type="dxa"/>
            <w:vAlign w:val="center"/>
          </w:tcPr>
          <w:p>
            <w:pPr>
              <w:pStyle w:val="23"/>
            </w:pPr>
            <w:r>
              <w:t>≥90%</w:t>
            </w:r>
          </w:p>
        </w:tc>
        <w:tc>
          <w:tcPr>
            <w:tcW w:w="2268" w:type="dxa"/>
            <w:vAlign w:val="center"/>
          </w:tcPr>
          <w:p>
            <w:pPr>
              <w:pStyle w:val="2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4"/>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社区垃圾分类引导员经费绩效目标表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1.12个社区配备垃圾分类引导员，宣传引导垃圾分类工作，提高居民知晓率、参与率和投放准确率。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配备引导员的社区</w:t>
            </w:r>
          </w:p>
        </w:tc>
        <w:tc>
          <w:tcPr>
            <w:tcW w:w="2835" w:type="dxa"/>
            <w:vAlign w:val="center"/>
          </w:tcPr>
          <w:p>
            <w:pPr>
              <w:pStyle w:val="23"/>
            </w:pPr>
            <w:r>
              <w:t>配备引导员的社区数量</w:t>
            </w:r>
          </w:p>
        </w:tc>
        <w:tc>
          <w:tcPr>
            <w:tcW w:w="2551" w:type="dxa"/>
            <w:vAlign w:val="center"/>
          </w:tcPr>
          <w:p>
            <w:pPr>
              <w:pStyle w:val="23"/>
            </w:pPr>
            <w:r>
              <w:t>1228</w:t>
            </w:r>
          </w:p>
        </w:tc>
        <w:tc>
          <w:tcPr>
            <w:tcW w:w="2268" w:type="dxa"/>
            <w:vAlign w:val="center"/>
          </w:tcPr>
          <w:p>
            <w:pPr>
              <w:pStyle w:val="23"/>
            </w:pPr>
            <w:r>
              <w:t>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及时引导参与率</w:t>
            </w:r>
          </w:p>
        </w:tc>
        <w:tc>
          <w:tcPr>
            <w:tcW w:w="2835" w:type="dxa"/>
            <w:vAlign w:val="center"/>
          </w:tcPr>
          <w:p>
            <w:pPr>
              <w:pStyle w:val="23"/>
            </w:pPr>
            <w:r>
              <w:t>及时参与垃圾分类居民数量占社区居民数量的比率</w:t>
            </w:r>
          </w:p>
        </w:tc>
        <w:tc>
          <w:tcPr>
            <w:tcW w:w="2551" w:type="dxa"/>
            <w:vAlign w:val="center"/>
          </w:tcPr>
          <w:p>
            <w:pPr>
              <w:pStyle w:val="23"/>
            </w:pPr>
            <w:r>
              <w:t>≥951675.85</w:t>
            </w:r>
          </w:p>
        </w:tc>
        <w:tc>
          <w:tcPr>
            <w:tcW w:w="2268" w:type="dxa"/>
            <w:vAlign w:val="center"/>
          </w:tcPr>
          <w:p>
            <w:pPr>
              <w:pStyle w:val="23"/>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社区生活垃圾分类引导员经费</w:t>
            </w:r>
          </w:p>
        </w:tc>
        <w:tc>
          <w:tcPr>
            <w:tcW w:w="2835" w:type="dxa"/>
            <w:vAlign w:val="center"/>
          </w:tcPr>
          <w:p>
            <w:pPr>
              <w:pStyle w:val="23"/>
            </w:pPr>
            <w:r>
              <w:t>引导员工资待遇</w:t>
            </w:r>
          </w:p>
        </w:tc>
        <w:tc>
          <w:tcPr>
            <w:tcW w:w="2551" w:type="dxa"/>
            <w:vAlign w:val="center"/>
          </w:tcPr>
          <w:p>
            <w:pPr>
              <w:pStyle w:val="23"/>
            </w:pPr>
            <w:r>
              <w:t>214.6890</w:t>
            </w:r>
          </w:p>
        </w:tc>
        <w:tc>
          <w:tcPr>
            <w:tcW w:w="2268" w:type="dxa"/>
            <w:vAlign w:val="center"/>
          </w:tcPr>
          <w:p>
            <w:pPr>
              <w:pStyle w:val="2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投放准确率</w:t>
            </w:r>
          </w:p>
        </w:tc>
        <w:tc>
          <w:tcPr>
            <w:tcW w:w="2835" w:type="dxa"/>
            <w:vAlign w:val="center"/>
          </w:tcPr>
          <w:p>
            <w:pPr>
              <w:pStyle w:val="23"/>
            </w:pPr>
            <w:r>
              <w:t>垃圾分类准确次数占投放次数的比率</w:t>
            </w:r>
          </w:p>
        </w:tc>
        <w:tc>
          <w:tcPr>
            <w:tcW w:w="2551" w:type="dxa"/>
            <w:vAlign w:val="center"/>
          </w:tcPr>
          <w:p>
            <w:pPr>
              <w:pStyle w:val="23"/>
            </w:pPr>
            <w:r>
              <w:t>≥6090</w:t>
            </w:r>
          </w:p>
        </w:tc>
        <w:tc>
          <w:tcPr>
            <w:tcW w:w="2268" w:type="dxa"/>
            <w:vAlign w:val="center"/>
          </w:tcPr>
          <w:p>
            <w:pPr>
              <w:pStyle w:val="2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净化环境，提高居民素质</w:t>
            </w:r>
          </w:p>
        </w:tc>
        <w:tc>
          <w:tcPr>
            <w:tcW w:w="2835" w:type="dxa"/>
            <w:vAlign w:val="center"/>
          </w:tcPr>
          <w:p>
            <w:pPr>
              <w:pStyle w:val="23"/>
            </w:pPr>
            <w:r>
              <w:t>净化环境，提高居民素质</w:t>
            </w:r>
          </w:p>
        </w:tc>
        <w:tc>
          <w:tcPr>
            <w:tcW w:w="2551" w:type="dxa"/>
            <w:vAlign w:val="center"/>
          </w:tcPr>
          <w:p>
            <w:pPr>
              <w:pStyle w:val="23"/>
            </w:pPr>
            <w:r>
              <w:t>≥9590</w:t>
            </w:r>
          </w:p>
        </w:tc>
        <w:tc>
          <w:tcPr>
            <w:tcW w:w="2268" w:type="dxa"/>
            <w:vAlign w:val="center"/>
          </w:tcPr>
          <w:p>
            <w:pPr>
              <w:pStyle w:val="2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50、生活垃圾转运栾城、晋州、赵县垃圾焚烧厂处理费绩效目标表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目标内容1预算数2489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签订生活垃圾处置协议</w:t>
            </w:r>
          </w:p>
        </w:tc>
        <w:tc>
          <w:tcPr>
            <w:tcW w:w="2835" w:type="dxa"/>
            <w:vAlign w:val="center"/>
          </w:tcPr>
          <w:p>
            <w:pPr>
              <w:pStyle w:val="23"/>
            </w:pPr>
            <w:r>
              <w:t>签订生活垃圾处置协议数量</w:t>
            </w:r>
          </w:p>
        </w:tc>
        <w:tc>
          <w:tcPr>
            <w:tcW w:w="2551" w:type="dxa"/>
            <w:vAlign w:val="center"/>
          </w:tcPr>
          <w:p>
            <w:pPr>
              <w:pStyle w:val="23"/>
            </w:pPr>
            <w:r>
              <w:t>3个</w:t>
            </w:r>
          </w:p>
        </w:tc>
        <w:tc>
          <w:tcPr>
            <w:tcW w:w="2268" w:type="dxa"/>
            <w:vAlign w:val="center"/>
          </w:tcPr>
          <w:p>
            <w:pPr>
              <w:pStyle w:val="23"/>
            </w:pPr>
            <w:r>
              <w:t>《关于加快封闭停用生活垃圾焚烧处理设施覆盖地区填埋场的通知》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处理藁城区生活垃圾数量</w:t>
            </w:r>
          </w:p>
        </w:tc>
        <w:tc>
          <w:tcPr>
            <w:tcW w:w="2835" w:type="dxa"/>
            <w:vAlign w:val="center"/>
          </w:tcPr>
          <w:p>
            <w:pPr>
              <w:pStyle w:val="23"/>
            </w:pPr>
            <w:r>
              <w:t>处理建成区及乡镇生活垃圾数量约</w:t>
            </w:r>
          </w:p>
        </w:tc>
        <w:tc>
          <w:tcPr>
            <w:tcW w:w="2551" w:type="dxa"/>
            <w:vAlign w:val="center"/>
          </w:tcPr>
          <w:p>
            <w:pPr>
              <w:pStyle w:val="23"/>
            </w:pPr>
            <w:r>
              <w:t>22万吨</w:t>
            </w:r>
          </w:p>
        </w:tc>
        <w:tc>
          <w:tcPr>
            <w:tcW w:w="2268" w:type="dxa"/>
            <w:vAlign w:val="center"/>
          </w:tcPr>
          <w:p>
            <w:pPr>
              <w:pStyle w:val="23"/>
            </w:pPr>
            <w:r>
              <w:t>藁城区人口数量每天产生垃圾08-1.5公斤计算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生活垃圾处理及时率</w:t>
            </w:r>
          </w:p>
        </w:tc>
        <w:tc>
          <w:tcPr>
            <w:tcW w:w="2835" w:type="dxa"/>
            <w:vAlign w:val="center"/>
          </w:tcPr>
          <w:p>
            <w:pPr>
              <w:pStyle w:val="23"/>
            </w:pPr>
            <w:r>
              <w:t>生活垃圾处理及时率占应处理比率</w:t>
            </w:r>
          </w:p>
        </w:tc>
        <w:tc>
          <w:tcPr>
            <w:tcW w:w="2551" w:type="dxa"/>
            <w:vAlign w:val="center"/>
          </w:tcPr>
          <w:p>
            <w:pPr>
              <w:pStyle w:val="23"/>
            </w:pPr>
            <w:r>
              <w:t>100%</w:t>
            </w:r>
          </w:p>
        </w:tc>
        <w:tc>
          <w:tcPr>
            <w:tcW w:w="2268" w:type="dxa"/>
            <w:vAlign w:val="center"/>
          </w:tcPr>
          <w:p>
            <w:pPr>
              <w:pStyle w:val="23"/>
            </w:pPr>
            <w:r>
              <w:t>电厂磅单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生活垃圾处置费用每吨79元、80元，农村中转站运输费用每吨40元</w:t>
            </w:r>
          </w:p>
        </w:tc>
        <w:tc>
          <w:tcPr>
            <w:tcW w:w="2835" w:type="dxa"/>
            <w:vAlign w:val="center"/>
          </w:tcPr>
          <w:p>
            <w:pPr>
              <w:pStyle w:val="23"/>
            </w:pPr>
            <w:r>
              <w:t>生活垃圾处置费用每吨79元、80元，农村中转站运输费用每吨40元</w:t>
            </w:r>
          </w:p>
        </w:tc>
        <w:tc>
          <w:tcPr>
            <w:tcW w:w="2551" w:type="dxa"/>
            <w:vAlign w:val="center"/>
          </w:tcPr>
          <w:p>
            <w:pPr>
              <w:pStyle w:val="23"/>
            </w:pPr>
            <w:r>
              <w:t>≥2489万元</w:t>
            </w:r>
          </w:p>
        </w:tc>
        <w:tc>
          <w:tcPr>
            <w:tcW w:w="2268" w:type="dxa"/>
            <w:vAlign w:val="center"/>
          </w:tcPr>
          <w:p>
            <w:pPr>
              <w:pStyle w:val="23"/>
            </w:pPr>
            <w:r>
              <w:t>签订生活垃圾协议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提升垃圾无害化处理率达到100%，创造优质人居环境的效果。</w:t>
            </w:r>
          </w:p>
        </w:tc>
        <w:tc>
          <w:tcPr>
            <w:tcW w:w="2835" w:type="dxa"/>
            <w:vAlign w:val="center"/>
          </w:tcPr>
          <w:p>
            <w:pPr>
              <w:pStyle w:val="23"/>
            </w:pPr>
            <w:r>
              <w:t>提升垃圾无害化处理率达到100%，创造优质人居环境的效果。</w:t>
            </w:r>
          </w:p>
        </w:tc>
        <w:tc>
          <w:tcPr>
            <w:tcW w:w="2551" w:type="dxa"/>
            <w:vAlign w:val="center"/>
          </w:tcPr>
          <w:p>
            <w:pPr>
              <w:pStyle w:val="23"/>
            </w:pPr>
            <w:r>
              <w:t>100%</w:t>
            </w:r>
          </w:p>
        </w:tc>
        <w:tc>
          <w:tcPr>
            <w:tcW w:w="2268" w:type="dxa"/>
            <w:vAlign w:val="center"/>
          </w:tcPr>
          <w:p>
            <w:pPr>
              <w:pStyle w:val="23"/>
            </w:pPr>
            <w:r>
              <w:t>《河北省“十三五”城镇生活垃圾无害化处理设施建设规划》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51、</w:t>
      </w:r>
      <w:r>
        <w:rPr>
          <w:rFonts w:ascii="方正仿宋_GBK" w:hAnsi="方正仿宋_GBK" w:eastAsia="方正仿宋_GBK" w:cs="方正仿宋_GBK"/>
          <w:b/>
          <w:color w:val="000000"/>
          <w:sz w:val="28"/>
        </w:rPr>
        <w:t>市容管理、监察维护费绩效目标表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1.加强市容管理、渣土管理、广告管理和垃圾处理费收费管理。提高城市管理水平，改善城市容貌，创造有序环境。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协管员数量</w:t>
            </w:r>
          </w:p>
        </w:tc>
        <w:tc>
          <w:tcPr>
            <w:tcW w:w="2835" w:type="dxa"/>
            <w:vAlign w:val="center"/>
          </w:tcPr>
          <w:p>
            <w:pPr>
              <w:pStyle w:val="23"/>
            </w:pPr>
            <w:r>
              <w:t>协管员数量</w:t>
            </w:r>
          </w:p>
        </w:tc>
        <w:tc>
          <w:tcPr>
            <w:tcW w:w="2551" w:type="dxa"/>
            <w:vAlign w:val="center"/>
          </w:tcPr>
          <w:p>
            <w:pPr>
              <w:pStyle w:val="23"/>
            </w:pPr>
            <w:r>
              <w:t>368人</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年维护费</w:t>
            </w:r>
          </w:p>
        </w:tc>
        <w:tc>
          <w:tcPr>
            <w:tcW w:w="2835" w:type="dxa"/>
            <w:vAlign w:val="center"/>
          </w:tcPr>
          <w:p>
            <w:pPr>
              <w:pStyle w:val="23"/>
            </w:pPr>
            <w:r>
              <w:t>财政评审年维护费</w:t>
            </w:r>
          </w:p>
        </w:tc>
        <w:tc>
          <w:tcPr>
            <w:tcW w:w="2551" w:type="dxa"/>
            <w:vAlign w:val="center"/>
          </w:tcPr>
          <w:p>
            <w:pPr>
              <w:pStyle w:val="23"/>
            </w:pPr>
            <w:r>
              <w:t>2002.35万元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日常巡查及时率（%）</w:t>
            </w:r>
          </w:p>
        </w:tc>
        <w:tc>
          <w:tcPr>
            <w:tcW w:w="2835" w:type="dxa"/>
            <w:vAlign w:val="center"/>
          </w:tcPr>
          <w:p>
            <w:pPr>
              <w:pStyle w:val="23"/>
            </w:pPr>
            <w:r>
              <w:t>有记录的巡查次数占规定巡查到场次数的比率</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“门前三包”检查合格率</w:t>
            </w:r>
          </w:p>
        </w:tc>
        <w:tc>
          <w:tcPr>
            <w:tcW w:w="2835" w:type="dxa"/>
            <w:vAlign w:val="center"/>
          </w:tcPr>
          <w:p>
            <w:pPr>
              <w:pStyle w:val="23"/>
            </w:pPr>
            <w:r>
              <w:t>“门前三包”检查合格次数占检查总次数的比率</w:t>
            </w:r>
          </w:p>
        </w:tc>
        <w:tc>
          <w:tcPr>
            <w:tcW w:w="2551" w:type="dxa"/>
            <w:vAlign w:val="center"/>
          </w:tcPr>
          <w:p>
            <w:pPr>
              <w:pStyle w:val="23"/>
            </w:pPr>
            <w:r>
              <w:t>≥95%</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市容秩序良好、规范</w:t>
            </w:r>
          </w:p>
        </w:tc>
        <w:tc>
          <w:tcPr>
            <w:tcW w:w="2835" w:type="dxa"/>
            <w:vAlign w:val="center"/>
          </w:tcPr>
          <w:p>
            <w:pPr>
              <w:pStyle w:val="23"/>
            </w:pPr>
            <w:r>
              <w:t>提高城市管理水平，改善城市容貌，创造有序环境。</w:t>
            </w:r>
          </w:p>
        </w:tc>
        <w:tc>
          <w:tcPr>
            <w:tcW w:w="2551" w:type="dxa"/>
            <w:vAlign w:val="center"/>
          </w:tcPr>
          <w:p>
            <w:pPr>
              <w:pStyle w:val="23"/>
            </w:pPr>
            <w:r>
              <w:t>≥90%</w:t>
            </w:r>
          </w:p>
        </w:tc>
        <w:tc>
          <w:tcPr>
            <w:tcW w:w="2268" w:type="dxa"/>
            <w:vAlign w:val="center"/>
          </w:tcPr>
          <w:p>
            <w:pPr>
              <w:pStyle w:val="23"/>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5"/>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市容监察考评费绩效目标表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1.生活垃圾实现“日产日清、密闭运输”目标，使乡村街道卫生整洁，无垃圾无漂浮物，垃圾桶外无散落垃圾。</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农村垃圾市场化运营考评覆盖乡镇</w:t>
            </w:r>
          </w:p>
        </w:tc>
        <w:tc>
          <w:tcPr>
            <w:tcW w:w="2835" w:type="dxa"/>
            <w:vAlign w:val="center"/>
          </w:tcPr>
          <w:p>
            <w:pPr>
              <w:pStyle w:val="23"/>
            </w:pPr>
            <w:r>
              <w:t>农村垃圾市场化运营考评覆盖乡镇数量</w:t>
            </w:r>
          </w:p>
        </w:tc>
        <w:tc>
          <w:tcPr>
            <w:tcW w:w="2551" w:type="dxa"/>
            <w:vAlign w:val="center"/>
          </w:tcPr>
          <w:p>
            <w:pPr>
              <w:pStyle w:val="23"/>
            </w:pPr>
            <w:r>
              <w:t>14个</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考评及时完成率</w:t>
            </w:r>
          </w:p>
        </w:tc>
        <w:tc>
          <w:tcPr>
            <w:tcW w:w="2835" w:type="dxa"/>
            <w:vAlign w:val="center"/>
          </w:tcPr>
          <w:p>
            <w:pPr>
              <w:pStyle w:val="23"/>
            </w:pPr>
            <w:r>
              <w:t>每月全区农村完成两次考评</w:t>
            </w:r>
          </w:p>
        </w:tc>
        <w:tc>
          <w:tcPr>
            <w:tcW w:w="2551" w:type="dxa"/>
            <w:vAlign w:val="center"/>
          </w:tcPr>
          <w:p>
            <w:pPr>
              <w:pStyle w:val="23"/>
            </w:pPr>
            <w:r>
              <w:t>≥90%</w:t>
            </w:r>
          </w:p>
        </w:tc>
        <w:tc>
          <w:tcPr>
            <w:tcW w:w="2268" w:type="dxa"/>
            <w:vAlign w:val="center"/>
          </w:tcPr>
          <w:p>
            <w:pPr>
              <w:pStyle w:val="23"/>
            </w:pPr>
            <w:r>
              <w:t>制度、考核办法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市容监察考评费</w:t>
            </w:r>
          </w:p>
        </w:tc>
        <w:tc>
          <w:tcPr>
            <w:tcW w:w="2835" w:type="dxa"/>
            <w:vAlign w:val="center"/>
          </w:tcPr>
          <w:p>
            <w:pPr>
              <w:pStyle w:val="23"/>
            </w:pPr>
            <w:r>
              <w:t>年市容监察考评费</w:t>
            </w:r>
          </w:p>
        </w:tc>
        <w:tc>
          <w:tcPr>
            <w:tcW w:w="2551" w:type="dxa"/>
            <w:vAlign w:val="center"/>
          </w:tcPr>
          <w:p>
            <w:pPr>
              <w:pStyle w:val="23"/>
            </w:pPr>
            <w:r>
              <w:t>29.9万元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考评结果排名</w:t>
            </w:r>
          </w:p>
        </w:tc>
        <w:tc>
          <w:tcPr>
            <w:tcW w:w="2835" w:type="dxa"/>
            <w:vAlign w:val="center"/>
          </w:tcPr>
          <w:p>
            <w:pPr>
              <w:pStyle w:val="23"/>
            </w:pPr>
            <w:r>
              <w:t>完成乡镇月考核排名</w:t>
            </w:r>
          </w:p>
        </w:tc>
        <w:tc>
          <w:tcPr>
            <w:tcW w:w="2551" w:type="dxa"/>
            <w:vAlign w:val="center"/>
          </w:tcPr>
          <w:p>
            <w:pPr>
              <w:pStyle w:val="23"/>
            </w:pPr>
            <w:r>
              <w:t>≥90%</w:t>
            </w:r>
          </w:p>
        </w:tc>
        <w:tc>
          <w:tcPr>
            <w:tcW w:w="2268" w:type="dxa"/>
            <w:vAlign w:val="center"/>
          </w:tcPr>
          <w:p>
            <w:pPr>
              <w:pStyle w:val="23"/>
            </w:pPr>
            <w:r>
              <w:t>制度、考核办法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改善农村生活环境</w:t>
            </w:r>
          </w:p>
        </w:tc>
        <w:tc>
          <w:tcPr>
            <w:tcW w:w="2835" w:type="dxa"/>
            <w:vAlign w:val="center"/>
          </w:tcPr>
          <w:p>
            <w:pPr>
              <w:pStyle w:val="23"/>
            </w:pPr>
            <w:r>
              <w:t>实现农村环境卫生大改观，农村面貌大提升。</w:t>
            </w:r>
          </w:p>
        </w:tc>
        <w:tc>
          <w:tcPr>
            <w:tcW w:w="2551" w:type="dxa"/>
            <w:vAlign w:val="center"/>
          </w:tcPr>
          <w:p>
            <w:pPr>
              <w:pStyle w:val="23"/>
            </w:pPr>
            <w:r>
              <w:t>≥90%</w:t>
            </w:r>
          </w:p>
        </w:tc>
        <w:tc>
          <w:tcPr>
            <w:tcW w:w="2268" w:type="dxa"/>
            <w:vAlign w:val="center"/>
          </w:tcPr>
          <w:p>
            <w:pPr>
              <w:pStyle w:val="23"/>
            </w:pPr>
            <w:r>
              <w:t>藁政办文【2018】91、92号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市容中队新办公场所水电暖费绩效目标表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1.提供新增办公楼的水、电、暖费用，有效保障新增办公楼的正常使用，楼内各项工作顺利开展，切实提升城管工作效率。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场地面积</w:t>
            </w:r>
          </w:p>
        </w:tc>
        <w:tc>
          <w:tcPr>
            <w:tcW w:w="2835" w:type="dxa"/>
            <w:vAlign w:val="center"/>
          </w:tcPr>
          <w:p>
            <w:pPr>
              <w:pStyle w:val="23"/>
            </w:pPr>
            <w:r>
              <w:t>使用水、电、暖的场所的建筑面积</w:t>
            </w:r>
          </w:p>
        </w:tc>
        <w:tc>
          <w:tcPr>
            <w:tcW w:w="2551" w:type="dxa"/>
            <w:vAlign w:val="center"/>
          </w:tcPr>
          <w:p>
            <w:pPr>
              <w:pStyle w:val="23"/>
            </w:pPr>
            <w:r>
              <w:t>2100平方米</w:t>
            </w:r>
          </w:p>
        </w:tc>
        <w:tc>
          <w:tcPr>
            <w:tcW w:w="2268" w:type="dxa"/>
            <w:vAlign w:val="center"/>
          </w:tcPr>
          <w:p>
            <w:pPr>
              <w:pStyle w:val="23"/>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及时完成率</w:t>
            </w:r>
          </w:p>
        </w:tc>
        <w:tc>
          <w:tcPr>
            <w:tcW w:w="2835" w:type="dxa"/>
            <w:vAlign w:val="center"/>
          </w:tcPr>
          <w:p>
            <w:pPr>
              <w:pStyle w:val="23"/>
            </w:pPr>
            <w:r>
              <w:t>按期提供水、电、暖费用</w:t>
            </w:r>
          </w:p>
        </w:tc>
        <w:tc>
          <w:tcPr>
            <w:tcW w:w="2551" w:type="dxa"/>
            <w:vAlign w:val="center"/>
          </w:tcPr>
          <w:p>
            <w:pPr>
              <w:pStyle w:val="23"/>
            </w:pPr>
            <w:r>
              <w:t>≥90%</w:t>
            </w:r>
          </w:p>
        </w:tc>
        <w:tc>
          <w:tcPr>
            <w:tcW w:w="2268" w:type="dxa"/>
            <w:vAlign w:val="center"/>
          </w:tcPr>
          <w:p>
            <w:pPr>
              <w:pStyle w:val="23"/>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使用合格率</w:t>
            </w:r>
          </w:p>
        </w:tc>
        <w:tc>
          <w:tcPr>
            <w:tcW w:w="2835" w:type="dxa"/>
            <w:vAlign w:val="center"/>
          </w:tcPr>
          <w:p>
            <w:pPr>
              <w:pStyle w:val="23"/>
            </w:pPr>
            <w:r>
              <w:t>满足行业标准的水、电、暖</w:t>
            </w:r>
          </w:p>
        </w:tc>
        <w:tc>
          <w:tcPr>
            <w:tcW w:w="2551" w:type="dxa"/>
            <w:vAlign w:val="center"/>
          </w:tcPr>
          <w:p>
            <w:pPr>
              <w:pStyle w:val="23"/>
            </w:pPr>
            <w:r>
              <w:t>100%</w:t>
            </w:r>
          </w:p>
        </w:tc>
        <w:tc>
          <w:tcPr>
            <w:tcW w:w="2268" w:type="dxa"/>
            <w:vAlign w:val="center"/>
          </w:tcPr>
          <w:p>
            <w:pPr>
              <w:pStyle w:val="23"/>
            </w:pPr>
            <w:r>
              <w:t>相关行业标准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水、电、暖费用</w:t>
            </w:r>
          </w:p>
        </w:tc>
        <w:tc>
          <w:tcPr>
            <w:tcW w:w="2835" w:type="dxa"/>
            <w:vAlign w:val="center"/>
          </w:tcPr>
          <w:p>
            <w:pPr>
              <w:pStyle w:val="23"/>
            </w:pPr>
            <w:r>
              <w:t>水、电、暖每年费用</w:t>
            </w:r>
          </w:p>
        </w:tc>
        <w:tc>
          <w:tcPr>
            <w:tcW w:w="2551" w:type="dxa"/>
            <w:vAlign w:val="center"/>
          </w:tcPr>
          <w:p>
            <w:pPr>
              <w:pStyle w:val="23"/>
            </w:pPr>
            <w:r>
              <w:t>18.51万元</w:t>
            </w:r>
          </w:p>
        </w:tc>
        <w:tc>
          <w:tcPr>
            <w:tcW w:w="2268" w:type="dxa"/>
            <w:vAlign w:val="center"/>
          </w:tcPr>
          <w:p>
            <w:pPr>
              <w:pStyle w:val="23"/>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提高城管工作效率</w:t>
            </w:r>
          </w:p>
        </w:tc>
        <w:tc>
          <w:tcPr>
            <w:tcW w:w="2835" w:type="dxa"/>
            <w:vAlign w:val="center"/>
          </w:tcPr>
          <w:p>
            <w:pPr>
              <w:pStyle w:val="23"/>
            </w:pPr>
            <w:r>
              <w:t>有效保障新增办公楼的正常使用，楼内各项工作顺利开展，切实提升城管工作效率。</w:t>
            </w:r>
          </w:p>
        </w:tc>
        <w:tc>
          <w:tcPr>
            <w:tcW w:w="2551" w:type="dxa"/>
            <w:vAlign w:val="center"/>
          </w:tcPr>
          <w:p>
            <w:pPr>
              <w:pStyle w:val="23"/>
            </w:pPr>
            <w:r>
              <w:t>≥90%</w:t>
            </w:r>
          </w:p>
        </w:tc>
        <w:tc>
          <w:tcPr>
            <w:tcW w:w="2268" w:type="dxa"/>
            <w:vAlign w:val="center"/>
          </w:tcPr>
          <w:p>
            <w:pPr>
              <w:pStyle w:val="23"/>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工作人员满意度</w:t>
            </w:r>
          </w:p>
        </w:tc>
        <w:tc>
          <w:tcPr>
            <w:tcW w:w="2835" w:type="dxa"/>
            <w:vAlign w:val="center"/>
          </w:tcPr>
          <w:p>
            <w:pPr>
              <w:pStyle w:val="23"/>
            </w:pPr>
            <w:r>
              <w:t>工作人员满意度</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市政设施维护费绩效目标表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1.确保城区道路、桥梁、排水、路灯等市政基础设施完好。改善城区容貌，方便市民出行。</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及时维修率</w:t>
            </w:r>
          </w:p>
        </w:tc>
        <w:tc>
          <w:tcPr>
            <w:tcW w:w="2835" w:type="dxa"/>
            <w:vAlign w:val="center"/>
          </w:tcPr>
          <w:p>
            <w:pPr>
              <w:pStyle w:val="23"/>
            </w:pPr>
            <w:r>
              <w:t>及时维修设施数量占需维修数量的比率</w:t>
            </w:r>
          </w:p>
        </w:tc>
        <w:tc>
          <w:tcPr>
            <w:tcW w:w="2551" w:type="dxa"/>
            <w:vAlign w:val="center"/>
          </w:tcPr>
          <w:p>
            <w:pPr>
              <w:pStyle w:val="23"/>
            </w:pPr>
            <w:r>
              <w:t>≥90%</w:t>
            </w:r>
          </w:p>
        </w:tc>
        <w:tc>
          <w:tcPr>
            <w:tcW w:w="2268" w:type="dxa"/>
            <w:vAlign w:val="center"/>
          </w:tcPr>
          <w:p>
            <w:pPr>
              <w:pStyle w:val="23"/>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市政维护费</w:t>
            </w:r>
          </w:p>
        </w:tc>
        <w:tc>
          <w:tcPr>
            <w:tcW w:w="2835" w:type="dxa"/>
            <w:vAlign w:val="center"/>
          </w:tcPr>
          <w:p>
            <w:pPr>
              <w:pStyle w:val="23"/>
            </w:pPr>
            <w:r>
              <w:t>财政评审市政设施年维护费</w:t>
            </w:r>
          </w:p>
        </w:tc>
        <w:tc>
          <w:tcPr>
            <w:tcW w:w="2551" w:type="dxa"/>
            <w:vAlign w:val="center"/>
          </w:tcPr>
          <w:p>
            <w:pPr>
              <w:pStyle w:val="23"/>
            </w:pPr>
            <w:r>
              <w:t>1527.73万元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管护石津渠桥</w:t>
            </w:r>
          </w:p>
        </w:tc>
        <w:tc>
          <w:tcPr>
            <w:tcW w:w="2835" w:type="dxa"/>
            <w:vAlign w:val="center"/>
          </w:tcPr>
          <w:p>
            <w:pPr>
              <w:pStyle w:val="23"/>
            </w:pPr>
            <w:r>
              <w:t>管护石津渠桥数量</w:t>
            </w:r>
          </w:p>
        </w:tc>
        <w:tc>
          <w:tcPr>
            <w:tcW w:w="2551" w:type="dxa"/>
            <w:vAlign w:val="center"/>
          </w:tcPr>
          <w:p>
            <w:pPr>
              <w:pStyle w:val="23"/>
            </w:pPr>
            <w:r>
              <w:t>7座</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道路、桥梁等设施完好率</w:t>
            </w:r>
          </w:p>
        </w:tc>
        <w:tc>
          <w:tcPr>
            <w:tcW w:w="2835" w:type="dxa"/>
            <w:vAlign w:val="center"/>
          </w:tcPr>
          <w:p>
            <w:pPr>
              <w:pStyle w:val="23"/>
            </w:pPr>
            <w:r>
              <w:t>达到可安全使用状态的设施数量占所管理设施的比率</w:t>
            </w:r>
          </w:p>
        </w:tc>
        <w:tc>
          <w:tcPr>
            <w:tcW w:w="2551" w:type="dxa"/>
            <w:vAlign w:val="center"/>
          </w:tcPr>
          <w:p>
            <w:pPr>
              <w:pStyle w:val="23"/>
            </w:pPr>
            <w:r>
              <w:t>≥90%</w:t>
            </w:r>
          </w:p>
        </w:tc>
        <w:tc>
          <w:tcPr>
            <w:tcW w:w="2268" w:type="dxa"/>
            <w:vAlign w:val="center"/>
          </w:tcPr>
          <w:p>
            <w:pPr>
              <w:pStyle w:val="23"/>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改善城区容貌，方便市民出行。</w:t>
            </w:r>
          </w:p>
        </w:tc>
        <w:tc>
          <w:tcPr>
            <w:tcW w:w="2835" w:type="dxa"/>
            <w:vAlign w:val="center"/>
          </w:tcPr>
          <w:p>
            <w:pPr>
              <w:pStyle w:val="23"/>
            </w:pPr>
            <w:r>
              <w:t>改善城区容貌，方便市民出行。</w:t>
            </w:r>
          </w:p>
        </w:tc>
        <w:tc>
          <w:tcPr>
            <w:tcW w:w="2551" w:type="dxa"/>
            <w:vAlign w:val="center"/>
          </w:tcPr>
          <w:p>
            <w:pPr>
              <w:pStyle w:val="23"/>
            </w:pPr>
            <w:r>
              <w:t>≥90%</w:t>
            </w:r>
          </w:p>
        </w:tc>
        <w:tc>
          <w:tcPr>
            <w:tcW w:w="2268" w:type="dxa"/>
            <w:vAlign w:val="center"/>
          </w:tcPr>
          <w:p>
            <w:pPr>
              <w:pStyle w:val="23"/>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55、收运、处置厨余垃圾费用绩效目标表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目标内容1为切实做好生活垃圾分类工作，拟将我区餐厨垃圾收运、处置交给具备资质的第三方公司运行。收费标准依据石家庄市财政局核定补贴标准执行，处置费、运费合计每吨370元。经测算城区日均产生厨余垃圾20吨，年需费用266万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及时率</w:t>
            </w:r>
          </w:p>
        </w:tc>
        <w:tc>
          <w:tcPr>
            <w:tcW w:w="2835" w:type="dxa"/>
            <w:vAlign w:val="center"/>
          </w:tcPr>
          <w:p>
            <w:pPr>
              <w:pStyle w:val="23"/>
            </w:pPr>
            <w:r>
              <w:t>及时签订收运、处置合同</w:t>
            </w:r>
          </w:p>
        </w:tc>
        <w:tc>
          <w:tcPr>
            <w:tcW w:w="2551" w:type="dxa"/>
            <w:vAlign w:val="center"/>
          </w:tcPr>
          <w:p>
            <w:pPr>
              <w:pStyle w:val="23"/>
            </w:pPr>
            <w:r>
              <w:t>100%</w:t>
            </w:r>
          </w:p>
        </w:tc>
        <w:tc>
          <w:tcPr>
            <w:tcW w:w="2268" w:type="dxa"/>
            <w:vAlign w:val="center"/>
          </w:tcPr>
          <w:p>
            <w:pPr>
              <w:pStyle w:val="23"/>
            </w:pPr>
            <w:r>
              <w:t>《关于收运处置厨余垃圾的请示》</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暂定补贴标准</w:t>
            </w:r>
          </w:p>
        </w:tc>
        <w:tc>
          <w:tcPr>
            <w:tcW w:w="2835" w:type="dxa"/>
            <w:vAlign w:val="center"/>
          </w:tcPr>
          <w:p>
            <w:pPr>
              <w:pStyle w:val="23"/>
            </w:pPr>
            <w:r>
              <w:t>暂定餐厨垃圾处理补贴标准</w:t>
            </w:r>
          </w:p>
        </w:tc>
        <w:tc>
          <w:tcPr>
            <w:tcW w:w="2551" w:type="dxa"/>
            <w:vAlign w:val="center"/>
          </w:tcPr>
          <w:p>
            <w:pPr>
              <w:pStyle w:val="23"/>
            </w:pPr>
            <w:r>
              <w:t>312元/吨</w:t>
            </w:r>
          </w:p>
        </w:tc>
        <w:tc>
          <w:tcPr>
            <w:tcW w:w="2268" w:type="dxa"/>
            <w:vAlign w:val="center"/>
          </w:tcPr>
          <w:p>
            <w:pPr>
              <w:pStyle w:val="23"/>
            </w:pPr>
            <w:r>
              <w:t>石家庄市财政局文件[2021]19号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日均产生厨余垃圾量</w:t>
            </w:r>
          </w:p>
        </w:tc>
        <w:tc>
          <w:tcPr>
            <w:tcW w:w="2835" w:type="dxa"/>
            <w:vAlign w:val="center"/>
          </w:tcPr>
          <w:p>
            <w:pPr>
              <w:pStyle w:val="23"/>
            </w:pPr>
            <w:r>
              <w:t>日均产生厨余垃圾量</w:t>
            </w:r>
          </w:p>
        </w:tc>
        <w:tc>
          <w:tcPr>
            <w:tcW w:w="2551" w:type="dxa"/>
            <w:vAlign w:val="center"/>
          </w:tcPr>
          <w:p>
            <w:pPr>
              <w:pStyle w:val="23"/>
            </w:pPr>
            <w:r>
              <w:t>20吨</w:t>
            </w:r>
          </w:p>
        </w:tc>
        <w:tc>
          <w:tcPr>
            <w:tcW w:w="2268" w:type="dxa"/>
            <w:vAlign w:val="center"/>
          </w:tcPr>
          <w:p>
            <w:pPr>
              <w:pStyle w:val="23"/>
            </w:pPr>
            <w:r>
              <w:t>《关于收运处置厨余垃圾的请示》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城区厨余垃圾分类收运、处置完成率</w:t>
            </w:r>
          </w:p>
        </w:tc>
        <w:tc>
          <w:tcPr>
            <w:tcW w:w="2835" w:type="dxa"/>
            <w:vAlign w:val="center"/>
          </w:tcPr>
          <w:p>
            <w:pPr>
              <w:pStyle w:val="23"/>
            </w:pPr>
            <w:r>
              <w:t>城区厨余垃圾分类实际收运、处置数量占应收运、处置数量的比例</w:t>
            </w:r>
          </w:p>
        </w:tc>
        <w:tc>
          <w:tcPr>
            <w:tcW w:w="2551" w:type="dxa"/>
            <w:vAlign w:val="center"/>
          </w:tcPr>
          <w:p>
            <w:pPr>
              <w:pStyle w:val="23"/>
            </w:pPr>
            <w:r>
              <w:t>≥90%</w:t>
            </w:r>
          </w:p>
        </w:tc>
        <w:tc>
          <w:tcPr>
            <w:tcW w:w="2268" w:type="dxa"/>
            <w:vAlign w:val="center"/>
          </w:tcPr>
          <w:p>
            <w:pPr>
              <w:pStyle w:val="23"/>
            </w:pPr>
            <w:r>
              <w:t>《石家庄市生活垃圾分类管理条例》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切实提高厨余垃圾处理率。</w:t>
            </w:r>
          </w:p>
        </w:tc>
        <w:tc>
          <w:tcPr>
            <w:tcW w:w="2835" w:type="dxa"/>
            <w:vAlign w:val="center"/>
          </w:tcPr>
          <w:p>
            <w:pPr>
              <w:pStyle w:val="23"/>
            </w:pPr>
            <w:r>
              <w:t>增强居民垃圾分类意识，显著改善居民生活环境</w:t>
            </w:r>
          </w:p>
        </w:tc>
        <w:tc>
          <w:tcPr>
            <w:tcW w:w="2551" w:type="dxa"/>
            <w:vAlign w:val="center"/>
          </w:tcPr>
          <w:p>
            <w:pPr>
              <w:pStyle w:val="23"/>
            </w:pPr>
            <w:r>
              <w:t>≥90%</w:t>
            </w:r>
          </w:p>
        </w:tc>
        <w:tc>
          <w:tcPr>
            <w:tcW w:w="2268" w:type="dxa"/>
            <w:vAlign w:val="center"/>
          </w:tcPr>
          <w:p>
            <w:pPr>
              <w:pStyle w:val="23"/>
            </w:pPr>
            <w:r>
              <w:t>《石家庄市生活垃圾分类管理条例》</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56、数字城管运行费绩效目标表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1.数字城管、车辆远程管理平台、视频监控平台、对讲机平台运行正常。为城市管理工作提供技术支持，提高城市智能化管理水平。</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视频监控网络点位</w:t>
            </w:r>
          </w:p>
        </w:tc>
        <w:tc>
          <w:tcPr>
            <w:tcW w:w="2835" w:type="dxa"/>
            <w:vAlign w:val="center"/>
          </w:tcPr>
          <w:p>
            <w:pPr>
              <w:pStyle w:val="23"/>
            </w:pPr>
            <w:r>
              <w:t>视频监控点位</w:t>
            </w:r>
          </w:p>
        </w:tc>
        <w:tc>
          <w:tcPr>
            <w:tcW w:w="2551" w:type="dxa"/>
            <w:vAlign w:val="center"/>
          </w:tcPr>
          <w:p>
            <w:pPr>
              <w:pStyle w:val="23"/>
            </w:pPr>
            <w:r>
              <w:t>79点位</w:t>
            </w:r>
          </w:p>
        </w:tc>
        <w:tc>
          <w:tcPr>
            <w:tcW w:w="2268" w:type="dxa"/>
            <w:vAlign w:val="center"/>
          </w:tcPr>
          <w:p>
            <w:pPr>
              <w:pStyle w:val="23"/>
            </w:pPr>
            <w:r>
              <w:t>2019年度数字城管运行经费评审报告恒方咨字[2019]第0474号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数字城管案件及时处理率</w:t>
            </w:r>
          </w:p>
        </w:tc>
        <w:tc>
          <w:tcPr>
            <w:tcW w:w="2835" w:type="dxa"/>
            <w:vAlign w:val="center"/>
          </w:tcPr>
          <w:p>
            <w:pPr>
              <w:pStyle w:val="23"/>
            </w:pPr>
            <w:r>
              <w:t>及时处理案件数量占总案件量的比率</w:t>
            </w:r>
          </w:p>
        </w:tc>
        <w:tc>
          <w:tcPr>
            <w:tcW w:w="2551" w:type="dxa"/>
            <w:vAlign w:val="center"/>
          </w:tcPr>
          <w:p>
            <w:pPr>
              <w:pStyle w:val="23"/>
            </w:pPr>
            <w:r>
              <w:t>≥95%</w:t>
            </w:r>
          </w:p>
        </w:tc>
        <w:tc>
          <w:tcPr>
            <w:tcW w:w="2268" w:type="dxa"/>
            <w:vAlign w:val="center"/>
          </w:tcPr>
          <w:p>
            <w:pPr>
              <w:pStyle w:val="23"/>
            </w:pPr>
            <w:r>
              <w:t>石家庄市市容管理考评办法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突发事件处置率</w:t>
            </w:r>
          </w:p>
        </w:tc>
        <w:tc>
          <w:tcPr>
            <w:tcW w:w="2835" w:type="dxa"/>
            <w:vAlign w:val="center"/>
          </w:tcPr>
          <w:p>
            <w:pPr>
              <w:pStyle w:val="23"/>
            </w:pPr>
            <w:r>
              <w:t>处置完成突发事件新闻数量占突发事件新闻数量的比率</w:t>
            </w:r>
          </w:p>
        </w:tc>
        <w:tc>
          <w:tcPr>
            <w:tcW w:w="2551" w:type="dxa"/>
            <w:vAlign w:val="center"/>
          </w:tcPr>
          <w:p>
            <w:pPr>
              <w:pStyle w:val="23"/>
            </w:pPr>
            <w:r>
              <w:t>≥90%</w:t>
            </w:r>
          </w:p>
        </w:tc>
        <w:tc>
          <w:tcPr>
            <w:tcW w:w="2268" w:type="dxa"/>
            <w:vAlign w:val="center"/>
          </w:tcPr>
          <w:p>
            <w:pPr>
              <w:pStyle w:val="23"/>
            </w:pPr>
            <w:r>
              <w:t>《石家庄市12319城管便民服务热线考评办法》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网络租用、平台维护费用</w:t>
            </w:r>
          </w:p>
        </w:tc>
        <w:tc>
          <w:tcPr>
            <w:tcW w:w="2835" w:type="dxa"/>
            <w:vAlign w:val="center"/>
          </w:tcPr>
          <w:p>
            <w:pPr>
              <w:pStyle w:val="23"/>
            </w:pPr>
            <w:r>
              <w:t>网络年度租用费、平台年度维护费</w:t>
            </w:r>
          </w:p>
        </w:tc>
        <w:tc>
          <w:tcPr>
            <w:tcW w:w="2551" w:type="dxa"/>
            <w:vAlign w:val="center"/>
          </w:tcPr>
          <w:p>
            <w:pPr>
              <w:pStyle w:val="23"/>
            </w:pPr>
            <w:r>
              <w:t>198.65万元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提高城市管理水平，加大城市管理力度</w:t>
            </w:r>
          </w:p>
        </w:tc>
        <w:tc>
          <w:tcPr>
            <w:tcW w:w="2835" w:type="dxa"/>
            <w:vAlign w:val="center"/>
          </w:tcPr>
          <w:p>
            <w:pPr>
              <w:pStyle w:val="23"/>
            </w:pPr>
            <w:r>
              <w:t>提高城市管理水平，加大城市管理力度</w:t>
            </w:r>
          </w:p>
        </w:tc>
        <w:tc>
          <w:tcPr>
            <w:tcW w:w="2551" w:type="dxa"/>
            <w:vAlign w:val="center"/>
          </w:tcPr>
          <w:p>
            <w:pPr>
              <w:pStyle w:val="23"/>
            </w:pPr>
            <w:r>
              <w:t>≥95%</w:t>
            </w:r>
          </w:p>
        </w:tc>
        <w:tc>
          <w:tcPr>
            <w:tcW w:w="2268" w:type="dxa"/>
            <w:vAlign w:val="center"/>
          </w:tcPr>
          <w:p>
            <w:pPr>
              <w:pStyle w:val="23"/>
            </w:pPr>
            <w:r>
              <w:t>《石家庄市城管局2020年工作要点》、《石家庄市城管局2020年重点任务责任分解》、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numPr>
          <w:ilvl w:val="0"/>
          <w:numId w:val="6"/>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水上公园维护费绩效目标表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1.园内植物生长健壮，路面整洁，照明设施良好，人工湖水质洁净，公厕洁净无异味，园林小品和健身器材设施完好。园内秩序良好，便民服务周到完善。</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垃圾及时清理率</w:t>
            </w:r>
          </w:p>
        </w:tc>
        <w:tc>
          <w:tcPr>
            <w:tcW w:w="2835" w:type="dxa"/>
            <w:vAlign w:val="center"/>
          </w:tcPr>
          <w:p>
            <w:pPr>
              <w:pStyle w:val="23"/>
            </w:pPr>
            <w:r>
              <w:t>绿地垃圾及时清理量占园内垃圾总量的比率</w:t>
            </w:r>
          </w:p>
        </w:tc>
        <w:tc>
          <w:tcPr>
            <w:tcW w:w="2551" w:type="dxa"/>
            <w:vAlign w:val="center"/>
          </w:tcPr>
          <w:p>
            <w:pPr>
              <w:pStyle w:val="23"/>
            </w:pPr>
            <w:r>
              <w:t>≥95%</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公共设施完好率</w:t>
            </w:r>
          </w:p>
        </w:tc>
        <w:tc>
          <w:tcPr>
            <w:tcW w:w="2835" w:type="dxa"/>
            <w:vAlign w:val="center"/>
          </w:tcPr>
          <w:p>
            <w:pPr>
              <w:pStyle w:val="23"/>
            </w:pPr>
            <w:r>
              <w:t>达到可安全使用状态的设施数量占所有公共设施的比率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管护公园面积</w:t>
            </w:r>
          </w:p>
        </w:tc>
        <w:tc>
          <w:tcPr>
            <w:tcW w:w="2835" w:type="dxa"/>
            <w:vAlign w:val="center"/>
          </w:tcPr>
          <w:p>
            <w:pPr>
              <w:pStyle w:val="23"/>
            </w:pPr>
            <w:r>
              <w:t>管护公园面积</w:t>
            </w:r>
          </w:p>
        </w:tc>
        <w:tc>
          <w:tcPr>
            <w:tcW w:w="2551" w:type="dxa"/>
            <w:vAlign w:val="center"/>
          </w:tcPr>
          <w:p>
            <w:pPr>
              <w:pStyle w:val="23"/>
            </w:pPr>
            <w:r>
              <w:t>10.29万平方米</w:t>
            </w:r>
          </w:p>
        </w:tc>
        <w:tc>
          <w:tcPr>
            <w:tcW w:w="2268" w:type="dxa"/>
            <w:vAlign w:val="center"/>
          </w:tcPr>
          <w:p>
            <w:pPr>
              <w:pStyle w:val="23"/>
            </w:pPr>
            <w:r>
              <w:t>征地、租地协议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年维护费</w:t>
            </w:r>
          </w:p>
        </w:tc>
        <w:tc>
          <w:tcPr>
            <w:tcW w:w="2835" w:type="dxa"/>
            <w:vAlign w:val="center"/>
          </w:tcPr>
          <w:p>
            <w:pPr>
              <w:pStyle w:val="23"/>
            </w:pPr>
            <w:r>
              <w:t>财政评审年维护费</w:t>
            </w:r>
          </w:p>
        </w:tc>
        <w:tc>
          <w:tcPr>
            <w:tcW w:w="2551" w:type="dxa"/>
            <w:vAlign w:val="center"/>
          </w:tcPr>
          <w:p>
            <w:pPr>
              <w:pStyle w:val="23"/>
            </w:pPr>
            <w:r>
              <w:t>214.64万元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年接待游客量</w:t>
            </w:r>
          </w:p>
        </w:tc>
        <w:tc>
          <w:tcPr>
            <w:tcW w:w="2835" w:type="dxa"/>
            <w:vAlign w:val="center"/>
          </w:tcPr>
          <w:p>
            <w:pPr>
              <w:pStyle w:val="23"/>
            </w:pPr>
            <w:r>
              <w:t>为市民提供休闲、健身场地</w:t>
            </w:r>
          </w:p>
        </w:tc>
        <w:tc>
          <w:tcPr>
            <w:tcW w:w="2551" w:type="dxa"/>
            <w:vAlign w:val="center"/>
          </w:tcPr>
          <w:p>
            <w:pPr>
              <w:pStyle w:val="23"/>
            </w:pPr>
            <w:r>
              <w:t>≥30万人</w:t>
            </w:r>
          </w:p>
        </w:tc>
        <w:tc>
          <w:tcPr>
            <w:tcW w:w="2268" w:type="dxa"/>
            <w:vAlign w:val="center"/>
          </w:tcPr>
          <w:p>
            <w:pPr>
              <w:pStyle w:val="23"/>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污水处理厂（附属街道）和停车场建设工程前期工作费用绩效目标表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1.提升城市排水能力，改善环境质量水平，工程已完成前期工作。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工程项目数量</w:t>
            </w:r>
          </w:p>
        </w:tc>
        <w:tc>
          <w:tcPr>
            <w:tcW w:w="2835" w:type="dxa"/>
            <w:vAlign w:val="center"/>
          </w:tcPr>
          <w:p>
            <w:pPr>
              <w:pStyle w:val="23"/>
            </w:pPr>
            <w:r>
              <w:t>工程项目数量</w:t>
            </w:r>
          </w:p>
        </w:tc>
        <w:tc>
          <w:tcPr>
            <w:tcW w:w="2551" w:type="dxa"/>
            <w:vAlign w:val="center"/>
          </w:tcPr>
          <w:p>
            <w:pPr>
              <w:pStyle w:val="23"/>
            </w:pPr>
            <w:r>
              <w:t>4个</w:t>
            </w:r>
          </w:p>
        </w:tc>
        <w:tc>
          <w:tcPr>
            <w:tcW w:w="2268" w:type="dxa"/>
            <w:vAlign w:val="center"/>
          </w:tcPr>
          <w:p>
            <w:pPr>
              <w:pStyle w:val="23"/>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及时完成率</w:t>
            </w:r>
          </w:p>
        </w:tc>
        <w:tc>
          <w:tcPr>
            <w:tcW w:w="2835" w:type="dxa"/>
            <w:vAlign w:val="center"/>
          </w:tcPr>
          <w:p>
            <w:pPr>
              <w:pStyle w:val="23"/>
            </w:pPr>
            <w:r>
              <w:t>及时完成工程的前期服务工作</w:t>
            </w:r>
          </w:p>
        </w:tc>
        <w:tc>
          <w:tcPr>
            <w:tcW w:w="2551" w:type="dxa"/>
            <w:vAlign w:val="center"/>
          </w:tcPr>
          <w:p>
            <w:pPr>
              <w:pStyle w:val="23"/>
            </w:pPr>
            <w:r>
              <w:t>≥90%</w:t>
            </w:r>
          </w:p>
        </w:tc>
        <w:tc>
          <w:tcPr>
            <w:tcW w:w="2268" w:type="dxa"/>
            <w:vAlign w:val="center"/>
          </w:tcPr>
          <w:p>
            <w:pPr>
              <w:pStyle w:val="23"/>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前期服务项目合格率</w:t>
            </w:r>
          </w:p>
        </w:tc>
        <w:tc>
          <w:tcPr>
            <w:tcW w:w="2835" w:type="dxa"/>
            <w:vAlign w:val="center"/>
          </w:tcPr>
          <w:p>
            <w:pPr>
              <w:pStyle w:val="23"/>
            </w:pPr>
            <w:r>
              <w:t>前期服务合格项目数量占所有项目的比率</w:t>
            </w:r>
          </w:p>
        </w:tc>
        <w:tc>
          <w:tcPr>
            <w:tcW w:w="2551" w:type="dxa"/>
            <w:vAlign w:val="center"/>
          </w:tcPr>
          <w:p>
            <w:pPr>
              <w:pStyle w:val="23"/>
            </w:pPr>
            <w:r>
              <w:t>≥90%</w:t>
            </w:r>
          </w:p>
        </w:tc>
        <w:tc>
          <w:tcPr>
            <w:tcW w:w="2268" w:type="dxa"/>
            <w:vAlign w:val="center"/>
          </w:tcPr>
          <w:p>
            <w:pPr>
              <w:pStyle w:val="23"/>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评审中心其他费最高限价</w:t>
            </w:r>
          </w:p>
        </w:tc>
        <w:tc>
          <w:tcPr>
            <w:tcW w:w="2835" w:type="dxa"/>
            <w:vAlign w:val="center"/>
          </w:tcPr>
          <w:p>
            <w:pPr>
              <w:pStyle w:val="23"/>
            </w:pPr>
            <w:r>
              <w:t>评审中心其他费最高限价</w:t>
            </w:r>
          </w:p>
        </w:tc>
        <w:tc>
          <w:tcPr>
            <w:tcW w:w="2551" w:type="dxa"/>
            <w:vAlign w:val="center"/>
          </w:tcPr>
          <w:p>
            <w:pPr>
              <w:pStyle w:val="23"/>
            </w:pPr>
            <w:r>
              <w:t>624.77万元</w:t>
            </w:r>
          </w:p>
        </w:tc>
        <w:tc>
          <w:tcPr>
            <w:tcW w:w="2268" w:type="dxa"/>
            <w:vAlign w:val="center"/>
          </w:tcPr>
          <w:p>
            <w:pPr>
              <w:pStyle w:val="23"/>
            </w:pPr>
            <w:r>
              <w:t>最高限价评审书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提高基础设施水平</w:t>
            </w:r>
          </w:p>
        </w:tc>
        <w:tc>
          <w:tcPr>
            <w:tcW w:w="2835" w:type="dxa"/>
            <w:vAlign w:val="center"/>
          </w:tcPr>
          <w:p>
            <w:pPr>
              <w:pStyle w:val="23"/>
            </w:pPr>
            <w:r>
              <w:t>提升城市排水能力，改善环境质量水平</w:t>
            </w:r>
          </w:p>
        </w:tc>
        <w:tc>
          <w:tcPr>
            <w:tcW w:w="2551" w:type="dxa"/>
            <w:vAlign w:val="center"/>
          </w:tcPr>
          <w:p>
            <w:pPr>
              <w:pStyle w:val="23"/>
            </w:pPr>
            <w:r>
              <w:t>≥90%</w:t>
            </w:r>
          </w:p>
        </w:tc>
        <w:tc>
          <w:tcPr>
            <w:tcW w:w="2268" w:type="dxa"/>
            <w:vAlign w:val="center"/>
          </w:tcPr>
          <w:p>
            <w:pPr>
              <w:pStyle w:val="2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新建生活垃圾分类集中投放点费用绩效目标表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1.用于有建设条件的居民小区建设生活垃圾分类集中投放点。提高居民知晓率、参与率和投放准确率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建设生活垃圾集中投放点数量</w:t>
            </w:r>
          </w:p>
        </w:tc>
        <w:tc>
          <w:tcPr>
            <w:tcW w:w="2835" w:type="dxa"/>
            <w:vAlign w:val="center"/>
          </w:tcPr>
          <w:p>
            <w:pPr>
              <w:pStyle w:val="23"/>
            </w:pPr>
            <w:r>
              <w:t>建设生活垃圾集中投放点数量</w:t>
            </w:r>
          </w:p>
        </w:tc>
        <w:tc>
          <w:tcPr>
            <w:tcW w:w="2551" w:type="dxa"/>
            <w:vAlign w:val="center"/>
          </w:tcPr>
          <w:p>
            <w:pPr>
              <w:pStyle w:val="23"/>
            </w:pPr>
            <w:r>
              <w:t>165个</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预算单价</w:t>
            </w:r>
          </w:p>
        </w:tc>
        <w:tc>
          <w:tcPr>
            <w:tcW w:w="2835" w:type="dxa"/>
            <w:vAlign w:val="center"/>
          </w:tcPr>
          <w:p>
            <w:pPr>
              <w:pStyle w:val="23"/>
            </w:pPr>
            <w:r>
              <w:t>预算单价</w:t>
            </w:r>
          </w:p>
        </w:tc>
        <w:tc>
          <w:tcPr>
            <w:tcW w:w="2551" w:type="dxa"/>
            <w:vAlign w:val="center"/>
          </w:tcPr>
          <w:p>
            <w:pPr>
              <w:pStyle w:val="23"/>
            </w:pPr>
            <w:r>
              <w:t>3万元</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知晓率100%，准确率60%</w:t>
            </w:r>
          </w:p>
        </w:tc>
        <w:tc>
          <w:tcPr>
            <w:tcW w:w="2551" w:type="dxa"/>
            <w:vAlign w:val="center"/>
          </w:tcPr>
          <w:p>
            <w:pPr>
              <w:pStyle w:val="23"/>
            </w:pPr>
            <w:r>
              <w:t>≥95%</w:t>
            </w:r>
          </w:p>
        </w:tc>
        <w:tc>
          <w:tcPr>
            <w:tcW w:w="2268" w:type="dxa"/>
            <w:vAlign w:val="center"/>
          </w:tcPr>
          <w:p>
            <w:pPr>
              <w:pStyle w:val="23"/>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减少垃圾污染，提高垃圾无害化利用率</w:t>
            </w:r>
          </w:p>
        </w:tc>
        <w:tc>
          <w:tcPr>
            <w:tcW w:w="2835" w:type="dxa"/>
            <w:vAlign w:val="center"/>
          </w:tcPr>
          <w:p>
            <w:pPr>
              <w:pStyle w:val="23"/>
            </w:pPr>
            <w:r>
              <w:t>减少垃圾污染，提高垃圾无害化利用率</w:t>
            </w:r>
          </w:p>
        </w:tc>
        <w:tc>
          <w:tcPr>
            <w:tcW w:w="2551" w:type="dxa"/>
            <w:vAlign w:val="center"/>
          </w:tcPr>
          <w:p>
            <w:pPr>
              <w:pStyle w:val="23"/>
            </w:pPr>
            <w:r>
              <w:t>≥95%</w:t>
            </w:r>
          </w:p>
        </w:tc>
        <w:tc>
          <w:tcPr>
            <w:tcW w:w="2268" w:type="dxa"/>
            <w:vAlign w:val="center"/>
          </w:tcPr>
          <w:p>
            <w:pPr>
              <w:pStyle w:val="23"/>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兴华公园、体育公园办公费用绩效目标表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1.园内秩序良好，便民服务周到完善。满足正常办公需要。</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新增公园数量</w:t>
            </w:r>
          </w:p>
        </w:tc>
        <w:tc>
          <w:tcPr>
            <w:tcW w:w="2835" w:type="dxa"/>
            <w:vAlign w:val="center"/>
          </w:tcPr>
          <w:p>
            <w:pPr>
              <w:pStyle w:val="23"/>
            </w:pPr>
            <w:r>
              <w:t>新增公园数量</w:t>
            </w:r>
          </w:p>
        </w:tc>
        <w:tc>
          <w:tcPr>
            <w:tcW w:w="2551" w:type="dxa"/>
            <w:vAlign w:val="center"/>
          </w:tcPr>
          <w:p>
            <w:pPr>
              <w:pStyle w:val="23"/>
            </w:pPr>
            <w:r>
              <w:t>2个</w:t>
            </w:r>
          </w:p>
        </w:tc>
        <w:tc>
          <w:tcPr>
            <w:tcW w:w="2268" w:type="dxa"/>
            <w:vAlign w:val="center"/>
          </w:tcPr>
          <w:p>
            <w:pPr>
              <w:pStyle w:val="2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资金及时支付率</w:t>
            </w:r>
          </w:p>
        </w:tc>
        <w:tc>
          <w:tcPr>
            <w:tcW w:w="2835" w:type="dxa"/>
            <w:vAlign w:val="center"/>
          </w:tcPr>
          <w:p>
            <w:pPr>
              <w:pStyle w:val="23"/>
            </w:pPr>
            <w:r>
              <w:t>及时支付办公费</w:t>
            </w:r>
          </w:p>
        </w:tc>
        <w:tc>
          <w:tcPr>
            <w:tcW w:w="2551" w:type="dxa"/>
            <w:vAlign w:val="center"/>
          </w:tcPr>
          <w:p>
            <w:pPr>
              <w:pStyle w:val="23"/>
            </w:pPr>
            <w:r>
              <w:t>≥90%</w:t>
            </w:r>
          </w:p>
        </w:tc>
        <w:tc>
          <w:tcPr>
            <w:tcW w:w="2268" w:type="dxa"/>
            <w:vAlign w:val="center"/>
          </w:tcPr>
          <w:p>
            <w:pPr>
              <w:pStyle w:val="2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公共设施完好率</w:t>
            </w:r>
          </w:p>
        </w:tc>
        <w:tc>
          <w:tcPr>
            <w:tcW w:w="2835" w:type="dxa"/>
            <w:vAlign w:val="center"/>
          </w:tcPr>
          <w:p>
            <w:pPr>
              <w:pStyle w:val="23"/>
            </w:pPr>
            <w:r>
              <w:t>达到可安全使用状态的设施数量占所有公共设施的比率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年办公费用</w:t>
            </w:r>
          </w:p>
        </w:tc>
        <w:tc>
          <w:tcPr>
            <w:tcW w:w="2835" w:type="dxa"/>
            <w:vAlign w:val="center"/>
          </w:tcPr>
          <w:p>
            <w:pPr>
              <w:pStyle w:val="23"/>
            </w:pPr>
            <w:r>
              <w:t>年办公费用</w:t>
            </w:r>
          </w:p>
        </w:tc>
        <w:tc>
          <w:tcPr>
            <w:tcW w:w="2551" w:type="dxa"/>
            <w:vAlign w:val="center"/>
          </w:tcPr>
          <w:p>
            <w:pPr>
              <w:pStyle w:val="23"/>
            </w:pPr>
            <w:r>
              <w:t>25.9万元</w:t>
            </w:r>
          </w:p>
        </w:tc>
        <w:tc>
          <w:tcPr>
            <w:tcW w:w="2268" w:type="dxa"/>
            <w:vAlign w:val="center"/>
          </w:tcPr>
          <w:p>
            <w:pPr>
              <w:pStyle w:val="2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提高工作效率，更好地服务周边居民</w:t>
            </w:r>
          </w:p>
        </w:tc>
        <w:tc>
          <w:tcPr>
            <w:tcW w:w="2835" w:type="dxa"/>
            <w:vAlign w:val="center"/>
          </w:tcPr>
          <w:p>
            <w:pPr>
              <w:pStyle w:val="23"/>
            </w:pPr>
            <w:r>
              <w:t>提高工作效率，更好地服务周边居民</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工作人员满意度</w:t>
            </w:r>
          </w:p>
        </w:tc>
        <w:tc>
          <w:tcPr>
            <w:tcW w:w="2835" w:type="dxa"/>
            <w:vAlign w:val="center"/>
          </w:tcPr>
          <w:p>
            <w:pPr>
              <w:pStyle w:val="23"/>
            </w:pPr>
            <w:r>
              <w:t>工作人员满意度</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园林绿地维护费绩效目标表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1.绿地整洁，植物修剪合理，土壤墒情良好，无缺株断垄及大面积病虫害发生，生长健壮；园林小品等设施完好。古树名木进行挂牌保护；园林式单位及时申报与初步验收；对社会绿化技术问题进行指导。</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垃圾及时清理率</w:t>
            </w:r>
          </w:p>
        </w:tc>
        <w:tc>
          <w:tcPr>
            <w:tcW w:w="2835" w:type="dxa"/>
            <w:vAlign w:val="center"/>
          </w:tcPr>
          <w:p>
            <w:pPr>
              <w:pStyle w:val="23"/>
            </w:pPr>
            <w:r>
              <w:t>绿地垃圾及时清理量占绿地内垃圾总量的比率</w:t>
            </w:r>
          </w:p>
        </w:tc>
        <w:tc>
          <w:tcPr>
            <w:tcW w:w="2551" w:type="dxa"/>
            <w:vAlign w:val="center"/>
          </w:tcPr>
          <w:p>
            <w:pPr>
              <w:pStyle w:val="23"/>
            </w:pPr>
            <w:r>
              <w:t>≥95%</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公共设施完好率</w:t>
            </w:r>
          </w:p>
        </w:tc>
        <w:tc>
          <w:tcPr>
            <w:tcW w:w="2835" w:type="dxa"/>
            <w:vAlign w:val="center"/>
          </w:tcPr>
          <w:p>
            <w:pPr>
              <w:pStyle w:val="23"/>
            </w:pPr>
            <w:r>
              <w:t>达到可安全使用状态的设施数量占所有公共设施的比率</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管护主街道数量</w:t>
            </w:r>
          </w:p>
        </w:tc>
        <w:tc>
          <w:tcPr>
            <w:tcW w:w="2835" w:type="dxa"/>
            <w:vAlign w:val="center"/>
          </w:tcPr>
          <w:p>
            <w:pPr>
              <w:pStyle w:val="23"/>
            </w:pPr>
            <w:r>
              <w:t>管护主街道数量</w:t>
            </w:r>
          </w:p>
        </w:tc>
        <w:tc>
          <w:tcPr>
            <w:tcW w:w="2551" w:type="dxa"/>
            <w:vAlign w:val="center"/>
          </w:tcPr>
          <w:p>
            <w:pPr>
              <w:pStyle w:val="23"/>
            </w:pPr>
            <w:r>
              <w:t>37条</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园林绿地年维护费</w:t>
            </w:r>
          </w:p>
        </w:tc>
        <w:tc>
          <w:tcPr>
            <w:tcW w:w="2835" w:type="dxa"/>
            <w:vAlign w:val="center"/>
          </w:tcPr>
          <w:p>
            <w:pPr>
              <w:pStyle w:val="23"/>
            </w:pPr>
            <w:r>
              <w:t>财政评审园林绿地年维护费</w:t>
            </w:r>
          </w:p>
        </w:tc>
        <w:tc>
          <w:tcPr>
            <w:tcW w:w="2551" w:type="dxa"/>
            <w:vAlign w:val="center"/>
          </w:tcPr>
          <w:p>
            <w:pPr>
              <w:pStyle w:val="23"/>
            </w:pPr>
            <w:r>
              <w:t>2242.4万元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保证建成区绿地面积</w:t>
            </w:r>
          </w:p>
        </w:tc>
        <w:tc>
          <w:tcPr>
            <w:tcW w:w="2835" w:type="dxa"/>
            <w:vAlign w:val="center"/>
          </w:tcPr>
          <w:p>
            <w:pPr>
              <w:pStyle w:val="23"/>
            </w:pPr>
            <w:r>
              <w:t>保证建成区绿地面积，创造宜居环境</w:t>
            </w:r>
          </w:p>
        </w:tc>
        <w:tc>
          <w:tcPr>
            <w:tcW w:w="2551" w:type="dxa"/>
            <w:vAlign w:val="center"/>
          </w:tcPr>
          <w:p>
            <w:pPr>
              <w:pStyle w:val="23"/>
            </w:pPr>
            <w:r>
              <w:t>≥90%</w:t>
            </w:r>
          </w:p>
        </w:tc>
        <w:tc>
          <w:tcPr>
            <w:tcW w:w="2268" w:type="dxa"/>
            <w:vAlign w:val="center"/>
          </w:tcPr>
          <w:p>
            <w:pPr>
              <w:pStyle w:val="23"/>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云数据中心租赁费绩效目标表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1.目标内容1石家庄市藁城区智慧停车场建设工程数据中心租赁云主机、存储、安全服务的费用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智慧停车场建设工程数据中心租赁设备数量</w:t>
            </w:r>
          </w:p>
        </w:tc>
        <w:tc>
          <w:tcPr>
            <w:tcW w:w="2835" w:type="dxa"/>
            <w:vAlign w:val="center"/>
          </w:tcPr>
          <w:p>
            <w:pPr>
              <w:pStyle w:val="23"/>
            </w:pPr>
            <w:r>
              <w:t>云主机租赁数量</w:t>
            </w:r>
          </w:p>
        </w:tc>
        <w:tc>
          <w:tcPr>
            <w:tcW w:w="2551" w:type="dxa"/>
            <w:vAlign w:val="center"/>
          </w:tcPr>
          <w:p>
            <w:pPr>
              <w:pStyle w:val="23"/>
            </w:pPr>
            <w:r>
              <w:t>≥552vCPU/月</w:t>
            </w:r>
          </w:p>
        </w:tc>
        <w:tc>
          <w:tcPr>
            <w:tcW w:w="2268" w:type="dxa"/>
            <w:vAlign w:val="center"/>
          </w:tcPr>
          <w:p>
            <w:pPr>
              <w:pStyle w:val="23"/>
            </w:pPr>
            <w:r>
              <w:t>《石家庄市藁城区智慧停车场建设工程二标段》合同</w:t>
            </w:r>
          </w:p>
          <w:p>
            <w:pPr>
              <w:pStyle w:val="23"/>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智慧停车场建设工程数据中心租赁费</w:t>
            </w:r>
          </w:p>
        </w:tc>
        <w:tc>
          <w:tcPr>
            <w:tcW w:w="2835" w:type="dxa"/>
            <w:vAlign w:val="center"/>
          </w:tcPr>
          <w:p>
            <w:pPr>
              <w:pStyle w:val="23"/>
            </w:pPr>
            <w:r>
              <w:t>2022年支付数据中心租赁费</w:t>
            </w:r>
          </w:p>
        </w:tc>
        <w:tc>
          <w:tcPr>
            <w:tcW w:w="2551" w:type="dxa"/>
            <w:vAlign w:val="center"/>
          </w:tcPr>
          <w:p>
            <w:pPr>
              <w:pStyle w:val="23"/>
            </w:pPr>
            <w:r>
              <w:t>200万元</w:t>
            </w:r>
          </w:p>
        </w:tc>
        <w:tc>
          <w:tcPr>
            <w:tcW w:w="2268" w:type="dxa"/>
            <w:vAlign w:val="center"/>
          </w:tcPr>
          <w:p>
            <w:pPr>
              <w:pStyle w:val="23"/>
            </w:pPr>
            <w:r>
              <w:t>《石家庄市藁城区智慧停车场建设工程二标段》合同</w:t>
            </w:r>
          </w:p>
          <w:p>
            <w:pPr>
              <w:pStyle w:val="23"/>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智慧停车场建设工程数据中心租赁期</w:t>
            </w:r>
          </w:p>
        </w:tc>
        <w:tc>
          <w:tcPr>
            <w:tcW w:w="2835" w:type="dxa"/>
            <w:vAlign w:val="center"/>
          </w:tcPr>
          <w:p>
            <w:pPr>
              <w:pStyle w:val="23"/>
            </w:pPr>
            <w:r>
              <w:t>自2022年1月1日至2022年12月31日</w:t>
            </w:r>
          </w:p>
        </w:tc>
        <w:tc>
          <w:tcPr>
            <w:tcW w:w="2551" w:type="dxa"/>
            <w:vAlign w:val="center"/>
          </w:tcPr>
          <w:p>
            <w:pPr>
              <w:pStyle w:val="23"/>
            </w:pPr>
            <w:r>
              <w:t>1年</w:t>
            </w:r>
          </w:p>
        </w:tc>
        <w:tc>
          <w:tcPr>
            <w:tcW w:w="2268" w:type="dxa"/>
            <w:vAlign w:val="center"/>
          </w:tcPr>
          <w:p>
            <w:pPr>
              <w:pStyle w:val="23"/>
            </w:pPr>
            <w:r>
              <w:t>《石家庄市藁城区智慧停车场建设工程二标段》合同</w:t>
            </w:r>
          </w:p>
          <w:p>
            <w:pPr>
              <w:pStyle w:val="23"/>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智慧停车场建设工程数据中心安全等级要求</w:t>
            </w:r>
          </w:p>
        </w:tc>
        <w:tc>
          <w:tcPr>
            <w:tcW w:w="2835" w:type="dxa"/>
            <w:vAlign w:val="center"/>
          </w:tcPr>
          <w:p>
            <w:pPr>
              <w:pStyle w:val="23"/>
            </w:pPr>
            <w:r>
              <w:t>满足等保2.0要求</w:t>
            </w:r>
          </w:p>
        </w:tc>
        <w:tc>
          <w:tcPr>
            <w:tcW w:w="2551" w:type="dxa"/>
            <w:vAlign w:val="center"/>
          </w:tcPr>
          <w:p>
            <w:pPr>
              <w:pStyle w:val="23"/>
            </w:pPr>
            <w:r>
              <w:t>≥3级</w:t>
            </w:r>
          </w:p>
        </w:tc>
        <w:tc>
          <w:tcPr>
            <w:tcW w:w="2268" w:type="dxa"/>
            <w:vAlign w:val="center"/>
          </w:tcPr>
          <w:p>
            <w:pPr>
              <w:pStyle w:val="23"/>
            </w:pPr>
            <w:r>
              <w:t>《石家庄市藁城区智慧停车场建设工程二标段》合同</w:t>
            </w:r>
          </w:p>
          <w:p>
            <w:pPr>
              <w:pStyle w:val="23"/>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提升城市管理精细化水平和民生服务水平</w:t>
            </w:r>
          </w:p>
        </w:tc>
        <w:tc>
          <w:tcPr>
            <w:tcW w:w="2835" w:type="dxa"/>
            <w:vAlign w:val="center"/>
          </w:tcPr>
          <w:p>
            <w:pPr>
              <w:pStyle w:val="23"/>
            </w:pPr>
            <w:r>
              <w:t>提升城市管理精细化水平和民生服务水平</w:t>
            </w:r>
          </w:p>
        </w:tc>
        <w:tc>
          <w:tcPr>
            <w:tcW w:w="2551" w:type="dxa"/>
            <w:vAlign w:val="center"/>
          </w:tcPr>
          <w:p>
            <w:pPr>
              <w:pStyle w:val="23"/>
            </w:pPr>
            <w:r>
              <w:t>≥90%</w:t>
            </w:r>
          </w:p>
        </w:tc>
        <w:tc>
          <w:tcPr>
            <w:tcW w:w="2268" w:type="dxa"/>
            <w:vAlign w:val="center"/>
          </w:tcPr>
          <w:p>
            <w:pPr>
              <w:pStyle w:val="23"/>
            </w:pPr>
            <w:r>
              <w:t>《石家庄市藁城区智慧停车场建设工程可行性研究报告》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使用人员满意度</w:t>
            </w:r>
          </w:p>
        </w:tc>
        <w:tc>
          <w:tcPr>
            <w:tcW w:w="2835" w:type="dxa"/>
            <w:vAlign w:val="center"/>
          </w:tcPr>
          <w:p>
            <w:pPr>
              <w:pStyle w:val="23"/>
            </w:pPr>
            <w:r>
              <w:t>使用数据中心人员满意和较满意的数量占全部调查人数的比率</w:t>
            </w:r>
          </w:p>
        </w:tc>
        <w:tc>
          <w:tcPr>
            <w:tcW w:w="2551" w:type="dxa"/>
            <w:vAlign w:val="center"/>
          </w:tcPr>
          <w:p>
            <w:pPr>
              <w:pStyle w:val="23"/>
            </w:pPr>
            <w:r>
              <w:t>≥90%</w:t>
            </w:r>
          </w:p>
        </w:tc>
        <w:tc>
          <w:tcPr>
            <w:tcW w:w="2268" w:type="dxa"/>
            <w:vAlign w:val="center"/>
          </w:tcPr>
          <w:p>
            <w:pPr>
              <w:pStyle w:val="23"/>
            </w:pPr>
            <w:r>
              <w:t>调查问卷</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63、增村镇农村人居环境整治工作经费绩效目标表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1.对增村镇、新赵线两侧环境卫生、景观绿化和小果庄村街道墙体美化进行改造提升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增村镇农村人居环境整治工作完工，完成占比100%</w:t>
            </w:r>
          </w:p>
        </w:tc>
        <w:tc>
          <w:tcPr>
            <w:tcW w:w="2551" w:type="dxa"/>
            <w:vAlign w:val="center"/>
          </w:tcPr>
          <w:p>
            <w:pPr>
              <w:pStyle w:val="23"/>
            </w:pPr>
            <w:r>
              <w:t>100%</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建设资金</w:t>
            </w:r>
          </w:p>
        </w:tc>
        <w:tc>
          <w:tcPr>
            <w:tcW w:w="2835" w:type="dxa"/>
            <w:vAlign w:val="center"/>
          </w:tcPr>
          <w:p>
            <w:pPr>
              <w:pStyle w:val="23"/>
            </w:pPr>
            <w:r>
              <w:t>绿化30万，护栏4万，围挡6万，墙体彩绘3万。</w:t>
            </w:r>
          </w:p>
        </w:tc>
        <w:tc>
          <w:tcPr>
            <w:tcW w:w="2551" w:type="dxa"/>
            <w:vAlign w:val="center"/>
          </w:tcPr>
          <w:p>
            <w:pPr>
              <w:pStyle w:val="23"/>
            </w:pPr>
            <w:r>
              <w:t>43万</w:t>
            </w:r>
          </w:p>
        </w:tc>
        <w:tc>
          <w:tcPr>
            <w:tcW w:w="2268" w:type="dxa"/>
            <w:vAlign w:val="center"/>
          </w:tcPr>
          <w:p>
            <w:pPr>
              <w:pStyle w:val="2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验收合格项目占验收项目的比率</w:t>
            </w:r>
          </w:p>
        </w:tc>
        <w:tc>
          <w:tcPr>
            <w:tcW w:w="2551" w:type="dxa"/>
            <w:vAlign w:val="center"/>
          </w:tcPr>
          <w:p>
            <w:pPr>
              <w:pStyle w:val="23"/>
            </w:pPr>
            <w:r>
              <w:t>100%</w:t>
            </w:r>
          </w:p>
        </w:tc>
        <w:tc>
          <w:tcPr>
            <w:tcW w:w="2268" w:type="dxa"/>
            <w:vAlign w:val="center"/>
          </w:tcPr>
          <w:p>
            <w:pPr>
              <w:pStyle w:val="23"/>
            </w:pPr>
            <w:r>
              <w:t>财政局现场验收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工程数量</w:t>
            </w:r>
          </w:p>
        </w:tc>
        <w:tc>
          <w:tcPr>
            <w:tcW w:w="2835" w:type="dxa"/>
            <w:vAlign w:val="center"/>
          </w:tcPr>
          <w:p>
            <w:pPr>
              <w:pStyle w:val="23"/>
            </w:pPr>
            <w:r>
              <w:t>工程总数量</w:t>
            </w:r>
          </w:p>
        </w:tc>
        <w:tc>
          <w:tcPr>
            <w:tcW w:w="2551" w:type="dxa"/>
            <w:vAlign w:val="center"/>
          </w:tcPr>
          <w:p>
            <w:pPr>
              <w:pStyle w:val="23"/>
            </w:pPr>
            <w:r>
              <w:t>4个</w:t>
            </w:r>
          </w:p>
        </w:tc>
        <w:tc>
          <w:tcPr>
            <w:tcW w:w="2268" w:type="dxa"/>
            <w:vAlign w:val="center"/>
          </w:tcPr>
          <w:p>
            <w:pPr>
              <w:pStyle w:val="23"/>
            </w:pPr>
            <w:r>
              <w:t>《机场路两侧绿化提升工程施工协议》</w:t>
            </w:r>
          </w:p>
          <w:p>
            <w:pPr>
              <w:pStyle w:val="23"/>
            </w:pPr>
            <w:r>
              <w:t>《机场路围栏安装施工协议》</w:t>
            </w:r>
          </w:p>
          <w:p>
            <w:pPr>
              <w:pStyle w:val="23"/>
            </w:pPr>
            <w:r>
              <w:t>《小果庄村围挡安装工程合同》</w:t>
            </w:r>
          </w:p>
          <w:p>
            <w:pPr>
              <w:pStyle w:val="23"/>
            </w:pPr>
            <w:r>
              <w:t>《彩绘施工合同书》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全面改善增村镇的农村环境</w:t>
            </w:r>
          </w:p>
        </w:tc>
        <w:tc>
          <w:tcPr>
            <w:tcW w:w="2835" w:type="dxa"/>
            <w:vAlign w:val="center"/>
          </w:tcPr>
          <w:p>
            <w:pPr>
              <w:pStyle w:val="23"/>
            </w:pPr>
            <w:r>
              <w:t>全面改善增村镇的农村环境</w:t>
            </w:r>
          </w:p>
        </w:tc>
        <w:tc>
          <w:tcPr>
            <w:tcW w:w="2551" w:type="dxa"/>
            <w:vAlign w:val="center"/>
          </w:tcPr>
          <w:p>
            <w:pPr>
              <w:pStyle w:val="23"/>
            </w:pPr>
            <w:r>
              <w:t>≥95%</w:t>
            </w:r>
          </w:p>
        </w:tc>
        <w:tc>
          <w:tcPr>
            <w:tcW w:w="2268"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64、</w:t>
      </w:r>
      <w:r>
        <w:rPr>
          <w:rFonts w:ascii="方正仿宋_GBK" w:hAnsi="方正仿宋_GBK" w:eastAsia="方正仿宋_GBK" w:cs="方正仿宋_GBK"/>
          <w:b/>
          <w:color w:val="000000"/>
          <w:sz w:val="28"/>
        </w:rPr>
        <w:t>中医院救护车消毒站聘请服务单位费用绩效目标表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1.保障消毒站日常消杀工作，保障中医院救护车消毒站建设。</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时效指标</w:t>
            </w:r>
          </w:p>
        </w:tc>
        <w:tc>
          <w:tcPr>
            <w:tcW w:w="2835" w:type="dxa"/>
            <w:vAlign w:val="center"/>
          </w:tcPr>
          <w:p>
            <w:pPr>
              <w:pStyle w:val="23"/>
            </w:pPr>
            <w:r>
              <w:t>洗消站洗消车辆服务期</w:t>
            </w:r>
          </w:p>
        </w:tc>
        <w:tc>
          <w:tcPr>
            <w:tcW w:w="2835" w:type="dxa"/>
            <w:vAlign w:val="center"/>
          </w:tcPr>
          <w:p>
            <w:pPr>
              <w:pStyle w:val="23"/>
            </w:pPr>
            <w:r>
              <w:t>洗消站洗消车辆服务期从2021年11月1日至2022年5月1日</w:t>
            </w:r>
          </w:p>
        </w:tc>
        <w:tc>
          <w:tcPr>
            <w:tcW w:w="2551" w:type="dxa"/>
            <w:vAlign w:val="center"/>
          </w:tcPr>
          <w:p>
            <w:pPr>
              <w:pStyle w:val="23"/>
            </w:pPr>
            <w:r>
              <w:t>6个月</w:t>
            </w:r>
          </w:p>
        </w:tc>
        <w:tc>
          <w:tcPr>
            <w:tcW w:w="2268" w:type="dxa"/>
            <w:vAlign w:val="center"/>
          </w:tcPr>
          <w:p>
            <w:pPr>
              <w:pStyle w:val="23"/>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保障消毒站日常消杀工作</w:t>
            </w:r>
          </w:p>
        </w:tc>
        <w:tc>
          <w:tcPr>
            <w:tcW w:w="2835" w:type="dxa"/>
            <w:vAlign w:val="center"/>
          </w:tcPr>
          <w:p>
            <w:pPr>
              <w:pStyle w:val="23"/>
            </w:pPr>
            <w:r>
              <w:t>保障消毒站日常消杀工作</w:t>
            </w:r>
          </w:p>
        </w:tc>
        <w:tc>
          <w:tcPr>
            <w:tcW w:w="2551" w:type="dxa"/>
            <w:vAlign w:val="center"/>
          </w:tcPr>
          <w:p>
            <w:pPr>
              <w:pStyle w:val="23"/>
            </w:pPr>
            <w:r>
              <w:t>100%</w:t>
            </w:r>
          </w:p>
        </w:tc>
        <w:tc>
          <w:tcPr>
            <w:tcW w:w="2268" w:type="dxa"/>
            <w:vAlign w:val="center"/>
          </w:tcPr>
          <w:p>
            <w:pPr>
              <w:pStyle w:val="23"/>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服务费</w:t>
            </w:r>
          </w:p>
        </w:tc>
        <w:tc>
          <w:tcPr>
            <w:tcW w:w="2835" w:type="dxa"/>
            <w:vAlign w:val="center"/>
          </w:tcPr>
          <w:p>
            <w:pPr>
              <w:pStyle w:val="23"/>
            </w:pPr>
            <w:r>
              <w:t>每人每天服务费</w:t>
            </w:r>
          </w:p>
        </w:tc>
        <w:tc>
          <w:tcPr>
            <w:tcW w:w="2551" w:type="dxa"/>
            <w:vAlign w:val="center"/>
          </w:tcPr>
          <w:p>
            <w:pPr>
              <w:pStyle w:val="23"/>
            </w:pPr>
            <w:r>
              <w:t>200元</w:t>
            </w:r>
          </w:p>
        </w:tc>
        <w:tc>
          <w:tcPr>
            <w:tcW w:w="2268" w:type="dxa"/>
            <w:vAlign w:val="center"/>
          </w:tcPr>
          <w:p>
            <w:pPr>
              <w:pStyle w:val="23"/>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数量指标</w:t>
            </w:r>
          </w:p>
        </w:tc>
        <w:tc>
          <w:tcPr>
            <w:tcW w:w="2835" w:type="dxa"/>
            <w:vAlign w:val="center"/>
          </w:tcPr>
          <w:p>
            <w:pPr>
              <w:pStyle w:val="23"/>
            </w:pPr>
            <w:r>
              <w:t>消毒消杀公司驻场服务人员</w:t>
            </w:r>
          </w:p>
        </w:tc>
        <w:tc>
          <w:tcPr>
            <w:tcW w:w="2835" w:type="dxa"/>
            <w:vAlign w:val="center"/>
          </w:tcPr>
          <w:p>
            <w:pPr>
              <w:pStyle w:val="23"/>
            </w:pPr>
            <w:r>
              <w:t>消毒消杀公司驻场服务人员</w:t>
            </w:r>
          </w:p>
        </w:tc>
        <w:tc>
          <w:tcPr>
            <w:tcW w:w="2551" w:type="dxa"/>
            <w:vAlign w:val="center"/>
          </w:tcPr>
          <w:p>
            <w:pPr>
              <w:pStyle w:val="23"/>
            </w:pPr>
            <w:r>
              <w:t>4人</w:t>
            </w:r>
          </w:p>
        </w:tc>
        <w:tc>
          <w:tcPr>
            <w:tcW w:w="2268" w:type="dxa"/>
            <w:vAlign w:val="center"/>
          </w:tcPr>
          <w:p>
            <w:pPr>
              <w:pStyle w:val="23"/>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保障消毒站日常消杀工作</w:t>
            </w:r>
          </w:p>
        </w:tc>
        <w:tc>
          <w:tcPr>
            <w:tcW w:w="2835" w:type="dxa"/>
            <w:vAlign w:val="center"/>
          </w:tcPr>
          <w:p>
            <w:pPr>
              <w:pStyle w:val="23"/>
            </w:pPr>
            <w:r>
              <w:t>保障消毒站日常消杀工作</w:t>
            </w:r>
          </w:p>
        </w:tc>
        <w:tc>
          <w:tcPr>
            <w:tcW w:w="2551" w:type="dxa"/>
            <w:vAlign w:val="center"/>
          </w:tcPr>
          <w:p>
            <w:pPr>
              <w:pStyle w:val="23"/>
            </w:pPr>
            <w:r>
              <w:t>≥90%</w:t>
            </w:r>
          </w:p>
        </w:tc>
        <w:tc>
          <w:tcPr>
            <w:tcW w:w="2268" w:type="dxa"/>
            <w:vAlign w:val="center"/>
          </w:tcPr>
          <w:p>
            <w:pPr>
              <w:pStyle w:val="23"/>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居民满意程度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pPr>
    </w:p>
    <w:p>
      <w:pPr>
        <w:pStyle w:val="21"/>
      </w:pPr>
    </w:p>
    <w:p>
      <w:pPr>
        <w:pStyle w:val="21"/>
        <w:spacing w:before="0" w:after="0"/>
        <w:ind w:firstLine="560"/>
        <w:jc w:val="left"/>
        <w:outlineLvl w:val="9"/>
      </w:pPr>
      <w:r>
        <w:rPr>
          <w:rFonts w:ascii="方正仿宋_GBK" w:hAnsi="方正仿宋_GBK" w:eastAsia="方正仿宋_GBK" w:cs="方正仿宋_GBK"/>
          <w:b/>
          <w:color w:val="000000"/>
          <w:sz w:val="28"/>
        </w:rPr>
        <w:t>65、中转站运行服务费绩效目标表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1.垃圾清运日产日清，清运车辆车容整洁。完善提升环卫基础设施水平，落实国家级卫生城市创建工作，提升市容环境卫生水平，创造宜居环境。</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需维护的中转站数量</w:t>
            </w:r>
          </w:p>
        </w:tc>
        <w:tc>
          <w:tcPr>
            <w:tcW w:w="2835" w:type="dxa"/>
            <w:vAlign w:val="center"/>
          </w:tcPr>
          <w:p>
            <w:pPr>
              <w:pStyle w:val="23"/>
            </w:pPr>
            <w:r>
              <w:t>需维护的中转站数量</w:t>
            </w:r>
          </w:p>
        </w:tc>
        <w:tc>
          <w:tcPr>
            <w:tcW w:w="2551" w:type="dxa"/>
            <w:vAlign w:val="center"/>
          </w:tcPr>
          <w:p>
            <w:pPr>
              <w:pStyle w:val="23"/>
            </w:pPr>
            <w:r>
              <w:t>28座</w:t>
            </w:r>
          </w:p>
        </w:tc>
        <w:tc>
          <w:tcPr>
            <w:tcW w:w="2268" w:type="dxa"/>
            <w:vAlign w:val="center"/>
          </w:tcPr>
          <w:p>
            <w:pPr>
              <w:pStyle w:val="23"/>
            </w:pPr>
            <w:r>
              <w:t>合同、评审报告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中转站运行服务费</w:t>
            </w:r>
          </w:p>
        </w:tc>
        <w:tc>
          <w:tcPr>
            <w:tcW w:w="2835" w:type="dxa"/>
            <w:vAlign w:val="center"/>
          </w:tcPr>
          <w:p>
            <w:pPr>
              <w:pStyle w:val="23"/>
            </w:pPr>
            <w:r>
              <w:t>中转站年运行服务费</w:t>
            </w:r>
          </w:p>
        </w:tc>
        <w:tc>
          <w:tcPr>
            <w:tcW w:w="2551" w:type="dxa"/>
            <w:vAlign w:val="center"/>
          </w:tcPr>
          <w:p>
            <w:pPr>
              <w:pStyle w:val="23"/>
            </w:pPr>
            <w:r>
              <w:t>1675.85万元</w:t>
            </w:r>
          </w:p>
        </w:tc>
        <w:tc>
          <w:tcPr>
            <w:tcW w:w="2268" w:type="dxa"/>
            <w:vAlign w:val="center"/>
          </w:tcPr>
          <w:p>
            <w:pPr>
              <w:pStyle w:val="23"/>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垃圾转运日产日清完成率（%）</w:t>
            </w:r>
          </w:p>
        </w:tc>
        <w:tc>
          <w:tcPr>
            <w:tcW w:w="2835" w:type="dxa"/>
            <w:vAlign w:val="center"/>
          </w:tcPr>
          <w:p>
            <w:pPr>
              <w:pStyle w:val="23"/>
            </w:pPr>
            <w:r>
              <w:t>垃圾转运日清量占日产量的比率</w:t>
            </w:r>
          </w:p>
        </w:tc>
        <w:tc>
          <w:tcPr>
            <w:tcW w:w="2551" w:type="dxa"/>
            <w:vAlign w:val="center"/>
          </w:tcPr>
          <w:p>
            <w:pPr>
              <w:pStyle w:val="23"/>
            </w:pPr>
            <w:r>
              <w:t>≥90%</w:t>
            </w:r>
          </w:p>
        </w:tc>
        <w:tc>
          <w:tcPr>
            <w:tcW w:w="2268" w:type="dxa"/>
            <w:vAlign w:val="center"/>
          </w:tcPr>
          <w:p>
            <w:pPr>
              <w:pStyle w:val="23"/>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垃圾中转机械化实施率</w:t>
            </w:r>
          </w:p>
        </w:tc>
        <w:tc>
          <w:tcPr>
            <w:tcW w:w="2835" w:type="dxa"/>
            <w:vAlign w:val="center"/>
          </w:tcPr>
          <w:p>
            <w:pPr>
              <w:pStyle w:val="23"/>
            </w:pPr>
            <w:r>
              <w:t>垃圾机械中转数量占垃圾中转总量的比率</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社会效益指标</w:t>
            </w:r>
          </w:p>
        </w:tc>
        <w:tc>
          <w:tcPr>
            <w:tcW w:w="2835" w:type="dxa"/>
            <w:vAlign w:val="center"/>
          </w:tcPr>
          <w:p>
            <w:pPr>
              <w:pStyle w:val="23"/>
            </w:pPr>
            <w:r>
              <w:t>垃圾收容设施密闭化，提升市容市貌</w:t>
            </w:r>
          </w:p>
        </w:tc>
        <w:tc>
          <w:tcPr>
            <w:tcW w:w="2835" w:type="dxa"/>
            <w:vAlign w:val="center"/>
          </w:tcPr>
          <w:p>
            <w:pPr>
              <w:pStyle w:val="23"/>
            </w:pPr>
            <w:r>
              <w:t>垃圾收容设施密闭，减少异味散发，提升市容市貌。</w:t>
            </w:r>
          </w:p>
        </w:tc>
        <w:tc>
          <w:tcPr>
            <w:tcW w:w="2551" w:type="dxa"/>
            <w:vAlign w:val="center"/>
          </w:tcPr>
          <w:p>
            <w:pPr>
              <w:pStyle w:val="23"/>
            </w:pPr>
            <w:r>
              <w:t>≥90%</w:t>
            </w:r>
          </w:p>
        </w:tc>
        <w:tc>
          <w:tcPr>
            <w:tcW w:w="2268" w:type="dxa"/>
            <w:vAlign w:val="center"/>
          </w:tcPr>
          <w:p>
            <w:pPr>
              <w:pStyle w:val="23"/>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≥90%</w:t>
            </w:r>
          </w:p>
        </w:tc>
        <w:tc>
          <w:tcPr>
            <w:tcW w:w="2268" w:type="dxa"/>
            <w:vAlign w:val="center"/>
          </w:tcPr>
          <w:p>
            <w:pPr>
              <w:pStyle w:val="23"/>
            </w:pPr>
            <w:r>
              <w:t>抽样调查</w:t>
            </w:r>
          </w:p>
        </w:tc>
      </w:tr>
    </w:tbl>
    <w:p>
      <w:pPr>
        <w:pStyle w:val="21"/>
      </w:pPr>
    </w:p>
    <w:p>
      <w:pPr>
        <w:pStyle w:val="21"/>
      </w:pPr>
    </w:p>
    <w:p>
      <w:pPr>
        <w:pStyle w:val="21"/>
      </w:pPr>
    </w:p>
    <w:p>
      <w:pPr>
        <w:pStyle w:val="21"/>
      </w:pPr>
    </w:p>
    <w:p>
      <w:pPr>
        <w:pStyle w:val="21"/>
      </w:pPr>
    </w:p>
    <w:p>
      <w:pPr>
        <w:pStyle w:val="21"/>
        <w:numPr>
          <w:ilvl w:val="0"/>
          <w:numId w:val="7"/>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专项债券付息支出绩效目标表</w:t>
      </w:r>
    </w:p>
    <w:p>
      <w:pPr>
        <w:pStyle w:val="21"/>
        <w:numPr>
          <w:ilvl w:val="0"/>
          <w:numId w:val="0"/>
        </w:numPr>
        <w:spacing w:before="0" w:after="0"/>
        <w:jc w:val="left"/>
        <w:outlineLvl w:val="9"/>
        <w:rPr>
          <w:rFonts w:ascii="方正仿宋_GBK" w:hAnsi="方正仿宋_GBK" w:eastAsia="方正仿宋_GBK" w:cs="方正仿宋_GBK"/>
          <w:b/>
          <w:color w:val="000000"/>
          <w:sz w:val="28"/>
        </w:rPr>
      </w:pPr>
    </w:p>
    <w:p>
      <w:pPr>
        <w:pStyle w:val="21"/>
        <w:numPr>
          <w:ilvl w:val="0"/>
          <w:numId w:val="0"/>
        </w:numPr>
        <w:spacing w:before="0" w:after="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1.按时足额偿还到期利息，维护地方政府信誉，推动后期债券申请工作。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偿还批次</w:t>
            </w:r>
          </w:p>
        </w:tc>
        <w:tc>
          <w:tcPr>
            <w:tcW w:w="2835" w:type="dxa"/>
            <w:vAlign w:val="center"/>
          </w:tcPr>
          <w:p>
            <w:pPr>
              <w:pStyle w:val="23"/>
            </w:pPr>
            <w:r>
              <w:t>偿还专项债券到期利息批次的数量</w:t>
            </w:r>
          </w:p>
        </w:tc>
        <w:tc>
          <w:tcPr>
            <w:tcW w:w="2551" w:type="dxa"/>
            <w:vAlign w:val="center"/>
          </w:tcPr>
          <w:p>
            <w:pPr>
              <w:pStyle w:val="23"/>
            </w:pPr>
            <w:r>
              <w:t>所有批次</w:t>
            </w:r>
          </w:p>
        </w:tc>
        <w:tc>
          <w:tcPr>
            <w:tcW w:w="2268" w:type="dxa"/>
            <w:vAlign w:val="center"/>
          </w:tcPr>
          <w:p>
            <w:pPr>
              <w:pStyle w:val="2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偿还金额</w:t>
            </w:r>
          </w:p>
        </w:tc>
        <w:tc>
          <w:tcPr>
            <w:tcW w:w="2835" w:type="dxa"/>
            <w:vAlign w:val="center"/>
          </w:tcPr>
          <w:p>
            <w:pPr>
              <w:pStyle w:val="23"/>
            </w:pPr>
            <w:r>
              <w:t>实际偿还占应偿还金额的比例</w:t>
            </w:r>
          </w:p>
        </w:tc>
        <w:tc>
          <w:tcPr>
            <w:tcW w:w="2551" w:type="dxa"/>
            <w:vAlign w:val="center"/>
          </w:tcPr>
          <w:p>
            <w:pPr>
              <w:pStyle w:val="23"/>
            </w:pPr>
            <w:r>
              <w:t>100%</w:t>
            </w:r>
          </w:p>
        </w:tc>
        <w:tc>
          <w:tcPr>
            <w:tcW w:w="2268" w:type="dxa"/>
            <w:vAlign w:val="center"/>
          </w:tcPr>
          <w:p>
            <w:pPr>
              <w:pStyle w:val="2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偿还时间</w:t>
            </w:r>
          </w:p>
        </w:tc>
        <w:tc>
          <w:tcPr>
            <w:tcW w:w="2835" w:type="dxa"/>
            <w:vAlign w:val="center"/>
          </w:tcPr>
          <w:p>
            <w:pPr>
              <w:pStyle w:val="23"/>
            </w:pPr>
            <w:r>
              <w:t>按约定时间及时偿还</w:t>
            </w:r>
          </w:p>
        </w:tc>
        <w:tc>
          <w:tcPr>
            <w:tcW w:w="2551" w:type="dxa"/>
            <w:vAlign w:val="center"/>
          </w:tcPr>
          <w:p>
            <w:pPr>
              <w:pStyle w:val="23"/>
            </w:pPr>
            <w:r>
              <w:t>及时偿还</w:t>
            </w:r>
          </w:p>
        </w:tc>
        <w:tc>
          <w:tcPr>
            <w:tcW w:w="2268" w:type="dxa"/>
            <w:vAlign w:val="center"/>
          </w:tcPr>
          <w:p>
            <w:pPr>
              <w:pStyle w:val="23"/>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偿还标准</w:t>
            </w:r>
          </w:p>
        </w:tc>
        <w:tc>
          <w:tcPr>
            <w:tcW w:w="2835" w:type="dxa"/>
            <w:vAlign w:val="center"/>
          </w:tcPr>
          <w:p>
            <w:pPr>
              <w:pStyle w:val="23"/>
            </w:pPr>
            <w:r>
              <w:t>按协议偿还</w:t>
            </w:r>
          </w:p>
        </w:tc>
        <w:tc>
          <w:tcPr>
            <w:tcW w:w="2551" w:type="dxa"/>
            <w:vAlign w:val="center"/>
          </w:tcPr>
          <w:p>
            <w:pPr>
              <w:pStyle w:val="23"/>
            </w:pPr>
            <w:r>
              <w:t>按标准偿还</w:t>
            </w:r>
          </w:p>
        </w:tc>
        <w:tc>
          <w:tcPr>
            <w:tcW w:w="2268" w:type="dxa"/>
            <w:vAlign w:val="center"/>
          </w:tcPr>
          <w:p>
            <w:pPr>
              <w:pStyle w:val="23"/>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按协议履行还款</w:t>
            </w:r>
          </w:p>
        </w:tc>
        <w:tc>
          <w:tcPr>
            <w:tcW w:w="2835" w:type="dxa"/>
            <w:vAlign w:val="center"/>
          </w:tcPr>
          <w:p>
            <w:pPr>
              <w:pStyle w:val="23"/>
            </w:pPr>
            <w:r>
              <w:t>按协议履行还款，推动后期债券申请工作，更好发挥债券作用</w:t>
            </w:r>
          </w:p>
        </w:tc>
        <w:tc>
          <w:tcPr>
            <w:tcW w:w="2551" w:type="dxa"/>
            <w:vAlign w:val="center"/>
          </w:tcPr>
          <w:p>
            <w:pPr>
              <w:pStyle w:val="23"/>
            </w:pPr>
            <w:r>
              <w:t>债券发行工作正常开展</w:t>
            </w:r>
          </w:p>
        </w:tc>
        <w:tc>
          <w:tcPr>
            <w:tcW w:w="2268" w:type="dxa"/>
            <w:vAlign w:val="center"/>
          </w:tcPr>
          <w:p>
            <w:pPr>
              <w:pStyle w:val="2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上级部门满意度</w:t>
            </w:r>
          </w:p>
        </w:tc>
        <w:tc>
          <w:tcPr>
            <w:tcW w:w="2835" w:type="dxa"/>
            <w:vAlign w:val="center"/>
          </w:tcPr>
          <w:p>
            <w:pPr>
              <w:pStyle w:val="23"/>
            </w:pPr>
            <w:r>
              <w:t>上级部门对还款情况的满意度</w:t>
            </w:r>
          </w:p>
        </w:tc>
        <w:tc>
          <w:tcPr>
            <w:tcW w:w="2551" w:type="dxa"/>
            <w:vAlign w:val="center"/>
          </w:tcPr>
          <w:p>
            <w:pPr>
              <w:pStyle w:val="23"/>
            </w:pPr>
            <w:r>
              <w:t>按上级要求偿还</w:t>
            </w:r>
          </w:p>
        </w:tc>
        <w:tc>
          <w:tcPr>
            <w:tcW w:w="2268" w:type="dxa"/>
            <w:vAlign w:val="center"/>
          </w:tcPr>
          <w:p>
            <w:pPr>
              <w:pStyle w:val="23"/>
            </w:pPr>
            <w:r>
              <w:t>相关文件</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7"/>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专项债券还本支出绩效目标表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1.按时足额偿还到期本金，维护地方政府信誉，推动后期债券申请工作。</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偿还批次</w:t>
            </w:r>
          </w:p>
        </w:tc>
        <w:tc>
          <w:tcPr>
            <w:tcW w:w="2835" w:type="dxa"/>
            <w:vAlign w:val="center"/>
          </w:tcPr>
          <w:p>
            <w:pPr>
              <w:pStyle w:val="23"/>
            </w:pPr>
            <w:r>
              <w:t>偿还专项债券到期本金批次的数量</w:t>
            </w:r>
          </w:p>
        </w:tc>
        <w:tc>
          <w:tcPr>
            <w:tcW w:w="2551" w:type="dxa"/>
            <w:vAlign w:val="center"/>
          </w:tcPr>
          <w:p>
            <w:pPr>
              <w:pStyle w:val="23"/>
            </w:pPr>
            <w:r>
              <w:t>所有批次</w:t>
            </w:r>
          </w:p>
        </w:tc>
        <w:tc>
          <w:tcPr>
            <w:tcW w:w="2268" w:type="dxa"/>
            <w:vAlign w:val="center"/>
          </w:tcPr>
          <w:p>
            <w:pPr>
              <w:pStyle w:val="2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偿还金额</w:t>
            </w:r>
          </w:p>
        </w:tc>
        <w:tc>
          <w:tcPr>
            <w:tcW w:w="2835" w:type="dxa"/>
            <w:vAlign w:val="center"/>
          </w:tcPr>
          <w:p>
            <w:pPr>
              <w:pStyle w:val="23"/>
            </w:pPr>
            <w:r>
              <w:t>实际偿还占应偿还金额的比例</w:t>
            </w:r>
          </w:p>
        </w:tc>
        <w:tc>
          <w:tcPr>
            <w:tcW w:w="2551" w:type="dxa"/>
            <w:vAlign w:val="center"/>
          </w:tcPr>
          <w:p>
            <w:pPr>
              <w:pStyle w:val="23"/>
            </w:pPr>
            <w:r>
              <w:t>100%</w:t>
            </w:r>
          </w:p>
        </w:tc>
        <w:tc>
          <w:tcPr>
            <w:tcW w:w="2268" w:type="dxa"/>
            <w:vAlign w:val="center"/>
          </w:tcPr>
          <w:p>
            <w:pPr>
              <w:pStyle w:val="2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偿还时间</w:t>
            </w:r>
          </w:p>
        </w:tc>
        <w:tc>
          <w:tcPr>
            <w:tcW w:w="2835" w:type="dxa"/>
            <w:vAlign w:val="center"/>
          </w:tcPr>
          <w:p>
            <w:pPr>
              <w:pStyle w:val="23"/>
            </w:pPr>
            <w:r>
              <w:t>按约定时间及时偿还</w:t>
            </w:r>
          </w:p>
        </w:tc>
        <w:tc>
          <w:tcPr>
            <w:tcW w:w="2551" w:type="dxa"/>
            <w:vAlign w:val="center"/>
          </w:tcPr>
          <w:p>
            <w:pPr>
              <w:pStyle w:val="23"/>
            </w:pPr>
            <w:r>
              <w:t>及时偿还</w:t>
            </w:r>
          </w:p>
        </w:tc>
        <w:tc>
          <w:tcPr>
            <w:tcW w:w="2268" w:type="dxa"/>
            <w:vAlign w:val="center"/>
          </w:tcPr>
          <w:p>
            <w:pPr>
              <w:pStyle w:val="23"/>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偿还标准</w:t>
            </w:r>
          </w:p>
        </w:tc>
        <w:tc>
          <w:tcPr>
            <w:tcW w:w="2835" w:type="dxa"/>
            <w:vAlign w:val="center"/>
          </w:tcPr>
          <w:p>
            <w:pPr>
              <w:pStyle w:val="23"/>
            </w:pPr>
            <w:r>
              <w:t>按协议偿还</w:t>
            </w:r>
          </w:p>
        </w:tc>
        <w:tc>
          <w:tcPr>
            <w:tcW w:w="2551" w:type="dxa"/>
            <w:vAlign w:val="center"/>
          </w:tcPr>
          <w:p>
            <w:pPr>
              <w:pStyle w:val="23"/>
            </w:pPr>
            <w:r>
              <w:t>按标准偿还</w:t>
            </w:r>
          </w:p>
        </w:tc>
        <w:tc>
          <w:tcPr>
            <w:tcW w:w="2268" w:type="dxa"/>
            <w:vAlign w:val="center"/>
          </w:tcPr>
          <w:p>
            <w:pPr>
              <w:pStyle w:val="23"/>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按协议履行还款</w:t>
            </w:r>
          </w:p>
        </w:tc>
        <w:tc>
          <w:tcPr>
            <w:tcW w:w="2835" w:type="dxa"/>
            <w:vAlign w:val="center"/>
          </w:tcPr>
          <w:p>
            <w:pPr>
              <w:pStyle w:val="23"/>
            </w:pPr>
            <w:r>
              <w:t>按协议履行还款，推动后期债券申请工作，更好发挥债券作用</w:t>
            </w:r>
          </w:p>
        </w:tc>
        <w:tc>
          <w:tcPr>
            <w:tcW w:w="2551" w:type="dxa"/>
            <w:vAlign w:val="center"/>
          </w:tcPr>
          <w:p>
            <w:pPr>
              <w:pStyle w:val="23"/>
            </w:pPr>
            <w:r>
              <w:t>债券发行工作正常开展</w:t>
            </w:r>
          </w:p>
        </w:tc>
        <w:tc>
          <w:tcPr>
            <w:tcW w:w="2268" w:type="dxa"/>
            <w:vAlign w:val="center"/>
          </w:tcPr>
          <w:p>
            <w:pPr>
              <w:pStyle w:val="2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上级部门满意度</w:t>
            </w:r>
          </w:p>
        </w:tc>
        <w:tc>
          <w:tcPr>
            <w:tcW w:w="2835" w:type="dxa"/>
            <w:vAlign w:val="center"/>
          </w:tcPr>
          <w:p>
            <w:pPr>
              <w:pStyle w:val="23"/>
            </w:pPr>
            <w:r>
              <w:t>上级部门对还款情况的满意度</w:t>
            </w:r>
          </w:p>
        </w:tc>
        <w:tc>
          <w:tcPr>
            <w:tcW w:w="2551" w:type="dxa"/>
            <w:vAlign w:val="center"/>
          </w:tcPr>
          <w:p>
            <w:pPr>
              <w:pStyle w:val="23"/>
            </w:pPr>
            <w:r>
              <w:t>按上级要求偿还</w:t>
            </w:r>
          </w:p>
        </w:tc>
        <w:tc>
          <w:tcPr>
            <w:tcW w:w="2268" w:type="dxa"/>
            <w:vAlign w:val="center"/>
          </w:tcPr>
          <w:p>
            <w:pPr>
              <w:pStyle w:val="23"/>
            </w:pPr>
            <w:r>
              <w:t>相关文件</w:t>
            </w:r>
          </w:p>
        </w:tc>
      </w:tr>
    </w:tbl>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numPr>
          <w:ilvl w:val="0"/>
          <w:numId w:val="7"/>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藁城区垃圾处理工程（建设二期生活垃圾填埋场）绩效目标表</w:t>
      </w: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1"/>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2"/>
            </w:pPr>
            <w:r>
              <w:t>绩效目标</w:t>
            </w:r>
          </w:p>
        </w:tc>
        <w:tc>
          <w:tcPr>
            <w:tcW w:w="12756" w:type="dxa"/>
            <w:tcBorders>
              <w:bottom w:val="single" w:color="FFFFFF" w:sz="6" w:space="0"/>
            </w:tcBorders>
            <w:vAlign w:val="center"/>
          </w:tcPr>
          <w:p>
            <w:pPr>
              <w:pStyle w:val="23"/>
            </w:pPr>
            <w:r>
              <w:t>1.挖土方填垃圾坝，在库底做防渗膜，坝顶做水泥面层，做混凝土消防通道，栽植乔木防风，修筑渗滤液提升井。</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建设二期生活垃圾填埋场</w:t>
            </w:r>
          </w:p>
        </w:tc>
        <w:tc>
          <w:tcPr>
            <w:tcW w:w="2835" w:type="dxa"/>
            <w:vAlign w:val="center"/>
          </w:tcPr>
          <w:p>
            <w:pPr>
              <w:pStyle w:val="23"/>
            </w:pPr>
            <w:r>
              <w:t>建设二期生活垃圾填埋场</w:t>
            </w:r>
          </w:p>
        </w:tc>
        <w:tc>
          <w:tcPr>
            <w:tcW w:w="2551" w:type="dxa"/>
            <w:vAlign w:val="center"/>
          </w:tcPr>
          <w:p>
            <w:pPr>
              <w:pStyle w:val="23"/>
            </w:pPr>
            <w:r>
              <w:t>1座</w:t>
            </w:r>
          </w:p>
        </w:tc>
        <w:tc>
          <w:tcPr>
            <w:tcW w:w="2268" w:type="dxa"/>
            <w:vAlign w:val="center"/>
          </w:tcPr>
          <w:p>
            <w:pPr>
              <w:pStyle w:val="2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成本指标</w:t>
            </w:r>
          </w:p>
        </w:tc>
        <w:tc>
          <w:tcPr>
            <w:tcW w:w="2835" w:type="dxa"/>
            <w:vAlign w:val="center"/>
          </w:tcPr>
          <w:p>
            <w:pPr>
              <w:pStyle w:val="23"/>
            </w:pPr>
            <w:r>
              <w:t>工程费</w:t>
            </w:r>
          </w:p>
        </w:tc>
        <w:tc>
          <w:tcPr>
            <w:tcW w:w="2835" w:type="dxa"/>
            <w:vAlign w:val="center"/>
          </w:tcPr>
          <w:p>
            <w:pPr>
              <w:pStyle w:val="23"/>
            </w:pPr>
            <w:r>
              <w:t>工程费余款</w:t>
            </w:r>
          </w:p>
        </w:tc>
        <w:tc>
          <w:tcPr>
            <w:tcW w:w="2551" w:type="dxa"/>
            <w:vAlign w:val="center"/>
          </w:tcPr>
          <w:p>
            <w:pPr>
              <w:pStyle w:val="23"/>
            </w:pPr>
            <w:r>
              <w:t>489.99万元</w:t>
            </w:r>
          </w:p>
        </w:tc>
        <w:tc>
          <w:tcPr>
            <w:tcW w:w="2268" w:type="dxa"/>
            <w:vAlign w:val="center"/>
          </w:tcPr>
          <w:p>
            <w:pPr>
              <w:pStyle w:val="23"/>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时效指标</w:t>
            </w:r>
          </w:p>
        </w:tc>
        <w:tc>
          <w:tcPr>
            <w:tcW w:w="2835" w:type="dxa"/>
            <w:vAlign w:val="center"/>
          </w:tcPr>
          <w:p>
            <w:pPr>
              <w:pStyle w:val="23"/>
            </w:pPr>
            <w:r>
              <w:t>及时完工率</w:t>
            </w:r>
          </w:p>
        </w:tc>
        <w:tc>
          <w:tcPr>
            <w:tcW w:w="2835" w:type="dxa"/>
            <w:vAlign w:val="center"/>
          </w:tcPr>
          <w:p>
            <w:pPr>
              <w:pStyle w:val="23"/>
            </w:pPr>
            <w:r>
              <w:t>施工进度工程量占总工程量的比率</w:t>
            </w:r>
          </w:p>
        </w:tc>
        <w:tc>
          <w:tcPr>
            <w:tcW w:w="2551" w:type="dxa"/>
            <w:vAlign w:val="center"/>
          </w:tcPr>
          <w:p>
            <w:pPr>
              <w:pStyle w:val="23"/>
            </w:pPr>
            <w:r>
              <w:t>100%</w:t>
            </w:r>
          </w:p>
        </w:tc>
        <w:tc>
          <w:tcPr>
            <w:tcW w:w="2268" w:type="dxa"/>
            <w:vAlign w:val="center"/>
          </w:tcPr>
          <w:p>
            <w:pPr>
              <w:pStyle w:val="23"/>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验收合格工程量占总工程量的比率</w:t>
            </w:r>
          </w:p>
        </w:tc>
        <w:tc>
          <w:tcPr>
            <w:tcW w:w="2551" w:type="dxa"/>
            <w:vAlign w:val="center"/>
          </w:tcPr>
          <w:p>
            <w:pPr>
              <w:pStyle w:val="23"/>
            </w:pPr>
            <w:r>
              <w:t>100%</w:t>
            </w:r>
          </w:p>
        </w:tc>
        <w:tc>
          <w:tcPr>
            <w:tcW w:w="2268" w:type="dxa"/>
            <w:vAlign w:val="center"/>
          </w:tcPr>
          <w:p>
            <w:pPr>
              <w:pStyle w:val="2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生活垃圾减量化、无害化</w:t>
            </w:r>
          </w:p>
        </w:tc>
        <w:tc>
          <w:tcPr>
            <w:tcW w:w="2835" w:type="dxa"/>
            <w:vAlign w:val="center"/>
          </w:tcPr>
          <w:p>
            <w:pPr>
              <w:pStyle w:val="23"/>
            </w:pPr>
            <w:r>
              <w:t>通过增加垃圾填埋库容量，达到生活垃圾减量化、无害化</w:t>
            </w:r>
          </w:p>
        </w:tc>
        <w:tc>
          <w:tcPr>
            <w:tcW w:w="2551" w:type="dxa"/>
            <w:vAlign w:val="center"/>
          </w:tcPr>
          <w:p>
            <w:pPr>
              <w:pStyle w:val="23"/>
            </w:pPr>
            <w:r>
              <w:t>≥90%</w:t>
            </w:r>
          </w:p>
        </w:tc>
        <w:tc>
          <w:tcPr>
            <w:tcW w:w="2268" w:type="dxa"/>
            <w:vAlign w:val="center"/>
          </w:tcPr>
          <w:p>
            <w:pPr>
              <w:pStyle w:val="23"/>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居民满意度</w:t>
            </w:r>
          </w:p>
        </w:tc>
        <w:tc>
          <w:tcPr>
            <w:tcW w:w="2835" w:type="dxa"/>
            <w:vAlign w:val="center"/>
          </w:tcPr>
          <w:p>
            <w:pPr>
              <w:pStyle w:val="23"/>
            </w:pPr>
            <w:r>
              <w:t>调查中满意和较满意的居民数量占全部调查人数的比率</w:t>
            </w:r>
          </w:p>
        </w:tc>
        <w:tc>
          <w:tcPr>
            <w:tcW w:w="2551" w:type="dxa"/>
            <w:vAlign w:val="center"/>
          </w:tcPr>
          <w:p>
            <w:pPr>
              <w:pStyle w:val="23"/>
            </w:pPr>
            <w:r>
              <w:t>≥80%</w:t>
            </w:r>
          </w:p>
        </w:tc>
        <w:tc>
          <w:tcPr>
            <w:tcW w:w="2268" w:type="dxa"/>
            <w:vAlign w:val="center"/>
          </w:tcPr>
          <w:p>
            <w:pPr>
              <w:pStyle w:val="23"/>
            </w:pPr>
            <w:r>
              <w:t>抽样调查、调查问卷</w:t>
            </w:r>
          </w:p>
        </w:tc>
      </w:tr>
    </w:tbl>
    <w:p>
      <w:pPr>
        <w:pStyle w:val="21"/>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6" w:name="_Toc16598"/>
      <w:bookmarkStart w:id="17" w:name="_Toc4077"/>
      <w:r>
        <w:rPr>
          <w:rFonts w:ascii="黑体" w:hAnsi="黑体" w:eastAsia="黑体" w:cs="黑体"/>
          <w:color w:val="000000"/>
          <w:sz w:val="32"/>
        </w:rPr>
        <w:t>六、政府采购预算情况</w:t>
      </w:r>
      <w:bookmarkEnd w:id="16"/>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2022年，石家庄市藁城区城市管理综合行政执法局安排政府采购预算2605.00万元。具体内容见下表。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2605.00</w:t>
            </w:r>
          </w:p>
        </w:tc>
        <w:tc>
          <w:tcPr>
            <w:tcW w:w="964" w:type="dxa"/>
            <w:vAlign w:val="center"/>
          </w:tcPr>
          <w:p>
            <w:pPr>
              <w:pStyle w:val="15"/>
            </w:pPr>
          </w:p>
        </w:tc>
        <w:tc>
          <w:tcPr>
            <w:tcW w:w="964" w:type="dxa"/>
            <w:vAlign w:val="center"/>
          </w:tcPr>
          <w:p>
            <w:pPr>
              <w:pStyle w:val="15"/>
            </w:pPr>
            <w:r>
              <w:t>2605.00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石家庄市藁城区城市管理综合行政执法局本级小计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2605.00</w:t>
            </w:r>
          </w:p>
        </w:tc>
        <w:tc>
          <w:tcPr>
            <w:tcW w:w="964" w:type="dxa"/>
            <w:vAlign w:val="center"/>
          </w:tcPr>
          <w:p>
            <w:pPr>
              <w:pStyle w:val="15"/>
            </w:pPr>
          </w:p>
        </w:tc>
        <w:tc>
          <w:tcPr>
            <w:tcW w:w="964" w:type="dxa"/>
            <w:vAlign w:val="center"/>
          </w:tcPr>
          <w:p>
            <w:pPr>
              <w:pStyle w:val="15"/>
            </w:pPr>
            <w:r>
              <w:t>2605.00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采购移动垃圾压缩设备及配套勾臂车</w:t>
            </w:r>
          </w:p>
        </w:tc>
        <w:tc>
          <w:tcPr>
            <w:tcW w:w="964" w:type="dxa"/>
            <w:vAlign w:val="center"/>
          </w:tcPr>
          <w:p>
            <w:pPr>
              <w:pStyle w:val="13"/>
            </w:pPr>
            <w:r>
              <w:t>183.00</w:t>
            </w:r>
          </w:p>
        </w:tc>
        <w:tc>
          <w:tcPr>
            <w:tcW w:w="1134" w:type="dxa"/>
            <w:vAlign w:val="center"/>
          </w:tcPr>
          <w:p>
            <w:pPr>
              <w:pStyle w:val="12"/>
            </w:pPr>
            <w:r>
              <w:t>垃圾车</w:t>
            </w:r>
          </w:p>
        </w:tc>
        <w:tc>
          <w:tcPr>
            <w:tcW w:w="1134" w:type="dxa"/>
            <w:vAlign w:val="center"/>
          </w:tcPr>
          <w:p>
            <w:pPr>
              <w:pStyle w:val="12"/>
            </w:pPr>
            <w:r>
              <w:t>A0203072801</w:t>
            </w:r>
          </w:p>
        </w:tc>
        <w:tc>
          <w:tcPr>
            <w:tcW w:w="709" w:type="dxa"/>
            <w:vAlign w:val="center"/>
          </w:tcPr>
          <w:p>
            <w:pPr>
              <w:pStyle w:val="11"/>
            </w:pPr>
            <w:r>
              <w:t>辆</w:t>
            </w:r>
          </w:p>
        </w:tc>
        <w:tc>
          <w:tcPr>
            <w:tcW w:w="850" w:type="dxa"/>
            <w:vAlign w:val="center"/>
          </w:tcPr>
          <w:p>
            <w:pPr>
              <w:pStyle w:val="13"/>
            </w:pPr>
            <w:r>
              <w:t>1</w:t>
            </w:r>
          </w:p>
        </w:tc>
        <w:tc>
          <w:tcPr>
            <w:tcW w:w="850" w:type="dxa"/>
            <w:vAlign w:val="center"/>
          </w:tcPr>
          <w:p>
            <w:pPr>
              <w:pStyle w:val="13"/>
            </w:pPr>
            <w:r>
              <w:t>53.00</w:t>
            </w:r>
          </w:p>
        </w:tc>
        <w:tc>
          <w:tcPr>
            <w:tcW w:w="964" w:type="dxa"/>
            <w:vAlign w:val="center"/>
          </w:tcPr>
          <w:p>
            <w:pPr>
              <w:pStyle w:val="13"/>
            </w:pPr>
            <w:r>
              <w:t>53.00</w:t>
            </w:r>
          </w:p>
        </w:tc>
        <w:tc>
          <w:tcPr>
            <w:tcW w:w="964" w:type="dxa"/>
            <w:vAlign w:val="center"/>
          </w:tcPr>
          <w:p>
            <w:pPr>
              <w:pStyle w:val="13"/>
            </w:pPr>
          </w:p>
        </w:tc>
        <w:tc>
          <w:tcPr>
            <w:tcW w:w="964" w:type="dxa"/>
            <w:vAlign w:val="center"/>
          </w:tcPr>
          <w:p>
            <w:pPr>
              <w:pStyle w:val="13"/>
            </w:pPr>
            <w:r>
              <w:t>53.00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采购移动垃圾压缩设备及配套勾臂车</w:t>
            </w:r>
          </w:p>
        </w:tc>
        <w:tc>
          <w:tcPr>
            <w:tcW w:w="964" w:type="dxa"/>
            <w:vAlign w:val="center"/>
          </w:tcPr>
          <w:p>
            <w:pPr>
              <w:pStyle w:val="13"/>
            </w:pPr>
            <w:r>
              <w:t>183.00</w:t>
            </w:r>
          </w:p>
        </w:tc>
        <w:tc>
          <w:tcPr>
            <w:tcW w:w="1134" w:type="dxa"/>
            <w:vAlign w:val="center"/>
          </w:tcPr>
          <w:p>
            <w:pPr>
              <w:pStyle w:val="12"/>
            </w:pPr>
            <w:r>
              <w:t>固体废弃物处理设备</w:t>
            </w:r>
          </w:p>
        </w:tc>
        <w:tc>
          <w:tcPr>
            <w:tcW w:w="1134" w:type="dxa"/>
            <w:vAlign w:val="center"/>
          </w:tcPr>
          <w:p>
            <w:pPr>
              <w:pStyle w:val="12"/>
            </w:pPr>
            <w:r>
              <w:t>A032403</w:t>
            </w:r>
          </w:p>
        </w:tc>
        <w:tc>
          <w:tcPr>
            <w:tcW w:w="709" w:type="dxa"/>
            <w:vAlign w:val="center"/>
          </w:tcPr>
          <w:p>
            <w:pPr>
              <w:pStyle w:val="11"/>
            </w:pPr>
            <w:r>
              <w:t>套</w:t>
            </w:r>
          </w:p>
        </w:tc>
        <w:tc>
          <w:tcPr>
            <w:tcW w:w="850" w:type="dxa"/>
            <w:vAlign w:val="center"/>
          </w:tcPr>
          <w:p>
            <w:pPr>
              <w:pStyle w:val="13"/>
            </w:pPr>
            <w:r>
              <w:t>5</w:t>
            </w:r>
          </w:p>
        </w:tc>
        <w:tc>
          <w:tcPr>
            <w:tcW w:w="850" w:type="dxa"/>
            <w:vAlign w:val="center"/>
          </w:tcPr>
          <w:p>
            <w:pPr>
              <w:pStyle w:val="13"/>
            </w:pPr>
            <w:r>
              <w:t>26.00</w:t>
            </w:r>
          </w:p>
        </w:tc>
        <w:tc>
          <w:tcPr>
            <w:tcW w:w="964" w:type="dxa"/>
            <w:vAlign w:val="center"/>
          </w:tcPr>
          <w:p>
            <w:pPr>
              <w:pStyle w:val="13"/>
            </w:pPr>
            <w:r>
              <w:t>130.00</w:t>
            </w:r>
          </w:p>
        </w:tc>
        <w:tc>
          <w:tcPr>
            <w:tcW w:w="964" w:type="dxa"/>
            <w:vAlign w:val="center"/>
          </w:tcPr>
          <w:p>
            <w:pPr>
              <w:pStyle w:val="13"/>
            </w:pPr>
          </w:p>
        </w:tc>
        <w:tc>
          <w:tcPr>
            <w:tcW w:w="964" w:type="dxa"/>
            <w:vAlign w:val="center"/>
          </w:tcPr>
          <w:p>
            <w:pPr>
              <w:pStyle w:val="13"/>
            </w:pPr>
            <w:r>
              <w:t>130.00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环境卫生维护费</w:t>
            </w:r>
          </w:p>
        </w:tc>
        <w:tc>
          <w:tcPr>
            <w:tcW w:w="964" w:type="dxa"/>
            <w:vAlign w:val="center"/>
          </w:tcPr>
          <w:p>
            <w:pPr>
              <w:pStyle w:val="13"/>
            </w:pPr>
            <w:r>
              <w:t>4268.39</w:t>
            </w:r>
          </w:p>
        </w:tc>
        <w:tc>
          <w:tcPr>
            <w:tcW w:w="1134" w:type="dxa"/>
            <w:vAlign w:val="center"/>
          </w:tcPr>
          <w:p>
            <w:pPr>
              <w:pStyle w:val="12"/>
            </w:pPr>
            <w:r>
              <w:t>普通服装</w:t>
            </w:r>
          </w:p>
        </w:tc>
        <w:tc>
          <w:tcPr>
            <w:tcW w:w="1134" w:type="dxa"/>
            <w:vAlign w:val="center"/>
          </w:tcPr>
          <w:p>
            <w:pPr>
              <w:pStyle w:val="12"/>
            </w:pPr>
            <w:r>
              <w:t>A07030103</w:t>
            </w:r>
          </w:p>
        </w:tc>
        <w:tc>
          <w:tcPr>
            <w:tcW w:w="709" w:type="dxa"/>
            <w:vAlign w:val="center"/>
          </w:tcPr>
          <w:p>
            <w:pPr>
              <w:pStyle w:val="11"/>
            </w:pPr>
            <w:r>
              <w:t>套</w:t>
            </w:r>
          </w:p>
        </w:tc>
        <w:tc>
          <w:tcPr>
            <w:tcW w:w="850" w:type="dxa"/>
            <w:vAlign w:val="center"/>
          </w:tcPr>
          <w:p>
            <w:pPr>
              <w:pStyle w:val="13"/>
            </w:pPr>
            <w:r>
              <w:t>1000</w:t>
            </w:r>
          </w:p>
        </w:tc>
        <w:tc>
          <w:tcPr>
            <w:tcW w:w="850" w:type="dxa"/>
            <w:vAlign w:val="center"/>
          </w:tcPr>
          <w:p>
            <w:pPr>
              <w:pStyle w:val="13"/>
            </w:pPr>
            <w:r>
              <w:t>0.12</w:t>
            </w:r>
          </w:p>
        </w:tc>
        <w:tc>
          <w:tcPr>
            <w:tcW w:w="964" w:type="dxa"/>
            <w:vAlign w:val="center"/>
          </w:tcPr>
          <w:p>
            <w:pPr>
              <w:pStyle w:val="13"/>
            </w:pPr>
            <w:r>
              <w:t>119.00</w:t>
            </w:r>
          </w:p>
        </w:tc>
        <w:tc>
          <w:tcPr>
            <w:tcW w:w="964" w:type="dxa"/>
            <w:vAlign w:val="center"/>
          </w:tcPr>
          <w:p>
            <w:pPr>
              <w:pStyle w:val="13"/>
            </w:pPr>
          </w:p>
        </w:tc>
        <w:tc>
          <w:tcPr>
            <w:tcW w:w="964" w:type="dxa"/>
            <w:vAlign w:val="center"/>
          </w:tcPr>
          <w:p>
            <w:pPr>
              <w:pStyle w:val="13"/>
            </w:pPr>
            <w:r>
              <w:t>119.00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垃圾转运站安装除臭设备</w:t>
            </w:r>
          </w:p>
        </w:tc>
        <w:tc>
          <w:tcPr>
            <w:tcW w:w="964" w:type="dxa"/>
            <w:vAlign w:val="center"/>
          </w:tcPr>
          <w:p>
            <w:pPr>
              <w:pStyle w:val="13"/>
            </w:pPr>
            <w:r>
              <w:t>45.00</w:t>
            </w:r>
          </w:p>
        </w:tc>
        <w:tc>
          <w:tcPr>
            <w:tcW w:w="1134" w:type="dxa"/>
            <w:vAlign w:val="center"/>
          </w:tcPr>
          <w:p>
            <w:pPr>
              <w:pStyle w:val="12"/>
            </w:pPr>
            <w:r>
              <w:t>其他环境污染防治设备</w:t>
            </w:r>
          </w:p>
        </w:tc>
        <w:tc>
          <w:tcPr>
            <w:tcW w:w="1134" w:type="dxa"/>
            <w:vAlign w:val="center"/>
          </w:tcPr>
          <w:p>
            <w:pPr>
              <w:pStyle w:val="12"/>
            </w:pPr>
            <w:r>
              <w:t>A032499</w:t>
            </w:r>
          </w:p>
        </w:tc>
        <w:tc>
          <w:tcPr>
            <w:tcW w:w="709" w:type="dxa"/>
            <w:vAlign w:val="center"/>
          </w:tcPr>
          <w:p>
            <w:pPr>
              <w:pStyle w:val="11"/>
            </w:pPr>
            <w:r>
              <w:t>套</w:t>
            </w:r>
          </w:p>
        </w:tc>
        <w:tc>
          <w:tcPr>
            <w:tcW w:w="850" w:type="dxa"/>
            <w:vAlign w:val="center"/>
          </w:tcPr>
          <w:p>
            <w:pPr>
              <w:pStyle w:val="13"/>
            </w:pPr>
            <w:r>
              <w:t>12</w:t>
            </w:r>
          </w:p>
        </w:tc>
        <w:tc>
          <w:tcPr>
            <w:tcW w:w="850" w:type="dxa"/>
            <w:vAlign w:val="center"/>
          </w:tcPr>
          <w:p>
            <w:pPr>
              <w:pStyle w:val="13"/>
            </w:pPr>
            <w:r>
              <w:t>3.75</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市容管理、监察维护费</w:t>
            </w:r>
          </w:p>
        </w:tc>
        <w:tc>
          <w:tcPr>
            <w:tcW w:w="964" w:type="dxa"/>
            <w:vAlign w:val="center"/>
          </w:tcPr>
          <w:p>
            <w:pPr>
              <w:pStyle w:val="13"/>
            </w:pPr>
            <w:r>
              <w:t>1980.35</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66.00</w:t>
            </w: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市容管理、监察维护费</w:t>
            </w:r>
          </w:p>
        </w:tc>
        <w:tc>
          <w:tcPr>
            <w:tcW w:w="964" w:type="dxa"/>
            <w:vAlign w:val="center"/>
          </w:tcPr>
          <w:p>
            <w:pPr>
              <w:pStyle w:val="13"/>
            </w:pPr>
            <w:r>
              <w:t>1980.35</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48.00</w:t>
            </w: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收运、处置厨余垃圾费用</w:t>
            </w:r>
          </w:p>
        </w:tc>
        <w:tc>
          <w:tcPr>
            <w:tcW w:w="964" w:type="dxa"/>
            <w:vAlign w:val="center"/>
          </w:tcPr>
          <w:p>
            <w:pPr>
              <w:pStyle w:val="13"/>
            </w:pPr>
            <w:r>
              <w:t>90.00</w:t>
            </w:r>
          </w:p>
        </w:tc>
        <w:tc>
          <w:tcPr>
            <w:tcW w:w="1134" w:type="dxa"/>
            <w:vAlign w:val="center"/>
          </w:tcPr>
          <w:p>
            <w:pPr>
              <w:pStyle w:val="12"/>
            </w:pPr>
            <w:r>
              <w:t>其他无害固体废物处理服务</w:t>
            </w:r>
          </w:p>
        </w:tc>
        <w:tc>
          <w:tcPr>
            <w:tcW w:w="1134" w:type="dxa"/>
            <w:vAlign w:val="center"/>
          </w:tcPr>
          <w:p>
            <w:pPr>
              <w:pStyle w:val="12"/>
            </w:pPr>
            <w:r>
              <w:t>C1606</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园林绿地维护费</w:t>
            </w:r>
          </w:p>
        </w:tc>
        <w:tc>
          <w:tcPr>
            <w:tcW w:w="964" w:type="dxa"/>
            <w:vAlign w:val="center"/>
          </w:tcPr>
          <w:p>
            <w:pPr>
              <w:pStyle w:val="13"/>
            </w:pPr>
            <w:r>
              <w:t>2575.14</w:t>
            </w:r>
          </w:p>
        </w:tc>
        <w:tc>
          <w:tcPr>
            <w:tcW w:w="1134" w:type="dxa"/>
            <w:vAlign w:val="center"/>
          </w:tcPr>
          <w:p>
            <w:pPr>
              <w:pStyle w:val="12"/>
            </w:pPr>
            <w:r>
              <w:t>其他专业施工</w:t>
            </w:r>
          </w:p>
        </w:tc>
        <w:tc>
          <w:tcPr>
            <w:tcW w:w="1134" w:type="dxa"/>
            <w:vAlign w:val="center"/>
          </w:tcPr>
          <w:p>
            <w:pPr>
              <w:pStyle w:val="12"/>
            </w:pPr>
            <w:r>
              <w:t>B0599</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190.00</w:t>
            </w:r>
          </w:p>
        </w:tc>
        <w:tc>
          <w:tcPr>
            <w:tcW w:w="964" w:type="dxa"/>
            <w:vAlign w:val="center"/>
          </w:tcPr>
          <w:p>
            <w:pPr>
              <w:pStyle w:val="13"/>
            </w:pPr>
            <w:r>
              <w:t>190.00</w:t>
            </w:r>
          </w:p>
        </w:tc>
        <w:tc>
          <w:tcPr>
            <w:tcW w:w="964" w:type="dxa"/>
            <w:vAlign w:val="center"/>
          </w:tcPr>
          <w:p>
            <w:pPr>
              <w:pStyle w:val="13"/>
            </w:pPr>
          </w:p>
        </w:tc>
        <w:tc>
          <w:tcPr>
            <w:tcW w:w="964" w:type="dxa"/>
            <w:vAlign w:val="center"/>
          </w:tcPr>
          <w:p>
            <w:pPr>
              <w:pStyle w:val="13"/>
            </w:pPr>
            <w:r>
              <w:t>190.00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园林绿地维护费</w:t>
            </w:r>
          </w:p>
        </w:tc>
        <w:tc>
          <w:tcPr>
            <w:tcW w:w="964" w:type="dxa"/>
            <w:vAlign w:val="center"/>
          </w:tcPr>
          <w:p>
            <w:pPr>
              <w:pStyle w:val="13"/>
            </w:pPr>
            <w:r>
              <w:t>2575.14</w:t>
            </w:r>
          </w:p>
        </w:tc>
        <w:tc>
          <w:tcPr>
            <w:tcW w:w="1134" w:type="dxa"/>
            <w:vAlign w:val="center"/>
          </w:tcPr>
          <w:p>
            <w:pPr>
              <w:pStyle w:val="12"/>
            </w:pPr>
            <w:r>
              <w:t>其他专业施工</w:t>
            </w:r>
          </w:p>
        </w:tc>
        <w:tc>
          <w:tcPr>
            <w:tcW w:w="1134" w:type="dxa"/>
            <w:vAlign w:val="center"/>
          </w:tcPr>
          <w:p>
            <w:pPr>
              <w:pStyle w:val="12"/>
            </w:pPr>
            <w:r>
              <w:t>B0599</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96.00</w:t>
            </w:r>
          </w:p>
        </w:tc>
        <w:tc>
          <w:tcPr>
            <w:tcW w:w="964" w:type="dxa"/>
            <w:vAlign w:val="center"/>
          </w:tcPr>
          <w:p>
            <w:pPr>
              <w:pStyle w:val="13"/>
            </w:pPr>
            <w:r>
              <w:t>96.00</w:t>
            </w:r>
          </w:p>
        </w:tc>
        <w:tc>
          <w:tcPr>
            <w:tcW w:w="964" w:type="dxa"/>
            <w:vAlign w:val="center"/>
          </w:tcPr>
          <w:p>
            <w:pPr>
              <w:pStyle w:val="13"/>
            </w:pPr>
          </w:p>
        </w:tc>
        <w:tc>
          <w:tcPr>
            <w:tcW w:w="964" w:type="dxa"/>
            <w:vAlign w:val="center"/>
          </w:tcPr>
          <w:p>
            <w:pPr>
              <w:pStyle w:val="13"/>
            </w:pPr>
            <w:r>
              <w:t>96.00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园林绿地维护费</w:t>
            </w:r>
          </w:p>
        </w:tc>
        <w:tc>
          <w:tcPr>
            <w:tcW w:w="964" w:type="dxa"/>
            <w:vAlign w:val="center"/>
          </w:tcPr>
          <w:p>
            <w:pPr>
              <w:pStyle w:val="13"/>
            </w:pPr>
            <w:r>
              <w:t>2575.14</w:t>
            </w:r>
          </w:p>
        </w:tc>
        <w:tc>
          <w:tcPr>
            <w:tcW w:w="1134" w:type="dxa"/>
            <w:vAlign w:val="center"/>
          </w:tcPr>
          <w:p>
            <w:pPr>
              <w:pStyle w:val="12"/>
            </w:pPr>
            <w:r>
              <w:t>园林绿化管理服务</w:t>
            </w:r>
          </w:p>
        </w:tc>
        <w:tc>
          <w:tcPr>
            <w:tcW w:w="1134" w:type="dxa"/>
            <w:vAlign w:val="center"/>
          </w:tcPr>
          <w:p>
            <w:pPr>
              <w:pStyle w:val="12"/>
            </w:pPr>
            <w:r>
              <w:t>C1303</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98.00</w:t>
            </w:r>
          </w:p>
        </w:tc>
        <w:tc>
          <w:tcPr>
            <w:tcW w:w="964" w:type="dxa"/>
            <w:vAlign w:val="center"/>
          </w:tcPr>
          <w:p>
            <w:pPr>
              <w:pStyle w:val="13"/>
            </w:pPr>
            <w:r>
              <w:t>98.00</w:t>
            </w:r>
          </w:p>
        </w:tc>
        <w:tc>
          <w:tcPr>
            <w:tcW w:w="964" w:type="dxa"/>
            <w:vAlign w:val="center"/>
          </w:tcPr>
          <w:p>
            <w:pPr>
              <w:pStyle w:val="13"/>
            </w:pPr>
          </w:p>
        </w:tc>
        <w:tc>
          <w:tcPr>
            <w:tcW w:w="964" w:type="dxa"/>
            <w:vAlign w:val="center"/>
          </w:tcPr>
          <w:p>
            <w:pPr>
              <w:pStyle w:val="13"/>
            </w:pPr>
            <w:r>
              <w:t>98.00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中转站运行服务费</w:t>
            </w:r>
          </w:p>
        </w:tc>
        <w:tc>
          <w:tcPr>
            <w:tcW w:w="964" w:type="dxa"/>
            <w:vAlign w:val="center"/>
          </w:tcPr>
          <w:p>
            <w:pPr>
              <w:pStyle w:val="13"/>
            </w:pPr>
            <w:r>
              <w:t>1949.52</w:t>
            </w:r>
          </w:p>
        </w:tc>
        <w:tc>
          <w:tcPr>
            <w:tcW w:w="1134" w:type="dxa"/>
            <w:vAlign w:val="center"/>
          </w:tcPr>
          <w:p>
            <w:pPr>
              <w:pStyle w:val="12"/>
            </w:pPr>
            <w:r>
              <w:t>市政公共设施管理服务</w:t>
            </w:r>
          </w:p>
        </w:tc>
        <w:tc>
          <w:tcPr>
            <w:tcW w:w="1134" w:type="dxa"/>
            <w:vAlign w:val="center"/>
          </w:tcPr>
          <w:p>
            <w:pPr>
              <w:pStyle w:val="12"/>
            </w:pPr>
            <w:r>
              <w:t>C1302</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1670.00</w:t>
            </w:r>
          </w:p>
        </w:tc>
        <w:tc>
          <w:tcPr>
            <w:tcW w:w="964" w:type="dxa"/>
            <w:vAlign w:val="center"/>
          </w:tcPr>
          <w:p>
            <w:pPr>
              <w:pStyle w:val="13"/>
            </w:pPr>
            <w:r>
              <w:t>1670.00</w:t>
            </w:r>
          </w:p>
        </w:tc>
        <w:tc>
          <w:tcPr>
            <w:tcW w:w="964" w:type="dxa"/>
            <w:vAlign w:val="center"/>
          </w:tcPr>
          <w:p>
            <w:pPr>
              <w:pStyle w:val="13"/>
            </w:pPr>
          </w:p>
        </w:tc>
        <w:tc>
          <w:tcPr>
            <w:tcW w:w="964" w:type="dxa"/>
            <w:vAlign w:val="center"/>
          </w:tcPr>
          <w:p>
            <w:pPr>
              <w:pStyle w:val="13"/>
            </w:pPr>
            <w:r>
              <w:t>1670.00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30969"/>
      <w:bookmarkStart w:id="19" w:name="_Toc24757"/>
      <w:r>
        <w:rPr>
          <w:rFonts w:ascii="黑体" w:hAnsi="黑体" w:eastAsia="黑体" w:cs="黑体"/>
          <w:color w:val="000000"/>
          <w:sz w:val="32"/>
        </w:rPr>
        <w:t>七、国有资产信息</w:t>
      </w:r>
      <w:bookmarkEnd w:id="18"/>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石家庄市藁城区城市管理综合行政执法局（含所属单位）上年末固定资产金额为6018.56万元（详见下表）。本年度拟购置固定资产总额为243.61万元，</w:t>
      </w:r>
      <w:r>
        <w:rPr>
          <w:rFonts w:hint="eastAsia" w:eastAsia="方正仿宋_GBK" w:cs="Times New Roman"/>
          <w:b w:val="0"/>
          <w:color w:val="000000"/>
          <w:sz w:val="28"/>
          <w:lang w:eastAsia="zh-CN"/>
        </w:rPr>
        <w:t>用于购买电脑、空调、办公桌椅、车载远程监测设备、不间断电源、湿扫机、防汛应急冲锋舟等，因未达到政府采购限额未</w:t>
      </w:r>
      <w:r>
        <w:rPr>
          <w:rFonts w:ascii="Times New Roman" w:hAnsi="Times New Roman" w:eastAsia="方正仿宋_GBK" w:cs="Times New Roman"/>
          <w:b w:val="0"/>
          <w:color w:val="000000"/>
          <w:sz w:val="28"/>
        </w:rPr>
        <w:t>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565石家庄市藁城区城市管理综合行政执法局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6018.56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2921.96</w:t>
            </w:r>
          </w:p>
        </w:tc>
        <w:tc>
          <w:tcPr>
            <w:tcW w:w="2835" w:type="dxa"/>
            <w:vAlign w:val="center"/>
          </w:tcPr>
          <w:p>
            <w:pPr>
              <w:pStyle w:val="13"/>
            </w:pPr>
            <w:r>
              <w:t>188.84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2901.96</w:t>
            </w:r>
          </w:p>
        </w:tc>
        <w:tc>
          <w:tcPr>
            <w:tcW w:w="2835" w:type="dxa"/>
            <w:vAlign w:val="center"/>
          </w:tcPr>
          <w:p>
            <w:pPr>
              <w:pStyle w:val="13"/>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118</w:t>
            </w:r>
          </w:p>
        </w:tc>
        <w:tc>
          <w:tcPr>
            <w:tcW w:w="2835" w:type="dxa"/>
            <w:vAlign w:val="center"/>
          </w:tcPr>
          <w:p>
            <w:pPr>
              <w:pStyle w:val="13"/>
            </w:pPr>
            <w:r>
              <w:t>3697.49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2375.85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Toc20484"/>
      <w:bookmarkStart w:id="21" w:name="_Toc5579"/>
      <w:r>
        <w:rPr>
          <w:rFonts w:ascii="黑体" w:hAnsi="黑体" w:eastAsia="黑体" w:cs="黑体"/>
          <w:color w:val="000000"/>
          <w:sz w:val="32"/>
        </w:rPr>
        <w:t>八、名词解释</w:t>
      </w:r>
      <w:bookmarkEnd w:id="20"/>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22" w:name="_Toc29974"/>
      <w:bookmarkStart w:id="23" w:name="_Toc2389"/>
      <w:r>
        <w:rPr>
          <w:rFonts w:ascii="黑体" w:hAnsi="黑体" w:eastAsia="黑体" w:cs="黑体"/>
          <w:color w:val="000000"/>
          <w:sz w:val="32"/>
        </w:rPr>
        <w:t>九、其他需要说明的事项</w:t>
      </w:r>
      <w:bookmarkEnd w:id="22"/>
      <w:bookmarkEnd w:id="23"/>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
    <w:p/>
    <w:p/>
    <w:p/>
    <w:p/>
    <w:p/>
    <w:p/>
    <w:p/>
    <w:p/>
    <w:p/>
    <w:p/>
    <w:p/>
    <w:p/>
    <w:p/>
    <w:p/>
    <w:p/>
    <w:p/>
    <w:p/>
    <w:p/>
    <w:p/>
    <w:p/>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69FE9B"/>
    <w:multiLevelType w:val="singleLevel"/>
    <w:tmpl w:val="9869FE9B"/>
    <w:lvl w:ilvl="0" w:tentative="0">
      <w:start w:val="25"/>
      <w:numFmt w:val="decimal"/>
      <w:suff w:val="nothing"/>
      <w:lvlText w:val="%1、"/>
      <w:lvlJc w:val="left"/>
    </w:lvl>
  </w:abstractNum>
  <w:abstractNum w:abstractNumId="1">
    <w:nsid w:val="99F53560"/>
    <w:multiLevelType w:val="singleLevel"/>
    <w:tmpl w:val="99F53560"/>
    <w:lvl w:ilvl="0" w:tentative="0">
      <w:start w:val="52"/>
      <w:numFmt w:val="decimal"/>
      <w:suff w:val="nothing"/>
      <w:lvlText w:val="%1、"/>
      <w:lvlJc w:val="left"/>
    </w:lvl>
  </w:abstractNum>
  <w:abstractNum w:abstractNumId="2">
    <w:nsid w:val="B9FF96BB"/>
    <w:multiLevelType w:val="singleLevel"/>
    <w:tmpl w:val="B9FF96BB"/>
    <w:lvl w:ilvl="0" w:tentative="0">
      <w:start w:val="57"/>
      <w:numFmt w:val="decimal"/>
      <w:suff w:val="nothing"/>
      <w:lvlText w:val="%1、"/>
      <w:lvlJc w:val="left"/>
    </w:lvl>
  </w:abstractNum>
  <w:abstractNum w:abstractNumId="3">
    <w:nsid w:val="C5E508DA"/>
    <w:multiLevelType w:val="singleLevel"/>
    <w:tmpl w:val="C5E508DA"/>
    <w:lvl w:ilvl="0" w:tentative="0">
      <w:start w:val="42"/>
      <w:numFmt w:val="decimal"/>
      <w:suff w:val="nothing"/>
      <w:lvlText w:val="%1、"/>
      <w:lvlJc w:val="left"/>
    </w:lvl>
  </w:abstractNum>
  <w:abstractNum w:abstractNumId="4">
    <w:nsid w:val="CC42AF10"/>
    <w:multiLevelType w:val="singleLevel"/>
    <w:tmpl w:val="CC42AF10"/>
    <w:lvl w:ilvl="0" w:tentative="0">
      <w:start w:val="66"/>
      <w:numFmt w:val="decimal"/>
      <w:suff w:val="nothing"/>
      <w:lvlText w:val="%1、"/>
      <w:lvlJc w:val="left"/>
    </w:lvl>
  </w:abstractNum>
  <w:abstractNum w:abstractNumId="5">
    <w:nsid w:val="1F4EFB43"/>
    <w:multiLevelType w:val="singleLevel"/>
    <w:tmpl w:val="1F4EFB43"/>
    <w:lvl w:ilvl="0" w:tentative="0">
      <w:start w:val="49"/>
      <w:numFmt w:val="decimal"/>
      <w:suff w:val="nothing"/>
      <w:lvlText w:val="%1、"/>
      <w:lvlJc w:val="left"/>
    </w:lvl>
  </w:abstractNum>
  <w:abstractNum w:abstractNumId="6">
    <w:nsid w:val="4F783988"/>
    <w:multiLevelType w:val="singleLevel"/>
    <w:tmpl w:val="4F783988"/>
    <w:lvl w:ilvl="0" w:tentative="0">
      <w:start w:val="7"/>
      <w:numFmt w:val="decimal"/>
      <w:suff w:val="nothing"/>
      <w:lvlText w:val="%1、"/>
      <w:lvlJc w:val="left"/>
    </w:lvl>
  </w:abstractNum>
  <w:num w:numId="1">
    <w:abstractNumId w:val="6"/>
  </w:num>
  <w:num w:numId="2">
    <w:abstractNumId w:val="0"/>
  </w:num>
  <w:num w:numId="3">
    <w:abstractNumId w:val="3"/>
  </w:num>
  <w:num w:numId="4">
    <w:abstractNumId w:val="5"/>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wZGQxNjA3NzE3YjRlZDA5YjA4NDI2YmUzYjkxZDYifQ=="/>
  </w:docVars>
  <w:rsids>
    <w:rsidRoot w:val="00000000"/>
    <w:rsid w:val="0A9477B3"/>
    <w:rsid w:val="0BDE16AD"/>
    <w:rsid w:val="19AA4B08"/>
    <w:rsid w:val="1AB84493"/>
    <w:rsid w:val="1B9A1B41"/>
    <w:rsid w:val="1ED05311"/>
    <w:rsid w:val="35376892"/>
    <w:rsid w:val="417F122B"/>
    <w:rsid w:val="50175053"/>
    <w:rsid w:val="6468651B"/>
    <w:rsid w:val="658B6F88"/>
    <w:rsid w:val="6E4D14E0"/>
    <w:rsid w:val="7B9806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Normal_0d3230d5-dfc8-4d32-8c1e-0ad5817eb59b"/>
    <w:autoRedefine/>
    <w:qFormat/>
    <w:uiPriority w:val="0"/>
    <w:rPr>
      <w:rFonts w:ascii="Times New Roman" w:hAnsi="Times New Roman" w:eastAsia="Times New Roman" w:cstheme="minorBidi"/>
      <w:sz w:val="24"/>
      <w:szCs w:val="24"/>
      <w:lang w:val="en-US" w:eastAsia="uk-UA" w:bidi="ar-SA"/>
    </w:rPr>
  </w:style>
  <w:style w:type="paragraph" w:customStyle="1" w:styleId="22">
    <w:name w:val="单元格样式1_79b6c72c-293d-4486-ab82-5f505f34eae4"/>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3">
    <w:name w:val="单元格样式2_12c90792-6e23-4116-bc2c-20a2d04277d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4">
    <w:name w:val="单元格样式3_968113df-8876-40cc-9ab4-ea0ea250e99a"/>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110</Pages>
  <Words>33239</Words>
  <Characters>36688</Characters>
  <Lines>0</Lines>
  <Paragraphs>0</Paragraphs>
  <TotalTime>2</TotalTime>
  <ScaleCrop>false</ScaleCrop>
  <LinksUpToDate>false</LinksUpToDate>
  <CharactersWithSpaces>36979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2023-09-06T00:50:00Z</dcterms:created>
  <dc:creator>Administrator</dc:creator>
  <cp:lastModifiedBy>李嘉若</cp:lastModifiedBy>
  <dcterms:modified xsi:type="dcterms:W3CDTF">2024-02-23T02:04:14Z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B6881E6D83524538B6145EDDBF345F7A</vt:lpwstr>
  </property>
</Properties>
</file>