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spacing w:before="0" w:after="0" w:line="240" w:lineRule="auto"/>
        <w:ind w:firstLine="0"/>
        <w:jc w:val="center"/>
        <w:outlineLvl w:val="9"/>
        <w:rPr>
          <w:rFonts w:hint="eastAsia" w:eastAsia="黑体"/>
          <w:lang w:val="en-US" w:eastAsia="zh-CN"/>
        </w:rPr>
      </w:pPr>
      <w:r>
        <w:rPr>
          <w:rFonts w:hint="eastAsia" w:ascii="黑体" w:hAnsi="黑体" w:eastAsia="黑体" w:cs="黑体"/>
          <w:b/>
          <w:color w:val="000000"/>
          <w:sz w:val="40"/>
          <w:szCs w:val="36"/>
          <w:lang w:val="en-US" w:eastAsia="zh-CN"/>
        </w:rPr>
        <w:t>石家庄市藁城区应急管理局</w:t>
      </w:r>
      <w:r>
        <w:rPr>
          <w:rFonts w:ascii="黑体" w:hAnsi="黑体" w:eastAsia="黑体" w:cs="黑体"/>
          <w:b/>
          <w:color w:val="000000"/>
          <w:sz w:val="40"/>
          <w:szCs w:val="36"/>
        </w:rPr>
        <w:t>所属单位</w:t>
      </w:r>
      <w:r>
        <w:rPr>
          <w:rFonts w:hint="eastAsia" w:ascii="黑体" w:hAnsi="黑体" w:eastAsia="黑体" w:cs="黑体"/>
          <w:b/>
          <w:color w:val="000000"/>
          <w:sz w:val="40"/>
          <w:szCs w:val="36"/>
          <w:lang w:val="en-US" w:eastAsia="zh-CN"/>
        </w:rPr>
        <w:t>2022年度单位</w:t>
      </w:r>
      <w:r>
        <w:rPr>
          <w:rFonts w:ascii="黑体" w:hAnsi="黑体" w:eastAsia="黑体" w:cs="黑体"/>
          <w:b/>
          <w:color w:val="000000"/>
          <w:sz w:val="40"/>
          <w:szCs w:val="36"/>
        </w:rPr>
        <w:t>预算</w:t>
      </w:r>
      <w:r>
        <w:rPr>
          <w:rFonts w:hint="eastAsia" w:ascii="黑体" w:hAnsi="黑体" w:eastAsia="黑体" w:cs="黑体"/>
          <w:b/>
          <w:color w:val="000000"/>
          <w:sz w:val="40"/>
          <w:szCs w:val="36"/>
          <w:lang w:val="en-US" w:eastAsia="zh-CN"/>
        </w:rPr>
        <w:t>公开</w:t>
      </w:r>
    </w:p>
    <w:p>
      <w:pPr>
        <w:pStyle w:val="3"/>
        <w:tabs>
          <w:tab w:val="right" w:leader="dot" w:pos="14562"/>
        </w:tabs>
      </w:pPr>
      <w:r>
        <w:fldChar w:fldCharType="begin"/>
      </w:r>
      <w:r>
        <w:instrText xml:space="preserve">TOC \o "4-4" \h \z \u</w:instrText>
      </w:r>
      <w:r>
        <w:fldChar w:fldCharType="separate"/>
      </w:r>
    </w:p>
    <w:sdt>
      <w:sdtPr>
        <w:rPr>
          <w:rFonts w:ascii="宋体" w:hAnsi="宋体" w:eastAsia="宋体" w:cstheme="minorBidi"/>
          <w:sz w:val="21"/>
          <w:szCs w:val="24"/>
          <w:lang w:val="en-US" w:eastAsia="uk-UA" w:bidi="ar-SA"/>
        </w:rPr>
        <w:id w:val="147473521"/>
        <w:docPartObj>
          <w:docPartGallery w:val="Table of Contents"/>
          <w:docPartUnique/>
        </w:docPartObj>
      </w:sdtPr>
      <w:sdtEndPr>
        <w:rPr>
          <w:rFonts w:ascii="宋体" w:hAnsi="宋体" w:eastAsia="宋体" w:cstheme="minorBidi"/>
          <w:sz w:val="20"/>
          <w:szCs w:val="20"/>
          <w:lang w:val="en-US" w:eastAsia="uk-UA" w:bidi="ar-SA"/>
        </w:rPr>
      </w:sdtEndPr>
      <w:sdtContent>
        <w:p>
          <w:pPr>
            <w:spacing w:before="0" w:beforeLines="0" w:after="0" w:afterLines="0" w:line="240" w:lineRule="auto"/>
            <w:ind w:left="0" w:leftChars="0" w:right="0" w:rightChars="0" w:firstLine="0" w:firstLineChars="0"/>
            <w:jc w:val="center"/>
          </w:pPr>
          <w:bookmarkStart w:id="0" w:name="_Toc24458_WPSOffice_Type1"/>
        </w:p>
        <w:p>
          <w:pPr>
            <w:pStyle w:val="35"/>
            <w:tabs>
              <w:tab w:val="right" w:leader="dot" w:pos="14572"/>
            </w:tabs>
          </w:pPr>
          <w:r>
            <w:fldChar w:fldCharType="begin"/>
          </w:r>
          <w:r>
            <w:instrText xml:space="preserve"> HYPERLINK \l _Toc11952_WPSOffice_Level1 </w:instrText>
          </w:r>
          <w:r>
            <w:fldChar w:fldCharType="separate"/>
          </w:r>
          <w:sdt>
            <w:sdtPr>
              <w:rPr>
                <w:rFonts w:ascii="Times New Roman" w:hAnsi="Times New Roman" w:eastAsia="Times New Roman" w:cstheme="minorBidi"/>
                <w:b/>
                <w:bCs/>
                <w:sz w:val="40"/>
                <w:szCs w:val="40"/>
                <w:lang w:val="en-US" w:eastAsia="uk-UA" w:bidi="ar-SA"/>
              </w:rPr>
              <w:id w:val="147473521"/>
              <w:placeholder>
                <w:docPart w:val="{82b9387b-4909-4c93-a9e2-a98c4ba90e74}"/>
              </w:placeholder>
            </w:sdtPr>
            <w:sdtEndPr>
              <w:rPr>
                <w:rFonts w:hint="default" w:ascii="Times New Roman" w:hAnsi="Times New Roman" w:eastAsia="Times New Roman" w:cstheme="minorBidi"/>
                <w:b/>
                <w:bCs/>
                <w:sz w:val="24"/>
                <w:szCs w:val="24"/>
                <w:lang w:val="en-US" w:eastAsia="uk-UA" w:bidi="ar-SA"/>
              </w:rPr>
            </w:sdtEndPr>
            <w:sdtContent>
              <w:r>
                <w:rPr>
                  <w:rFonts w:hint="eastAsia" w:ascii="方正小标宋_GBK" w:hAnsi="方正小标宋_GBK" w:eastAsia="方正小标宋_GBK" w:cs="方正小标宋_GBK"/>
                  <w:b/>
                  <w:bCs/>
                  <w:sz w:val="28"/>
                  <w:szCs w:val="28"/>
                  <w:lang w:val="en-US" w:eastAsia="zh-CN"/>
                </w:rPr>
                <w:t>单位预算公开表</w:t>
              </w:r>
            </w:sdtContent>
          </w:sdt>
          <w:r>
            <w:fldChar w:fldCharType="end"/>
          </w:r>
        </w:p>
        <w:p>
          <w:pPr>
            <w:pStyle w:val="35"/>
            <w:tabs>
              <w:tab w:val="right" w:leader="dot" w:pos="14572"/>
            </w:tabs>
          </w:pPr>
          <w:r>
            <w:fldChar w:fldCharType="begin"/>
          </w:r>
          <w:r>
            <w:instrText xml:space="preserve"> HYPERLINK \l _Toc24458_WPSOffice_Level1 </w:instrText>
          </w:r>
          <w:r>
            <w:fldChar w:fldCharType="separate"/>
          </w:r>
          <w:sdt>
            <w:sdtPr>
              <w:rPr>
                <w:rFonts w:ascii="Times New Roman" w:hAnsi="Times New Roman" w:eastAsia="Times New Roman" w:cstheme="minorBidi"/>
                <w:sz w:val="24"/>
                <w:szCs w:val="24"/>
                <w:lang w:val="en-US" w:eastAsia="uk-UA" w:bidi="ar-SA"/>
              </w:rPr>
              <w:id w:val="147473521"/>
              <w:placeholder>
                <w:docPart w:val="{7609af55-285f-479b-9277-2b4bc9936dbd}"/>
              </w:placeholder>
            </w:sdtPr>
            <w:sdtEndPr>
              <w:rPr>
                <w:rFonts w:ascii="Times New Roman" w:hAnsi="Times New Roman" w:eastAsia="Times New Roman" w:cstheme="minorBidi"/>
                <w:sz w:val="24"/>
                <w:szCs w:val="24"/>
                <w:lang w:val="en-US" w:eastAsia="uk-UA" w:bidi="ar-SA"/>
              </w:rPr>
            </w:sdtEndPr>
            <w:sdtContent>
              <w:r>
                <w:rPr>
                  <w:rFonts w:ascii="方正小标宋_GBK" w:hAnsi="方正小标宋_GBK" w:eastAsia="方正小标宋_GBK" w:cs="方正小标宋_GBK"/>
                </w:rPr>
                <w:t>单位预算收支总表</w:t>
              </w:r>
            </w:sdtContent>
          </w:sdt>
          <w:r>
            <w:tab/>
          </w:r>
          <w:bookmarkStart w:id="1" w:name="_Toc24458_WPSOffice_Level1Page"/>
          <w:r>
            <w:t>2</w:t>
          </w:r>
          <w:bookmarkEnd w:id="1"/>
          <w:r>
            <w:fldChar w:fldCharType="end"/>
          </w:r>
        </w:p>
        <w:p>
          <w:pPr>
            <w:pStyle w:val="35"/>
            <w:tabs>
              <w:tab w:val="right" w:leader="dot" w:pos="14572"/>
            </w:tabs>
          </w:pPr>
          <w:r>
            <w:fldChar w:fldCharType="begin"/>
          </w:r>
          <w:r>
            <w:instrText xml:space="preserve"> HYPERLINK \l _Toc14464_WPSOffice_Level1 </w:instrText>
          </w:r>
          <w:r>
            <w:fldChar w:fldCharType="separate"/>
          </w:r>
          <w:sdt>
            <w:sdtPr>
              <w:rPr>
                <w:rFonts w:ascii="Times New Roman" w:hAnsi="Times New Roman" w:eastAsia="Times New Roman" w:cstheme="minorBidi"/>
                <w:sz w:val="24"/>
                <w:szCs w:val="24"/>
                <w:lang w:val="en-US" w:eastAsia="uk-UA" w:bidi="ar-SA"/>
              </w:rPr>
              <w:id w:val="147473521"/>
              <w:placeholder>
                <w:docPart w:val="{ea0b2280-05e9-4645-a467-f065defd1f25}"/>
              </w:placeholder>
            </w:sdtPr>
            <w:sdtEndPr>
              <w:rPr>
                <w:rFonts w:ascii="Times New Roman" w:hAnsi="Times New Roman" w:eastAsia="Times New Roman" w:cstheme="minorBidi"/>
                <w:sz w:val="24"/>
                <w:szCs w:val="24"/>
                <w:lang w:val="en-US" w:eastAsia="uk-UA" w:bidi="ar-SA"/>
              </w:rPr>
            </w:sdtEndPr>
            <w:sdtContent>
              <w:r>
                <w:rPr>
                  <w:rFonts w:ascii="方正小标宋_GBK" w:hAnsi="方正小标宋_GBK" w:eastAsia="方正小标宋_GBK" w:cs="方正小标宋_GBK"/>
                </w:rPr>
                <w:t>单位预算收入总表</w:t>
              </w:r>
            </w:sdtContent>
          </w:sdt>
          <w:r>
            <w:tab/>
          </w:r>
          <w:bookmarkStart w:id="2" w:name="_Toc14464_WPSOffice_Level1Page"/>
          <w:r>
            <w:t>5</w:t>
          </w:r>
          <w:bookmarkEnd w:id="2"/>
          <w:r>
            <w:fldChar w:fldCharType="end"/>
          </w:r>
        </w:p>
        <w:p>
          <w:pPr>
            <w:pStyle w:val="35"/>
            <w:tabs>
              <w:tab w:val="right" w:leader="dot" w:pos="14572"/>
            </w:tabs>
          </w:pPr>
          <w:r>
            <w:fldChar w:fldCharType="begin"/>
          </w:r>
          <w:r>
            <w:instrText xml:space="preserve"> HYPERLINK \l _Toc27217_WPSOffice_Level1 </w:instrText>
          </w:r>
          <w:r>
            <w:fldChar w:fldCharType="separate"/>
          </w:r>
          <w:sdt>
            <w:sdtPr>
              <w:rPr>
                <w:rFonts w:ascii="Times New Roman" w:hAnsi="Times New Roman" w:eastAsia="Times New Roman" w:cstheme="minorBidi"/>
                <w:sz w:val="24"/>
                <w:szCs w:val="24"/>
                <w:lang w:val="en-US" w:eastAsia="uk-UA" w:bidi="ar-SA"/>
              </w:rPr>
              <w:id w:val="147473521"/>
              <w:placeholder>
                <w:docPart w:val="{04742b5f-c7e0-4c19-a2a3-328926957e28}"/>
              </w:placeholder>
            </w:sdtPr>
            <w:sdtEndPr>
              <w:rPr>
                <w:rFonts w:ascii="Times New Roman" w:hAnsi="Times New Roman" w:eastAsia="Times New Roman" w:cstheme="minorBidi"/>
                <w:sz w:val="24"/>
                <w:szCs w:val="24"/>
                <w:lang w:val="en-US" w:eastAsia="uk-UA" w:bidi="ar-SA"/>
              </w:rPr>
            </w:sdtEndPr>
            <w:sdtContent>
              <w:r>
                <w:rPr>
                  <w:rFonts w:ascii="方正小标宋_GBK" w:hAnsi="方正小标宋_GBK" w:eastAsia="方正小标宋_GBK" w:cs="方正小标宋_GBK"/>
                </w:rPr>
                <w:t>单位预算支出总表</w:t>
              </w:r>
            </w:sdtContent>
          </w:sdt>
          <w:r>
            <w:tab/>
          </w:r>
          <w:bookmarkStart w:id="3" w:name="_Toc27217_WPSOffice_Level1Page"/>
          <w:r>
            <w:t>8</w:t>
          </w:r>
          <w:bookmarkEnd w:id="3"/>
          <w:r>
            <w:fldChar w:fldCharType="end"/>
          </w:r>
        </w:p>
        <w:p>
          <w:pPr>
            <w:pStyle w:val="35"/>
            <w:tabs>
              <w:tab w:val="right" w:leader="dot" w:pos="14572"/>
            </w:tabs>
          </w:pPr>
          <w:r>
            <w:fldChar w:fldCharType="begin"/>
          </w:r>
          <w:r>
            <w:instrText xml:space="preserve"> HYPERLINK \l _Toc8303_WPSOffice_Level1 </w:instrText>
          </w:r>
          <w:r>
            <w:fldChar w:fldCharType="separate"/>
          </w:r>
          <w:sdt>
            <w:sdtPr>
              <w:rPr>
                <w:rFonts w:ascii="Times New Roman" w:hAnsi="Times New Roman" w:eastAsia="Times New Roman" w:cstheme="minorBidi"/>
                <w:sz w:val="24"/>
                <w:szCs w:val="24"/>
                <w:lang w:val="en-US" w:eastAsia="uk-UA" w:bidi="ar-SA"/>
              </w:rPr>
              <w:id w:val="147473521"/>
              <w:placeholder>
                <w:docPart w:val="{3f22883f-618a-41da-a45c-cb6a25ae640b}"/>
              </w:placeholder>
            </w:sdtPr>
            <w:sdtEndPr>
              <w:rPr>
                <w:rFonts w:ascii="Times New Roman" w:hAnsi="Times New Roman" w:eastAsia="Times New Roman" w:cstheme="minorBidi"/>
                <w:sz w:val="24"/>
                <w:szCs w:val="24"/>
                <w:lang w:val="en-US" w:eastAsia="uk-UA" w:bidi="ar-SA"/>
              </w:rPr>
            </w:sdtEndPr>
            <w:sdtContent>
              <w:r>
                <w:rPr>
                  <w:rFonts w:ascii="方正小标宋_GBK" w:hAnsi="方正小标宋_GBK" w:eastAsia="方正小标宋_GBK" w:cs="方正小标宋_GBK"/>
                </w:rPr>
                <w:t>单位预算财政拨款收支总表</w:t>
              </w:r>
            </w:sdtContent>
          </w:sdt>
          <w:r>
            <w:tab/>
          </w:r>
          <w:bookmarkStart w:id="4" w:name="_Toc8303_WPSOffice_Level1Page"/>
          <w:r>
            <w:t>10</w:t>
          </w:r>
          <w:bookmarkEnd w:id="4"/>
          <w:r>
            <w:fldChar w:fldCharType="end"/>
          </w:r>
        </w:p>
        <w:p>
          <w:pPr>
            <w:pStyle w:val="35"/>
            <w:tabs>
              <w:tab w:val="right" w:leader="dot" w:pos="14572"/>
            </w:tabs>
          </w:pPr>
          <w:r>
            <w:fldChar w:fldCharType="begin"/>
          </w:r>
          <w:r>
            <w:instrText xml:space="preserve"> HYPERLINK \l _Toc22096_WPSOffice_Level1 </w:instrText>
          </w:r>
          <w:r>
            <w:fldChar w:fldCharType="separate"/>
          </w:r>
          <w:sdt>
            <w:sdtPr>
              <w:rPr>
                <w:rFonts w:ascii="Times New Roman" w:hAnsi="Times New Roman" w:eastAsia="Times New Roman" w:cstheme="minorBidi"/>
                <w:sz w:val="24"/>
                <w:szCs w:val="24"/>
                <w:lang w:val="en-US" w:eastAsia="uk-UA" w:bidi="ar-SA"/>
              </w:rPr>
              <w:id w:val="147473521"/>
              <w:placeholder>
                <w:docPart w:val="{db10d815-af20-48bf-8a07-1b0a47b8727f}"/>
              </w:placeholder>
            </w:sdtPr>
            <w:sdtEndPr>
              <w:rPr>
                <w:rFonts w:ascii="Times New Roman" w:hAnsi="Times New Roman" w:eastAsia="Times New Roman" w:cstheme="minorBidi"/>
                <w:sz w:val="24"/>
                <w:szCs w:val="24"/>
                <w:lang w:val="en-US" w:eastAsia="uk-UA" w:bidi="ar-SA"/>
              </w:rPr>
            </w:sdtEndPr>
            <w:sdtContent>
              <w:r>
                <w:rPr>
                  <w:rFonts w:ascii="方正小标宋_GBK" w:hAnsi="方正小标宋_GBK" w:eastAsia="方正小标宋_GBK" w:cs="方正小标宋_GBK"/>
                </w:rPr>
                <w:t>单位预算一般公共预算财政拨款支出表</w:t>
              </w:r>
            </w:sdtContent>
          </w:sdt>
          <w:r>
            <w:tab/>
          </w:r>
          <w:bookmarkStart w:id="5" w:name="_Toc22096_WPSOffice_Level1Page"/>
          <w:r>
            <w:t>17</w:t>
          </w:r>
          <w:bookmarkEnd w:id="5"/>
          <w:r>
            <w:fldChar w:fldCharType="end"/>
          </w:r>
        </w:p>
        <w:p>
          <w:pPr>
            <w:pStyle w:val="35"/>
            <w:tabs>
              <w:tab w:val="right" w:leader="dot" w:pos="14572"/>
            </w:tabs>
          </w:pPr>
          <w:r>
            <w:fldChar w:fldCharType="begin"/>
          </w:r>
          <w:r>
            <w:instrText xml:space="preserve"> HYPERLINK \l _Toc15152_WPSOffice_Level1 </w:instrText>
          </w:r>
          <w:r>
            <w:fldChar w:fldCharType="separate"/>
          </w:r>
          <w:sdt>
            <w:sdtPr>
              <w:rPr>
                <w:rFonts w:ascii="Times New Roman" w:hAnsi="Times New Roman" w:eastAsia="Times New Roman" w:cstheme="minorBidi"/>
                <w:sz w:val="24"/>
                <w:szCs w:val="24"/>
                <w:lang w:val="en-US" w:eastAsia="uk-UA" w:bidi="ar-SA"/>
              </w:rPr>
              <w:id w:val="147473521"/>
              <w:placeholder>
                <w:docPart w:val="{10dcc8aa-c382-4604-bc11-4cccac317101}"/>
              </w:placeholder>
            </w:sdtPr>
            <w:sdtEndPr>
              <w:rPr>
                <w:rFonts w:ascii="Times New Roman" w:hAnsi="Times New Roman" w:eastAsia="Times New Roman" w:cstheme="minorBidi"/>
                <w:sz w:val="24"/>
                <w:szCs w:val="24"/>
                <w:lang w:val="en-US" w:eastAsia="uk-UA" w:bidi="ar-SA"/>
              </w:rPr>
            </w:sdtEndPr>
            <w:sdtContent>
              <w:r>
                <w:rPr>
                  <w:rFonts w:ascii="方正小标宋_GBK" w:hAnsi="方正小标宋_GBK" w:eastAsia="方正小标宋_GBK" w:cs="方正小标宋_GBK"/>
                </w:rPr>
                <w:t>单位预算一般公共预算财政拨款基本支出表</w:t>
              </w:r>
            </w:sdtContent>
          </w:sdt>
          <w:r>
            <w:tab/>
          </w:r>
          <w:bookmarkStart w:id="6" w:name="_Toc15152_WPSOffice_Level1Page"/>
          <w:r>
            <w:t>19</w:t>
          </w:r>
          <w:bookmarkEnd w:id="6"/>
          <w:r>
            <w:fldChar w:fldCharType="end"/>
          </w:r>
        </w:p>
        <w:p>
          <w:pPr>
            <w:pStyle w:val="35"/>
            <w:tabs>
              <w:tab w:val="right" w:leader="dot" w:pos="14572"/>
            </w:tabs>
          </w:pPr>
          <w:r>
            <w:fldChar w:fldCharType="begin"/>
          </w:r>
          <w:r>
            <w:instrText xml:space="preserve"> HYPERLINK \l _Toc2938_WPSOffice_Level1 </w:instrText>
          </w:r>
          <w:r>
            <w:fldChar w:fldCharType="separate"/>
          </w:r>
          <w:sdt>
            <w:sdtPr>
              <w:rPr>
                <w:rFonts w:ascii="Times New Roman" w:hAnsi="Times New Roman" w:eastAsia="Times New Roman" w:cstheme="minorBidi"/>
                <w:sz w:val="24"/>
                <w:szCs w:val="24"/>
                <w:lang w:val="en-US" w:eastAsia="uk-UA" w:bidi="ar-SA"/>
              </w:rPr>
              <w:id w:val="147473521"/>
              <w:placeholder>
                <w:docPart w:val="{32663868-1426-4c53-a386-782b6df62c35}"/>
              </w:placeholder>
            </w:sdtPr>
            <w:sdtEndPr>
              <w:rPr>
                <w:rFonts w:ascii="Times New Roman" w:hAnsi="Times New Roman" w:eastAsia="Times New Roman" w:cstheme="minorBidi"/>
                <w:sz w:val="24"/>
                <w:szCs w:val="24"/>
                <w:lang w:val="en-US" w:eastAsia="uk-UA" w:bidi="ar-SA"/>
              </w:rPr>
            </w:sdtEndPr>
            <w:sdtContent>
              <w:r>
                <w:rPr>
                  <w:rFonts w:ascii="方正小标宋_GBK" w:hAnsi="方正小标宋_GBK" w:eastAsia="方正小标宋_GBK" w:cs="方正小标宋_GBK"/>
                </w:rPr>
                <w:t>单位预算政府基金预算财政拨款支出表</w:t>
              </w:r>
            </w:sdtContent>
          </w:sdt>
          <w:r>
            <w:tab/>
          </w:r>
          <w:bookmarkStart w:id="7" w:name="_Toc2938_WPSOffice_Level1Page"/>
          <w:r>
            <w:t>21</w:t>
          </w:r>
          <w:bookmarkEnd w:id="7"/>
          <w:r>
            <w:fldChar w:fldCharType="end"/>
          </w:r>
        </w:p>
        <w:p>
          <w:pPr>
            <w:pStyle w:val="35"/>
            <w:tabs>
              <w:tab w:val="right" w:leader="dot" w:pos="14572"/>
            </w:tabs>
          </w:pPr>
          <w:r>
            <w:fldChar w:fldCharType="begin"/>
          </w:r>
          <w:r>
            <w:instrText xml:space="preserve"> HYPERLINK \l _Toc9868_WPSOffice_Level1 </w:instrText>
          </w:r>
          <w:r>
            <w:fldChar w:fldCharType="separate"/>
          </w:r>
          <w:sdt>
            <w:sdtPr>
              <w:rPr>
                <w:rFonts w:ascii="Times New Roman" w:hAnsi="Times New Roman" w:eastAsia="Times New Roman" w:cstheme="minorBidi"/>
                <w:sz w:val="24"/>
                <w:szCs w:val="24"/>
                <w:lang w:val="en-US" w:eastAsia="uk-UA" w:bidi="ar-SA"/>
              </w:rPr>
              <w:id w:val="147473521"/>
              <w:placeholder>
                <w:docPart w:val="{7fc96ab2-5783-45f0-83e3-9e58fa999d0e}"/>
              </w:placeholder>
            </w:sdtPr>
            <w:sdtEndPr>
              <w:rPr>
                <w:rFonts w:ascii="Times New Roman" w:hAnsi="Times New Roman" w:eastAsia="Times New Roman" w:cstheme="minorBidi"/>
                <w:sz w:val="24"/>
                <w:szCs w:val="24"/>
                <w:lang w:val="en-US" w:eastAsia="uk-UA" w:bidi="ar-SA"/>
              </w:rPr>
            </w:sdtEndPr>
            <w:sdtContent>
              <w:r>
                <w:rPr>
                  <w:rFonts w:ascii="方正小标宋_GBK" w:hAnsi="方正小标宋_GBK" w:eastAsia="方正小标宋_GBK" w:cs="方正小标宋_GBK"/>
                </w:rPr>
                <w:t>单位预算国有资本经营预算财政拨款支出表</w:t>
              </w:r>
            </w:sdtContent>
          </w:sdt>
          <w:r>
            <w:tab/>
          </w:r>
          <w:bookmarkStart w:id="8" w:name="_Toc9868_WPSOffice_Level1Page"/>
          <w:r>
            <w:t>22</w:t>
          </w:r>
          <w:bookmarkEnd w:id="8"/>
          <w:r>
            <w:fldChar w:fldCharType="end"/>
          </w:r>
        </w:p>
        <w:p>
          <w:pPr>
            <w:pStyle w:val="35"/>
            <w:tabs>
              <w:tab w:val="right" w:leader="dot" w:pos="14572"/>
            </w:tabs>
          </w:pPr>
          <w:r>
            <w:fldChar w:fldCharType="begin"/>
          </w:r>
          <w:r>
            <w:instrText xml:space="preserve"> HYPERLINK \l _Toc22389_WPSOffice_Level1 </w:instrText>
          </w:r>
          <w:r>
            <w:fldChar w:fldCharType="separate"/>
          </w:r>
          <w:sdt>
            <w:sdtPr>
              <w:rPr>
                <w:rFonts w:ascii="Times New Roman" w:hAnsi="Times New Roman" w:eastAsia="Times New Roman" w:cstheme="minorBidi"/>
                <w:sz w:val="24"/>
                <w:szCs w:val="24"/>
                <w:lang w:val="en-US" w:eastAsia="uk-UA" w:bidi="ar-SA"/>
              </w:rPr>
              <w:id w:val="147473521"/>
              <w:placeholder>
                <w:docPart w:val="{74ec061a-5998-49e4-b04f-1c6fcf982531}"/>
              </w:placeholder>
            </w:sdtPr>
            <w:sdtEndPr>
              <w:rPr>
                <w:rFonts w:ascii="Times New Roman" w:hAnsi="Times New Roman" w:eastAsia="Times New Roman" w:cstheme="minorBidi"/>
                <w:sz w:val="24"/>
                <w:szCs w:val="24"/>
                <w:lang w:val="en-US" w:eastAsia="uk-UA" w:bidi="ar-SA"/>
              </w:rPr>
            </w:sdtEndPr>
            <w:sdtContent>
              <w:r>
                <w:rPr>
                  <w:rFonts w:ascii="方正小标宋_GBK" w:hAnsi="方正小标宋_GBK" w:eastAsia="方正小标宋_GBK" w:cs="方正小标宋_GBK"/>
                </w:rPr>
                <w:t>单位预算财政拨款“三公”经费支出表</w:t>
              </w:r>
            </w:sdtContent>
          </w:sdt>
          <w:r>
            <w:tab/>
          </w:r>
          <w:bookmarkStart w:id="9" w:name="_Toc22389_WPSOffice_Level1Page"/>
          <w:r>
            <w:t>23</w:t>
          </w:r>
          <w:bookmarkEnd w:id="9"/>
          <w:r>
            <w:fldChar w:fldCharType="end"/>
          </w: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35"/>
            <w:tabs>
              <w:tab w:val="right" w:leader="dot" w:pos="14572"/>
            </w:tabs>
          </w:pPr>
          <w:r>
            <w:fldChar w:fldCharType="begin"/>
          </w:r>
          <w:r>
            <w:instrText xml:space="preserve"> HYPERLINK \l _Toc3215_WPSOffice_Level1 </w:instrText>
          </w:r>
          <w:r>
            <w:fldChar w:fldCharType="separate"/>
          </w:r>
          <w:sdt>
            <w:sdtPr>
              <w:rPr>
                <w:rFonts w:ascii="Times New Roman" w:hAnsi="Times New Roman" w:eastAsia="Times New Roman" w:cstheme="minorBidi"/>
                <w:sz w:val="24"/>
                <w:szCs w:val="24"/>
                <w:lang w:val="en-US" w:eastAsia="uk-UA" w:bidi="ar-SA"/>
              </w:rPr>
              <w:id w:val="147473521"/>
              <w:placeholder>
                <w:docPart w:val="{a0abe3de-c76a-4c40-9a20-6b05daefea13}"/>
              </w:placeholder>
            </w:sdtPr>
            <w:sdtEndPr>
              <w:rPr>
                <w:rFonts w:ascii="Times New Roman" w:hAnsi="Times New Roman" w:eastAsia="Times New Roman" w:cstheme="minorBidi"/>
                <w:sz w:val="24"/>
                <w:szCs w:val="24"/>
                <w:lang w:val="en-US" w:eastAsia="uk-UA" w:bidi="ar-SA"/>
              </w:rPr>
            </w:sdtEndPr>
            <w:sdtContent>
              <w:r>
                <w:rPr>
                  <w:rFonts w:ascii="黑体" w:hAnsi="黑体" w:eastAsia="黑体" w:cs="黑体"/>
                </w:rPr>
                <w:t>一、单位职责及机构设置情况</w:t>
              </w:r>
            </w:sdtContent>
          </w:sdt>
          <w:r>
            <w:tab/>
          </w:r>
          <w:bookmarkStart w:id="10" w:name="_Toc3215_WPSOffice_Level1Page"/>
          <w:r>
            <w:t>25</w:t>
          </w:r>
          <w:bookmarkEnd w:id="10"/>
          <w:r>
            <w:fldChar w:fldCharType="end"/>
          </w:r>
        </w:p>
        <w:p>
          <w:pPr>
            <w:pStyle w:val="35"/>
            <w:tabs>
              <w:tab w:val="right" w:leader="dot" w:pos="14572"/>
            </w:tabs>
          </w:pPr>
          <w:r>
            <w:fldChar w:fldCharType="begin"/>
          </w:r>
          <w:r>
            <w:instrText xml:space="preserve"> HYPERLINK \l _Toc27437_WPSOffice_Level1 </w:instrText>
          </w:r>
          <w:r>
            <w:fldChar w:fldCharType="separate"/>
          </w:r>
          <w:sdt>
            <w:sdtPr>
              <w:rPr>
                <w:rFonts w:ascii="Times New Roman" w:hAnsi="Times New Roman" w:eastAsia="Times New Roman" w:cstheme="minorBidi"/>
                <w:sz w:val="24"/>
                <w:szCs w:val="24"/>
                <w:lang w:val="en-US" w:eastAsia="uk-UA" w:bidi="ar-SA"/>
              </w:rPr>
              <w:id w:val="147473521"/>
              <w:placeholder>
                <w:docPart w:val="{b15cc0f5-581d-4160-93fe-54d6ddea371a}"/>
              </w:placeholder>
            </w:sdtPr>
            <w:sdtEndPr>
              <w:rPr>
                <w:rFonts w:ascii="Times New Roman" w:hAnsi="Times New Roman" w:eastAsia="Times New Roman" w:cstheme="minorBidi"/>
                <w:sz w:val="24"/>
                <w:szCs w:val="24"/>
                <w:lang w:val="en-US" w:eastAsia="uk-UA" w:bidi="ar-SA"/>
              </w:rPr>
            </w:sdtEndPr>
            <w:sdtContent>
              <w:r>
                <w:rPr>
                  <w:rFonts w:ascii="黑体" w:hAnsi="黑体" w:eastAsia="黑体" w:cs="黑体"/>
                </w:rPr>
                <w:t>二、单位预算安排的总体情况</w:t>
              </w:r>
            </w:sdtContent>
          </w:sdt>
          <w:r>
            <w:tab/>
          </w:r>
          <w:bookmarkStart w:id="11" w:name="_Toc27437_WPSOffice_Level1Page"/>
          <w:r>
            <w:t>26</w:t>
          </w:r>
          <w:bookmarkEnd w:id="11"/>
          <w:r>
            <w:fldChar w:fldCharType="end"/>
          </w:r>
        </w:p>
        <w:p>
          <w:pPr>
            <w:pStyle w:val="35"/>
            <w:tabs>
              <w:tab w:val="right" w:leader="dot" w:pos="14572"/>
            </w:tabs>
          </w:pPr>
          <w:r>
            <w:fldChar w:fldCharType="begin"/>
          </w:r>
          <w:r>
            <w:instrText xml:space="preserve"> HYPERLINK \l _Toc5441_WPSOffice_Level1 </w:instrText>
          </w:r>
          <w:r>
            <w:fldChar w:fldCharType="separate"/>
          </w:r>
          <w:sdt>
            <w:sdtPr>
              <w:rPr>
                <w:rFonts w:ascii="Times New Roman" w:hAnsi="Times New Roman" w:eastAsia="Times New Roman" w:cstheme="minorBidi"/>
                <w:sz w:val="24"/>
                <w:szCs w:val="24"/>
                <w:lang w:val="en-US" w:eastAsia="uk-UA" w:bidi="ar-SA"/>
              </w:rPr>
              <w:id w:val="147473521"/>
              <w:placeholder>
                <w:docPart w:val="{baa5fd5b-ddc6-4339-8743-d972e2baf3bd}"/>
              </w:placeholder>
            </w:sdtPr>
            <w:sdtEndPr>
              <w:rPr>
                <w:rFonts w:ascii="Times New Roman" w:hAnsi="Times New Roman" w:eastAsia="Times New Roman" w:cstheme="minorBidi"/>
                <w:sz w:val="24"/>
                <w:szCs w:val="24"/>
                <w:lang w:val="en-US" w:eastAsia="uk-UA" w:bidi="ar-SA"/>
              </w:rPr>
            </w:sdtEndPr>
            <w:sdtContent>
              <w:r>
                <w:rPr>
                  <w:rFonts w:hint="eastAsia" w:ascii="黑体" w:hAnsi="黑体" w:eastAsia="黑体" w:cs="黑体"/>
                </w:rPr>
                <w:t>三、</w:t>
              </w:r>
              <w:r>
                <w:rPr>
                  <w:rFonts w:ascii="黑体" w:hAnsi="黑体" w:eastAsia="黑体" w:cs="黑体"/>
                </w:rPr>
                <w:t>机关运行经费安排情况</w:t>
              </w:r>
            </w:sdtContent>
          </w:sdt>
          <w:r>
            <w:tab/>
          </w:r>
          <w:bookmarkStart w:id="12" w:name="_Toc5441_WPSOffice_Level1Page"/>
          <w:r>
            <w:t>27</w:t>
          </w:r>
          <w:bookmarkEnd w:id="12"/>
          <w:r>
            <w:fldChar w:fldCharType="end"/>
          </w:r>
        </w:p>
        <w:p>
          <w:pPr>
            <w:pStyle w:val="35"/>
            <w:tabs>
              <w:tab w:val="right" w:leader="dot" w:pos="14572"/>
            </w:tabs>
          </w:pPr>
          <w:r>
            <w:fldChar w:fldCharType="begin"/>
          </w:r>
          <w:r>
            <w:instrText xml:space="preserve"> HYPERLINK \l _Toc17970_WPSOffice_Level1 </w:instrText>
          </w:r>
          <w:r>
            <w:fldChar w:fldCharType="separate"/>
          </w:r>
          <w:sdt>
            <w:sdtPr>
              <w:rPr>
                <w:rFonts w:ascii="Times New Roman" w:hAnsi="Times New Roman" w:eastAsia="Times New Roman" w:cstheme="minorBidi"/>
                <w:sz w:val="24"/>
                <w:szCs w:val="24"/>
                <w:lang w:val="en-US" w:eastAsia="uk-UA" w:bidi="ar-SA"/>
              </w:rPr>
              <w:id w:val="147473521"/>
              <w:placeholder>
                <w:docPart w:val="{ab30aaa3-969d-415d-98ab-e024b74070a9}"/>
              </w:placeholder>
            </w:sdtPr>
            <w:sdtEndPr>
              <w:rPr>
                <w:rFonts w:ascii="Times New Roman" w:hAnsi="Times New Roman" w:eastAsia="Times New Roman" w:cstheme="minorBidi"/>
                <w:sz w:val="24"/>
                <w:szCs w:val="24"/>
                <w:lang w:val="en-US" w:eastAsia="uk-UA" w:bidi="ar-SA"/>
              </w:rPr>
            </w:sdtEndPr>
            <w:sdtContent>
              <w:r>
                <w:rPr>
                  <w:rFonts w:ascii="黑体" w:hAnsi="黑体" w:eastAsia="黑体" w:cs="黑体"/>
                </w:rPr>
                <w:t>四、财政拨款“三公”经费预算情况及增减变化原因</w:t>
              </w:r>
            </w:sdtContent>
          </w:sdt>
          <w:r>
            <w:tab/>
          </w:r>
          <w:bookmarkStart w:id="13" w:name="_Toc17970_WPSOffice_Level1Page"/>
          <w:r>
            <w:t>27</w:t>
          </w:r>
          <w:bookmarkEnd w:id="13"/>
          <w:r>
            <w:fldChar w:fldCharType="end"/>
          </w:r>
        </w:p>
        <w:p>
          <w:pPr>
            <w:pStyle w:val="35"/>
            <w:tabs>
              <w:tab w:val="right" w:leader="dot" w:pos="14572"/>
            </w:tabs>
          </w:pPr>
          <w:r>
            <w:fldChar w:fldCharType="begin"/>
          </w:r>
          <w:r>
            <w:instrText xml:space="preserve"> HYPERLINK \l _Toc25349_WPSOffice_Level1 </w:instrText>
          </w:r>
          <w:r>
            <w:fldChar w:fldCharType="separate"/>
          </w:r>
          <w:sdt>
            <w:sdtPr>
              <w:rPr>
                <w:rFonts w:ascii="Times New Roman" w:hAnsi="Times New Roman" w:eastAsia="Times New Roman" w:cstheme="minorBidi"/>
                <w:sz w:val="24"/>
                <w:szCs w:val="24"/>
                <w:lang w:val="en-US" w:eastAsia="uk-UA" w:bidi="ar-SA"/>
              </w:rPr>
              <w:id w:val="147473521"/>
              <w:placeholder>
                <w:docPart w:val="{1d8b99a3-5396-4adf-b257-737b4375ca94}"/>
              </w:placeholder>
            </w:sdtPr>
            <w:sdtEndPr>
              <w:rPr>
                <w:rFonts w:ascii="Times New Roman" w:hAnsi="Times New Roman" w:eastAsia="Times New Roman" w:cstheme="minorBidi"/>
                <w:sz w:val="24"/>
                <w:szCs w:val="24"/>
                <w:lang w:val="en-US" w:eastAsia="uk-UA" w:bidi="ar-SA"/>
              </w:rPr>
            </w:sdtEndPr>
            <w:sdtContent>
              <w:r>
                <w:rPr>
                  <w:rFonts w:ascii="黑体" w:hAnsi="黑体" w:eastAsia="黑体" w:cs="黑体"/>
                </w:rPr>
                <w:t>五、预算绩效信息</w:t>
              </w:r>
            </w:sdtContent>
          </w:sdt>
          <w:r>
            <w:tab/>
          </w:r>
          <w:bookmarkStart w:id="14" w:name="_Toc25349_WPSOffice_Level1Page"/>
          <w:r>
            <w:t>28</w:t>
          </w:r>
          <w:bookmarkEnd w:id="14"/>
          <w:r>
            <w:fldChar w:fldCharType="end"/>
          </w:r>
        </w:p>
        <w:p>
          <w:pPr>
            <w:pStyle w:val="35"/>
            <w:tabs>
              <w:tab w:val="right" w:leader="dot" w:pos="14572"/>
            </w:tabs>
          </w:pPr>
          <w:r>
            <w:fldChar w:fldCharType="begin"/>
          </w:r>
          <w:r>
            <w:instrText xml:space="preserve"> HYPERLINK \l _Toc1543_WPSOffice_Level1 </w:instrText>
          </w:r>
          <w:r>
            <w:fldChar w:fldCharType="separate"/>
          </w:r>
          <w:sdt>
            <w:sdtPr>
              <w:rPr>
                <w:rFonts w:ascii="Times New Roman" w:hAnsi="Times New Roman" w:eastAsia="Times New Roman" w:cstheme="minorBidi"/>
                <w:sz w:val="24"/>
                <w:szCs w:val="24"/>
                <w:lang w:val="en-US" w:eastAsia="uk-UA" w:bidi="ar-SA"/>
              </w:rPr>
              <w:id w:val="147473521"/>
              <w:placeholder>
                <w:docPart w:val="{ce3abc92-ed0e-4a00-9be0-ce85beb84750}"/>
              </w:placeholder>
            </w:sdtPr>
            <w:sdtEndPr>
              <w:rPr>
                <w:rFonts w:ascii="Times New Roman" w:hAnsi="Times New Roman" w:eastAsia="Times New Roman" w:cstheme="minorBidi"/>
                <w:sz w:val="24"/>
                <w:szCs w:val="24"/>
                <w:lang w:val="en-US" w:eastAsia="uk-UA" w:bidi="ar-SA"/>
              </w:rPr>
            </w:sdtEndPr>
            <w:sdtContent>
              <w:r>
                <w:rPr>
                  <w:rFonts w:ascii="黑体" w:hAnsi="黑体" w:eastAsia="黑体" w:cs="黑体"/>
                </w:rPr>
                <w:t>六、政府采购预算情况</w:t>
              </w:r>
            </w:sdtContent>
          </w:sdt>
          <w:r>
            <w:tab/>
          </w:r>
          <w:bookmarkStart w:id="15" w:name="_Toc1543_WPSOffice_Level1Page"/>
          <w:r>
            <w:t>35</w:t>
          </w:r>
          <w:bookmarkEnd w:id="15"/>
          <w:r>
            <w:fldChar w:fldCharType="end"/>
          </w:r>
        </w:p>
        <w:p>
          <w:pPr>
            <w:pStyle w:val="35"/>
            <w:tabs>
              <w:tab w:val="right" w:leader="dot" w:pos="14572"/>
            </w:tabs>
          </w:pPr>
          <w:r>
            <w:fldChar w:fldCharType="begin"/>
          </w:r>
          <w:r>
            <w:instrText xml:space="preserve"> HYPERLINK \l _Toc189_WPSOffice_Level1 </w:instrText>
          </w:r>
          <w:r>
            <w:fldChar w:fldCharType="separate"/>
          </w:r>
          <w:sdt>
            <w:sdtPr>
              <w:rPr>
                <w:rFonts w:ascii="Times New Roman" w:hAnsi="Times New Roman" w:eastAsia="Times New Roman" w:cstheme="minorBidi"/>
                <w:sz w:val="24"/>
                <w:szCs w:val="24"/>
                <w:lang w:val="en-US" w:eastAsia="uk-UA" w:bidi="ar-SA"/>
              </w:rPr>
              <w:id w:val="147473521"/>
              <w:placeholder>
                <w:docPart w:val="{97d1e5fd-e76a-4ad9-9873-cf28b5a44ef1}"/>
              </w:placeholder>
            </w:sdtPr>
            <w:sdtEndPr>
              <w:rPr>
                <w:rFonts w:ascii="Times New Roman" w:hAnsi="Times New Roman" w:eastAsia="Times New Roman" w:cstheme="minorBidi"/>
                <w:sz w:val="24"/>
                <w:szCs w:val="24"/>
                <w:lang w:val="en-US" w:eastAsia="uk-UA" w:bidi="ar-SA"/>
              </w:rPr>
            </w:sdtEndPr>
            <w:sdtContent>
              <w:r>
                <w:rPr>
                  <w:rFonts w:ascii="黑体" w:hAnsi="黑体" w:eastAsia="黑体" w:cs="黑体"/>
                </w:rPr>
                <w:t>七、国有资产信息</w:t>
              </w:r>
            </w:sdtContent>
          </w:sdt>
          <w:r>
            <w:tab/>
          </w:r>
          <w:bookmarkStart w:id="16" w:name="_Toc189_WPSOffice_Level1Page"/>
          <w:r>
            <w:t>35</w:t>
          </w:r>
          <w:bookmarkEnd w:id="16"/>
          <w:r>
            <w:fldChar w:fldCharType="end"/>
          </w:r>
        </w:p>
        <w:p>
          <w:pPr>
            <w:pStyle w:val="35"/>
            <w:tabs>
              <w:tab w:val="right" w:leader="dot" w:pos="14572"/>
            </w:tabs>
          </w:pPr>
          <w:r>
            <w:fldChar w:fldCharType="begin"/>
          </w:r>
          <w:r>
            <w:instrText xml:space="preserve"> HYPERLINK \l _Toc3473_WPSOffice_Level1 </w:instrText>
          </w:r>
          <w:r>
            <w:fldChar w:fldCharType="separate"/>
          </w:r>
          <w:sdt>
            <w:sdtPr>
              <w:rPr>
                <w:rFonts w:ascii="Times New Roman" w:hAnsi="Times New Roman" w:eastAsia="Times New Roman" w:cstheme="minorBidi"/>
                <w:sz w:val="24"/>
                <w:szCs w:val="24"/>
                <w:lang w:val="en-US" w:eastAsia="uk-UA" w:bidi="ar-SA"/>
              </w:rPr>
              <w:id w:val="147473521"/>
              <w:placeholder>
                <w:docPart w:val="{64e0f6db-8c22-48dc-b1e8-96eaed82cd8d}"/>
              </w:placeholder>
            </w:sdtPr>
            <w:sdtEndPr>
              <w:rPr>
                <w:rFonts w:ascii="Times New Roman" w:hAnsi="Times New Roman" w:eastAsia="Times New Roman" w:cstheme="minorBidi"/>
                <w:sz w:val="24"/>
                <w:szCs w:val="24"/>
                <w:lang w:val="en-US" w:eastAsia="uk-UA" w:bidi="ar-SA"/>
              </w:rPr>
            </w:sdtEndPr>
            <w:sdtContent>
              <w:r>
                <w:rPr>
                  <w:rFonts w:ascii="黑体" w:hAnsi="黑体" w:eastAsia="黑体" w:cs="黑体"/>
                </w:rPr>
                <w:t>八、名词解释</w:t>
              </w:r>
            </w:sdtContent>
          </w:sdt>
          <w:r>
            <w:tab/>
          </w:r>
          <w:bookmarkStart w:id="17" w:name="_Toc3473_WPSOffice_Level1Page"/>
          <w:r>
            <w:t>36</w:t>
          </w:r>
          <w:bookmarkEnd w:id="17"/>
          <w:r>
            <w:fldChar w:fldCharType="end"/>
          </w:r>
        </w:p>
        <w:p>
          <w:pPr>
            <w:pStyle w:val="35"/>
            <w:tabs>
              <w:tab w:val="right" w:leader="dot" w:pos="14572"/>
            </w:tabs>
          </w:pPr>
          <w:r>
            <w:fldChar w:fldCharType="begin"/>
          </w:r>
          <w:r>
            <w:instrText xml:space="preserve"> HYPERLINK \l _Toc25995_WPSOffice_Level1 </w:instrText>
          </w:r>
          <w:r>
            <w:fldChar w:fldCharType="separate"/>
          </w:r>
          <w:sdt>
            <w:sdtPr>
              <w:rPr>
                <w:rFonts w:ascii="Times New Roman" w:hAnsi="Times New Roman" w:eastAsia="Times New Roman" w:cstheme="minorBidi"/>
                <w:sz w:val="24"/>
                <w:szCs w:val="24"/>
                <w:lang w:val="en-US" w:eastAsia="uk-UA" w:bidi="ar-SA"/>
              </w:rPr>
              <w:id w:val="147473521"/>
              <w:placeholder>
                <w:docPart w:val="{9f23da53-f735-4e28-9df5-7700221d350c}"/>
              </w:placeholder>
            </w:sdtPr>
            <w:sdtEndPr>
              <w:rPr>
                <w:rFonts w:ascii="Times New Roman" w:hAnsi="Times New Roman" w:eastAsia="Times New Roman" w:cstheme="minorBidi"/>
                <w:sz w:val="24"/>
                <w:szCs w:val="24"/>
                <w:lang w:val="en-US" w:eastAsia="uk-UA" w:bidi="ar-SA"/>
              </w:rPr>
            </w:sdtEndPr>
            <w:sdtContent>
              <w:r>
                <w:rPr>
                  <w:rFonts w:ascii="黑体" w:hAnsi="黑体" w:eastAsia="黑体" w:cs="黑体"/>
                </w:rPr>
                <w:t>九、其他需要说明的事项</w:t>
              </w:r>
            </w:sdtContent>
          </w:sdt>
          <w:r>
            <w:tab/>
          </w:r>
          <w:bookmarkStart w:id="18" w:name="_Toc25995_WPSOffice_Level1Page"/>
          <w:r>
            <w:t>37</w:t>
          </w:r>
          <w:bookmarkEnd w:id="18"/>
          <w:r>
            <w:fldChar w:fldCharType="end"/>
          </w:r>
          <w:bookmarkEnd w:id="0"/>
        </w:p>
      </w:sdtContent>
    </w:sdt>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39" w:name="_GoBack"/>
      <w:bookmarkEnd w:id="39"/>
    </w:p>
    <w:p>
      <w:pPr>
        <w:spacing w:before="0" w:after="0" w:line="240" w:lineRule="auto"/>
        <w:ind w:firstLine="0"/>
        <w:jc w:val="center"/>
        <w:outlineLvl w:val="4"/>
      </w:pPr>
      <w:bookmarkStart w:id="19" w:name="_Toc24458_WPSOffice_Level1"/>
      <w:r>
        <w:rPr>
          <w:rFonts w:ascii="方正小标宋_GBK" w:hAnsi="方正小标宋_GBK" w:eastAsia="方正小标宋_GBK" w:cs="方正小标宋_GBK"/>
          <w:color w:val="000000"/>
          <w:sz w:val="36"/>
        </w:rPr>
        <w:t>单位预算收支总表</w:t>
      </w:r>
      <w:bookmarkEnd w:id="19"/>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426001石家庄市藁城区应急管理局本级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1060.51</w:t>
            </w:r>
          </w:p>
        </w:tc>
        <w:tc>
          <w:tcPr>
            <w:tcW w:w="2959" w:type="dxa"/>
            <w:vAlign w:val="center"/>
          </w:tcPr>
          <w:p>
            <w:pPr>
              <w:pStyle w:val="14"/>
            </w:pPr>
            <w:r>
              <w:t>一、一般公共服务支出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r>
              <w:t>1050.87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1060.51</w:t>
            </w:r>
          </w:p>
        </w:tc>
        <w:tc>
          <w:tcPr>
            <w:tcW w:w="2959" w:type="dxa"/>
            <w:vAlign w:val="center"/>
          </w:tcPr>
          <w:p>
            <w:pPr>
              <w:pStyle w:val="16"/>
            </w:pPr>
            <w:r>
              <w:t>本年支出合计</w:t>
            </w:r>
          </w:p>
        </w:tc>
        <w:tc>
          <w:tcPr>
            <w:tcW w:w="2959" w:type="dxa"/>
            <w:vAlign w:val="center"/>
          </w:tcPr>
          <w:p>
            <w:pPr>
              <w:pStyle w:val="17"/>
            </w:pPr>
            <w:r>
              <w:t>1060.87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r>
              <w:t>0.36</w:t>
            </w:r>
          </w:p>
        </w:tc>
        <w:tc>
          <w:tcPr>
            <w:tcW w:w="2959" w:type="dxa"/>
            <w:vAlign w:val="center"/>
          </w:tcPr>
          <w:p>
            <w:pPr>
              <w:pStyle w:val="14"/>
            </w:pPr>
            <w:r>
              <w:t>年终结转结余</w:t>
            </w:r>
          </w:p>
        </w:tc>
        <w:tc>
          <w:tcPr>
            <w:tcW w:w="2959"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1060.87</w:t>
            </w:r>
          </w:p>
        </w:tc>
        <w:tc>
          <w:tcPr>
            <w:tcW w:w="2959" w:type="dxa"/>
            <w:vAlign w:val="center"/>
          </w:tcPr>
          <w:p>
            <w:pPr>
              <w:pStyle w:val="16"/>
            </w:pPr>
            <w:r>
              <w:t>支出总计</w:t>
            </w:r>
          </w:p>
        </w:tc>
        <w:tc>
          <w:tcPr>
            <w:tcW w:w="2959" w:type="dxa"/>
            <w:vAlign w:val="center"/>
          </w:tcPr>
          <w:p>
            <w:pPr>
              <w:pStyle w:val="17"/>
            </w:pPr>
            <w:r>
              <w:t>1060.87</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4"/>
      </w:pPr>
      <w:bookmarkStart w:id="20" w:name="_Toc14464_WPSOffice_Level1"/>
      <w:r>
        <w:rPr>
          <w:rFonts w:ascii="方正小标宋_GBK" w:hAnsi="方正小标宋_GBK" w:eastAsia="方正小标宋_GBK" w:cs="方正小标宋_GBK"/>
          <w:color w:val="000000"/>
          <w:sz w:val="36"/>
        </w:rPr>
        <w:t>单位预算收入总表</w:t>
      </w:r>
      <w:bookmarkEnd w:id="20"/>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426001石家庄市藁城区应急管理局本级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1060.87</w:t>
            </w:r>
          </w:p>
        </w:tc>
        <w:tc>
          <w:tcPr>
            <w:tcW w:w="758" w:type="dxa"/>
            <w:vAlign w:val="center"/>
          </w:tcPr>
          <w:p>
            <w:pPr>
              <w:pStyle w:val="17"/>
            </w:pPr>
            <w:r>
              <w:t>1060.51</w:t>
            </w:r>
          </w:p>
        </w:tc>
        <w:tc>
          <w:tcPr>
            <w:tcW w:w="758" w:type="dxa"/>
            <w:vAlign w:val="center"/>
          </w:tcPr>
          <w:p>
            <w:pPr>
              <w:pStyle w:val="17"/>
            </w:pPr>
            <w:r>
              <w:t>1060.51</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21303</w:t>
            </w:r>
          </w:p>
        </w:tc>
        <w:tc>
          <w:tcPr>
            <w:tcW w:w="758" w:type="dxa"/>
            <w:vAlign w:val="center"/>
          </w:tcPr>
          <w:p>
            <w:pPr>
              <w:pStyle w:val="14"/>
            </w:pPr>
            <w:r>
              <w:t>水利</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2130314</w:t>
            </w:r>
          </w:p>
        </w:tc>
        <w:tc>
          <w:tcPr>
            <w:tcW w:w="758" w:type="dxa"/>
            <w:vAlign w:val="center"/>
          </w:tcPr>
          <w:p>
            <w:pPr>
              <w:pStyle w:val="14"/>
            </w:pPr>
            <w:r>
              <w:t>防汛</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224</w:t>
            </w:r>
          </w:p>
        </w:tc>
        <w:tc>
          <w:tcPr>
            <w:tcW w:w="758" w:type="dxa"/>
            <w:vAlign w:val="center"/>
          </w:tcPr>
          <w:p>
            <w:pPr>
              <w:pStyle w:val="14"/>
            </w:pPr>
            <w:r>
              <w:t>灾害防治及应急管理支出</w:t>
            </w:r>
          </w:p>
        </w:tc>
        <w:tc>
          <w:tcPr>
            <w:tcW w:w="758" w:type="dxa"/>
            <w:vAlign w:val="center"/>
          </w:tcPr>
          <w:p>
            <w:pPr>
              <w:pStyle w:val="13"/>
            </w:pPr>
            <w:r>
              <w:t>1050.87</w:t>
            </w:r>
          </w:p>
        </w:tc>
        <w:tc>
          <w:tcPr>
            <w:tcW w:w="758" w:type="dxa"/>
            <w:vAlign w:val="center"/>
          </w:tcPr>
          <w:p>
            <w:pPr>
              <w:pStyle w:val="13"/>
            </w:pPr>
            <w:r>
              <w:t>1050.51</w:t>
            </w:r>
          </w:p>
        </w:tc>
        <w:tc>
          <w:tcPr>
            <w:tcW w:w="758" w:type="dxa"/>
            <w:vAlign w:val="center"/>
          </w:tcPr>
          <w:p>
            <w:pPr>
              <w:pStyle w:val="13"/>
            </w:pPr>
            <w:r>
              <w:t>1050.51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22401</w:t>
            </w:r>
          </w:p>
        </w:tc>
        <w:tc>
          <w:tcPr>
            <w:tcW w:w="758" w:type="dxa"/>
            <w:vAlign w:val="center"/>
          </w:tcPr>
          <w:p>
            <w:pPr>
              <w:pStyle w:val="14"/>
            </w:pPr>
            <w:r>
              <w:t>应急管理事务</w:t>
            </w:r>
          </w:p>
        </w:tc>
        <w:tc>
          <w:tcPr>
            <w:tcW w:w="758" w:type="dxa"/>
            <w:vAlign w:val="center"/>
          </w:tcPr>
          <w:p>
            <w:pPr>
              <w:pStyle w:val="13"/>
            </w:pPr>
            <w:r>
              <w:t>912.69</w:t>
            </w:r>
          </w:p>
        </w:tc>
        <w:tc>
          <w:tcPr>
            <w:tcW w:w="758" w:type="dxa"/>
            <w:vAlign w:val="center"/>
          </w:tcPr>
          <w:p>
            <w:pPr>
              <w:pStyle w:val="13"/>
            </w:pPr>
            <w:r>
              <w:t>912.33</w:t>
            </w:r>
          </w:p>
        </w:tc>
        <w:tc>
          <w:tcPr>
            <w:tcW w:w="758" w:type="dxa"/>
            <w:vAlign w:val="center"/>
          </w:tcPr>
          <w:p>
            <w:pPr>
              <w:pStyle w:val="13"/>
            </w:pPr>
            <w:r>
              <w:t>912.33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2240101</w:t>
            </w:r>
          </w:p>
        </w:tc>
        <w:tc>
          <w:tcPr>
            <w:tcW w:w="758" w:type="dxa"/>
            <w:vAlign w:val="center"/>
          </w:tcPr>
          <w:p>
            <w:pPr>
              <w:pStyle w:val="14"/>
            </w:pPr>
            <w:r>
              <w:t>行政运行</w:t>
            </w:r>
          </w:p>
        </w:tc>
        <w:tc>
          <w:tcPr>
            <w:tcW w:w="758" w:type="dxa"/>
            <w:vAlign w:val="center"/>
          </w:tcPr>
          <w:p>
            <w:pPr>
              <w:pStyle w:val="13"/>
            </w:pPr>
            <w:r>
              <w:t>737.33</w:t>
            </w:r>
          </w:p>
        </w:tc>
        <w:tc>
          <w:tcPr>
            <w:tcW w:w="758" w:type="dxa"/>
            <w:vAlign w:val="center"/>
          </w:tcPr>
          <w:p>
            <w:pPr>
              <w:pStyle w:val="13"/>
            </w:pPr>
            <w:r>
              <w:t>737.33</w:t>
            </w:r>
          </w:p>
        </w:tc>
        <w:tc>
          <w:tcPr>
            <w:tcW w:w="758" w:type="dxa"/>
            <w:vAlign w:val="center"/>
          </w:tcPr>
          <w:p>
            <w:pPr>
              <w:pStyle w:val="13"/>
            </w:pPr>
            <w:r>
              <w:t>737.33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2240106</w:t>
            </w:r>
          </w:p>
        </w:tc>
        <w:tc>
          <w:tcPr>
            <w:tcW w:w="758" w:type="dxa"/>
            <w:vAlign w:val="center"/>
          </w:tcPr>
          <w:p>
            <w:pPr>
              <w:pStyle w:val="14"/>
            </w:pPr>
            <w:r>
              <w:t>安全监管</w:t>
            </w:r>
          </w:p>
        </w:tc>
        <w:tc>
          <w:tcPr>
            <w:tcW w:w="758" w:type="dxa"/>
            <w:vAlign w:val="center"/>
          </w:tcPr>
          <w:p>
            <w:pPr>
              <w:pStyle w:val="13"/>
            </w:pPr>
            <w:r>
              <w:t>175.00</w:t>
            </w:r>
          </w:p>
        </w:tc>
        <w:tc>
          <w:tcPr>
            <w:tcW w:w="758" w:type="dxa"/>
            <w:vAlign w:val="center"/>
          </w:tcPr>
          <w:p>
            <w:pPr>
              <w:pStyle w:val="13"/>
            </w:pPr>
            <w:r>
              <w:t>175.00</w:t>
            </w:r>
          </w:p>
        </w:tc>
        <w:tc>
          <w:tcPr>
            <w:tcW w:w="758" w:type="dxa"/>
            <w:vAlign w:val="center"/>
          </w:tcPr>
          <w:p>
            <w:pPr>
              <w:pStyle w:val="13"/>
            </w:pPr>
            <w:r>
              <w:t>175.00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2240109</w:t>
            </w:r>
          </w:p>
        </w:tc>
        <w:tc>
          <w:tcPr>
            <w:tcW w:w="758" w:type="dxa"/>
            <w:vAlign w:val="center"/>
          </w:tcPr>
          <w:p>
            <w:pPr>
              <w:pStyle w:val="14"/>
            </w:pPr>
            <w:r>
              <w:t>应急管理</w:t>
            </w:r>
          </w:p>
        </w:tc>
        <w:tc>
          <w:tcPr>
            <w:tcW w:w="758" w:type="dxa"/>
            <w:vAlign w:val="center"/>
          </w:tcPr>
          <w:p>
            <w:pPr>
              <w:pStyle w:val="13"/>
            </w:pPr>
            <w:r>
              <w:t>0.36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22405</w:t>
            </w:r>
          </w:p>
        </w:tc>
        <w:tc>
          <w:tcPr>
            <w:tcW w:w="758" w:type="dxa"/>
            <w:vAlign w:val="center"/>
          </w:tcPr>
          <w:p>
            <w:pPr>
              <w:pStyle w:val="14"/>
            </w:pPr>
            <w:r>
              <w:t>地震事务</w:t>
            </w:r>
          </w:p>
        </w:tc>
        <w:tc>
          <w:tcPr>
            <w:tcW w:w="758" w:type="dxa"/>
            <w:vAlign w:val="center"/>
          </w:tcPr>
          <w:p>
            <w:pPr>
              <w:pStyle w:val="13"/>
            </w:pPr>
            <w:r>
              <w:t>0.80</w:t>
            </w:r>
          </w:p>
        </w:tc>
        <w:tc>
          <w:tcPr>
            <w:tcW w:w="758" w:type="dxa"/>
            <w:vAlign w:val="center"/>
          </w:tcPr>
          <w:p>
            <w:pPr>
              <w:pStyle w:val="13"/>
            </w:pPr>
            <w:r>
              <w:t>0.80</w:t>
            </w:r>
          </w:p>
        </w:tc>
        <w:tc>
          <w:tcPr>
            <w:tcW w:w="758" w:type="dxa"/>
            <w:vAlign w:val="center"/>
          </w:tcPr>
          <w:p>
            <w:pPr>
              <w:pStyle w:val="13"/>
            </w:pPr>
            <w:r>
              <w:t>0.80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2240504</w:t>
            </w:r>
          </w:p>
        </w:tc>
        <w:tc>
          <w:tcPr>
            <w:tcW w:w="758" w:type="dxa"/>
            <w:vAlign w:val="center"/>
          </w:tcPr>
          <w:p>
            <w:pPr>
              <w:pStyle w:val="14"/>
            </w:pPr>
            <w:r>
              <w:t>地震监测</w:t>
            </w:r>
          </w:p>
        </w:tc>
        <w:tc>
          <w:tcPr>
            <w:tcW w:w="758" w:type="dxa"/>
            <w:vAlign w:val="center"/>
          </w:tcPr>
          <w:p>
            <w:pPr>
              <w:pStyle w:val="13"/>
            </w:pPr>
            <w:r>
              <w:t>0.80</w:t>
            </w:r>
          </w:p>
        </w:tc>
        <w:tc>
          <w:tcPr>
            <w:tcW w:w="758" w:type="dxa"/>
            <w:vAlign w:val="center"/>
          </w:tcPr>
          <w:p>
            <w:pPr>
              <w:pStyle w:val="13"/>
            </w:pPr>
            <w:r>
              <w:t>0.80</w:t>
            </w:r>
          </w:p>
        </w:tc>
        <w:tc>
          <w:tcPr>
            <w:tcW w:w="758" w:type="dxa"/>
            <w:vAlign w:val="center"/>
          </w:tcPr>
          <w:p>
            <w:pPr>
              <w:pStyle w:val="13"/>
            </w:pPr>
            <w:r>
              <w:t>0.80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22407</w:t>
            </w:r>
          </w:p>
        </w:tc>
        <w:tc>
          <w:tcPr>
            <w:tcW w:w="758" w:type="dxa"/>
            <w:vAlign w:val="center"/>
          </w:tcPr>
          <w:p>
            <w:pPr>
              <w:pStyle w:val="14"/>
            </w:pPr>
            <w:r>
              <w:t>自然灾害救灾及恢复重建支出</w:t>
            </w:r>
          </w:p>
        </w:tc>
        <w:tc>
          <w:tcPr>
            <w:tcW w:w="758" w:type="dxa"/>
            <w:vAlign w:val="center"/>
          </w:tcPr>
          <w:p>
            <w:pPr>
              <w:pStyle w:val="13"/>
            </w:pPr>
            <w:r>
              <w:t>137.38</w:t>
            </w:r>
          </w:p>
        </w:tc>
        <w:tc>
          <w:tcPr>
            <w:tcW w:w="758" w:type="dxa"/>
            <w:vAlign w:val="center"/>
          </w:tcPr>
          <w:p>
            <w:pPr>
              <w:pStyle w:val="13"/>
            </w:pPr>
            <w:r>
              <w:t>137.38</w:t>
            </w:r>
          </w:p>
        </w:tc>
        <w:tc>
          <w:tcPr>
            <w:tcW w:w="758" w:type="dxa"/>
            <w:vAlign w:val="center"/>
          </w:tcPr>
          <w:p>
            <w:pPr>
              <w:pStyle w:val="13"/>
            </w:pPr>
            <w:r>
              <w:t>137.38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2240703</w:t>
            </w:r>
          </w:p>
        </w:tc>
        <w:tc>
          <w:tcPr>
            <w:tcW w:w="758" w:type="dxa"/>
            <w:vAlign w:val="center"/>
          </w:tcPr>
          <w:p>
            <w:pPr>
              <w:pStyle w:val="14"/>
            </w:pPr>
            <w:r>
              <w:t>自然灾害救灾补助</w:t>
            </w:r>
          </w:p>
        </w:tc>
        <w:tc>
          <w:tcPr>
            <w:tcW w:w="758" w:type="dxa"/>
            <w:vAlign w:val="center"/>
          </w:tcPr>
          <w:p>
            <w:pPr>
              <w:pStyle w:val="13"/>
            </w:pPr>
            <w:r>
              <w:t>99.60</w:t>
            </w:r>
          </w:p>
        </w:tc>
        <w:tc>
          <w:tcPr>
            <w:tcW w:w="758" w:type="dxa"/>
            <w:vAlign w:val="center"/>
          </w:tcPr>
          <w:p>
            <w:pPr>
              <w:pStyle w:val="13"/>
            </w:pPr>
            <w:r>
              <w:t>99.60</w:t>
            </w:r>
          </w:p>
        </w:tc>
        <w:tc>
          <w:tcPr>
            <w:tcW w:w="758" w:type="dxa"/>
            <w:vAlign w:val="center"/>
          </w:tcPr>
          <w:p>
            <w:pPr>
              <w:pStyle w:val="13"/>
            </w:pPr>
            <w:r>
              <w:t>99.60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2240704</w:t>
            </w:r>
          </w:p>
        </w:tc>
        <w:tc>
          <w:tcPr>
            <w:tcW w:w="758" w:type="dxa"/>
            <w:vAlign w:val="center"/>
          </w:tcPr>
          <w:p>
            <w:pPr>
              <w:pStyle w:val="14"/>
            </w:pPr>
            <w:r>
              <w:t>自然灾害灾后重建补助</w:t>
            </w:r>
          </w:p>
        </w:tc>
        <w:tc>
          <w:tcPr>
            <w:tcW w:w="758" w:type="dxa"/>
            <w:vAlign w:val="center"/>
          </w:tcPr>
          <w:p>
            <w:pPr>
              <w:pStyle w:val="13"/>
            </w:pPr>
            <w:r>
              <w:t>37.77</w:t>
            </w:r>
          </w:p>
        </w:tc>
        <w:tc>
          <w:tcPr>
            <w:tcW w:w="758" w:type="dxa"/>
            <w:vAlign w:val="center"/>
          </w:tcPr>
          <w:p>
            <w:pPr>
              <w:pStyle w:val="13"/>
            </w:pPr>
            <w:r>
              <w:t>37.77</w:t>
            </w:r>
          </w:p>
        </w:tc>
        <w:tc>
          <w:tcPr>
            <w:tcW w:w="758" w:type="dxa"/>
            <w:vAlign w:val="center"/>
          </w:tcPr>
          <w:p>
            <w:pPr>
              <w:pStyle w:val="13"/>
            </w:pPr>
            <w:r>
              <w:t>37.77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bookmarkStart w:id="21" w:name="_Toc27217_WPSOffice_Level1"/>
      <w:r>
        <w:rPr>
          <w:rFonts w:ascii="方正小标宋_GBK" w:hAnsi="方正小标宋_GBK" w:eastAsia="方正小标宋_GBK" w:cs="方正小标宋_GBK"/>
          <w:color w:val="000000"/>
          <w:sz w:val="36"/>
        </w:rPr>
        <w:t>单位预算支出总表</w:t>
      </w:r>
      <w:bookmarkEnd w:id="21"/>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426001石家庄市藁城区应急管理局本级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1060.87</w:t>
            </w:r>
          </w:p>
        </w:tc>
        <w:tc>
          <w:tcPr>
            <w:tcW w:w="1095" w:type="dxa"/>
            <w:vAlign w:val="center"/>
          </w:tcPr>
          <w:p>
            <w:pPr>
              <w:pStyle w:val="17"/>
            </w:pPr>
            <w:r>
              <w:t>737.33</w:t>
            </w:r>
          </w:p>
        </w:tc>
        <w:tc>
          <w:tcPr>
            <w:tcW w:w="1095" w:type="dxa"/>
            <w:vAlign w:val="center"/>
          </w:tcPr>
          <w:p>
            <w:pPr>
              <w:pStyle w:val="17"/>
            </w:pPr>
            <w:r>
              <w:t>323.54</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21303</w:t>
            </w:r>
          </w:p>
        </w:tc>
        <w:tc>
          <w:tcPr>
            <w:tcW w:w="1095" w:type="dxa"/>
            <w:vAlign w:val="center"/>
          </w:tcPr>
          <w:p>
            <w:pPr>
              <w:pStyle w:val="14"/>
            </w:pPr>
            <w:r>
              <w:t>水利</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2130314</w:t>
            </w:r>
          </w:p>
        </w:tc>
        <w:tc>
          <w:tcPr>
            <w:tcW w:w="1095" w:type="dxa"/>
            <w:vAlign w:val="center"/>
          </w:tcPr>
          <w:p>
            <w:pPr>
              <w:pStyle w:val="14"/>
            </w:pPr>
            <w:r>
              <w:t>防汛</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224</w:t>
            </w:r>
          </w:p>
        </w:tc>
        <w:tc>
          <w:tcPr>
            <w:tcW w:w="1095" w:type="dxa"/>
            <w:vAlign w:val="center"/>
          </w:tcPr>
          <w:p>
            <w:pPr>
              <w:pStyle w:val="14"/>
            </w:pPr>
            <w:r>
              <w:t>灾害防治及应急管理支出</w:t>
            </w:r>
          </w:p>
        </w:tc>
        <w:tc>
          <w:tcPr>
            <w:tcW w:w="1095" w:type="dxa"/>
            <w:vAlign w:val="center"/>
          </w:tcPr>
          <w:p>
            <w:pPr>
              <w:pStyle w:val="13"/>
            </w:pPr>
            <w:r>
              <w:t>1050.87</w:t>
            </w:r>
          </w:p>
        </w:tc>
        <w:tc>
          <w:tcPr>
            <w:tcW w:w="1095" w:type="dxa"/>
            <w:vAlign w:val="center"/>
          </w:tcPr>
          <w:p>
            <w:pPr>
              <w:pStyle w:val="13"/>
            </w:pPr>
            <w:r>
              <w:t>737.33</w:t>
            </w:r>
          </w:p>
        </w:tc>
        <w:tc>
          <w:tcPr>
            <w:tcW w:w="1095" w:type="dxa"/>
            <w:vAlign w:val="center"/>
          </w:tcPr>
          <w:p>
            <w:pPr>
              <w:pStyle w:val="13"/>
            </w:pPr>
            <w:r>
              <w:t>313.54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22401</w:t>
            </w:r>
          </w:p>
        </w:tc>
        <w:tc>
          <w:tcPr>
            <w:tcW w:w="1095" w:type="dxa"/>
            <w:vAlign w:val="center"/>
          </w:tcPr>
          <w:p>
            <w:pPr>
              <w:pStyle w:val="14"/>
            </w:pPr>
            <w:r>
              <w:t>应急管理事务</w:t>
            </w:r>
          </w:p>
        </w:tc>
        <w:tc>
          <w:tcPr>
            <w:tcW w:w="1095" w:type="dxa"/>
            <w:vAlign w:val="center"/>
          </w:tcPr>
          <w:p>
            <w:pPr>
              <w:pStyle w:val="13"/>
            </w:pPr>
            <w:r>
              <w:t>912.69</w:t>
            </w:r>
          </w:p>
        </w:tc>
        <w:tc>
          <w:tcPr>
            <w:tcW w:w="1095" w:type="dxa"/>
            <w:vAlign w:val="center"/>
          </w:tcPr>
          <w:p>
            <w:pPr>
              <w:pStyle w:val="13"/>
            </w:pPr>
            <w:r>
              <w:t>737.33</w:t>
            </w:r>
          </w:p>
        </w:tc>
        <w:tc>
          <w:tcPr>
            <w:tcW w:w="1095" w:type="dxa"/>
            <w:vAlign w:val="center"/>
          </w:tcPr>
          <w:p>
            <w:pPr>
              <w:pStyle w:val="13"/>
            </w:pPr>
            <w:r>
              <w:t>175.36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2240101</w:t>
            </w:r>
          </w:p>
        </w:tc>
        <w:tc>
          <w:tcPr>
            <w:tcW w:w="1095" w:type="dxa"/>
            <w:vAlign w:val="center"/>
          </w:tcPr>
          <w:p>
            <w:pPr>
              <w:pStyle w:val="14"/>
            </w:pPr>
            <w:r>
              <w:t>行政运行</w:t>
            </w:r>
          </w:p>
        </w:tc>
        <w:tc>
          <w:tcPr>
            <w:tcW w:w="1095" w:type="dxa"/>
            <w:vAlign w:val="center"/>
          </w:tcPr>
          <w:p>
            <w:pPr>
              <w:pStyle w:val="13"/>
            </w:pPr>
            <w:r>
              <w:t>737.33</w:t>
            </w:r>
          </w:p>
        </w:tc>
        <w:tc>
          <w:tcPr>
            <w:tcW w:w="1095" w:type="dxa"/>
            <w:vAlign w:val="center"/>
          </w:tcPr>
          <w:p>
            <w:pPr>
              <w:pStyle w:val="13"/>
            </w:pPr>
            <w:r>
              <w:t>737.33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2240106</w:t>
            </w:r>
          </w:p>
        </w:tc>
        <w:tc>
          <w:tcPr>
            <w:tcW w:w="1095" w:type="dxa"/>
            <w:vAlign w:val="center"/>
          </w:tcPr>
          <w:p>
            <w:pPr>
              <w:pStyle w:val="14"/>
            </w:pPr>
            <w:r>
              <w:t>安全监管</w:t>
            </w:r>
          </w:p>
        </w:tc>
        <w:tc>
          <w:tcPr>
            <w:tcW w:w="1095" w:type="dxa"/>
            <w:vAlign w:val="center"/>
          </w:tcPr>
          <w:p>
            <w:pPr>
              <w:pStyle w:val="13"/>
            </w:pPr>
            <w:r>
              <w:t>175.00</w:t>
            </w:r>
          </w:p>
        </w:tc>
        <w:tc>
          <w:tcPr>
            <w:tcW w:w="1095" w:type="dxa"/>
            <w:vAlign w:val="center"/>
          </w:tcPr>
          <w:p>
            <w:pPr>
              <w:pStyle w:val="13"/>
            </w:pPr>
          </w:p>
        </w:tc>
        <w:tc>
          <w:tcPr>
            <w:tcW w:w="1095" w:type="dxa"/>
            <w:vAlign w:val="center"/>
          </w:tcPr>
          <w:p>
            <w:pPr>
              <w:pStyle w:val="13"/>
            </w:pPr>
            <w:r>
              <w:t>175.00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2240109</w:t>
            </w:r>
          </w:p>
        </w:tc>
        <w:tc>
          <w:tcPr>
            <w:tcW w:w="1095" w:type="dxa"/>
            <w:vAlign w:val="center"/>
          </w:tcPr>
          <w:p>
            <w:pPr>
              <w:pStyle w:val="14"/>
            </w:pPr>
            <w:r>
              <w:t>应急管理</w:t>
            </w:r>
          </w:p>
        </w:tc>
        <w:tc>
          <w:tcPr>
            <w:tcW w:w="1095" w:type="dxa"/>
            <w:vAlign w:val="center"/>
          </w:tcPr>
          <w:p>
            <w:pPr>
              <w:pStyle w:val="13"/>
            </w:pPr>
            <w:r>
              <w:t>0.36</w:t>
            </w:r>
          </w:p>
        </w:tc>
        <w:tc>
          <w:tcPr>
            <w:tcW w:w="1095" w:type="dxa"/>
            <w:vAlign w:val="center"/>
          </w:tcPr>
          <w:p>
            <w:pPr>
              <w:pStyle w:val="13"/>
            </w:pPr>
          </w:p>
        </w:tc>
        <w:tc>
          <w:tcPr>
            <w:tcW w:w="1095" w:type="dxa"/>
            <w:vAlign w:val="center"/>
          </w:tcPr>
          <w:p>
            <w:pPr>
              <w:pStyle w:val="13"/>
            </w:pPr>
            <w:r>
              <w:t>0.36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22405</w:t>
            </w:r>
          </w:p>
        </w:tc>
        <w:tc>
          <w:tcPr>
            <w:tcW w:w="1095" w:type="dxa"/>
            <w:vAlign w:val="center"/>
          </w:tcPr>
          <w:p>
            <w:pPr>
              <w:pStyle w:val="14"/>
            </w:pPr>
            <w:r>
              <w:t>地震事务</w:t>
            </w:r>
          </w:p>
        </w:tc>
        <w:tc>
          <w:tcPr>
            <w:tcW w:w="1095" w:type="dxa"/>
            <w:vAlign w:val="center"/>
          </w:tcPr>
          <w:p>
            <w:pPr>
              <w:pStyle w:val="13"/>
            </w:pPr>
            <w:r>
              <w:t>0.80</w:t>
            </w:r>
          </w:p>
        </w:tc>
        <w:tc>
          <w:tcPr>
            <w:tcW w:w="1095" w:type="dxa"/>
            <w:vAlign w:val="center"/>
          </w:tcPr>
          <w:p>
            <w:pPr>
              <w:pStyle w:val="13"/>
            </w:pPr>
          </w:p>
        </w:tc>
        <w:tc>
          <w:tcPr>
            <w:tcW w:w="1095" w:type="dxa"/>
            <w:vAlign w:val="center"/>
          </w:tcPr>
          <w:p>
            <w:pPr>
              <w:pStyle w:val="13"/>
            </w:pPr>
            <w:r>
              <w:t>0.80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2240504</w:t>
            </w:r>
          </w:p>
        </w:tc>
        <w:tc>
          <w:tcPr>
            <w:tcW w:w="1095" w:type="dxa"/>
            <w:vAlign w:val="center"/>
          </w:tcPr>
          <w:p>
            <w:pPr>
              <w:pStyle w:val="14"/>
            </w:pPr>
            <w:r>
              <w:t>地震监测</w:t>
            </w:r>
          </w:p>
        </w:tc>
        <w:tc>
          <w:tcPr>
            <w:tcW w:w="1095" w:type="dxa"/>
            <w:vAlign w:val="center"/>
          </w:tcPr>
          <w:p>
            <w:pPr>
              <w:pStyle w:val="13"/>
            </w:pPr>
            <w:r>
              <w:t>0.80</w:t>
            </w:r>
          </w:p>
        </w:tc>
        <w:tc>
          <w:tcPr>
            <w:tcW w:w="1095" w:type="dxa"/>
            <w:vAlign w:val="center"/>
          </w:tcPr>
          <w:p>
            <w:pPr>
              <w:pStyle w:val="13"/>
            </w:pPr>
          </w:p>
        </w:tc>
        <w:tc>
          <w:tcPr>
            <w:tcW w:w="1095" w:type="dxa"/>
            <w:vAlign w:val="center"/>
          </w:tcPr>
          <w:p>
            <w:pPr>
              <w:pStyle w:val="13"/>
            </w:pPr>
            <w:r>
              <w:t>0.80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22407</w:t>
            </w:r>
          </w:p>
        </w:tc>
        <w:tc>
          <w:tcPr>
            <w:tcW w:w="1095" w:type="dxa"/>
            <w:vAlign w:val="center"/>
          </w:tcPr>
          <w:p>
            <w:pPr>
              <w:pStyle w:val="14"/>
            </w:pPr>
            <w:r>
              <w:t>自然灾害救灾及恢复重建支出</w:t>
            </w:r>
          </w:p>
        </w:tc>
        <w:tc>
          <w:tcPr>
            <w:tcW w:w="1095" w:type="dxa"/>
            <w:vAlign w:val="center"/>
          </w:tcPr>
          <w:p>
            <w:pPr>
              <w:pStyle w:val="13"/>
            </w:pPr>
            <w:r>
              <w:t>137.38</w:t>
            </w:r>
          </w:p>
        </w:tc>
        <w:tc>
          <w:tcPr>
            <w:tcW w:w="1095" w:type="dxa"/>
            <w:vAlign w:val="center"/>
          </w:tcPr>
          <w:p>
            <w:pPr>
              <w:pStyle w:val="13"/>
            </w:pPr>
          </w:p>
        </w:tc>
        <w:tc>
          <w:tcPr>
            <w:tcW w:w="1095" w:type="dxa"/>
            <w:vAlign w:val="center"/>
          </w:tcPr>
          <w:p>
            <w:pPr>
              <w:pStyle w:val="13"/>
            </w:pPr>
            <w:r>
              <w:t>137.38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2240703</w:t>
            </w:r>
          </w:p>
        </w:tc>
        <w:tc>
          <w:tcPr>
            <w:tcW w:w="1095" w:type="dxa"/>
            <w:vAlign w:val="center"/>
          </w:tcPr>
          <w:p>
            <w:pPr>
              <w:pStyle w:val="14"/>
            </w:pPr>
            <w:r>
              <w:t>自然灾害救灾补助</w:t>
            </w:r>
          </w:p>
        </w:tc>
        <w:tc>
          <w:tcPr>
            <w:tcW w:w="1095" w:type="dxa"/>
            <w:vAlign w:val="center"/>
          </w:tcPr>
          <w:p>
            <w:pPr>
              <w:pStyle w:val="13"/>
            </w:pPr>
            <w:r>
              <w:t>99.60</w:t>
            </w:r>
          </w:p>
        </w:tc>
        <w:tc>
          <w:tcPr>
            <w:tcW w:w="1095" w:type="dxa"/>
            <w:vAlign w:val="center"/>
          </w:tcPr>
          <w:p>
            <w:pPr>
              <w:pStyle w:val="13"/>
            </w:pPr>
          </w:p>
        </w:tc>
        <w:tc>
          <w:tcPr>
            <w:tcW w:w="1095" w:type="dxa"/>
            <w:vAlign w:val="center"/>
          </w:tcPr>
          <w:p>
            <w:pPr>
              <w:pStyle w:val="13"/>
            </w:pPr>
            <w:r>
              <w:t>99.60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2240704</w:t>
            </w:r>
          </w:p>
        </w:tc>
        <w:tc>
          <w:tcPr>
            <w:tcW w:w="1095" w:type="dxa"/>
            <w:vAlign w:val="center"/>
          </w:tcPr>
          <w:p>
            <w:pPr>
              <w:pStyle w:val="14"/>
            </w:pPr>
            <w:r>
              <w:t>自然灾害灾后重建补助</w:t>
            </w:r>
          </w:p>
        </w:tc>
        <w:tc>
          <w:tcPr>
            <w:tcW w:w="1095" w:type="dxa"/>
            <w:vAlign w:val="center"/>
          </w:tcPr>
          <w:p>
            <w:pPr>
              <w:pStyle w:val="13"/>
            </w:pPr>
            <w:r>
              <w:t>37.77</w:t>
            </w:r>
          </w:p>
        </w:tc>
        <w:tc>
          <w:tcPr>
            <w:tcW w:w="1095" w:type="dxa"/>
            <w:vAlign w:val="center"/>
          </w:tcPr>
          <w:p>
            <w:pPr>
              <w:pStyle w:val="13"/>
            </w:pPr>
          </w:p>
        </w:tc>
        <w:tc>
          <w:tcPr>
            <w:tcW w:w="1095" w:type="dxa"/>
            <w:vAlign w:val="center"/>
          </w:tcPr>
          <w:p>
            <w:pPr>
              <w:pStyle w:val="13"/>
            </w:pPr>
            <w:r>
              <w:t>37.77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bookmarkStart w:id="22" w:name="_Toc8303_WPSOffice_Level1"/>
      <w:r>
        <w:rPr>
          <w:rFonts w:ascii="方正小标宋_GBK" w:hAnsi="方正小标宋_GBK" w:eastAsia="方正小标宋_GBK" w:cs="方正小标宋_GBK"/>
          <w:color w:val="000000"/>
          <w:sz w:val="36"/>
        </w:rPr>
        <w:t>单位预算财政拨款收支总表</w:t>
      </w:r>
      <w:bookmarkEnd w:id="22"/>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426001石家庄市藁城区应急管理局本级</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1060.51</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10.00</w:t>
            </w:r>
          </w:p>
        </w:tc>
        <w:tc>
          <w:tcPr>
            <w:tcW w:w="1232" w:type="dxa"/>
            <w:vAlign w:val="center"/>
          </w:tcPr>
          <w:p>
            <w:pPr>
              <w:pStyle w:val="13"/>
            </w:pPr>
            <w:r>
              <w:t>10.00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r>
              <w:t>1050.87</w:t>
            </w:r>
          </w:p>
        </w:tc>
        <w:tc>
          <w:tcPr>
            <w:tcW w:w="1232" w:type="dxa"/>
            <w:vAlign w:val="center"/>
          </w:tcPr>
          <w:p>
            <w:pPr>
              <w:pStyle w:val="13"/>
            </w:pPr>
            <w:r>
              <w:t>1050.87</w:t>
            </w: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1060.51</w:t>
            </w:r>
          </w:p>
        </w:tc>
        <w:tc>
          <w:tcPr>
            <w:tcW w:w="1232" w:type="dxa"/>
            <w:vAlign w:val="center"/>
          </w:tcPr>
          <w:p>
            <w:pPr>
              <w:pStyle w:val="16"/>
            </w:pPr>
            <w:r>
              <w:t>本年支出合计</w:t>
            </w:r>
          </w:p>
        </w:tc>
        <w:tc>
          <w:tcPr>
            <w:tcW w:w="1232" w:type="dxa"/>
            <w:vAlign w:val="center"/>
          </w:tcPr>
          <w:p>
            <w:pPr>
              <w:pStyle w:val="17"/>
            </w:pPr>
            <w:r>
              <w:t>1060.87</w:t>
            </w:r>
          </w:p>
        </w:tc>
        <w:tc>
          <w:tcPr>
            <w:tcW w:w="1232" w:type="dxa"/>
            <w:vAlign w:val="center"/>
          </w:tcPr>
          <w:p>
            <w:pPr>
              <w:pStyle w:val="17"/>
            </w:pPr>
            <w:r>
              <w:t>1060.87</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r>
              <w:t>0.36</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r>
              <w:t>0.36</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1060.87</w:t>
            </w:r>
          </w:p>
        </w:tc>
        <w:tc>
          <w:tcPr>
            <w:tcW w:w="1232" w:type="dxa"/>
            <w:vAlign w:val="center"/>
          </w:tcPr>
          <w:p>
            <w:pPr>
              <w:pStyle w:val="16"/>
            </w:pPr>
            <w:r>
              <w:t>支出总计</w:t>
            </w:r>
          </w:p>
        </w:tc>
        <w:tc>
          <w:tcPr>
            <w:tcW w:w="1232" w:type="dxa"/>
            <w:vAlign w:val="center"/>
          </w:tcPr>
          <w:p>
            <w:pPr>
              <w:pStyle w:val="17"/>
            </w:pPr>
            <w:r>
              <w:t>1060.87</w:t>
            </w:r>
          </w:p>
        </w:tc>
        <w:tc>
          <w:tcPr>
            <w:tcW w:w="1232" w:type="dxa"/>
            <w:vAlign w:val="center"/>
          </w:tcPr>
          <w:p>
            <w:pPr>
              <w:pStyle w:val="17"/>
            </w:pPr>
            <w:r>
              <w:t>1060.87</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bookmarkStart w:id="23" w:name="_Toc22096_WPSOffice_Level1"/>
      <w:r>
        <w:rPr>
          <w:rFonts w:ascii="方正小标宋_GBK" w:hAnsi="方正小标宋_GBK" w:eastAsia="方正小标宋_GBK" w:cs="方正小标宋_GBK"/>
          <w:color w:val="000000"/>
          <w:sz w:val="36"/>
        </w:rPr>
        <w:t>单位预算一般公共预算财政拨款支出表</w:t>
      </w:r>
      <w:bookmarkEnd w:id="23"/>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426001石家庄市藁城区应急管理局本级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1060.87</w:t>
            </w:r>
          </w:p>
        </w:tc>
        <w:tc>
          <w:tcPr>
            <w:tcW w:w="1643" w:type="dxa"/>
            <w:vAlign w:val="center"/>
          </w:tcPr>
          <w:p>
            <w:pPr>
              <w:pStyle w:val="17"/>
            </w:pPr>
            <w:r>
              <w:t>737.33</w:t>
            </w:r>
          </w:p>
        </w:tc>
        <w:tc>
          <w:tcPr>
            <w:tcW w:w="1643" w:type="dxa"/>
            <w:vAlign w:val="center"/>
          </w:tcPr>
          <w:p>
            <w:pPr>
              <w:pStyle w:val="17"/>
            </w:pPr>
            <w:r>
              <w:t>323.54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21303</w:t>
            </w:r>
          </w:p>
        </w:tc>
        <w:tc>
          <w:tcPr>
            <w:tcW w:w="1643" w:type="dxa"/>
            <w:vAlign w:val="center"/>
          </w:tcPr>
          <w:p>
            <w:pPr>
              <w:pStyle w:val="14"/>
            </w:pPr>
            <w:r>
              <w:t>水利</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2130314</w:t>
            </w:r>
          </w:p>
        </w:tc>
        <w:tc>
          <w:tcPr>
            <w:tcW w:w="1643" w:type="dxa"/>
            <w:vAlign w:val="center"/>
          </w:tcPr>
          <w:p>
            <w:pPr>
              <w:pStyle w:val="14"/>
            </w:pPr>
            <w:r>
              <w:t>防汛</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224</w:t>
            </w:r>
          </w:p>
        </w:tc>
        <w:tc>
          <w:tcPr>
            <w:tcW w:w="1643" w:type="dxa"/>
            <w:vAlign w:val="center"/>
          </w:tcPr>
          <w:p>
            <w:pPr>
              <w:pStyle w:val="14"/>
            </w:pPr>
            <w:r>
              <w:t>灾害防治及应急管理支出</w:t>
            </w:r>
          </w:p>
        </w:tc>
        <w:tc>
          <w:tcPr>
            <w:tcW w:w="1643" w:type="dxa"/>
            <w:vAlign w:val="center"/>
          </w:tcPr>
          <w:p>
            <w:pPr>
              <w:pStyle w:val="13"/>
            </w:pPr>
            <w:r>
              <w:t>1050.87</w:t>
            </w:r>
          </w:p>
        </w:tc>
        <w:tc>
          <w:tcPr>
            <w:tcW w:w="1643" w:type="dxa"/>
            <w:vAlign w:val="center"/>
          </w:tcPr>
          <w:p>
            <w:pPr>
              <w:pStyle w:val="13"/>
            </w:pPr>
            <w:r>
              <w:t>737.33</w:t>
            </w:r>
          </w:p>
        </w:tc>
        <w:tc>
          <w:tcPr>
            <w:tcW w:w="1643" w:type="dxa"/>
            <w:vAlign w:val="center"/>
          </w:tcPr>
          <w:p>
            <w:pPr>
              <w:pStyle w:val="13"/>
            </w:pPr>
            <w:r>
              <w:t>313.54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22401</w:t>
            </w:r>
          </w:p>
        </w:tc>
        <w:tc>
          <w:tcPr>
            <w:tcW w:w="1643" w:type="dxa"/>
            <w:vAlign w:val="center"/>
          </w:tcPr>
          <w:p>
            <w:pPr>
              <w:pStyle w:val="14"/>
            </w:pPr>
            <w:r>
              <w:t>应急管理事务</w:t>
            </w:r>
          </w:p>
        </w:tc>
        <w:tc>
          <w:tcPr>
            <w:tcW w:w="1643" w:type="dxa"/>
            <w:vAlign w:val="center"/>
          </w:tcPr>
          <w:p>
            <w:pPr>
              <w:pStyle w:val="13"/>
            </w:pPr>
            <w:r>
              <w:t>912.69</w:t>
            </w:r>
          </w:p>
        </w:tc>
        <w:tc>
          <w:tcPr>
            <w:tcW w:w="1643" w:type="dxa"/>
            <w:vAlign w:val="center"/>
          </w:tcPr>
          <w:p>
            <w:pPr>
              <w:pStyle w:val="13"/>
            </w:pPr>
            <w:r>
              <w:t>737.33</w:t>
            </w:r>
          </w:p>
        </w:tc>
        <w:tc>
          <w:tcPr>
            <w:tcW w:w="1643" w:type="dxa"/>
            <w:vAlign w:val="center"/>
          </w:tcPr>
          <w:p>
            <w:pPr>
              <w:pStyle w:val="13"/>
            </w:pPr>
            <w:r>
              <w:t>175.36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2240101</w:t>
            </w:r>
          </w:p>
        </w:tc>
        <w:tc>
          <w:tcPr>
            <w:tcW w:w="1643" w:type="dxa"/>
            <w:vAlign w:val="center"/>
          </w:tcPr>
          <w:p>
            <w:pPr>
              <w:pStyle w:val="14"/>
            </w:pPr>
            <w:r>
              <w:t>行政运行</w:t>
            </w:r>
          </w:p>
        </w:tc>
        <w:tc>
          <w:tcPr>
            <w:tcW w:w="1643" w:type="dxa"/>
            <w:vAlign w:val="center"/>
          </w:tcPr>
          <w:p>
            <w:pPr>
              <w:pStyle w:val="13"/>
            </w:pPr>
            <w:r>
              <w:t>737.33</w:t>
            </w:r>
          </w:p>
        </w:tc>
        <w:tc>
          <w:tcPr>
            <w:tcW w:w="1643" w:type="dxa"/>
            <w:vAlign w:val="center"/>
          </w:tcPr>
          <w:p>
            <w:pPr>
              <w:pStyle w:val="13"/>
            </w:pPr>
            <w:r>
              <w:t>737.33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2240106</w:t>
            </w:r>
          </w:p>
        </w:tc>
        <w:tc>
          <w:tcPr>
            <w:tcW w:w="1643" w:type="dxa"/>
            <w:vAlign w:val="center"/>
          </w:tcPr>
          <w:p>
            <w:pPr>
              <w:pStyle w:val="14"/>
            </w:pPr>
            <w:r>
              <w:t>安全监管</w:t>
            </w:r>
          </w:p>
        </w:tc>
        <w:tc>
          <w:tcPr>
            <w:tcW w:w="1643" w:type="dxa"/>
            <w:vAlign w:val="center"/>
          </w:tcPr>
          <w:p>
            <w:pPr>
              <w:pStyle w:val="13"/>
            </w:pPr>
            <w:r>
              <w:t>175.00</w:t>
            </w:r>
          </w:p>
        </w:tc>
        <w:tc>
          <w:tcPr>
            <w:tcW w:w="1643" w:type="dxa"/>
            <w:vAlign w:val="center"/>
          </w:tcPr>
          <w:p>
            <w:pPr>
              <w:pStyle w:val="13"/>
            </w:pPr>
          </w:p>
        </w:tc>
        <w:tc>
          <w:tcPr>
            <w:tcW w:w="1643" w:type="dxa"/>
            <w:vAlign w:val="center"/>
          </w:tcPr>
          <w:p>
            <w:pPr>
              <w:pStyle w:val="13"/>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2240109</w:t>
            </w:r>
          </w:p>
        </w:tc>
        <w:tc>
          <w:tcPr>
            <w:tcW w:w="1643" w:type="dxa"/>
            <w:vAlign w:val="center"/>
          </w:tcPr>
          <w:p>
            <w:pPr>
              <w:pStyle w:val="14"/>
            </w:pPr>
            <w:r>
              <w:t>应急管理</w:t>
            </w:r>
          </w:p>
        </w:tc>
        <w:tc>
          <w:tcPr>
            <w:tcW w:w="1643" w:type="dxa"/>
            <w:vAlign w:val="center"/>
          </w:tcPr>
          <w:p>
            <w:pPr>
              <w:pStyle w:val="13"/>
            </w:pPr>
            <w:r>
              <w:t>0.36</w:t>
            </w:r>
          </w:p>
        </w:tc>
        <w:tc>
          <w:tcPr>
            <w:tcW w:w="1643" w:type="dxa"/>
            <w:vAlign w:val="center"/>
          </w:tcPr>
          <w:p>
            <w:pPr>
              <w:pStyle w:val="13"/>
            </w:pPr>
          </w:p>
        </w:tc>
        <w:tc>
          <w:tcPr>
            <w:tcW w:w="1643" w:type="dxa"/>
            <w:vAlign w:val="center"/>
          </w:tcPr>
          <w:p>
            <w:pPr>
              <w:pStyle w:val="13"/>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22405</w:t>
            </w:r>
          </w:p>
        </w:tc>
        <w:tc>
          <w:tcPr>
            <w:tcW w:w="1643" w:type="dxa"/>
            <w:vAlign w:val="center"/>
          </w:tcPr>
          <w:p>
            <w:pPr>
              <w:pStyle w:val="14"/>
            </w:pPr>
            <w:r>
              <w:t>地震事务</w:t>
            </w:r>
          </w:p>
        </w:tc>
        <w:tc>
          <w:tcPr>
            <w:tcW w:w="1643" w:type="dxa"/>
            <w:vAlign w:val="center"/>
          </w:tcPr>
          <w:p>
            <w:pPr>
              <w:pStyle w:val="13"/>
            </w:pPr>
            <w:r>
              <w:t>0.80</w:t>
            </w:r>
          </w:p>
        </w:tc>
        <w:tc>
          <w:tcPr>
            <w:tcW w:w="1643" w:type="dxa"/>
            <w:vAlign w:val="center"/>
          </w:tcPr>
          <w:p>
            <w:pPr>
              <w:pStyle w:val="13"/>
            </w:pPr>
          </w:p>
        </w:tc>
        <w:tc>
          <w:tcPr>
            <w:tcW w:w="1643"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2240504</w:t>
            </w:r>
          </w:p>
        </w:tc>
        <w:tc>
          <w:tcPr>
            <w:tcW w:w="1643" w:type="dxa"/>
            <w:vAlign w:val="center"/>
          </w:tcPr>
          <w:p>
            <w:pPr>
              <w:pStyle w:val="14"/>
            </w:pPr>
            <w:r>
              <w:t>地震监测</w:t>
            </w:r>
          </w:p>
        </w:tc>
        <w:tc>
          <w:tcPr>
            <w:tcW w:w="1643" w:type="dxa"/>
            <w:vAlign w:val="center"/>
          </w:tcPr>
          <w:p>
            <w:pPr>
              <w:pStyle w:val="13"/>
            </w:pPr>
            <w:r>
              <w:t>0.80</w:t>
            </w:r>
          </w:p>
        </w:tc>
        <w:tc>
          <w:tcPr>
            <w:tcW w:w="1643" w:type="dxa"/>
            <w:vAlign w:val="center"/>
          </w:tcPr>
          <w:p>
            <w:pPr>
              <w:pStyle w:val="13"/>
            </w:pPr>
          </w:p>
        </w:tc>
        <w:tc>
          <w:tcPr>
            <w:tcW w:w="1643"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22407</w:t>
            </w:r>
          </w:p>
        </w:tc>
        <w:tc>
          <w:tcPr>
            <w:tcW w:w="1643" w:type="dxa"/>
            <w:vAlign w:val="center"/>
          </w:tcPr>
          <w:p>
            <w:pPr>
              <w:pStyle w:val="14"/>
            </w:pPr>
            <w:r>
              <w:t>自然灾害救灾及恢复重建支出</w:t>
            </w:r>
          </w:p>
        </w:tc>
        <w:tc>
          <w:tcPr>
            <w:tcW w:w="1643" w:type="dxa"/>
            <w:vAlign w:val="center"/>
          </w:tcPr>
          <w:p>
            <w:pPr>
              <w:pStyle w:val="13"/>
            </w:pPr>
            <w:r>
              <w:t>137.38</w:t>
            </w:r>
          </w:p>
        </w:tc>
        <w:tc>
          <w:tcPr>
            <w:tcW w:w="1643" w:type="dxa"/>
            <w:vAlign w:val="center"/>
          </w:tcPr>
          <w:p>
            <w:pPr>
              <w:pStyle w:val="13"/>
            </w:pPr>
          </w:p>
        </w:tc>
        <w:tc>
          <w:tcPr>
            <w:tcW w:w="1643" w:type="dxa"/>
            <w:vAlign w:val="center"/>
          </w:tcPr>
          <w:p>
            <w:pPr>
              <w:pStyle w:val="13"/>
            </w:pPr>
            <w:r>
              <w:t>137.38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2240703</w:t>
            </w:r>
          </w:p>
        </w:tc>
        <w:tc>
          <w:tcPr>
            <w:tcW w:w="1643" w:type="dxa"/>
            <w:vAlign w:val="center"/>
          </w:tcPr>
          <w:p>
            <w:pPr>
              <w:pStyle w:val="14"/>
            </w:pPr>
            <w:r>
              <w:t>自然灾害救灾补助</w:t>
            </w:r>
          </w:p>
        </w:tc>
        <w:tc>
          <w:tcPr>
            <w:tcW w:w="1643" w:type="dxa"/>
            <w:vAlign w:val="center"/>
          </w:tcPr>
          <w:p>
            <w:pPr>
              <w:pStyle w:val="13"/>
            </w:pPr>
            <w:r>
              <w:t>99.60</w:t>
            </w:r>
          </w:p>
        </w:tc>
        <w:tc>
          <w:tcPr>
            <w:tcW w:w="1643" w:type="dxa"/>
            <w:vAlign w:val="center"/>
          </w:tcPr>
          <w:p>
            <w:pPr>
              <w:pStyle w:val="13"/>
            </w:pPr>
          </w:p>
        </w:tc>
        <w:tc>
          <w:tcPr>
            <w:tcW w:w="1643" w:type="dxa"/>
            <w:vAlign w:val="center"/>
          </w:tcPr>
          <w:p>
            <w:pPr>
              <w:pStyle w:val="13"/>
            </w:pPr>
            <w:r>
              <w:t>99.60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2240704</w:t>
            </w:r>
          </w:p>
        </w:tc>
        <w:tc>
          <w:tcPr>
            <w:tcW w:w="1643" w:type="dxa"/>
            <w:vAlign w:val="center"/>
          </w:tcPr>
          <w:p>
            <w:pPr>
              <w:pStyle w:val="14"/>
            </w:pPr>
            <w:r>
              <w:t>自然灾害灾后重建补助</w:t>
            </w:r>
          </w:p>
        </w:tc>
        <w:tc>
          <w:tcPr>
            <w:tcW w:w="1643" w:type="dxa"/>
            <w:vAlign w:val="center"/>
          </w:tcPr>
          <w:p>
            <w:pPr>
              <w:pStyle w:val="13"/>
            </w:pPr>
            <w:r>
              <w:t>37.77</w:t>
            </w:r>
          </w:p>
        </w:tc>
        <w:tc>
          <w:tcPr>
            <w:tcW w:w="1643" w:type="dxa"/>
            <w:vAlign w:val="center"/>
          </w:tcPr>
          <w:p>
            <w:pPr>
              <w:pStyle w:val="13"/>
            </w:pPr>
          </w:p>
        </w:tc>
        <w:tc>
          <w:tcPr>
            <w:tcW w:w="1643" w:type="dxa"/>
            <w:vAlign w:val="center"/>
          </w:tcPr>
          <w:p>
            <w:pPr>
              <w:pStyle w:val="13"/>
            </w:pPr>
            <w:r>
              <w:t>37.77</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bookmarkStart w:id="24" w:name="_Toc15152_WPSOffice_Level1"/>
      <w:r>
        <w:rPr>
          <w:rFonts w:ascii="方正小标宋_GBK" w:hAnsi="方正小标宋_GBK" w:eastAsia="方正小标宋_GBK" w:cs="方正小标宋_GBK"/>
          <w:color w:val="000000"/>
          <w:sz w:val="36"/>
        </w:rPr>
        <w:t>单位预算一般公共预算财政拨款基本支出表</w:t>
      </w:r>
      <w:bookmarkEnd w:id="24"/>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426001石家庄市藁城区应急管理局本级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737.33</w:t>
            </w:r>
          </w:p>
        </w:tc>
        <w:tc>
          <w:tcPr>
            <w:tcW w:w="1643" w:type="dxa"/>
            <w:vAlign w:val="center"/>
          </w:tcPr>
          <w:p>
            <w:pPr>
              <w:pStyle w:val="17"/>
            </w:pPr>
            <w:r>
              <w:t>685.67</w:t>
            </w:r>
          </w:p>
        </w:tc>
        <w:tc>
          <w:tcPr>
            <w:tcW w:w="1643" w:type="dxa"/>
            <w:vAlign w:val="center"/>
          </w:tcPr>
          <w:p>
            <w:pPr>
              <w:pStyle w:val="17"/>
            </w:pPr>
            <w:r>
              <w:t>51.66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685.61</w:t>
            </w:r>
          </w:p>
        </w:tc>
        <w:tc>
          <w:tcPr>
            <w:tcW w:w="1643" w:type="dxa"/>
            <w:vAlign w:val="center"/>
          </w:tcPr>
          <w:p>
            <w:pPr>
              <w:pStyle w:val="13"/>
            </w:pPr>
            <w:r>
              <w:t>685.61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152.58</w:t>
            </w:r>
          </w:p>
        </w:tc>
        <w:tc>
          <w:tcPr>
            <w:tcW w:w="1643" w:type="dxa"/>
            <w:vAlign w:val="center"/>
          </w:tcPr>
          <w:p>
            <w:pPr>
              <w:pStyle w:val="13"/>
            </w:pPr>
            <w:r>
              <w:t>152.58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254.16</w:t>
            </w:r>
          </w:p>
        </w:tc>
        <w:tc>
          <w:tcPr>
            <w:tcW w:w="1643" w:type="dxa"/>
            <w:vAlign w:val="center"/>
          </w:tcPr>
          <w:p>
            <w:pPr>
              <w:pStyle w:val="13"/>
            </w:pPr>
            <w:r>
              <w:t>254.16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8.14</w:t>
            </w:r>
          </w:p>
        </w:tc>
        <w:tc>
          <w:tcPr>
            <w:tcW w:w="1643" w:type="dxa"/>
            <w:vAlign w:val="center"/>
          </w:tcPr>
          <w:p>
            <w:pPr>
              <w:pStyle w:val="13"/>
            </w:pPr>
            <w:r>
              <w:t>8.14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49.02</w:t>
            </w:r>
          </w:p>
        </w:tc>
        <w:tc>
          <w:tcPr>
            <w:tcW w:w="1643" w:type="dxa"/>
            <w:vAlign w:val="center"/>
          </w:tcPr>
          <w:p>
            <w:pPr>
              <w:pStyle w:val="13"/>
            </w:pPr>
            <w:r>
              <w:t>49.02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60.42</w:t>
            </w:r>
          </w:p>
        </w:tc>
        <w:tc>
          <w:tcPr>
            <w:tcW w:w="1643" w:type="dxa"/>
            <w:vAlign w:val="center"/>
          </w:tcPr>
          <w:p>
            <w:pPr>
              <w:pStyle w:val="13"/>
            </w:pPr>
            <w:r>
              <w:t>60.42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31.72</w:t>
            </w:r>
          </w:p>
        </w:tc>
        <w:tc>
          <w:tcPr>
            <w:tcW w:w="1643" w:type="dxa"/>
            <w:vAlign w:val="center"/>
          </w:tcPr>
          <w:p>
            <w:pPr>
              <w:pStyle w:val="13"/>
            </w:pPr>
            <w:r>
              <w:t>31.72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24.55</w:t>
            </w:r>
          </w:p>
        </w:tc>
        <w:tc>
          <w:tcPr>
            <w:tcW w:w="1643" w:type="dxa"/>
            <w:vAlign w:val="center"/>
          </w:tcPr>
          <w:p>
            <w:pPr>
              <w:pStyle w:val="13"/>
            </w:pPr>
            <w:r>
              <w:t>24.55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54.93</w:t>
            </w:r>
          </w:p>
        </w:tc>
        <w:tc>
          <w:tcPr>
            <w:tcW w:w="1643" w:type="dxa"/>
            <w:vAlign w:val="center"/>
          </w:tcPr>
          <w:p>
            <w:pPr>
              <w:pStyle w:val="13"/>
            </w:pPr>
            <w:r>
              <w:t>54.93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50.09</w:t>
            </w:r>
          </w:p>
        </w:tc>
        <w:tc>
          <w:tcPr>
            <w:tcW w:w="1643" w:type="dxa"/>
            <w:vAlign w:val="center"/>
          </w:tcPr>
          <w:p>
            <w:pPr>
              <w:pStyle w:val="13"/>
            </w:pPr>
            <w:r>
              <w:t>50.09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51.66</w:t>
            </w:r>
          </w:p>
        </w:tc>
        <w:tc>
          <w:tcPr>
            <w:tcW w:w="1643" w:type="dxa"/>
            <w:vAlign w:val="center"/>
          </w:tcPr>
          <w:p>
            <w:pPr>
              <w:pStyle w:val="13"/>
            </w:pPr>
          </w:p>
        </w:tc>
        <w:tc>
          <w:tcPr>
            <w:tcW w:w="1643" w:type="dxa"/>
            <w:vAlign w:val="center"/>
          </w:tcPr>
          <w:p>
            <w:pPr>
              <w:pStyle w:val="13"/>
            </w:pPr>
            <w:r>
              <w:t>51.66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5.26</w:t>
            </w:r>
          </w:p>
        </w:tc>
        <w:tc>
          <w:tcPr>
            <w:tcW w:w="1643" w:type="dxa"/>
            <w:vAlign w:val="center"/>
          </w:tcPr>
          <w:p>
            <w:pPr>
              <w:pStyle w:val="13"/>
            </w:pPr>
          </w:p>
        </w:tc>
        <w:tc>
          <w:tcPr>
            <w:tcW w:w="1643" w:type="dxa"/>
            <w:vAlign w:val="center"/>
          </w:tcPr>
          <w:p>
            <w:pPr>
              <w:pStyle w:val="13"/>
            </w:pPr>
            <w:r>
              <w:t>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30202</w:t>
            </w:r>
          </w:p>
        </w:tc>
        <w:tc>
          <w:tcPr>
            <w:tcW w:w="1643" w:type="dxa"/>
            <w:vAlign w:val="center"/>
          </w:tcPr>
          <w:p>
            <w:pPr>
              <w:pStyle w:val="14"/>
            </w:pPr>
            <w:r>
              <w:t>印刷费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15.14</w:t>
            </w:r>
          </w:p>
        </w:tc>
        <w:tc>
          <w:tcPr>
            <w:tcW w:w="1643" w:type="dxa"/>
            <w:vAlign w:val="center"/>
          </w:tcPr>
          <w:p>
            <w:pPr>
              <w:pStyle w:val="13"/>
            </w:pPr>
          </w:p>
        </w:tc>
        <w:tc>
          <w:tcPr>
            <w:tcW w:w="1643" w:type="dxa"/>
            <w:vAlign w:val="center"/>
          </w:tcPr>
          <w:p>
            <w:pPr>
              <w:pStyle w:val="13"/>
            </w:pPr>
            <w:r>
              <w:t>15.14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0.20</w:t>
            </w:r>
          </w:p>
        </w:tc>
        <w:tc>
          <w:tcPr>
            <w:tcW w:w="1643" w:type="dxa"/>
            <w:vAlign w:val="center"/>
          </w:tcPr>
          <w:p>
            <w:pPr>
              <w:pStyle w:val="13"/>
            </w:pPr>
          </w:p>
        </w:tc>
        <w:tc>
          <w:tcPr>
            <w:tcW w:w="1643"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2.50</w:t>
            </w:r>
          </w:p>
        </w:tc>
        <w:tc>
          <w:tcPr>
            <w:tcW w:w="1643" w:type="dxa"/>
            <w:vAlign w:val="center"/>
          </w:tcPr>
          <w:p>
            <w:pPr>
              <w:pStyle w:val="13"/>
            </w:pPr>
          </w:p>
        </w:tc>
        <w:tc>
          <w:tcPr>
            <w:tcW w:w="1643"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30216</w:t>
            </w:r>
          </w:p>
        </w:tc>
        <w:tc>
          <w:tcPr>
            <w:tcW w:w="1643" w:type="dxa"/>
            <w:vAlign w:val="center"/>
          </w:tcPr>
          <w:p>
            <w:pPr>
              <w:pStyle w:val="14"/>
            </w:pPr>
            <w:r>
              <w:t>培训费</w:t>
            </w:r>
          </w:p>
        </w:tc>
        <w:tc>
          <w:tcPr>
            <w:tcW w:w="1643" w:type="dxa"/>
            <w:vAlign w:val="center"/>
          </w:tcPr>
          <w:p>
            <w:pPr>
              <w:pStyle w:val="13"/>
            </w:pPr>
            <w:r>
              <w:t>0.50</w:t>
            </w:r>
          </w:p>
        </w:tc>
        <w:tc>
          <w:tcPr>
            <w:tcW w:w="1643" w:type="dxa"/>
            <w:vAlign w:val="center"/>
          </w:tcPr>
          <w:p>
            <w:pPr>
              <w:pStyle w:val="13"/>
            </w:pPr>
          </w:p>
        </w:tc>
        <w:tc>
          <w:tcPr>
            <w:tcW w:w="1643"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30217</w:t>
            </w:r>
          </w:p>
        </w:tc>
        <w:tc>
          <w:tcPr>
            <w:tcW w:w="1643" w:type="dxa"/>
            <w:vAlign w:val="center"/>
          </w:tcPr>
          <w:p>
            <w:pPr>
              <w:pStyle w:val="14"/>
            </w:pPr>
            <w:r>
              <w:t>公务接待费</w:t>
            </w:r>
          </w:p>
        </w:tc>
        <w:tc>
          <w:tcPr>
            <w:tcW w:w="1643" w:type="dxa"/>
            <w:vAlign w:val="center"/>
          </w:tcPr>
          <w:p>
            <w:pPr>
              <w:pStyle w:val="13"/>
            </w:pPr>
            <w:r>
              <w:t>0.14</w:t>
            </w:r>
          </w:p>
        </w:tc>
        <w:tc>
          <w:tcPr>
            <w:tcW w:w="1643" w:type="dxa"/>
            <w:vAlign w:val="center"/>
          </w:tcPr>
          <w:p>
            <w:pPr>
              <w:pStyle w:val="13"/>
            </w:pPr>
          </w:p>
        </w:tc>
        <w:tc>
          <w:tcPr>
            <w:tcW w:w="1643" w:type="dxa"/>
            <w:vAlign w:val="center"/>
          </w:tcPr>
          <w:p>
            <w:pPr>
              <w:pStyle w:val="13"/>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3.39</w:t>
            </w:r>
          </w:p>
        </w:tc>
        <w:tc>
          <w:tcPr>
            <w:tcW w:w="1643" w:type="dxa"/>
            <w:vAlign w:val="center"/>
          </w:tcPr>
          <w:p>
            <w:pPr>
              <w:pStyle w:val="13"/>
            </w:pPr>
          </w:p>
        </w:tc>
        <w:tc>
          <w:tcPr>
            <w:tcW w:w="1643" w:type="dxa"/>
            <w:vAlign w:val="center"/>
          </w:tcPr>
          <w:p>
            <w:pPr>
              <w:pStyle w:val="13"/>
            </w:pPr>
            <w:r>
              <w:t>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3.81</w:t>
            </w:r>
          </w:p>
        </w:tc>
        <w:tc>
          <w:tcPr>
            <w:tcW w:w="1643" w:type="dxa"/>
            <w:vAlign w:val="center"/>
          </w:tcPr>
          <w:p>
            <w:pPr>
              <w:pStyle w:val="13"/>
            </w:pPr>
          </w:p>
        </w:tc>
        <w:tc>
          <w:tcPr>
            <w:tcW w:w="1643" w:type="dxa"/>
            <w:vAlign w:val="center"/>
          </w:tcPr>
          <w:p>
            <w:pPr>
              <w:pStyle w:val="13"/>
            </w:pPr>
            <w:r>
              <w:t>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15.66</w:t>
            </w:r>
          </w:p>
        </w:tc>
        <w:tc>
          <w:tcPr>
            <w:tcW w:w="1643" w:type="dxa"/>
            <w:vAlign w:val="center"/>
          </w:tcPr>
          <w:p>
            <w:pPr>
              <w:pStyle w:val="13"/>
            </w:pPr>
          </w:p>
        </w:tc>
        <w:tc>
          <w:tcPr>
            <w:tcW w:w="1643" w:type="dxa"/>
            <w:vAlign w:val="center"/>
          </w:tcPr>
          <w:p>
            <w:pPr>
              <w:pStyle w:val="13"/>
            </w:pPr>
            <w:r>
              <w:t>15.66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0.86</w:t>
            </w:r>
          </w:p>
        </w:tc>
        <w:tc>
          <w:tcPr>
            <w:tcW w:w="1643" w:type="dxa"/>
            <w:vAlign w:val="center"/>
          </w:tcPr>
          <w:p>
            <w:pPr>
              <w:pStyle w:val="13"/>
            </w:pPr>
          </w:p>
        </w:tc>
        <w:tc>
          <w:tcPr>
            <w:tcW w:w="1643" w:type="dxa"/>
            <w:vAlign w:val="center"/>
          </w:tcPr>
          <w:p>
            <w:pPr>
              <w:pStyle w:val="13"/>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0.06</w:t>
            </w:r>
          </w:p>
        </w:tc>
        <w:tc>
          <w:tcPr>
            <w:tcW w:w="1643" w:type="dxa"/>
            <w:vAlign w:val="center"/>
          </w:tcPr>
          <w:p>
            <w:pPr>
              <w:pStyle w:val="13"/>
            </w:pPr>
            <w:r>
              <w:t>0.06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0.06</w:t>
            </w:r>
          </w:p>
        </w:tc>
        <w:tc>
          <w:tcPr>
            <w:tcW w:w="1643" w:type="dxa"/>
            <w:vAlign w:val="center"/>
          </w:tcPr>
          <w:p>
            <w:pPr>
              <w:pStyle w:val="13"/>
            </w:pPr>
            <w:r>
              <w:t>0.06</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bookmarkStart w:id="25" w:name="_Toc2938_WPSOffice_Level1"/>
      <w:r>
        <w:rPr>
          <w:rFonts w:ascii="方正小标宋_GBK" w:hAnsi="方正小标宋_GBK" w:eastAsia="方正小标宋_GBK" w:cs="方正小标宋_GBK"/>
          <w:color w:val="000000"/>
          <w:sz w:val="36"/>
        </w:rPr>
        <w:t>单位预算政府基金预算财政拨款支出表</w:t>
      </w:r>
      <w:bookmarkEnd w:id="25"/>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426001石家庄市藁城区应急管理局本级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bookmarkStart w:id="26" w:name="_Toc9868_WPSOffice_Level1"/>
      <w:r>
        <w:rPr>
          <w:rFonts w:ascii="方正小标宋_GBK" w:hAnsi="方正小标宋_GBK" w:eastAsia="方正小标宋_GBK" w:cs="方正小标宋_GBK"/>
          <w:color w:val="000000"/>
          <w:sz w:val="36"/>
        </w:rPr>
        <w:t>单位预算国有资本经营预算财政拨款支出表</w:t>
      </w:r>
      <w:bookmarkEnd w:id="26"/>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426001石家庄市藁城区应急管理局本级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bookmarkStart w:id="27" w:name="_Toc22389_WPSOffice_Level1"/>
      <w:r>
        <w:rPr>
          <w:rFonts w:ascii="方正小标宋_GBK" w:hAnsi="方正小标宋_GBK" w:eastAsia="方正小标宋_GBK" w:cs="方正小标宋_GBK"/>
          <w:color w:val="000000"/>
          <w:sz w:val="36"/>
        </w:rPr>
        <w:t>单位预算财政拨款“三公”经费支出表</w:t>
      </w:r>
      <w:bookmarkEnd w:id="27"/>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426001石家庄市藁城区应急管理局本级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2.34</w:t>
            </w:r>
          </w:p>
        </w:tc>
        <w:tc>
          <w:tcPr>
            <w:tcW w:w="1643" w:type="dxa"/>
            <w:vAlign w:val="center"/>
          </w:tcPr>
          <w:p>
            <w:pPr>
              <w:pStyle w:val="17"/>
              <w:rPr>
                <w:rFonts w:hint="default" w:eastAsia="方正书宋_GBK"/>
                <w:lang w:val="en-US" w:eastAsia="zh-CN"/>
              </w:rPr>
            </w:pPr>
            <w:r>
              <w:rPr>
                <w:rFonts w:hint="eastAsia"/>
                <w:lang w:val="en-US" w:eastAsia="zh-CN"/>
              </w:rPr>
              <w:t>2.34</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default" w:eastAsia="方正书宋_GBK"/>
                <w:lang w:val="en-US" w:eastAsia="zh-CN"/>
              </w:rPr>
            </w:pPr>
            <w:r>
              <w:rPr>
                <w:rFonts w:hint="eastAsia"/>
                <w:lang w:val="en-US" w:eastAsia="zh-CN"/>
              </w:rPr>
              <w:t>2.34</w:t>
            </w:r>
          </w:p>
        </w:tc>
        <w:tc>
          <w:tcPr>
            <w:tcW w:w="1643" w:type="dxa"/>
            <w:vAlign w:val="center"/>
          </w:tcPr>
          <w:p>
            <w:pPr>
              <w:pStyle w:val="13"/>
              <w:rPr>
                <w:rFonts w:hint="default" w:eastAsia="方正书宋_GBK"/>
                <w:lang w:val="en-US" w:eastAsia="zh-CN"/>
              </w:rPr>
            </w:pPr>
            <w:r>
              <w:rPr>
                <w:rFonts w:hint="eastAsia"/>
                <w:lang w:val="en-US" w:eastAsia="zh-CN"/>
              </w:rPr>
              <w:t>2.34</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pPr>
          </w:p>
        </w:tc>
        <w:tc>
          <w:tcPr>
            <w:tcW w:w="1643" w:type="dxa"/>
            <w:vAlign w:val="center"/>
          </w:tcPr>
          <w:p>
            <w:pPr>
              <w:pStyle w:val="13"/>
            </w:pPr>
          </w:p>
        </w:tc>
      </w:tr>
      <w:tr>
        <w:tblPrEx>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r>
              <w:t>0.14</w:t>
            </w:r>
          </w:p>
        </w:tc>
        <w:tc>
          <w:tcPr>
            <w:tcW w:w="1643" w:type="dxa"/>
            <w:vAlign w:val="center"/>
          </w:tcPr>
          <w:p>
            <w:pPr>
              <w:pStyle w:val="13"/>
            </w:pPr>
            <w:r>
              <w:t>0.14</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石家庄市藁城区应急管理局本级2022年单位预算信息公开情况说明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按照《预算法》、《地方预决算公开操作规程》和《关于进一步推进预算公开工作的实施意见》规定，现将石家庄市藁城区应急管理局本级2022年单位预算公开如下：</w:t>
      </w:r>
    </w:p>
    <w:p>
      <w:pPr>
        <w:spacing w:before="10" w:after="10" w:line="240" w:lineRule="auto"/>
        <w:ind w:firstLine="640"/>
        <w:jc w:val="left"/>
        <w:outlineLvl w:val="5"/>
      </w:pPr>
      <w:bookmarkStart w:id="28" w:name="_Toc3215_WPSOffice_Level1"/>
      <w:r>
        <w:rPr>
          <w:rFonts w:ascii="黑体" w:hAnsi="黑体" w:eastAsia="黑体" w:cs="黑体"/>
          <w:color w:val="000000"/>
          <w:sz w:val="32"/>
        </w:rPr>
        <w:t>一、单位职责及机构设置情况</w:t>
      </w:r>
      <w:bookmarkEnd w:id="28"/>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19"/>
        <w:rPr>
          <w:rFonts w:ascii="方正楷体_GBK" w:hAnsi="方正楷体_GBK" w:eastAsia="方正楷体_GBK" w:cs="方正楷体_GBK"/>
          <w:b/>
          <w:color w:val="000000"/>
          <w:sz w:val="32"/>
        </w:rPr>
      </w:pPr>
      <w:r>
        <w:t>负责应急管理工作，指导全区各级各部门应对全区安全生产类、自然灾害类等突发事件和综合防灾减灾救灾工作。负责安全生产综合监督管理和工矿商贸行业安全生产监督管理工作。督促落实经济管理、安全生产等政策规定，组织编制全区应急体系建设、安全生产和综合防灾减灾规划，督促落实应急管理、安全生产地方性法规、规章、规程和标准并监督实施。建设应急预案体系，落实完善事故灾难和自然灾害分级应对制度，组织开展预案演练，推动应急避难设施建设。建立完善全区应急管理信息系统，建立监测预警和灾情报告制度，健全自然灾害信息资源获取和共享机制。组织协调安全生产类、自然灾害类等突发事件应急救援，承担区应对灾害指挥部工作，综合研判突发事件发展态势并提出应对建议。统一协调指挥各类应急专业队伍，建立应急协调联动机制，推进指挥平台对接。统筹应急救援力量建设，综合协调应急救援队伍。组织协调消防工作，指导消防监督、火灾预防、火灾扑救等工作。组织协调自然灾害防治和综合监测预警工作，会同有关部门做好自然灾害综合风险评估工作。组织协调灾害救助工作，负责灾情核查、损失评估、救灾捐赠工作，管理、分配救灾款物并监督使用。依法行使安全生产综合监督管理职权，指导协调、监督检查有关部门和各乡镇(区）的安全生产工作，组织开展安全生产巡查、考核工作。依法监督管理工矿商贸企业安全生产工作，负责危险化学品监督管理综合工作和烟花爆竹监督管理工作。依法开展生产安全事故调查处理，监督事故查处和责任追究落实情况，组织开展自然灾害类突发事件的调查评估工作。制定应急物资储备和应急救援装备规划并组织实施。负责应急管理、安全生产宣传教育和培训、科技成果推广和信息化建设工作。组织协调、指导监督全区安全生产行政执法工作，组织开展对区属企业的执法检查和对辖区安全生产重点企业的执法抽查。</w:t>
      </w:r>
    </w:p>
    <w:p>
      <w:pPr>
        <w:pStyle w:val="3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石家庄市藁城区应急管理局本级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bookmarkStart w:id="29" w:name="_Toc27437_WPSOffice_Level1"/>
      <w:r>
        <w:rPr>
          <w:rFonts w:ascii="黑体" w:hAnsi="黑体" w:eastAsia="黑体" w:cs="黑体"/>
          <w:color w:val="000000"/>
          <w:sz w:val="32"/>
        </w:rPr>
        <w:t>二、单位预算安排的总体情况</w:t>
      </w:r>
      <w:bookmarkEnd w:id="29"/>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当年全部收入。2022年预算收入1</w:t>
      </w:r>
      <w:r>
        <w:rPr>
          <w:rFonts w:hint="eastAsia" w:eastAsia="仿宋" w:cs="Times New Roman"/>
          <w:sz w:val="32"/>
          <w:szCs w:val="32"/>
          <w:lang w:val="en-US" w:eastAsia="zh-CN"/>
        </w:rPr>
        <w:t>060.87</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1060.87</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预算中支出预算的总体情况。2022年</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支出预算为1</w:t>
      </w:r>
      <w:r>
        <w:rPr>
          <w:rFonts w:hint="eastAsia" w:eastAsia="仿宋" w:cs="Times New Roman"/>
          <w:sz w:val="32"/>
          <w:szCs w:val="32"/>
          <w:lang w:val="en-US" w:eastAsia="zh-CN"/>
        </w:rPr>
        <w:t>060.87</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737.33</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685.67</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51.66</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323.54</w:t>
      </w:r>
      <w:r>
        <w:rPr>
          <w:rFonts w:hint="eastAsia" w:ascii="Times New Roman" w:hAnsi="Times New Roman" w:eastAsia="仿宋" w:cs="Times New Roman"/>
          <w:sz w:val="32"/>
          <w:szCs w:val="32"/>
        </w:rPr>
        <w:t>万元，主要为</w:t>
      </w:r>
      <w:r>
        <w:rPr>
          <w:rFonts w:hint="eastAsia" w:eastAsia="仿宋" w:cs="Times New Roman"/>
          <w:sz w:val="32"/>
          <w:szCs w:val="32"/>
          <w:lang w:val="en-US" w:eastAsia="zh-CN"/>
        </w:rPr>
        <w:t>农林水支出10</w:t>
      </w:r>
      <w:r>
        <w:rPr>
          <w:rFonts w:hint="eastAsia" w:ascii="Times New Roman" w:hAnsi="Times New Roman" w:eastAsia="仿宋" w:cs="Times New Roman"/>
          <w:sz w:val="32"/>
          <w:szCs w:val="32"/>
        </w:rPr>
        <w:t>万元，灾害防治及应急管理支出</w:t>
      </w:r>
      <w:r>
        <w:rPr>
          <w:rFonts w:hint="eastAsia" w:eastAsia="仿宋" w:cs="Times New Roman"/>
          <w:sz w:val="32"/>
          <w:szCs w:val="32"/>
          <w:lang w:val="en-US" w:eastAsia="zh-CN"/>
        </w:rPr>
        <w:t>313.54</w:t>
      </w:r>
      <w:r>
        <w:rPr>
          <w:rFonts w:hint="eastAsia" w:ascii="Times New Roman" w:hAnsi="Times New Roman" w:eastAsia="仿宋" w:cs="Times New Roman"/>
          <w:sz w:val="32"/>
          <w:szCs w:val="32"/>
        </w:rPr>
        <w:t>万元</w:t>
      </w:r>
      <w:r>
        <w:rPr>
          <w:rFonts w:hint="eastAsia" w:eastAsia="仿宋" w:cs="Times New Roman"/>
          <w:sz w:val="32"/>
          <w:szCs w:val="32"/>
          <w:lang w:eastAsia="zh-CN"/>
        </w:rPr>
        <w:t>；</w:t>
      </w:r>
      <w:r>
        <w:rPr>
          <w:rFonts w:hint="eastAsia" w:ascii="Times New Roman" w:hAnsi="Times New Roman" w:eastAsia="仿宋" w:cs="Times New Roman"/>
          <w:sz w:val="32"/>
          <w:szCs w:val="32"/>
        </w:rPr>
        <w:t>其他支出0万元。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spacing w:before="0" w:after="0" w:line="500" w:lineRule="exact"/>
        <w:ind w:firstLine="560"/>
        <w:jc w:val="left"/>
        <w:outlineLvl w:val="9"/>
        <w:rPr>
          <w:rFonts w:hint="eastAsia" w:eastAsia="方正仿宋_GBK"/>
          <w:lang w:eastAsia="zh-CN"/>
        </w:rPr>
      </w:pPr>
      <w:r>
        <w:rPr>
          <w:rFonts w:hint="eastAsia" w:ascii="Times New Roman" w:hAnsi="Times New Roman" w:eastAsia="仿宋" w:cs="Times New Roman"/>
          <w:color w:val="000000"/>
          <w:sz w:val="32"/>
          <w:szCs w:val="32"/>
        </w:rPr>
        <w:t>2022年</w:t>
      </w:r>
      <w:r>
        <w:rPr>
          <w:rFonts w:hint="eastAsia" w:eastAsia="仿宋" w:cs="Times New Roman"/>
          <w:color w:val="000000"/>
          <w:sz w:val="32"/>
          <w:szCs w:val="32"/>
          <w:lang w:val="en-US" w:eastAsia="zh-CN"/>
        </w:rPr>
        <w:t>单位</w:t>
      </w:r>
      <w:r>
        <w:rPr>
          <w:rFonts w:hint="eastAsia" w:ascii="Times New Roman" w:hAnsi="Times New Roman" w:eastAsia="仿宋" w:cs="Times New Roman"/>
          <w:color w:val="000000"/>
          <w:sz w:val="32"/>
          <w:szCs w:val="32"/>
        </w:rPr>
        <w:t>预算收支安排</w:t>
      </w:r>
      <w:r>
        <w:rPr>
          <w:rFonts w:hint="eastAsia" w:eastAsia="仿宋" w:cs="Times New Roman"/>
          <w:color w:val="000000"/>
          <w:sz w:val="32"/>
          <w:szCs w:val="32"/>
          <w:lang w:val="en-US" w:eastAsia="zh-CN"/>
        </w:rPr>
        <w:t>1060.87</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126.43</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增加76.46</w:t>
      </w:r>
      <w:r>
        <w:rPr>
          <w:rFonts w:hint="eastAsia" w:ascii="Times New Roman" w:hAnsi="Times New Roman" w:eastAsia="仿宋" w:cs="Times New Roman"/>
          <w:sz w:val="32"/>
          <w:szCs w:val="32"/>
        </w:rPr>
        <w:t>万元，主要是人员</w:t>
      </w:r>
      <w:r>
        <w:rPr>
          <w:rFonts w:hint="eastAsia" w:eastAsia="仿宋" w:cs="Times New Roman"/>
          <w:sz w:val="32"/>
          <w:szCs w:val="32"/>
          <w:lang w:val="en-US"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val="en-US"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49.97</w:t>
      </w:r>
      <w:r>
        <w:rPr>
          <w:rFonts w:hint="eastAsia" w:ascii="Times New Roman" w:hAnsi="Times New Roman" w:eastAsia="仿宋" w:cs="Times New Roman"/>
          <w:sz w:val="32"/>
          <w:szCs w:val="32"/>
        </w:rPr>
        <w:t>万元，主要是增加</w:t>
      </w:r>
      <w:r>
        <w:rPr>
          <w:rFonts w:hint="eastAsia" w:eastAsia="仿宋" w:cs="Times New Roman"/>
          <w:sz w:val="32"/>
          <w:szCs w:val="32"/>
          <w:lang w:val="en-US" w:eastAsia="zh-CN"/>
        </w:rPr>
        <w:t>全区安全隐患排查经费</w:t>
      </w:r>
      <w:r>
        <w:rPr>
          <w:rFonts w:hint="eastAsia" w:ascii="Times New Roman" w:hAnsi="Times New Roman" w:eastAsia="仿宋" w:cs="Times New Roman"/>
          <w:sz w:val="32"/>
          <w:szCs w:val="32"/>
        </w:rPr>
        <w:t>资金、</w:t>
      </w:r>
      <w:r>
        <w:rPr>
          <w:rFonts w:hint="eastAsia" w:eastAsia="仿宋" w:cs="Times New Roman"/>
          <w:sz w:val="32"/>
          <w:szCs w:val="32"/>
          <w:lang w:val="en-US" w:eastAsia="zh-CN"/>
        </w:rPr>
        <w:t>应急防汛物资储备</w:t>
      </w:r>
      <w:r>
        <w:rPr>
          <w:rFonts w:hint="eastAsia" w:ascii="Times New Roman" w:hAnsi="Times New Roman" w:eastAsia="仿宋" w:cs="Times New Roman"/>
          <w:sz w:val="32"/>
          <w:szCs w:val="32"/>
        </w:rPr>
        <w:t>资金；其他支出无增减变化。</w:t>
      </w:r>
    </w:p>
    <w:p>
      <w:pPr>
        <w:keepNext w:val="0"/>
        <w:keepLines w:val="0"/>
        <w:pageBreakBefore w:val="0"/>
        <w:widowControl/>
        <w:numPr>
          <w:ilvl w:val="0"/>
          <w:numId w:val="1"/>
        </w:numPr>
        <w:kinsoku/>
        <w:wordWrap/>
        <w:overflowPunct/>
        <w:topLinePunct w:val="0"/>
        <w:autoSpaceDE/>
        <w:autoSpaceDN/>
        <w:bidi w:val="0"/>
        <w:adjustRightInd/>
        <w:snapToGrid/>
        <w:spacing w:before="10" w:after="10" w:line="500" w:lineRule="exact"/>
        <w:ind w:firstLine="640"/>
        <w:jc w:val="left"/>
        <w:textAlignment w:val="auto"/>
        <w:outlineLvl w:val="5"/>
        <w:rPr>
          <w:rFonts w:ascii="黑体" w:hAnsi="黑体" w:eastAsia="黑体" w:cs="黑体"/>
          <w:color w:val="000000"/>
          <w:sz w:val="32"/>
        </w:rPr>
      </w:pPr>
      <w:bookmarkStart w:id="30" w:name="_Toc5441_WPSOffice_Level1"/>
      <w:r>
        <w:rPr>
          <w:rFonts w:ascii="黑体" w:hAnsi="黑体" w:eastAsia="黑体" w:cs="黑体"/>
          <w:color w:val="000000"/>
          <w:sz w:val="32"/>
        </w:rPr>
        <w:t>机关运行经费安排情况</w:t>
      </w:r>
      <w:bookmarkEnd w:id="30"/>
    </w:p>
    <w:p>
      <w:pPr>
        <w:keepNext w:val="0"/>
        <w:keepLines w:val="0"/>
        <w:pageBreakBefore w:val="0"/>
        <w:widowControl/>
        <w:numPr>
          <w:ilvl w:val="0"/>
          <w:numId w:val="0"/>
        </w:numPr>
        <w:kinsoku/>
        <w:wordWrap/>
        <w:overflowPunct/>
        <w:topLinePunct w:val="0"/>
        <w:autoSpaceDE/>
        <w:autoSpaceDN/>
        <w:bidi w:val="0"/>
        <w:adjustRightInd/>
        <w:snapToGrid/>
        <w:spacing w:before="10" w:after="10" w:line="500" w:lineRule="exact"/>
        <w:ind w:firstLine="640" w:firstLineChars="200"/>
        <w:jc w:val="left"/>
        <w:textAlignment w:val="auto"/>
        <w:outlineLvl w:val="9"/>
      </w:pPr>
      <w:r>
        <w:rPr>
          <w:rFonts w:hint="eastAsia" w:ascii="Times New Roman" w:hAnsi="Times New Roman" w:eastAsia="仿宋" w:cs="Times New Roman"/>
          <w:sz w:val="32"/>
          <w:szCs w:val="32"/>
        </w:rPr>
        <w:t>2022年，我</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机关运行经费共计安排</w:t>
      </w:r>
      <w:r>
        <w:rPr>
          <w:rFonts w:hint="eastAsia" w:eastAsia="仿宋" w:cs="Times New Roman"/>
          <w:sz w:val="32"/>
          <w:szCs w:val="32"/>
          <w:lang w:val="en-US" w:eastAsia="zh-CN"/>
        </w:rPr>
        <w:t>51.66</w:t>
      </w:r>
      <w:r>
        <w:rPr>
          <w:rFonts w:hint="eastAsia" w:ascii="Times New Roman" w:hAnsi="Times New Roman" w:eastAsia="仿宋" w:cs="Times New Roman"/>
          <w:sz w:val="32"/>
          <w:szCs w:val="32"/>
        </w:rPr>
        <w:t>万元，主要用于保证机关正常运转的办公及印刷费、邮电费、差旅费、福利费、日常维修费、公务车运行维护费等支出。</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bookmarkStart w:id="31" w:name="_Toc17970_WPSOffice_Level1"/>
      <w:r>
        <w:rPr>
          <w:rFonts w:ascii="黑体" w:hAnsi="黑体" w:eastAsia="黑体" w:cs="黑体"/>
          <w:color w:val="000000"/>
          <w:sz w:val="32"/>
        </w:rPr>
        <w:t>四、财政拨款“三公”经费预算情况及增减变化原因</w:t>
      </w:r>
      <w:bookmarkEnd w:id="31"/>
    </w:p>
    <w:p>
      <w:pPr>
        <w:keepNext w:val="0"/>
        <w:keepLines w:val="0"/>
        <w:pageBreakBefore w:val="0"/>
        <w:widowControl/>
        <w:numPr>
          <w:ilvl w:val="0"/>
          <w:numId w:val="0"/>
        </w:numPr>
        <w:kinsoku/>
        <w:wordWrap/>
        <w:overflowPunct/>
        <w:topLinePunct w:val="0"/>
        <w:autoSpaceDE/>
        <w:autoSpaceDN/>
        <w:bidi w:val="0"/>
        <w:adjustRightInd/>
        <w:snapToGrid/>
        <w:spacing w:before="10" w:after="10" w:line="500" w:lineRule="exact"/>
        <w:ind w:firstLine="640" w:firstLineChars="200"/>
        <w:jc w:val="left"/>
        <w:textAlignment w:val="auto"/>
        <w:outlineLvl w:val="9"/>
      </w:pPr>
      <w:r>
        <w:rPr>
          <w:rFonts w:hint="eastAsia" w:ascii="Times New Roman" w:hAnsi="Times New Roman" w:eastAsia="仿宋" w:cs="Times New Roman"/>
          <w:sz w:val="32"/>
          <w:szCs w:val="32"/>
        </w:rPr>
        <w:t>2022年，我</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财政拨款“三公”经费预算安排</w:t>
      </w:r>
      <w:r>
        <w:rPr>
          <w:rFonts w:hint="eastAsia" w:eastAsia="仿宋" w:cs="Times New Roman"/>
          <w:sz w:val="32"/>
          <w:szCs w:val="32"/>
          <w:lang w:val="en-US" w:eastAsia="zh-CN"/>
        </w:rPr>
        <w:t>2.34</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2.2</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2.2</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0.14</w:t>
      </w:r>
      <w:r>
        <w:rPr>
          <w:rFonts w:hint="eastAsia" w:ascii="Times New Roman" w:hAnsi="Times New Roman" w:eastAsia="仿宋" w:cs="Times New Roman"/>
          <w:sz w:val="32"/>
          <w:szCs w:val="32"/>
        </w:rPr>
        <w:t>万元。“三公”经费与上年持平，无增减变化。</w:t>
      </w:r>
    </w:p>
    <w:p>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9"/>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9"/>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9"/>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9"/>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9"/>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9"/>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9"/>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9"/>
        <w:rPr>
          <w:rFonts w:ascii="黑体" w:hAnsi="黑体" w:eastAsia="黑体" w:cs="黑体"/>
          <w:color w:val="000000"/>
          <w:sz w:val="32"/>
        </w:rPr>
      </w:pPr>
    </w:p>
    <w:p>
      <w:pPr>
        <w:spacing w:before="10" w:after="10" w:line="240" w:lineRule="auto"/>
        <w:ind w:firstLine="640"/>
        <w:jc w:val="left"/>
        <w:outlineLvl w:val="5"/>
      </w:pPr>
      <w:bookmarkStart w:id="32" w:name="_Toc25349_WPSOffice_Level1"/>
      <w:r>
        <w:rPr>
          <w:rFonts w:ascii="黑体" w:hAnsi="黑体" w:eastAsia="黑体" w:cs="黑体"/>
          <w:color w:val="000000"/>
          <w:sz w:val="32"/>
        </w:rPr>
        <w:t>五、预算绩效信息</w:t>
      </w:r>
      <w:bookmarkEnd w:id="32"/>
    </w:p>
    <w:p>
      <w:pPr>
        <w:pStyle w:val="26"/>
        <w:spacing w:before="0" w:after="0"/>
        <w:ind w:firstLine="560"/>
        <w:jc w:val="left"/>
        <w:outlineLvl w:val="9"/>
      </w:pPr>
      <w:r>
        <w:rPr>
          <w:rFonts w:ascii="方正仿宋_GBK" w:hAnsi="方正仿宋_GBK" w:eastAsia="方正仿宋_GBK" w:cs="方正仿宋_GBK"/>
          <w:b/>
          <w:color w:val="000000"/>
          <w:sz w:val="28"/>
        </w:rPr>
        <w:t>1、安全生产专项经费绩效目标表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开展安全生产执法检查活动。组织开展5.12、安全生产月、防灾减灾等宣传活动。聘用法律、安全专家参与隐患排查和执法检查活动。征定安全生产报纸、杂志等资料。发放劳务派遣人员工资和综合行政执法工作中的交通保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315"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开展安全监管执法、安全培训宣教</w:t>
            </w:r>
          </w:p>
        </w:tc>
        <w:tc>
          <w:tcPr>
            <w:tcW w:w="2466" w:type="dxa"/>
            <w:vAlign w:val="center"/>
          </w:tcPr>
          <w:p>
            <w:pPr>
              <w:pStyle w:val="28"/>
            </w:pPr>
            <w:r>
              <w:t>查处安全生产违法行为，提升全民安全防范意识，提升各类人员履责意识和知识水平，提升安全监管和管理能力</w:t>
            </w:r>
          </w:p>
        </w:tc>
        <w:tc>
          <w:tcPr>
            <w:tcW w:w="2466" w:type="dxa"/>
            <w:vAlign w:val="center"/>
          </w:tcPr>
          <w:p>
            <w:pPr>
              <w:pStyle w:val="28"/>
              <w:keepNext w:val="0"/>
              <w:keepLines w:val="0"/>
              <w:pageBreakBefore w:val="0"/>
              <w:widowControl/>
              <w:kinsoku/>
              <w:wordWrap/>
              <w:overflowPunct/>
              <w:topLinePunct w:val="0"/>
              <w:autoSpaceDE/>
              <w:autoSpaceDN/>
              <w:bidi w:val="0"/>
              <w:adjustRightInd/>
              <w:snapToGrid/>
              <w:spacing w:line="280" w:lineRule="exact"/>
              <w:textAlignment w:val="auto"/>
            </w:pPr>
            <w:r>
              <w:t>执法检查企业120家以上。印制各类培训宣教资料5万册；征送杂志报刊1000份以上；聘用法律顾问1人；租用3辆车保证行政执法交通；保证4名劳务派遣人员工资支出等。</w:t>
            </w:r>
          </w:p>
        </w:tc>
        <w:tc>
          <w:tcPr>
            <w:tcW w:w="2466" w:type="dxa"/>
            <w:vAlign w:val="center"/>
          </w:tcPr>
          <w:p>
            <w:pPr>
              <w:pStyle w:val="28"/>
            </w:pPr>
            <w:r>
              <w:t>执法案卷，租车合同，劳务派遣人员工资表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按照法律规定依法查处各类违法行为。执法规范，成效明显。</w:t>
            </w:r>
          </w:p>
        </w:tc>
        <w:tc>
          <w:tcPr>
            <w:tcW w:w="2466" w:type="dxa"/>
            <w:vAlign w:val="center"/>
          </w:tcPr>
          <w:p>
            <w:pPr>
              <w:pStyle w:val="28"/>
            </w:pPr>
            <w:r>
              <w:t>检查企业立案率</w:t>
            </w:r>
          </w:p>
        </w:tc>
        <w:tc>
          <w:tcPr>
            <w:tcW w:w="2466" w:type="dxa"/>
            <w:vAlign w:val="center"/>
          </w:tcPr>
          <w:p>
            <w:pPr>
              <w:pStyle w:val="28"/>
            </w:pPr>
            <w:r>
              <w:t>≥40%</w:t>
            </w:r>
          </w:p>
        </w:tc>
        <w:tc>
          <w:tcPr>
            <w:tcW w:w="2466" w:type="dxa"/>
            <w:vAlign w:val="center"/>
          </w:tcPr>
          <w:p>
            <w:pPr>
              <w:pStyle w:val="28"/>
            </w:pPr>
            <w:r>
              <w:t>执法记录，执法案卷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支出进度</w:t>
            </w:r>
          </w:p>
        </w:tc>
        <w:tc>
          <w:tcPr>
            <w:tcW w:w="2466" w:type="dxa"/>
            <w:vAlign w:val="center"/>
          </w:tcPr>
          <w:p>
            <w:pPr>
              <w:pStyle w:val="28"/>
            </w:pPr>
            <w:r>
              <w:t>按支出计划支出资金</w:t>
            </w:r>
          </w:p>
        </w:tc>
        <w:tc>
          <w:tcPr>
            <w:tcW w:w="2466" w:type="dxa"/>
            <w:vAlign w:val="center"/>
          </w:tcPr>
          <w:p>
            <w:pPr>
              <w:pStyle w:val="28"/>
            </w:pPr>
            <w:r>
              <w:t>6月底达60%，10月底达90%</w:t>
            </w:r>
          </w:p>
        </w:tc>
        <w:tc>
          <w:tcPr>
            <w:tcW w:w="2466" w:type="dxa"/>
            <w:vAlign w:val="center"/>
          </w:tcPr>
          <w:p>
            <w:pPr>
              <w:pStyle w:val="28"/>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预算成本</w:t>
            </w:r>
          </w:p>
        </w:tc>
        <w:tc>
          <w:tcPr>
            <w:tcW w:w="2466" w:type="dxa"/>
            <w:vAlign w:val="center"/>
          </w:tcPr>
          <w:p>
            <w:pPr>
              <w:pStyle w:val="28"/>
            </w:pPr>
            <w:r>
              <w:t>严格控制预算成本</w:t>
            </w:r>
          </w:p>
        </w:tc>
        <w:tc>
          <w:tcPr>
            <w:tcW w:w="2466" w:type="dxa"/>
            <w:vAlign w:val="center"/>
          </w:tcPr>
          <w:p>
            <w:pPr>
              <w:pStyle w:val="28"/>
            </w:pPr>
            <w:r>
              <w:t>不超过年度预算</w:t>
            </w:r>
          </w:p>
        </w:tc>
        <w:tc>
          <w:tcPr>
            <w:tcW w:w="2466" w:type="dxa"/>
            <w:vAlign w:val="center"/>
          </w:tcPr>
          <w:p>
            <w:pPr>
              <w:pStyle w:val="28"/>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全区安全形势稳定</w:t>
            </w:r>
          </w:p>
        </w:tc>
        <w:tc>
          <w:tcPr>
            <w:tcW w:w="2466" w:type="dxa"/>
            <w:vAlign w:val="center"/>
          </w:tcPr>
          <w:p>
            <w:pPr>
              <w:pStyle w:val="28"/>
            </w:pPr>
            <w:r>
              <w:t>全区不发生产生产安全事故。</w:t>
            </w:r>
          </w:p>
        </w:tc>
        <w:tc>
          <w:tcPr>
            <w:tcW w:w="2466" w:type="dxa"/>
            <w:vAlign w:val="center"/>
          </w:tcPr>
          <w:p>
            <w:pPr>
              <w:pStyle w:val="28"/>
            </w:pPr>
            <w:r>
              <w:t>在上级安全生产年度考核中取得优秀成绩。</w:t>
            </w:r>
          </w:p>
        </w:tc>
        <w:tc>
          <w:tcPr>
            <w:tcW w:w="2466" w:type="dxa"/>
            <w:vAlign w:val="center"/>
          </w:tcPr>
          <w:p>
            <w:pPr>
              <w:pStyle w:val="28"/>
            </w:pPr>
            <w:r>
              <w:t>全年立案数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安全生产单位满意度</w:t>
            </w:r>
          </w:p>
        </w:tc>
        <w:tc>
          <w:tcPr>
            <w:tcW w:w="2466" w:type="dxa"/>
            <w:vAlign w:val="center"/>
          </w:tcPr>
          <w:p>
            <w:pPr>
              <w:pStyle w:val="28"/>
            </w:pPr>
            <w:r>
              <w:t>安全生产企业对安全培训、执法工作满意的总数占企业总数的百分比</w:t>
            </w:r>
          </w:p>
        </w:tc>
        <w:tc>
          <w:tcPr>
            <w:tcW w:w="2466" w:type="dxa"/>
            <w:vAlign w:val="center"/>
          </w:tcPr>
          <w:p>
            <w:pPr>
              <w:pStyle w:val="28"/>
            </w:pPr>
            <w:r>
              <w:t>≥90%</w:t>
            </w:r>
          </w:p>
        </w:tc>
        <w:tc>
          <w:tcPr>
            <w:tcW w:w="2466"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2、地震观测人员补助绩效目标表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1.监测梅花井地震数据，保证正常运转并按时上报情况。</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观测数据</w:t>
            </w:r>
          </w:p>
        </w:tc>
        <w:tc>
          <w:tcPr>
            <w:tcW w:w="2466" w:type="dxa"/>
            <w:vAlign w:val="center"/>
          </w:tcPr>
          <w:p>
            <w:pPr>
              <w:pStyle w:val="28"/>
            </w:pPr>
            <w:r>
              <w:t>全年保证每小时监测一个数据</w:t>
            </w:r>
          </w:p>
        </w:tc>
        <w:tc>
          <w:tcPr>
            <w:tcW w:w="2466" w:type="dxa"/>
            <w:vAlign w:val="center"/>
          </w:tcPr>
          <w:p>
            <w:pPr>
              <w:pStyle w:val="28"/>
            </w:pPr>
            <w:r>
              <w:t>8760个</w:t>
            </w:r>
          </w:p>
        </w:tc>
        <w:tc>
          <w:tcPr>
            <w:tcW w:w="2466" w:type="dxa"/>
            <w:vAlign w:val="center"/>
          </w:tcPr>
          <w:p>
            <w:pPr>
              <w:pStyle w:val="28"/>
            </w:pPr>
            <w:r>
              <w:t>2021年防震减灾工作要点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数据准确性</w:t>
            </w:r>
          </w:p>
        </w:tc>
        <w:tc>
          <w:tcPr>
            <w:tcW w:w="2466" w:type="dxa"/>
            <w:vAlign w:val="center"/>
          </w:tcPr>
          <w:p>
            <w:pPr>
              <w:pStyle w:val="28"/>
            </w:pPr>
            <w:r>
              <w:t>地震监测数据准确</w:t>
            </w:r>
          </w:p>
        </w:tc>
        <w:tc>
          <w:tcPr>
            <w:tcW w:w="2466" w:type="dxa"/>
            <w:vAlign w:val="center"/>
          </w:tcPr>
          <w:p>
            <w:pPr>
              <w:pStyle w:val="28"/>
            </w:pPr>
            <w:r>
              <w:t>读图准确，不出错误。</w:t>
            </w:r>
          </w:p>
        </w:tc>
        <w:tc>
          <w:tcPr>
            <w:tcW w:w="2466" w:type="dxa"/>
            <w:vAlign w:val="center"/>
          </w:tcPr>
          <w:p>
            <w:pPr>
              <w:pStyle w:val="28"/>
            </w:pPr>
            <w:r>
              <w:t>2021年防震减灾工作要点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数据及时性</w:t>
            </w:r>
          </w:p>
        </w:tc>
        <w:tc>
          <w:tcPr>
            <w:tcW w:w="2466" w:type="dxa"/>
            <w:vAlign w:val="center"/>
          </w:tcPr>
          <w:p>
            <w:pPr>
              <w:pStyle w:val="28"/>
            </w:pPr>
            <w:r>
              <w:t>数据上报要及时</w:t>
            </w:r>
          </w:p>
        </w:tc>
        <w:tc>
          <w:tcPr>
            <w:tcW w:w="2466" w:type="dxa"/>
            <w:vAlign w:val="center"/>
          </w:tcPr>
          <w:p>
            <w:pPr>
              <w:pStyle w:val="28"/>
            </w:pPr>
            <w:r>
              <w:t>每天按时上报</w:t>
            </w:r>
          </w:p>
        </w:tc>
        <w:tc>
          <w:tcPr>
            <w:tcW w:w="2466" w:type="dxa"/>
            <w:vAlign w:val="center"/>
          </w:tcPr>
          <w:p>
            <w:pPr>
              <w:pStyle w:val="28"/>
            </w:pPr>
            <w:r>
              <w:t>2021年防震减灾工作要点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数据成本</w:t>
            </w:r>
          </w:p>
        </w:tc>
        <w:tc>
          <w:tcPr>
            <w:tcW w:w="2466" w:type="dxa"/>
            <w:vAlign w:val="center"/>
          </w:tcPr>
          <w:p>
            <w:pPr>
              <w:pStyle w:val="28"/>
            </w:pPr>
            <w:r>
              <w:t>平均监测每个数据的成本</w:t>
            </w:r>
          </w:p>
        </w:tc>
        <w:tc>
          <w:tcPr>
            <w:tcW w:w="2466" w:type="dxa"/>
            <w:vAlign w:val="center"/>
          </w:tcPr>
          <w:p>
            <w:pPr>
              <w:pStyle w:val="28"/>
            </w:pPr>
            <w:r>
              <w:t>≤1元/个</w:t>
            </w:r>
          </w:p>
        </w:tc>
        <w:tc>
          <w:tcPr>
            <w:tcW w:w="2466" w:type="dxa"/>
            <w:vAlign w:val="center"/>
          </w:tcPr>
          <w:p>
            <w:pPr>
              <w:pStyle w:val="28"/>
            </w:pPr>
            <w:r>
              <w:t>2021年防震减灾工作要点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地震监测预警</w:t>
            </w:r>
          </w:p>
        </w:tc>
        <w:tc>
          <w:tcPr>
            <w:tcW w:w="2466" w:type="dxa"/>
            <w:vAlign w:val="center"/>
          </w:tcPr>
          <w:p>
            <w:pPr>
              <w:pStyle w:val="28"/>
            </w:pPr>
            <w:r>
              <w:t>有效预测地震发生概率和级别</w:t>
            </w:r>
          </w:p>
        </w:tc>
        <w:tc>
          <w:tcPr>
            <w:tcW w:w="2466" w:type="dxa"/>
            <w:vAlign w:val="center"/>
          </w:tcPr>
          <w:p>
            <w:pPr>
              <w:pStyle w:val="28"/>
            </w:pPr>
            <w:r>
              <w:t>为地震监测预警提供数据支撑</w:t>
            </w:r>
          </w:p>
        </w:tc>
        <w:tc>
          <w:tcPr>
            <w:tcW w:w="2466" w:type="dxa"/>
            <w:vAlign w:val="center"/>
          </w:tcPr>
          <w:p>
            <w:pPr>
              <w:pStyle w:val="28"/>
            </w:pPr>
            <w:r>
              <w:t>2021年防震减灾工作要点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表示满意的群众/调查群众总数</w:t>
            </w:r>
          </w:p>
        </w:tc>
        <w:tc>
          <w:tcPr>
            <w:tcW w:w="2466" w:type="dxa"/>
            <w:vAlign w:val="center"/>
          </w:tcPr>
          <w:p>
            <w:pPr>
              <w:pStyle w:val="28"/>
            </w:pPr>
            <w:r>
              <w:t>≥90%</w:t>
            </w:r>
          </w:p>
        </w:tc>
        <w:tc>
          <w:tcPr>
            <w:tcW w:w="2466" w:type="dxa"/>
            <w:vAlign w:val="center"/>
          </w:tcPr>
          <w:p>
            <w:pPr>
              <w:pStyle w:val="28"/>
            </w:pPr>
            <w:r>
              <w:t>年度工作计划</w:t>
            </w:r>
          </w:p>
        </w:tc>
      </w:tr>
    </w:tbl>
    <w:p>
      <w:pPr>
        <w:pStyle w:val="26"/>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pPr>
      <w:r>
        <w:rPr>
          <w:rFonts w:ascii="方正仿宋_GBK" w:hAnsi="方正仿宋_GBK" w:eastAsia="方正仿宋_GBK" w:cs="方正仿宋_GBK"/>
          <w:b/>
          <w:color w:val="000000"/>
          <w:sz w:val="28"/>
        </w:rPr>
        <w:t>3、全区安全隐患排查经费绩效目标表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1.对危险化学品和工贸行业企业进行专家查隐患。</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危化和工贸企业隐患排查数</w:t>
            </w:r>
          </w:p>
        </w:tc>
        <w:tc>
          <w:tcPr>
            <w:tcW w:w="2466" w:type="dxa"/>
            <w:vAlign w:val="center"/>
          </w:tcPr>
          <w:p>
            <w:pPr>
              <w:pStyle w:val="28"/>
            </w:pPr>
            <w:r>
              <w:t>危化和工贸行业生产经营企业隐患排查数</w:t>
            </w:r>
          </w:p>
        </w:tc>
        <w:tc>
          <w:tcPr>
            <w:tcW w:w="2466" w:type="dxa"/>
            <w:vAlign w:val="center"/>
          </w:tcPr>
          <w:p>
            <w:pPr>
              <w:pStyle w:val="28"/>
            </w:pPr>
            <w:r>
              <w:t>≥150家</w:t>
            </w:r>
          </w:p>
        </w:tc>
        <w:tc>
          <w:tcPr>
            <w:tcW w:w="2466" w:type="dxa"/>
            <w:vAlign w:val="center"/>
          </w:tcPr>
          <w:p>
            <w:pPr>
              <w:pStyle w:val="28"/>
            </w:pPr>
            <w:r>
              <w:t>隐患排查报告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排查消除企业存在的各类安全隐患</w:t>
            </w:r>
          </w:p>
        </w:tc>
        <w:tc>
          <w:tcPr>
            <w:tcW w:w="2466" w:type="dxa"/>
            <w:vAlign w:val="center"/>
          </w:tcPr>
          <w:p>
            <w:pPr>
              <w:pStyle w:val="28"/>
            </w:pPr>
            <w:r>
              <w:t>企业整改隐患数量占排查隐患总数的比重</w:t>
            </w:r>
          </w:p>
        </w:tc>
        <w:tc>
          <w:tcPr>
            <w:tcW w:w="2466" w:type="dxa"/>
            <w:vAlign w:val="center"/>
          </w:tcPr>
          <w:p>
            <w:pPr>
              <w:pStyle w:val="28"/>
            </w:pPr>
            <w:r>
              <w:t>≥95%</w:t>
            </w:r>
          </w:p>
        </w:tc>
        <w:tc>
          <w:tcPr>
            <w:tcW w:w="2466" w:type="dxa"/>
            <w:vAlign w:val="center"/>
          </w:tcPr>
          <w:p>
            <w:pPr>
              <w:pStyle w:val="28"/>
            </w:pPr>
            <w:r>
              <w:t>隐患排查报告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支出进度</w:t>
            </w:r>
          </w:p>
        </w:tc>
        <w:tc>
          <w:tcPr>
            <w:tcW w:w="2466" w:type="dxa"/>
            <w:vAlign w:val="center"/>
          </w:tcPr>
          <w:p>
            <w:pPr>
              <w:pStyle w:val="28"/>
            </w:pPr>
            <w:r>
              <w:t>按支出计划支出资金</w:t>
            </w:r>
          </w:p>
        </w:tc>
        <w:tc>
          <w:tcPr>
            <w:tcW w:w="2466" w:type="dxa"/>
            <w:vAlign w:val="center"/>
          </w:tcPr>
          <w:p>
            <w:pPr>
              <w:pStyle w:val="28"/>
            </w:pPr>
            <w:r>
              <w:t>6月底达60%，10月底达90%</w:t>
            </w:r>
          </w:p>
        </w:tc>
        <w:tc>
          <w:tcPr>
            <w:tcW w:w="2466" w:type="dxa"/>
            <w:vAlign w:val="center"/>
          </w:tcPr>
          <w:p>
            <w:pPr>
              <w:pStyle w:val="28"/>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每标段成本</w:t>
            </w:r>
          </w:p>
        </w:tc>
        <w:tc>
          <w:tcPr>
            <w:tcW w:w="2466" w:type="dxa"/>
            <w:vAlign w:val="center"/>
          </w:tcPr>
          <w:p>
            <w:pPr>
              <w:pStyle w:val="28"/>
            </w:pPr>
            <w:r>
              <w:t>危化和工贸每标段平均成本</w:t>
            </w:r>
          </w:p>
        </w:tc>
        <w:tc>
          <w:tcPr>
            <w:tcW w:w="2466" w:type="dxa"/>
            <w:vAlign w:val="center"/>
          </w:tcPr>
          <w:p>
            <w:pPr>
              <w:pStyle w:val="28"/>
            </w:pPr>
            <w:r>
              <w:t>≤20万元</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全区安全形势稳定</w:t>
            </w:r>
          </w:p>
        </w:tc>
        <w:tc>
          <w:tcPr>
            <w:tcW w:w="2466" w:type="dxa"/>
            <w:vAlign w:val="center"/>
          </w:tcPr>
          <w:p>
            <w:pPr>
              <w:pStyle w:val="28"/>
            </w:pPr>
            <w:r>
              <w:t>防范和遏制生产事故发生。</w:t>
            </w:r>
          </w:p>
        </w:tc>
        <w:tc>
          <w:tcPr>
            <w:tcW w:w="2466" w:type="dxa"/>
            <w:vAlign w:val="center"/>
          </w:tcPr>
          <w:p>
            <w:pPr>
              <w:pStyle w:val="28"/>
            </w:pPr>
            <w:r>
              <w:t>危化企业和工贸企业不发生生产安全事故。</w:t>
            </w:r>
          </w:p>
        </w:tc>
        <w:tc>
          <w:tcPr>
            <w:tcW w:w="2466" w:type="dxa"/>
            <w:vAlign w:val="center"/>
          </w:tcPr>
          <w:p>
            <w:pPr>
              <w:pStyle w:val="28"/>
            </w:pPr>
            <w:r>
              <w:t>事故报告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企业满意度</w:t>
            </w:r>
          </w:p>
        </w:tc>
        <w:tc>
          <w:tcPr>
            <w:tcW w:w="2466" w:type="dxa"/>
            <w:vAlign w:val="center"/>
          </w:tcPr>
          <w:p>
            <w:pPr>
              <w:pStyle w:val="28"/>
            </w:pPr>
            <w:r>
              <w:t>接受隐患排查的企业对提升安全管理水平和能力的满意度</w:t>
            </w:r>
          </w:p>
        </w:tc>
        <w:tc>
          <w:tcPr>
            <w:tcW w:w="2466" w:type="dxa"/>
            <w:vAlign w:val="center"/>
          </w:tcPr>
          <w:p>
            <w:pPr>
              <w:pStyle w:val="28"/>
            </w:pPr>
            <w:r>
              <w:t>≥90%</w:t>
            </w:r>
          </w:p>
        </w:tc>
        <w:tc>
          <w:tcPr>
            <w:tcW w:w="2466" w:type="dxa"/>
            <w:vAlign w:val="center"/>
          </w:tcPr>
          <w:p>
            <w:pPr>
              <w:pStyle w:val="28"/>
            </w:pPr>
            <w:r>
              <w:t>年度工作计划</w:t>
            </w:r>
          </w:p>
        </w:tc>
      </w:tr>
    </w:tbl>
    <w:p>
      <w:pPr>
        <w:pStyle w:val="26"/>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pPr>
      <w:r>
        <w:rPr>
          <w:rFonts w:ascii="方正仿宋_GBK" w:hAnsi="方正仿宋_GBK" w:eastAsia="方正仿宋_GBK" w:cs="方正仿宋_GBK"/>
          <w:b/>
          <w:color w:val="000000"/>
          <w:sz w:val="28"/>
        </w:rPr>
        <w:t>4、全区农房保险补贴资金绩效目标表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1.使因自然灾害倒损的农房得到保险公司快速理赔</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保险覆盖面</w:t>
            </w:r>
          </w:p>
        </w:tc>
        <w:tc>
          <w:tcPr>
            <w:tcW w:w="2466" w:type="dxa"/>
            <w:vAlign w:val="center"/>
          </w:tcPr>
          <w:p>
            <w:pPr>
              <w:pStyle w:val="28"/>
            </w:pPr>
            <w:r>
              <w:t>保险覆盖农户数量</w:t>
            </w:r>
          </w:p>
        </w:tc>
        <w:tc>
          <w:tcPr>
            <w:tcW w:w="2466" w:type="dxa"/>
            <w:vAlign w:val="center"/>
          </w:tcPr>
          <w:p>
            <w:pPr>
              <w:pStyle w:val="28"/>
            </w:pPr>
            <w:r>
              <w:t>188874户</w:t>
            </w:r>
          </w:p>
        </w:tc>
        <w:tc>
          <w:tcPr>
            <w:tcW w:w="2466" w:type="dxa"/>
            <w:vAlign w:val="center"/>
          </w:tcPr>
          <w:p>
            <w:pPr>
              <w:pStyle w:val="28"/>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理赔标准执行率</w:t>
            </w:r>
          </w:p>
        </w:tc>
        <w:tc>
          <w:tcPr>
            <w:tcW w:w="2466" w:type="dxa"/>
            <w:vAlign w:val="center"/>
          </w:tcPr>
          <w:p>
            <w:pPr>
              <w:pStyle w:val="28"/>
            </w:pPr>
            <w:r>
              <w:t>保险实际理赔金额占应当理赔的总金额的比率</w:t>
            </w:r>
          </w:p>
        </w:tc>
        <w:tc>
          <w:tcPr>
            <w:tcW w:w="2466" w:type="dxa"/>
            <w:vAlign w:val="center"/>
          </w:tcPr>
          <w:p>
            <w:pPr>
              <w:pStyle w:val="28"/>
            </w:pPr>
            <w:r>
              <w:t>100%</w:t>
            </w:r>
          </w:p>
        </w:tc>
        <w:tc>
          <w:tcPr>
            <w:tcW w:w="2466" w:type="dxa"/>
            <w:vAlign w:val="center"/>
          </w:tcPr>
          <w:p>
            <w:pPr>
              <w:pStyle w:val="28"/>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理赔时间</w:t>
            </w:r>
          </w:p>
        </w:tc>
        <w:tc>
          <w:tcPr>
            <w:tcW w:w="2466" w:type="dxa"/>
            <w:vAlign w:val="center"/>
          </w:tcPr>
          <w:p>
            <w:pPr>
              <w:pStyle w:val="28"/>
            </w:pPr>
            <w:r>
              <w:t>快速理赔</w:t>
            </w:r>
          </w:p>
        </w:tc>
        <w:tc>
          <w:tcPr>
            <w:tcW w:w="2466" w:type="dxa"/>
            <w:vAlign w:val="center"/>
          </w:tcPr>
          <w:p>
            <w:pPr>
              <w:pStyle w:val="28"/>
            </w:pPr>
            <w:r>
              <w:t>接险后在规定时间内完成赔付</w:t>
            </w:r>
          </w:p>
        </w:tc>
        <w:tc>
          <w:tcPr>
            <w:tcW w:w="2466" w:type="dxa"/>
            <w:vAlign w:val="center"/>
          </w:tcPr>
          <w:p>
            <w:pPr>
              <w:pStyle w:val="28"/>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保险成本</w:t>
            </w:r>
          </w:p>
        </w:tc>
        <w:tc>
          <w:tcPr>
            <w:tcW w:w="2466" w:type="dxa"/>
            <w:vAlign w:val="center"/>
          </w:tcPr>
          <w:p>
            <w:pPr>
              <w:pStyle w:val="28"/>
            </w:pPr>
            <w:r>
              <w:t>平均每户的保险成本</w:t>
            </w:r>
          </w:p>
        </w:tc>
        <w:tc>
          <w:tcPr>
            <w:tcW w:w="2466" w:type="dxa"/>
            <w:vAlign w:val="center"/>
          </w:tcPr>
          <w:p>
            <w:pPr>
              <w:pStyle w:val="28"/>
            </w:pPr>
            <w:r>
              <w:t>2元/户</w:t>
            </w:r>
          </w:p>
        </w:tc>
        <w:tc>
          <w:tcPr>
            <w:tcW w:w="2466" w:type="dxa"/>
            <w:vAlign w:val="center"/>
          </w:tcPr>
          <w:p>
            <w:pPr>
              <w:pStyle w:val="28"/>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灾后重建水平</w:t>
            </w:r>
          </w:p>
        </w:tc>
        <w:tc>
          <w:tcPr>
            <w:tcW w:w="2466" w:type="dxa"/>
            <w:vAlign w:val="center"/>
          </w:tcPr>
          <w:p>
            <w:pPr>
              <w:pStyle w:val="28"/>
            </w:pPr>
            <w:r>
              <w:t>降低灾害对群众的损失，促进恢复重建。</w:t>
            </w:r>
          </w:p>
        </w:tc>
        <w:tc>
          <w:tcPr>
            <w:tcW w:w="2466" w:type="dxa"/>
            <w:vAlign w:val="center"/>
          </w:tcPr>
          <w:p>
            <w:pPr>
              <w:pStyle w:val="28"/>
            </w:pPr>
            <w:r>
              <w:t>房屋倒损后得到资金支持</w:t>
            </w:r>
          </w:p>
        </w:tc>
        <w:tc>
          <w:tcPr>
            <w:tcW w:w="2466" w:type="dxa"/>
            <w:vAlign w:val="center"/>
          </w:tcPr>
          <w:p>
            <w:pPr>
              <w:pStyle w:val="28"/>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对赔付结果表示认可的受灾群众占受灾群众总数的比率</w:t>
            </w:r>
          </w:p>
        </w:tc>
        <w:tc>
          <w:tcPr>
            <w:tcW w:w="2466" w:type="dxa"/>
            <w:vAlign w:val="center"/>
          </w:tcPr>
          <w:p>
            <w:pPr>
              <w:pStyle w:val="28"/>
            </w:pPr>
            <w:r>
              <w:t>≥95%</w:t>
            </w:r>
          </w:p>
        </w:tc>
        <w:tc>
          <w:tcPr>
            <w:tcW w:w="2466" w:type="dxa"/>
            <w:vAlign w:val="center"/>
          </w:tcPr>
          <w:p>
            <w:pPr>
              <w:pStyle w:val="28"/>
            </w:pPr>
            <w:r>
              <w:t>年度工作计划</w:t>
            </w:r>
          </w:p>
        </w:tc>
      </w:tr>
    </w:tbl>
    <w:p>
      <w:pPr>
        <w:pStyle w:val="26"/>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pPr>
      <w:r>
        <w:rPr>
          <w:rFonts w:ascii="方正仿宋_GBK" w:hAnsi="方正仿宋_GBK" w:eastAsia="方正仿宋_GBK" w:cs="方正仿宋_GBK"/>
          <w:b/>
          <w:color w:val="000000"/>
          <w:sz w:val="28"/>
        </w:rPr>
        <w:t>5、石财建[2021]73号下达2021年第二批新型基础设施建设专项（应急通信领域）中央基建投资预算绩效目标表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1.1、建设应急通信调度系统，实现多种通信手段互为补充的应急通信综合指挥调度。</w:t>
            </w:r>
          </w:p>
          <w:p>
            <w:pPr>
              <w:pStyle w:val="28"/>
            </w:pPr>
            <w:r>
              <w:t>2.2、建设互联互通系统，实现京津冀互联互通。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设备清单</w:t>
            </w:r>
          </w:p>
        </w:tc>
        <w:tc>
          <w:tcPr>
            <w:tcW w:w="2466" w:type="dxa"/>
            <w:vAlign w:val="center"/>
          </w:tcPr>
          <w:p>
            <w:pPr>
              <w:pStyle w:val="28"/>
            </w:pPr>
            <w:r>
              <w:t>购置安装的设备数</w:t>
            </w:r>
          </w:p>
        </w:tc>
        <w:tc>
          <w:tcPr>
            <w:tcW w:w="2466" w:type="dxa"/>
            <w:vAlign w:val="center"/>
          </w:tcPr>
          <w:p>
            <w:pPr>
              <w:pStyle w:val="28"/>
            </w:pPr>
            <w:r>
              <w:t>≥9套（台）</w:t>
            </w:r>
          </w:p>
        </w:tc>
        <w:tc>
          <w:tcPr>
            <w:tcW w:w="2466" w:type="dxa"/>
            <w:vAlign w:val="center"/>
          </w:tcPr>
          <w:p>
            <w:pPr>
              <w:pStyle w:val="28"/>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实现的通信手段种类</w:t>
            </w:r>
          </w:p>
        </w:tc>
        <w:tc>
          <w:tcPr>
            <w:tcW w:w="2466" w:type="dxa"/>
            <w:vAlign w:val="center"/>
          </w:tcPr>
          <w:p>
            <w:pPr>
              <w:pStyle w:val="28"/>
            </w:pPr>
            <w:r>
              <w:t>项目建成后可以实现的通信手段种类</w:t>
            </w:r>
          </w:p>
        </w:tc>
        <w:tc>
          <w:tcPr>
            <w:tcW w:w="2466" w:type="dxa"/>
            <w:vAlign w:val="center"/>
          </w:tcPr>
          <w:p>
            <w:pPr>
              <w:pStyle w:val="28"/>
            </w:pPr>
            <w:r>
              <w:t>≥1种</w:t>
            </w:r>
          </w:p>
        </w:tc>
        <w:tc>
          <w:tcPr>
            <w:tcW w:w="2466" w:type="dxa"/>
            <w:vAlign w:val="center"/>
          </w:tcPr>
          <w:p>
            <w:pPr>
              <w:pStyle w:val="28"/>
            </w:pPr>
            <w:r>
              <w:t>《河北省应急管理厅关于加快推进河北省重大活动应急通信保障能力提升工程项目建设的通知》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完成时限</w:t>
            </w:r>
          </w:p>
        </w:tc>
        <w:tc>
          <w:tcPr>
            <w:tcW w:w="2466" w:type="dxa"/>
            <w:vAlign w:val="center"/>
          </w:tcPr>
          <w:p>
            <w:pPr>
              <w:pStyle w:val="28"/>
            </w:pPr>
            <w:r>
              <w:t>系统完成建设时间</w:t>
            </w:r>
          </w:p>
        </w:tc>
        <w:tc>
          <w:tcPr>
            <w:tcW w:w="2466" w:type="dxa"/>
            <w:vAlign w:val="center"/>
          </w:tcPr>
          <w:p>
            <w:pPr>
              <w:pStyle w:val="28"/>
            </w:pPr>
            <w:r>
              <w:t>早于12月底</w:t>
            </w:r>
          </w:p>
        </w:tc>
        <w:tc>
          <w:tcPr>
            <w:tcW w:w="2466" w:type="dxa"/>
            <w:vAlign w:val="center"/>
          </w:tcPr>
          <w:p>
            <w:pPr>
              <w:pStyle w:val="28"/>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项目建设费用</w:t>
            </w:r>
          </w:p>
        </w:tc>
        <w:tc>
          <w:tcPr>
            <w:tcW w:w="2466" w:type="dxa"/>
            <w:vAlign w:val="center"/>
          </w:tcPr>
          <w:p>
            <w:pPr>
              <w:pStyle w:val="28"/>
            </w:pPr>
            <w:r>
              <w:t>项目建设费用</w:t>
            </w:r>
          </w:p>
        </w:tc>
        <w:tc>
          <w:tcPr>
            <w:tcW w:w="2466" w:type="dxa"/>
            <w:vAlign w:val="center"/>
          </w:tcPr>
          <w:p>
            <w:pPr>
              <w:pStyle w:val="28"/>
            </w:pPr>
            <w:r>
              <w:t>5.495万元国家补助，5.495万元地方自筹</w:t>
            </w:r>
          </w:p>
        </w:tc>
        <w:tc>
          <w:tcPr>
            <w:tcW w:w="2466" w:type="dxa"/>
            <w:vAlign w:val="center"/>
          </w:tcPr>
          <w:p>
            <w:pPr>
              <w:pStyle w:val="28"/>
            </w:pPr>
            <w:r>
              <w:t>冀应急科技[2021]96号（5.495万元国家补助，5.495万元地方自筹）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应急通信保障能力</w:t>
            </w:r>
          </w:p>
        </w:tc>
        <w:tc>
          <w:tcPr>
            <w:tcW w:w="2466" w:type="dxa"/>
            <w:vAlign w:val="center"/>
          </w:tcPr>
          <w:p>
            <w:pPr>
              <w:pStyle w:val="28"/>
            </w:pPr>
            <w:r>
              <w:t>应急通信保障系统及互联互通系统使用情况</w:t>
            </w:r>
          </w:p>
        </w:tc>
        <w:tc>
          <w:tcPr>
            <w:tcW w:w="2466" w:type="dxa"/>
            <w:vAlign w:val="center"/>
          </w:tcPr>
          <w:p>
            <w:pPr>
              <w:pStyle w:val="28"/>
            </w:pPr>
            <w:r>
              <w:t>项目建成后，可以实现多种通信手段互为补充的应急通信综合指挥调度；实现京津冀互联互通。</w:t>
            </w:r>
          </w:p>
        </w:tc>
        <w:tc>
          <w:tcPr>
            <w:tcW w:w="2466" w:type="dxa"/>
            <w:vAlign w:val="center"/>
          </w:tcPr>
          <w:p>
            <w:pPr>
              <w:pStyle w:val="28"/>
            </w:pPr>
            <w:r>
              <w:t>实际应用情况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用户满意度</w:t>
            </w:r>
          </w:p>
        </w:tc>
        <w:tc>
          <w:tcPr>
            <w:tcW w:w="2466" w:type="dxa"/>
            <w:vAlign w:val="center"/>
          </w:tcPr>
          <w:p>
            <w:pPr>
              <w:pStyle w:val="28"/>
            </w:pPr>
            <w:r>
              <w:t>对该系统功能较为满意的用户数占总用户数的比率</w:t>
            </w:r>
          </w:p>
        </w:tc>
        <w:tc>
          <w:tcPr>
            <w:tcW w:w="2466" w:type="dxa"/>
            <w:vAlign w:val="center"/>
          </w:tcPr>
          <w:p>
            <w:pPr>
              <w:pStyle w:val="28"/>
            </w:pPr>
            <w:r>
              <w:t>≥90百分比</w:t>
            </w:r>
          </w:p>
        </w:tc>
        <w:tc>
          <w:tcPr>
            <w:tcW w:w="2466" w:type="dxa"/>
            <w:vAlign w:val="center"/>
          </w:tcPr>
          <w:p>
            <w:pPr>
              <w:pStyle w:val="28"/>
            </w:pPr>
            <w:r>
              <w:t>调查结果</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6、石财建[2021]87号提前下达2022年自然灾害救助专项资金绩效目标表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1.以招投标方式确定保险公司，使因灾倒损农房得到快速理赔</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保险覆盖面</w:t>
            </w:r>
          </w:p>
        </w:tc>
        <w:tc>
          <w:tcPr>
            <w:tcW w:w="2466" w:type="dxa"/>
            <w:vAlign w:val="center"/>
          </w:tcPr>
          <w:p>
            <w:pPr>
              <w:pStyle w:val="28"/>
            </w:pPr>
            <w:r>
              <w:t>保险覆盖农户数量</w:t>
            </w:r>
          </w:p>
        </w:tc>
        <w:tc>
          <w:tcPr>
            <w:tcW w:w="2466" w:type="dxa"/>
            <w:vAlign w:val="center"/>
          </w:tcPr>
          <w:p>
            <w:pPr>
              <w:pStyle w:val="28"/>
            </w:pPr>
            <w:r>
              <w:t>188874户</w:t>
            </w:r>
          </w:p>
        </w:tc>
        <w:tc>
          <w:tcPr>
            <w:tcW w:w="2466" w:type="dxa"/>
            <w:vAlign w:val="center"/>
          </w:tcPr>
          <w:p>
            <w:pPr>
              <w:pStyle w:val="28"/>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理赔标准执行率</w:t>
            </w:r>
          </w:p>
        </w:tc>
        <w:tc>
          <w:tcPr>
            <w:tcW w:w="2466" w:type="dxa"/>
            <w:vAlign w:val="center"/>
          </w:tcPr>
          <w:p>
            <w:pPr>
              <w:pStyle w:val="28"/>
            </w:pPr>
            <w:r>
              <w:t>保险实际理赔金额占应当理赔的总金额的比率</w:t>
            </w:r>
          </w:p>
        </w:tc>
        <w:tc>
          <w:tcPr>
            <w:tcW w:w="2466" w:type="dxa"/>
            <w:vAlign w:val="center"/>
          </w:tcPr>
          <w:p>
            <w:pPr>
              <w:pStyle w:val="28"/>
            </w:pPr>
            <w:r>
              <w:t>100%</w:t>
            </w:r>
          </w:p>
        </w:tc>
        <w:tc>
          <w:tcPr>
            <w:tcW w:w="2466" w:type="dxa"/>
            <w:vAlign w:val="center"/>
          </w:tcPr>
          <w:p>
            <w:pPr>
              <w:pStyle w:val="28"/>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理赔时间</w:t>
            </w:r>
          </w:p>
        </w:tc>
        <w:tc>
          <w:tcPr>
            <w:tcW w:w="2466" w:type="dxa"/>
            <w:vAlign w:val="center"/>
          </w:tcPr>
          <w:p>
            <w:pPr>
              <w:pStyle w:val="28"/>
            </w:pPr>
            <w:r>
              <w:t>快速理赔</w:t>
            </w:r>
          </w:p>
        </w:tc>
        <w:tc>
          <w:tcPr>
            <w:tcW w:w="2466" w:type="dxa"/>
            <w:vAlign w:val="center"/>
          </w:tcPr>
          <w:p>
            <w:pPr>
              <w:pStyle w:val="28"/>
            </w:pPr>
            <w:r>
              <w:t>接险后在规定时间内完成赔付</w:t>
            </w:r>
          </w:p>
        </w:tc>
        <w:tc>
          <w:tcPr>
            <w:tcW w:w="2466" w:type="dxa"/>
            <w:vAlign w:val="center"/>
          </w:tcPr>
          <w:p>
            <w:pPr>
              <w:pStyle w:val="28"/>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保险成本</w:t>
            </w:r>
          </w:p>
        </w:tc>
        <w:tc>
          <w:tcPr>
            <w:tcW w:w="2466" w:type="dxa"/>
            <w:vAlign w:val="center"/>
          </w:tcPr>
          <w:p>
            <w:pPr>
              <w:pStyle w:val="28"/>
            </w:pPr>
            <w:r>
              <w:t>平均每户的保险成本</w:t>
            </w:r>
          </w:p>
        </w:tc>
        <w:tc>
          <w:tcPr>
            <w:tcW w:w="2466" w:type="dxa"/>
            <w:vAlign w:val="center"/>
          </w:tcPr>
          <w:p>
            <w:pPr>
              <w:pStyle w:val="28"/>
            </w:pPr>
            <w:r>
              <w:t>5元/户</w:t>
            </w:r>
          </w:p>
        </w:tc>
        <w:tc>
          <w:tcPr>
            <w:tcW w:w="2466" w:type="dxa"/>
            <w:vAlign w:val="center"/>
          </w:tcPr>
          <w:p>
            <w:pPr>
              <w:pStyle w:val="28"/>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灾后重建水平</w:t>
            </w:r>
          </w:p>
        </w:tc>
        <w:tc>
          <w:tcPr>
            <w:tcW w:w="2466" w:type="dxa"/>
            <w:vAlign w:val="center"/>
          </w:tcPr>
          <w:p>
            <w:pPr>
              <w:pStyle w:val="28"/>
            </w:pPr>
            <w:r>
              <w:t>降低灾害对群众的损失，促进恢复重建。</w:t>
            </w:r>
          </w:p>
        </w:tc>
        <w:tc>
          <w:tcPr>
            <w:tcW w:w="2466" w:type="dxa"/>
            <w:vAlign w:val="center"/>
          </w:tcPr>
          <w:p>
            <w:pPr>
              <w:pStyle w:val="28"/>
            </w:pPr>
            <w:r>
              <w:t>房屋倒损后得到资金支持</w:t>
            </w:r>
          </w:p>
        </w:tc>
        <w:tc>
          <w:tcPr>
            <w:tcW w:w="2466" w:type="dxa"/>
            <w:vAlign w:val="center"/>
          </w:tcPr>
          <w:p>
            <w:pPr>
              <w:pStyle w:val="28"/>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对赔付结果表示认可的受灾群众占受灾群众总数的比率</w:t>
            </w:r>
          </w:p>
        </w:tc>
        <w:tc>
          <w:tcPr>
            <w:tcW w:w="2466" w:type="dxa"/>
            <w:vAlign w:val="center"/>
          </w:tcPr>
          <w:p>
            <w:pPr>
              <w:pStyle w:val="28"/>
            </w:pPr>
            <w:r>
              <w:t>≥95%</w:t>
            </w:r>
          </w:p>
        </w:tc>
        <w:tc>
          <w:tcPr>
            <w:tcW w:w="2466" w:type="dxa"/>
            <w:vAlign w:val="center"/>
          </w:tcPr>
          <w:p>
            <w:pPr>
              <w:pStyle w:val="28"/>
            </w:pPr>
            <w:r>
              <w:t>年度工作计划</w:t>
            </w:r>
          </w:p>
        </w:tc>
      </w:tr>
    </w:tbl>
    <w:p>
      <w:pPr>
        <w:pStyle w:val="26"/>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pPr>
      <w:r>
        <w:rPr>
          <w:rFonts w:ascii="方正仿宋_GBK" w:hAnsi="方正仿宋_GBK" w:eastAsia="方正仿宋_GBK" w:cs="方正仿宋_GBK"/>
          <w:b/>
          <w:color w:val="000000"/>
          <w:sz w:val="28"/>
        </w:rPr>
        <w:t>7、应急防汛物资储备资金绩效目标表</w:t>
      </w:r>
    </w:p>
    <w:tbl>
      <w:tblPr>
        <w:tblStyle w:val="6"/>
        <w:tblW w:w="15140"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919"/>
        <w:gridCol w:w="8221"/>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6919" w:type="dxa"/>
            <w:tcBorders>
              <w:bottom w:val="single" w:color="FFFFFF" w:sz="6" w:space="0"/>
            </w:tcBorders>
            <w:vAlign w:val="center"/>
          </w:tcPr>
          <w:p>
            <w:pPr>
              <w:pStyle w:val="27"/>
            </w:pPr>
            <w:r>
              <w:t>绩效目标</w:t>
            </w:r>
          </w:p>
        </w:tc>
        <w:tc>
          <w:tcPr>
            <w:tcW w:w="8221" w:type="dxa"/>
            <w:tcBorders>
              <w:bottom w:val="single" w:color="FFFFFF" w:sz="6" w:space="0"/>
            </w:tcBorders>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1.立足“防大汛、抗大旱、抢大险、救大灾”要求，统一指挥、密切协作、消除隐患，扎实做好防汛抗旱工作，保护人民群众生命财产安全。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16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24"/>
        <w:gridCol w:w="2204"/>
        <w:gridCol w:w="2366"/>
        <w:gridCol w:w="2730"/>
        <w:gridCol w:w="2806"/>
        <w:gridCol w:w="28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224" w:type="dxa"/>
            <w:vAlign w:val="center"/>
          </w:tcPr>
          <w:p>
            <w:pPr>
              <w:pStyle w:val="27"/>
            </w:pPr>
            <w:r>
              <w:t>一级指标</w:t>
            </w:r>
          </w:p>
        </w:tc>
        <w:tc>
          <w:tcPr>
            <w:tcW w:w="2204" w:type="dxa"/>
            <w:vAlign w:val="center"/>
          </w:tcPr>
          <w:p>
            <w:pPr>
              <w:pStyle w:val="27"/>
            </w:pPr>
            <w:r>
              <w:t>二级指标</w:t>
            </w:r>
          </w:p>
        </w:tc>
        <w:tc>
          <w:tcPr>
            <w:tcW w:w="2366" w:type="dxa"/>
            <w:vAlign w:val="center"/>
          </w:tcPr>
          <w:p>
            <w:pPr>
              <w:pStyle w:val="27"/>
            </w:pPr>
            <w:r>
              <w:t>三级指标</w:t>
            </w:r>
          </w:p>
        </w:tc>
        <w:tc>
          <w:tcPr>
            <w:tcW w:w="2730" w:type="dxa"/>
            <w:vAlign w:val="center"/>
          </w:tcPr>
          <w:p>
            <w:pPr>
              <w:pStyle w:val="27"/>
            </w:pPr>
            <w:r>
              <w:t>绩效指标描述</w:t>
            </w:r>
          </w:p>
        </w:tc>
        <w:tc>
          <w:tcPr>
            <w:tcW w:w="2806" w:type="dxa"/>
            <w:vAlign w:val="center"/>
          </w:tcPr>
          <w:p>
            <w:pPr>
              <w:pStyle w:val="27"/>
            </w:pPr>
            <w:r>
              <w:t>指标值</w:t>
            </w:r>
          </w:p>
        </w:tc>
        <w:tc>
          <w:tcPr>
            <w:tcW w:w="283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45" w:hRule="atLeast"/>
          <w:jc w:val="center"/>
        </w:trPr>
        <w:tc>
          <w:tcPr>
            <w:tcW w:w="2224" w:type="dxa"/>
            <w:vMerge w:val="restart"/>
            <w:vAlign w:val="center"/>
          </w:tcPr>
          <w:p>
            <w:pPr>
              <w:pStyle w:val="29"/>
            </w:pPr>
            <w:r>
              <w:t>产出指标</w:t>
            </w:r>
          </w:p>
        </w:tc>
        <w:tc>
          <w:tcPr>
            <w:tcW w:w="2204" w:type="dxa"/>
            <w:vAlign w:val="center"/>
          </w:tcPr>
          <w:p>
            <w:pPr>
              <w:pStyle w:val="28"/>
            </w:pPr>
            <w:r>
              <w:t>数量指标</w:t>
            </w:r>
          </w:p>
        </w:tc>
        <w:tc>
          <w:tcPr>
            <w:tcW w:w="2366" w:type="dxa"/>
            <w:vAlign w:val="center"/>
          </w:tcPr>
          <w:p>
            <w:pPr>
              <w:pStyle w:val="28"/>
            </w:pPr>
            <w:r>
              <w:t>开展防汛抗旱会议会议</w:t>
            </w:r>
          </w:p>
        </w:tc>
        <w:tc>
          <w:tcPr>
            <w:tcW w:w="2730" w:type="dxa"/>
            <w:vAlign w:val="center"/>
          </w:tcPr>
          <w:p>
            <w:pPr>
              <w:pStyle w:val="28"/>
            </w:pPr>
            <w:r>
              <w:t>全年电视电话视频会数量</w:t>
            </w:r>
          </w:p>
        </w:tc>
        <w:tc>
          <w:tcPr>
            <w:tcW w:w="2806" w:type="dxa"/>
            <w:vAlign w:val="center"/>
          </w:tcPr>
          <w:p>
            <w:pPr>
              <w:pStyle w:val="28"/>
            </w:pPr>
            <w:r>
              <w:t>≥4次</w:t>
            </w:r>
          </w:p>
        </w:tc>
        <w:tc>
          <w:tcPr>
            <w:tcW w:w="2838" w:type="dxa"/>
            <w:vAlign w:val="center"/>
          </w:tcPr>
          <w:p>
            <w:pPr>
              <w:pStyle w:val="28"/>
            </w:pPr>
            <w:r>
              <w:t>2021年防汛抗旱工作要点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224" w:type="dxa"/>
            <w:vMerge w:val="continue"/>
            <w:vAlign w:val="center"/>
          </w:tcPr>
          <w:p>
            <w:pPr>
              <w:pStyle w:val="26"/>
            </w:pPr>
          </w:p>
        </w:tc>
        <w:tc>
          <w:tcPr>
            <w:tcW w:w="2204" w:type="dxa"/>
            <w:vAlign w:val="center"/>
          </w:tcPr>
          <w:p>
            <w:pPr>
              <w:pStyle w:val="28"/>
            </w:pPr>
            <w:r>
              <w:t>质量指标</w:t>
            </w:r>
          </w:p>
        </w:tc>
        <w:tc>
          <w:tcPr>
            <w:tcW w:w="2366" w:type="dxa"/>
            <w:vAlign w:val="center"/>
          </w:tcPr>
          <w:p>
            <w:pPr>
              <w:pStyle w:val="28"/>
            </w:pPr>
            <w:r>
              <w:t>防汛效果</w:t>
            </w:r>
          </w:p>
        </w:tc>
        <w:tc>
          <w:tcPr>
            <w:tcW w:w="2730" w:type="dxa"/>
            <w:vAlign w:val="center"/>
          </w:tcPr>
          <w:p>
            <w:pPr>
              <w:pStyle w:val="28"/>
            </w:pPr>
            <w:r>
              <w:t>防汛物资的使用效果显著</w:t>
            </w:r>
          </w:p>
        </w:tc>
        <w:tc>
          <w:tcPr>
            <w:tcW w:w="2806"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合理利用资金，从物资号备各方面，确保我区安全度汛。</w:t>
            </w:r>
          </w:p>
        </w:tc>
        <w:tc>
          <w:tcPr>
            <w:tcW w:w="2838" w:type="dxa"/>
            <w:vAlign w:val="center"/>
          </w:tcPr>
          <w:p>
            <w:pPr>
              <w:pStyle w:val="28"/>
            </w:pPr>
            <w:r>
              <w:t>2021年防汛抗旱工作要点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224" w:type="dxa"/>
            <w:vMerge w:val="continue"/>
            <w:vAlign w:val="center"/>
          </w:tcPr>
          <w:p>
            <w:pPr>
              <w:pStyle w:val="26"/>
            </w:pPr>
          </w:p>
        </w:tc>
        <w:tc>
          <w:tcPr>
            <w:tcW w:w="2204" w:type="dxa"/>
            <w:vAlign w:val="center"/>
          </w:tcPr>
          <w:p>
            <w:pPr>
              <w:pStyle w:val="28"/>
            </w:pPr>
            <w:r>
              <w:t>时效指标</w:t>
            </w:r>
          </w:p>
        </w:tc>
        <w:tc>
          <w:tcPr>
            <w:tcW w:w="2366" w:type="dxa"/>
            <w:vAlign w:val="center"/>
          </w:tcPr>
          <w:p>
            <w:pPr>
              <w:pStyle w:val="28"/>
            </w:pPr>
            <w:r>
              <w:t>工作及时性</w:t>
            </w:r>
          </w:p>
        </w:tc>
        <w:tc>
          <w:tcPr>
            <w:tcW w:w="2730" w:type="dxa"/>
            <w:vAlign w:val="center"/>
          </w:tcPr>
          <w:p>
            <w:pPr>
              <w:pStyle w:val="28"/>
            </w:pPr>
            <w:r>
              <w:t>上传下达，排查隐患</w:t>
            </w:r>
          </w:p>
        </w:tc>
        <w:tc>
          <w:tcPr>
            <w:tcW w:w="2806"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上报的隐患排查表，建立了我区防汛抗旱隐患排查档案。上报了我区《防汛抢险救援队伍和物资情况统计表》。对防汛抗旱指挥部组成人员及时调整，并将调整后的新同志姓名、职务上报我区政府办。</w:t>
            </w:r>
          </w:p>
        </w:tc>
        <w:tc>
          <w:tcPr>
            <w:tcW w:w="2838" w:type="dxa"/>
            <w:vAlign w:val="center"/>
          </w:tcPr>
          <w:p>
            <w:pPr>
              <w:pStyle w:val="28"/>
            </w:pPr>
            <w:r>
              <w:t>藁汛办[2021]1号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224" w:type="dxa"/>
            <w:vMerge w:val="continue"/>
            <w:vAlign w:val="center"/>
          </w:tcPr>
          <w:p>
            <w:pPr>
              <w:pStyle w:val="26"/>
            </w:pPr>
          </w:p>
        </w:tc>
        <w:tc>
          <w:tcPr>
            <w:tcW w:w="2204" w:type="dxa"/>
            <w:vAlign w:val="center"/>
          </w:tcPr>
          <w:p>
            <w:pPr>
              <w:pStyle w:val="28"/>
            </w:pPr>
            <w:r>
              <w:t>成本指标</w:t>
            </w:r>
          </w:p>
        </w:tc>
        <w:tc>
          <w:tcPr>
            <w:tcW w:w="2366" w:type="dxa"/>
            <w:vAlign w:val="center"/>
          </w:tcPr>
          <w:p>
            <w:pPr>
              <w:pStyle w:val="28"/>
            </w:pPr>
            <w:r>
              <w:t>号备物资成本</w:t>
            </w:r>
          </w:p>
        </w:tc>
        <w:tc>
          <w:tcPr>
            <w:tcW w:w="2730"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救生衣、照明灯、手动强光搜索灯、发电机、数字对讲机等平均成本</w:t>
            </w:r>
          </w:p>
        </w:tc>
        <w:tc>
          <w:tcPr>
            <w:tcW w:w="2806" w:type="dxa"/>
            <w:vAlign w:val="center"/>
          </w:tcPr>
          <w:p>
            <w:pPr>
              <w:pStyle w:val="28"/>
            </w:pPr>
            <w:r>
              <w:t>≤200元</w:t>
            </w:r>
          </w:p>
        </w:tc>
        <w:tc>
          <w:tcPr>
            <w:tcW w:w="2838" w:type="dxa"/>
            <w:vAlign w:val="center"/>
          </w:tcPr>
          <w:p>
            <w:pPr>
              <w:pStyle w:val="28"/>
            </w:pPr>
            <w:r>
              <w:t>2021年防汛抗旱工作要点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224" w:type="dxa"/>
            <w:vAlign w:val="center"/>
          </w:tcPr>
          <w:p>
            <w:pPr>
              <w:pStyle w:val="29"/>
            </w:pPr>
            <w:r>
              <w:t>效益指标</w:t>
            </w:r>
          </w:p>
        </w:tc>
        <w:tc>
          <w:tcPr>
            <w:tcW w:w="2204" w:type="dxa"/>
            <w:vAlign w:val="center"/>
          </w:tcPr>
          <w:p>
            <w:pPr>
              <w:pStyle w:val="28"/>
            </w:pPr>
            <w:r>
              <w:t>社会效益指标</w:t>
            </w:r>
          </w:p>
        </w:tc>
        <w:tc>
          <w:tcPr>
            <w:tcW w:w="2366" w:type="dxa"/>
            <w:vAlign w:val="center"/>
          </w:tcPr>
          <w:p>
            <w:pPr>
              <w:pStyle w:val="28"/>
            </w:pPr>
            <w:r>
              <w:t>对全区防汛能力的影响</w:t>
            </w:r>
          </w:p>
        </w:tc>
        <w:tc>
          <w:tcPr>
            <w:tcW w:w="2730" w:type="dxa"/>
            <w:vAlign w:val="center"/>
          </w:tcPr>
          <w:p>
            <w:pPr>
              <w:pStyle w:val="28"/>
            </w:pPr>
            <w:r>
              <w:t>应急防汛工作更加全面、高效、专业</w:t>
            </w:r>
          </w:p>
        </w:tc>
        <w:tc>
          <w:tcPr>
            <w:tcW w:w="2806"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切实负起责任，加强日常防汛隐患排查，做到“汛期不停，排查不停”，并将排查出的隐患及时整治完成。切实各自建成一支精炼的防汛队伍，保证能及时做好抗洪抢险工作，同时要把各成员单位的防汛物资储备充足，保证能及时用到应急防汛工作中。</w:t>
            </w:r>
          </w:p>
        </w:tc>
        <w:tc>
          <w:tcPr>
            <w:tcW w:w="2838" w:type="dxa"/>
            <w:vAlign w:val="center"/>
          </w:tcPr>
          <w:p>
            <w:pPr>
              <w:pStyle w:val="28"/>
            </w:pPr>
            <w:r>
              <w:t>2021年防汛抗旱工作要点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224" w:type="dxa"/>
            <w:vAlign w:val="center"/>
          </w:tcPr>
          <w:p>
            <w:pPr>
              <w:pStyle w:val="29"/>
            </w:pPr>
            <w:r>
              <w:t>满意度指标</w:t>
            </w:r>
          </w:p>
        </w:tc>
        <w:tc>
          <w:tcPr>
            <w:tcW w:w="2204" w:type="dxa"/>
            <w:vAlign w:val="center"/>
          </w:tcPr>
          <w:p>
            <w:pPr>
              <w:pStyle w:val="28"/>
            </w:pPr>
            <w:r>
              <w:t>服务对象满意度指标</w:t>
            </w:r>
          </w:p>
        </w:tc>
        <w:tc>
          <w:tcPr>
            <w:tcW w:w="2366" w:type="dxa"/>
            <w:vAlign w:val="center"/>
          </w:tcPr>
          <w:p>
            <w:pPr>
              <w:pStyle w:val="28"/>
            </w:pPr>
            <w:r>
              <w:t>群众满意度</w:t>
            </w:r>
          </w:p>
        </w:tc>
        <w:tc>
          <w:tcPr>
            <w:tcW w:w="2730" w:type="dxa"/>
            <w:vAlign w:val="center"/>
          </w:tcPr>
          <w:p>
            <w:pPr>
              <w:pStyle w:val="28"/>
            </w:pPr>
            <w:r>
              <w:t>群众满意数量占总数的比例</w:t>
            </w:r>
          </w:p>
        </w:tc>
        <w:tc>
          <w:tcPr>
            <w:tcW w:w="2806" w:type="dxa"/>
            <w:vAlign w:val="center"/>
          </w:tcPr>
          <w:p>
            <w:pPr>
              <w:pStyle w:val="28"/>
            </w:pPr>
            <w:r>
              <w:t>≥90%</w:t>
            </w:r>
          </w:p>
        </w:tc>
        <w:tc>
          <w:tcPr>
            <w:tcW w:w="2838" w:type="dxa"/>
            <w:vAlign w:val="center"/>
          </w:tcPr>
          <w:p>
            <w:pPr>
              <w:pStyle w:val="28"/>
            </w:pPr>
            <w:r>
              <w:t>年度工作计划</w:t>
            </w:r>
          </w:p>
        </w:tc>
      </w:tr>
    </w:tbl>
    <w:p>
      <w:pPr>
        <w:pStyle w:val="26"/>
        <w:sectPr>
          <w:pgSz w:w="16840" w:h="11900" w:orient="landscape"/>
          <w:pgMar w:top="1361" w:right="1020" w:bottom="1361" w:left="1020" w:header="720" w:footer="720" w:gutter="0"/>
        </w:sectPr>
      </w:pPr>
    </w:p>
    <w:p>
      <w:pPr>
        <w:spacing w:before="10" w:after="10" w:line="240" w:lineRule="auto"/>
        <w:ind w:firstLine="640"/>
        <w:jc w:val="left"/>
        <w:outlineLvl w:val="5"/>
      </w:pPr>
      <w:bookmarkStart w:id="33" w:name="_Toc1543_WPSOffice_Level1"/>
      <w:r>
        <w:rPr>
          <w:rFonts w:ascii="黑体" w:hAnsi="黑体" w:eastAsia="黑体" w:cs="黑体"/>
          <w:color w:val="000000"/>
          <w:sz w:val="32"/>
        </w:rPr>
        <w:t>六、政府采购预算情况</w:t>
      </w:r>
      <w:bookmarkEnd w:id="33"/>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2022年，石家庄市藁城区应急管理局本级安排政府采购预算40.00万元。具体内容见下表。</w:t>
      </w:r>
    </w:p>
    <w:p>
      <w:pPr>
        <w:spacing w:before="0" w:after="0" w:line="240" w:lineRule="auto"/>
        <w:ind w:firstLine="0"/>
        <w:jc w:val="center"/>
        <w:outlineLvl w:val="9"/>
      </w:pPr>
      <w:bookmarkStart w:id="34" w:name="_Toc22337_WPSOffice_Level1"/>
      <w:r>
        <w:rPr>
          <w:rFonts w:ascii="方正小标宋_GBK" w:hAnsi="方正小标宋_GBK" w:eastAsia="方正小标宋_GBK" w:cs="方正小标宋_GBK"/>
          <w:color w:val="000000"/>
          <w:sz w:val="36"/>
        </w:rPr>
        <w:t>单位政府采购预算</w:t>
      </w:r>
      <w:bookmarkEnd w:id="34"/>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426001石家庄市藁城区应急管理局本级</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40.00</w:t>
            </w:r>
          </w:p>
        </w:tc>
        <w:tc>
          <w:tcPr>
            <w:tcW w:w="924" w:type="dxa"/>
            <w:vAlign w:val="center"/>
          </w:tcPr>
          <w:p>
            <w:pPr>
              <w:pStyle w:val="17"/>
            </w:pPr>
            <w:r>
              <w:t>40.00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石家庄市藁城区应急管理局本级小计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40.00</w:t>
            </w:r>
          </w:p>
        </w:tc>
        <w:tc>
          <w:tcPr>
            <w:tcW w:w="924" w:type="dxa"/>
            <w:vAlign w:val="center"/>
          </w:tcPr>
          <w:p>
            <w:pPr>
              <w:pStyle w:val="17"/>
            </w:pPr>
            <w:r>
              <w:t>40.00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全区安全隐患排查经费</w:t>
            </w:r>
          </w:p>
        </w:tc>
        <w:tc>
          <w:tcPr>
            <w:tcW w:w="924" w:type="dxa"/>
            <w:vAlign w:val="center"/>
          </w:tcPr>
          <w:p>
            <w:pPr>
              <w:pStyle w:val="13"/>
            </w:pPr>
            <w:r>
              <w:t>40.00</w:t>
            </w:r>
          </w:p>
        </w:tc>
        <w:tc>
          <w:tcPr>
            <w:tcW w:w="924" w:type="dxa"/>
            <w:vAlign w:val="center"/>
          </w:tcPr>
          <w:p>
            <w:pPr>
              <w:pStyle w:val="14"/>
            </w:pPr>
            <w:r>
              <w:t>安全服务</w:t>
            </w:r>
          </w:p>
        </w:tc>
        <w:tc>
          <w:tcPr>
            <w:tcW w:w="924" w:type="dxa"/>
            <w:vAlign w:val="center"/>
          </w:tcPr>
          <w:p>
            <w:pPr>
              <w:pStyle w:val="14"/>
            </w:pPr>
            <w:r>
              <w:t>C0810</w:t>
            </w:r>
          </w:p>
        </w:tc>
        <w:tc>
          <w:tcPr>
            <w:tcW w:w="924" w:type="dxa"/>
            <w:vAlign w:val="center"/>
          </w:tcPr>
          <w:p>
            <w:pPr>
              <w:pStyle w:val="15"/>
            </w:pPr>
            <w:r>
              <w:t>项</w:t>
            </w:r>
          </w:p>
        </w:tc>
        <w:tc>
          <w:tcPr>
            <w:tcW w:w="924" w:type="dxa"/>
            <w:vAlign w:val="center"/>
          </w:tcPr>
          <w:p>
            <w:pPr>
              <w:pStyle w:val="13"/>
            </w:pPr>
            <w:r>
              <w:t>2</w:t>
            </w:r>
          </w:p>
        </w:tc>
        <w:tc>
          <w:tcPr>
            <w:tcW w:w="924" w:type="dxa"/>
            <w:vAlign w:val="center"/>
          </w:tcPr>
          <w:p>
            <w:pPr>
              <w:pStyle w:val="13"/>
            </w:pPr>
            <w:r>
              <w:t>20.00</w:t>
            </w:r>
          </w:p>
        </w:tc>
        <w:tc>
          <w:tcPr>
            <w:tcW w:w="924" w:type="dxa"/>
            <w:vAlign w:val="center"/>
          </w:tcPr>
          <w:p>
            <w:pPr>
              <w:pStyle w:val="13"/>
            </w:pPr>
            <w:r>
              <w:t>40.00</w:t>
            </w:r>
          </w:p>
        </w:tc>
        <w:tc>
          <w:tcPr>
            <w:tcW w:w="924" w:type="dxa"/>
            <w:vAlign w:val="center"/>
          </w:tcPr>
          <w:p>
            <w:pPr>
              <w:pStyle w:val="13"/>
            </w:pPr>
            <w:r>
              <w:t>40.00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40.00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bookmarkStart w:id="35" w:name="_Toc189_WPSOffice_Level1"/>
      <w:r>
        <w:rPr>
          <w:rFonts w:ascii="黑体" w:hAnsi="黑体" w:eastAsia="黑体" w:cs="黑体"/>
          <w:color w:val="000000"/>
          <w:sz w:val="32"/>
        </w:rPr>
        <w:t>七、国有资产信息</w:t>
      </w:r>
      <w:bookmarkEnd w:id="3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石家庄市藁城区应急管理局本级上年末固定资产金额为</w:t>
      </w:r>
      <w:r>
        <w:rPr>
          <w:rFonts w:hint="eastAsia" w:eastAsia="方正仿宋_GBK" w:cs="Times New Roman"/>
          <w:b w:val="0"/>
          <w:color w:val="000000"/>
          <w:sz w:val="28"/>
          <w:lang w:val="en-US" w:eastAsia="zh-CN"/>
        </w:rPr>
        <w:t>195.08</w:t>
      </w:r>
      <w:r>
        <w:rPr>
          <w:rFonts w:ascii="Times New Roman" w:hAnsi="Times New Roman" w:eastAsia="方正仿宋_GBK" w:cs="Times New Roman"/>
          <w:b w:val="0"/>
          <w:color w:val="000000"/>
          <w:sz w:val="28"/>
        </w:rPr>
        <w:t>万元（详见下表）。本年度拟购置固定资产总额为2.20万元，</w:t>
      </w:r>
      <w:r>
        <w:rPr>
          <w:rFonts w:hint="eastAsia" w:eastAsia="方正仿宋_GBK" w:cs="Times New Roman"/>
          <w:b w:val="0"/>
          <w:color w:val="000000"/>
          <w:sz w:val="28"/>
          <w:lang w:val="en-US" w:eastAsia="zh-CN"/>
        </w:rPr>
        <w:t>主要用于购买空调、电脑、打印机等，因未达到政府采购限额，故未列入政府采购预算</w:t>
      </w:r>
      <w:r>
        <w:rPr>
          <w:rFonts w:ascii="Times New Roman" w:hAnsi="Times New Roman" w:eastAsia="方正仿宋_GBK" w:cs="Times New Roman"/>
          <w:b w:val="0"/>
          <w:color w:val="000000"/>
          <w:sz w:val="28"/>
        </w:rPr>
        <w:t>。</w:t>
      </w:r>
    </w:p>
    <w:p>
      <w:pPr>
        <w:spacing w:before="0" w:after="0" w:line="240" w:lineRule="auto"/>
        <w:ind w:firstLine="0"/>
        <w:jc w:val="center"/>
        <w:outlineLvl w:val="9"/>
      </w:pPr>
      <w:bookmarkStart w:id="36" w:name="_Toc2301_WPSOffice_Level1"/>
      <w:r>
        <w:rPr>
          <w:rFonts w:ascii="方正小标宋_GBK" w:hAnsi="方正小标宋_GBK" w:eastAsia="方正小标宋_GBK" w:cs="方正小标宋_GBK"/>
          <w:color w:val="000000"/>
          <w:sz w:val="36"/>
        </w:rPr>
        <w:t>单位固定资产占用情况表</w:t>
      </w:r>
      <w:bookmarkEnd w:id="36"/>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426001石家庄市藁城区应急管理局本级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195.08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2</w:t>
            </w:r>
          </w:p>
        </w:tc>
        <w:tc>
          <w:tcPr>
            <w:tcW w:w="4933" w:type="dxa"/>
            <w:vAlign w:val="center"/>
          </w:tcPr>
          <w:p>
            <w:pPr>
              <w:pStyle w:val="13"/>
            </w:pPr>
            <w:r>
              <w:t>19.88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309</w:t>
            </w:r>
          </w:p>
        </w:tc>
        <w:tc>
          <w:tcPr>
            <w:tcW w:w="4933" w:type="dxa"/>
            <w:vAlign w:val="center"/>
          </w:tcPr>
          <w:p>
            <w:pPr>
              <w:pStyle w:val="13"/>
            </w:pPr>
            <w:r>
              <w:t>175.20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bookmarkStart w:id="37" w:name="_Toc3473_WPSOffice_Level1"/>
      <w:r>
        <w:rPr>
          <w:rFonts w:ascii="黑体" w:hAnsi="黑体" w:eastAsia="黑体" w:cs="黑体"/>
          <w:color w:val="000000"/>
          <w:sz w:val="32"/>
        </w:rPr>
        <w:t>八、名词解释</w:t>
      </w:r>
      <w:bookmarkEnd w:id="3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bookmarkStart w:id="38" w:name="_Toc25995_WPSOffice_Level1"/>
      <w:r>
        <w:rPr>
          <w:rFonts w:ascii="黑体" w:hAnsi="黑体" w:eastAsia="黑体" w:cs="黑体"/>
          <w:color w:val="000000"/>
          <w:sz w:val="32"/>
        </w:rPr>
        <w:t>九、其他需要说明的事项</w:t>
      </w:r>
      <w:bookmarkEnd w:id="38"/>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E28D85B"/>
    <w:multiLevelType w:val="singleLevel"/>
    <w:tmpl w:val="8E28D85B"/>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4FE009E"/>
    <w:rsid w:val="06355466"/>
    <w:rsid w:val="08F4425D"/>
    <w:rsid w:val="0C940C2D"/>
    <w:rsid w:val="0D602A60"/>
    <w:rsid w:val="0F0737B1"/>
    <w:rsid w:val="15A5721E"/>
    <w:rsid w:val="190431C2"/>
    <w:rsid w:val="1BDC1937"/>
    <w:rsid w:val="1EA0505B"/>
    <w:rsid w:val="1F6B6C44"/>
    <w:rsid w:val="1F803326"/>
    <w:rsid w:val="1FC46404"/>
    <w:rsid w:val="22031044"/>
    <w:rsid w:val="2333081A"/>
    <w:rsid w:val="25056A2A"/>
    <w:rsid w:val="274116D3"/>
    <w:rsid w:val="285F6EB6"/>
    <w:rsid w:val="28D07EDF"/>
    <w:rsid w:val="32F26E29"/>
    <w:rsid w:val="33DA5472"/>
    <w:rsid w:val="35530C57"/>
    <w:rsid w:val="393C3EF0"/>
    <w:rsid w:val="394D14AF"/>
    <w:rsid w:val="3A807AE0"/>
    <w:rsid w:val="3BA06598"/>
    <w:rsid w:val="3F483888"/>
    <w:rsid w:val="3FAD7567"/>
    <w:rsid w:val="41CF10DD"/>
    <w:rsid w:val="43A370CB"/>
    <w:rsid w:val="44034BCD"/>
    <w:rsid w:val="4620637E"/>
    <w:rsid w:val="483A77D4"/>
    <w:rsid w:val="499B2F8C"/>
    <w:rsid w:val="4B551B87"/>
    <w:rsid w:val="4D5B1D51"/>
    <w:rsid w:val="51A76E7F"/>
    <w:rsid w:val="54223F8F"/>
    <w:rsid w:val="5504382E"/>
    <w:rsid w:val="56FF45C2"/>
    <w:rsid w:val="58DA7256"/>
    <w:rsid w:val="5ED01F83"/>
    <w:rsid w:val="5FA26503"/>
    <w:rsid w:val="600A552C"/>
    <w:rsid w:val="61847B97"/>
    <w:rsid w:val="63997EEB"/>
    <w:rsid w:val="64317E3E"/>
    <w:rsid w:val="64F854EA"/>
    <w:rsid w:val="69657256"/>
    <w:rsid w:val="6B984C68"/>
    <w:rsid w:val="6E4A5525"/>
    <w:rsid w:val="6F5D34A0"/>
    <w:rsid w:val="73A71B70"/>
    <w:rsid w:val="74243D75"/>
    <w:rsid w:val="744F2E6D"/>
    <w:rsid w:val="76C15603"/>
    <w:rsid w:val="79217413"/>
    <w:rsid w:val="7CAE4BC5"/>
    <w:rsid w:val="7DC61279"/>
    <w:rsid w:val="7FA4653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d95bf4a0-8601-447d-b801-7c89c5acea41"/>
    <w:qFormat/>
    <w:uiPriority w:val="0"/>
    <w:rPr>
      <w:rFonts w:ascii="Times New Roman" w:hAnsi="Times New Roman" w:eastAsia="Times New Roman" w:cstheme="minorBidi"/>
      <w:sz w:val="24"/>
      <w:szCs w:val="24"/>
      <w:lang w:val="en-US" w:eastAsia="uk-UA" w:bidi="ar-SA"/>
    </w:rPr>
  </w:style>
  <w:style w:type="paragraph" w:customStyle="1" w:styleId="27">
    <w:name w:val="单元格样式1_6d1fff23-af34-4f6e-8ef0-8813ee7368a4"/>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91fa0bf0-e1e7-43f7-8320-b06d6b448734"/>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9eb89413-dd2d-40b4-8e4e-4adab6d60487"/>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WPSOffice手动目录 1"/>
    <w:qFormat/>
    <w:uiPriority w:val="0"/>
    <w:pPr>
      <w:ind w:leftChars="0"/>
    </w:pPr>
    <w:rPr>
      <w:rFonts w:asciiTheme="minorHAnsi" w:hAnsiTheme="minorHAnsi" w:eastAsiaTheme="minorEastAsia" w:cstheme="minorBidi"/>
      <w:sz w:val="20"/>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glossaryDocument" Target="glossary/document.xml"/><Relationship Id="rId16" Type="http://schemas.openxmlformats.org/officeDocument/2006/relationships/fontTable" Target="fontTable.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82b9387b-4909-4c93-a9e2-a98c4ba90e74}"/>
        <w:style w:val=""/>
        <w:category>
          <w:name w:val="常规"/>
          <w:gallery w:val="placeholder"/>
        </w:category>
        <w:types>
          <w:type w:val="bbPlcHdr"/>
        </w:types>
        <w:behaviors>
          <w:behavior w:val="content"/>
        </w:behaviors>
        <w:description w:val=""/>
        <w:guid w:val="{82b9387b-4909-4c93-a9e2-a98c4ba90e74}"/>
      </w:docPartPr>
      <w:docPartBody>
        <w:p>
          <w:r>
            <w:rPr>
              <w:color w:val="808080"/>
            </w:rPr>
            <w:t>单击此处输入文字。</w:t>
          </w:r>
        </w:p>
      </w:docPartBody>
    </w:docPart>
    <w:docPart>
      <w:docPartPr>
        <w:name w:val="{7609af55-285f-479b-9277-2b4bc9936dbd}"/>
        <w:style w:val=""/>
        <w:category>
          <w:name w:val="常规"/>
          <w:gallery w:val="placeholder"/>
        </w:category>
        <w:types>
          <w:type w:val="bbPlcHdr"/>
        </w:types>
        <w:behaviors>
          <w:behavior w:val="content"/>
        </w:behaviors>
        <w:description w:val=""/>
        <w:guid w:val="{7609af55-285f-479b-9277-2b4bc9936dbd}"/>
      </w:docPartPr>
      <w:docPartBody>
        <w:p>
          <w:r>
            <w:rPr>
              <w:color w:val="808080"/>
            </w:rPr>
            <w:t>单击此处输入文字。</w:t>
          </w:r>
        </w:p>
      </w:docPartBody>
    </w:docPart>
    <w:docPart>
      <w:docPartPr>
        <w:name w:val="{ea0b2280-05e9-4645-a467-f065defd1f25}"/>
        <w:style w:val=""/>
        <w:category>
          <w:name w:val="常规"/>
          <w:gallery w:val="placeholder"/>
        </w:category>
        <w:types>
          <w:type w:val="bbPlcHdr"/>
        </w:types>
        <w:behaviors>
          <w:behavior w:val="content"/>
        </w:behaviors>
        <w:description w:val=""/>
        <w:guid w:val="{ea0b2280-05e9-4645-a467-f065defd1f25}"/>
      </w:docPartPr>
      <w:docPartBody>
        <w:p>
          <w:r>
            <w:rPr>
              <w:color w:val="808080"/>
            </w:rPr>
            <w:t>单击此处输入文字。</w:t>
          </w:r>
        </w:p>
      </w:docPartBody>
    </w:docPart>
    <w:docPart>
      <w:docPartPr>
        <w:name w:val="{04742b5f-c7e0-4c19-a2a3-328926957e28}"/>
        <w:style w:val=""/>
        <w:category>
          <w:name w:val="常规"/>
          <w:gallery w:val="placeholder"/>
        </w:category>
        <w:types>
          <w:type w:val="bbPlcHdr"/>
        </w:types>
        <w:behaviors>
          <w:behavior w:val="content"/>
        </w:behaviors>
        <w:description w:val=""/>
        <w:guid w:val="{04742b5f-c7e0-4c19-a2a3-328926957e28}"/>
      </w:docPartPr>
      <w:docPartBody>
        <w:p>
          <w:r>
            <w:rPr>
              <w:color w:val="808080"/>
            </w:rPr>
            <w:t>单击此处输入文字。</w:t>
          </w:r>
        </w:p>
      </w:docPartBody>
    </w:docPart>
    <w:docPart>
      <w:docPartPr>
        <w:name w:val="{3f22883f-618a-41da-a45c-cb6a25ae640b}"/>
        <w:style w:val=""/>
        <w:category>
          <w:name w:val="常规"/>
          <w:gallery w:val="placeholder"/>
        </w:category>
        <w:types>
          <w:type w:val="bbPlcHdr"/>
        </w:types>
        <w:behaviors>
          <w:behavior w:val="content"/>
        </w:behaviors>
        <w:description w:val=""/>
        <w:guid w:val="{3f22883f-618a-41da-a45c-cb6a25ae640b}"/>
      </w:docPartPr>
      <w:docPartBody>
        <w:p>
          <w:r>
            <w:rPr>
              <w:color w:val="808080"/>
            </w:rPr>
            <w:t>单击此处输入文字。</w:t>
          </w:r>
        </w:p>
      </w:docPartBody>
    </w:docPart>
    <w:docPart>
      <w:docPartPr>
        <w:name w:val="{db10d815-af20-48bf-8a07-1b0a47b8727f}"/>
        <w:style w:val=""/>
        <w:category>
          <w:name w:val="常规"/>
          <w:gallery w:val="placeholder"/>
        </w:category>
        <w:types>
          <w:type w:val="bbPlcHdr"/>
        </w:types>
        <w:behaviors>
          <w:behavior w:val="content"/>
        </w:behaviors>
        <w:description w:val=""/>
        <w:guid w:val="{db10d815-af20-48bf-8a07-1b0a47b8727f}"/>
      </w:docPartPr>
      <w:docPartBody>
        <w:p>
          <w:r>
            <w:rPr>
              <w:color w:val="808080"/>
            </w:rPr>
            <w:t>单击此处输入文字。</w:t>
          </w:r>
        </w:p>
      </w:docPartBody>
    </w:docPart>
    <w:docPart>
      <w:docPartPr>
        <w:name w:val="{10dcc8aa-c382-4604-bc11-4cccac317101}"/>
        <w:style w:val=""/>
        <w:category>
          <w:name w:val="常规"/>
          <w:gallery w:val="placeholder"/>
        </w:category>
        <w:types>
          <w:type w:val="bbPlcHdr"/>
        </w:types>
        <w:behaviors>
          <w:behavior w:val="content"/>
        </w:behaviors>
        <w:description w:val=""/>
        <w:guid w:val="{10dcc8aa-c382-4604-bc11-4cccac317101}"/>
      </w:docPartPr>
      <w:docPartBody>
        <w:p>
          <w:r>
            <w:rPr>
              <w:color w:val="808080"/>
            </w:rPr>
            <w:t>单击此处输入文字。</w:t>
          </w:r>
        </w:p>
      </w:docPartBody>
    </w:docPart>
    <w:docPart>
      <w:docPartPr>
        <w:name w:val="{32663868-1426-4c53-a386-782b6df62c35}"/>
        <w:style w:val=""/>
        <w:category>
          <w:name w:val="常规"/>
          <w:gallery w:val="placeholder"/>
        </w:category>
        <w:types>
          <w:type w:val="bbPlcHdr"/>
        </w:types>
        <w:behaviors>
          <w:behavior w:val="content"/>
        </w:behaviors>
        <w:description w:val=""/>
        <w:guid w:val="{32663868-1426-4c53-a386-782b6df62c35}"/>
      </w:docPartPr>
      <w:docPartBody>
        <w:p>
          <w:r>
            <w:rPr>
              <w:color w:val="808080"/>
            </w:rPr>
            <w:t>单击此处输入文字。</w:t>
          </w:r>
        </w:p>
      </w:docPartBody>
    </w:docPart>
    <w:docPart>
      <w:docPartPr>
        <w:name w:val="{7fc96ab2-5783-45f0-83e3-9e58fa999d0e}"/>
        <w:style w:val=""/>
        <w:category>
          <w:name w:val="常规"/>
          <w:gallery w:val="placeholder"/>
        </w:category>
        <w:types>
          <w:type w:val="bbPlcHdr"/>
        </w:types>
        <w:behaviors>
          <w:behavior w:val="content"/>
        </w:behaviors>
        <w:description w:val=""/>
        <w:guid w:val="{7fc96ab2-5783-45f0-83e3-9e58fa999d0e}"/>
      </w:docPartPr>
      <w:docPartBody>
        <w:p>
          <w:r>
            <w:rPr>
              <w:color w:val="808080"/>
            </w:rPr>
            <w:t>单击此处输入文字。</w:t>
          </w:r>
        </w:p>
      </w:docPartBody>
    </w:docPart>
    <w:docPart>
      <w:docPartPr>
        <w:name w:val="{74ec061a-5998-49e4-b04f-1c6fcf982531}"/>
        <w:style w:val=""/>
        <w:category>
          <w:name w:val="常规"/>
          <w:gallery w:val="placeholder"/>
        </w:category>
        <w:types>
          <w:type w:val="bbPlcHdr"/>
        </w:types>
        <w:behaviors>
          <w:behavior w:val="content"/>
        </w:behaviors>
        <w:description w:val=""/>
        <w:guid w:val="{74ec061a-5998-49e4-b04f-1c6fcf982531}"/>
      </w:docPartPr>
      <w:docPartBody>
        <w:p>
          <w:r>
            <w:rPr>
              <w:color w:val="808080"/>
            </w:rPr>
            <w:t>单击此处输入文字。</w:t>
          </w:r>
        </w:p>
      </w:docPartBody>
    </w:docPart>
    <w:docPart>
      <w:docPartPr>
        <w:name w:val="{a0abe3de-c76a-4c40-9a20-6b05daefea13}"/>
        <w:style w:val=""/>
        <w:category>
          <w:name w:val="常规"/>
          <w:gallery w:val="placeholder"/>
        </w:category>
        <w:types>
          <w:type w:val="bbPlcHdr"/>
        </w:types>
        <w:behaviors>
          <w:behavior w:val="content"/>
        </w:behaviors>
        <w:description w:val=""/>
        <w:guid w:val="{a0abe3de-c76a-4c40-9a20-6b05daefea13}"/>
      </w:docPartPr>
      <w:docPartBody>
        <w:p>
          <w:r>
            <w:rPr>
              <w:color w:val="808080"/>
            </w:rPr>
            <w:t>单击此处输入文字。</w:t>
          </w:r>
        </w:p>
      </w:docPartBody>
    </w:docPart>
    <w:docPart>
      <w:docPartPr>
        <w:name w:val="{b15cc0f5-581d-4160-93fe-54d6ddea371a}"/>
        <w:style w:val=""/>
        <w:category>
          <w:name w:val="常规"/>
          <w:gallery w:val="placeholder"/>
        </w:category>
        <w:types>
          <w:type w:val="bbPlcHdr"/>
        </w:types>
        <w:behaviors>
          <w:behavior w:val="content"/>
        </w:behaviors>
        <w:description w:val=""/>
        <w:guid w:val="{b15cc0f5-581d-4160-93fe-54d6ddea371a}"/>
      </w:docPartPr>
      <w:docPartBody>
        <w:p>
          <w:r>
            <w:rPr>
              <w:color w:val="808080"/>
            </w:rPr>
            <w:t>单击此处输入文字。</w:t>
          </w:r>
        </w:p>
      </w:docPartBody>
    </w:docPart>
    <w:docPart>
      <w:docPartPr>
        <w:name w:val="{baa5fd5b-ddc6-4339-8743-d972e2baf3bd}"/>
        <w:style w:val=""/>
        <w:category>
          <w:name w:val="常规"/>
          <w:gallery w:val="placeholder"/>
        </w:category>
        <w:types>
          <w:type w:val="bbPlcHdr"/>
        </w:types>
        <w:behaviors>
          <w:behavior w:val="content"/>
        </w:behaviors>
        <w:description w:val=""/>
        <w:guid w:val="{baa5fd5b-ddc6-4339-8743-d972e2baf3bd}"/>
      </w:docPartPr>
      <w:docPartBody>
        <w:p>
          <w:r>
            <w:rPr>
              <w:color w:val="808080"/>
            </w:rPr>
            <w:t>单击此处输入文字。</w:t>
          </w:r>
        </w:p>
      </w:docPartBody>
    </w:docPart>
    <w:docPart>
      <w:docPartPr>
        <w:name w:val="{ab30aaa3-969d-415d-98ab-e024b74070a9}"/>
        <w:style w:val=""/>
        <w:category>
          <w:name w:val="常规"/>
          <w:gallery w:val="placeholder"/>
        </w:category>
        <w:types>
          <w:type w:val="bbPlcHdr"/>
        </w:types>
        <w:behaviors>
          <w:behavior w:val="content"/>
        </w:behaviors>
        <w:description w:val=""/>
        <w:guid w:val="{ab30aaa3-969d-415d-98ab-e024b74070a9}"/>
      </w:docPartPr>
      <w:docPartBody>
        <w:p>
          <w:r>
            <w:rPr>
              <w:color w:val="808080"/>
            </w:rPr>
            <w:t>单击此处输入文字。</w:t>
          </w:r>
        </w:p>
      </w:docPartBody>
    </w:docPart>
    <w:docPart>
      <w:docPartPr>
        <w:name w:val="{1d8b99a3-5396-4adf-b257-737b4375ca94}"/>
        <w:style w:val=""/>
        <w:category>
          <w:name w:val="常规"/>
          <w:gallery w:val="placeholder"/>
        </w:category>
        <w:types>
          <w:type w:val="bbPlcHdr"/>
        </w:types>
        <w:behaviors>
          <w:behavior w:val="content"/>
        </w:behaviors>
        <w:description w:val=""/>
        <w:guid w:val="{1d8b99a3-5396-4adf-b257-737b4375ca94}"/>
      </w:docPartPr>
      <w:docPartBody>
        <w:p>
          <w:r>
            <w:rPr>
              <w:color w:val="808080"/>
            </w:rPr>
            <w:t>单击此处输入文字。</w:t>
          </w:r>
        </w:p>
      </w:docPartBody>
    </w:docPart>
    <w:docPart>
      <w:docPartPr>
        <w:name w:val="{ce3abc92-ed0e-4a00-9be0-ce85beb84750}"/>
        <w:style w:val=""/>
        <w:category>
          <w:name w:val="常规"/>
          <w:gallery w:val="placeholder"/>
        </w:category>
        <w:types>
          <w:type w:val="bbPlcHdr"/>
        </w:types>
        <w:behaviors>
          <w:behavior w:val="content"/>
        </w:behaviors>
        <w:description w:val=""/>
        <w:guid w:val="{ce3abc92-ed0e-4a00-9be0-ce85beb84750}"/>
      </w:docPartPr>
      <w:docPartBody>
        <w:p>
          <w:r>
            <w:rPr>
              <w:color w:val="808080"/>
            </w:rPr>
            <w:t>单击此处输入文字。</w:t>
          </w:r>
        </w:p>
      </w:docPartBody>
    </w:docPart>
    <w:docPart>
      <w:docPartPr>
        <w:name w:val="{97d1e5fd-e76a-4ad9-9873-cf28b5a44ef1}"/>
        <w:style w:val=""/>
        <w:category>
          <w:name w:val="常规"/>
          <w:gallery w:val="placeholder"/>
        </w:category>
        <w:types>
          <w:type w:val="bbPlcHdr"/>
        </w:types>
        <w:behaviors>
          <w:behavior w:val="content"/>
        </w:behaviors>
        <w:description w:val=""/>
        <w:guid w:val="{97d1e5fd-e76a-4ad9-9873-cf28b5a44ef1}"/>
      </w:docPartPr>
      <w:docPartBody>
        <w:p>
          <w:r>
            <w:rPr>
              <w:color w:val="808080"/>
            </w:rPr>
            <w:t>单击此处输入文字。</w:t>
          </w:r>
        </w:p>
      </w:docPartBody>
    </w:docPart>
    <w:docPart>
      <w:docPartPr>
        <w:name w:val="{64e0f6db-8c22-48dc-b1e8-96eaed82cd8d}"/>
        <w:style w:val=""/>
        <w:category>
          <w:name w:val="常规"/>
          <w:gallery w:val="placeholder"/>
        </w:category>
        <w:types>
          <w:type w:val="bbPlcHdr"/>
        </w:types>
        <w:behaviors>
          <w:behavior w:val="content"/>
        </w:behaviors>
        <w:description w:val=""/>
        <w:guid w:val="{64e0f6db-8c22-48dc-b1e8-96eaed82cd8d}"/>
      </w:docPartPr>
      <w:docPartBody>
        <w:p>
          <w:r>
            <w:rPr>
              <w:color w:val="808080"/>
            </w:rPr>
            <w:t>单击此处输入文字。</w:t>
          </w:r>
        </w:p>
      </w:docPartBody>
    </w:docPart>
    <w:docPart>
      <w:docPartPr>
        <w:name w:val="{9f23da53-f735-4e28-9df5-7700221d350c}"/>
        <w:style w:val=""/>
        <w:category>
          <w:name w:val="常规"/>
          <w:gallery w:val="placeholder"/>
        </w:category>
        <w:types>
          <w:type w:val="bbPlcHdr"/>
        </w:types>
        <w:behaviors>
          <w:behavior w:val="content"/>
        </w:behaviors>
        <w:description w:val=""/>
        <w:guid w:val="{9f23da53-f735-4e28-9df5-7700221d350c}"/>
      </w:docPartPr>
      <w:docPartBody>
        <w:p>
          <w:r>
            <w:rPr>
              <w:color w:val="808080"/>
            </w:rPr>
            <w:t>单击此处输入文字。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compat>
    <w:useFELayout/>
    <w:splitPgBreakAndParaMark/>
    <w:compatSetting w:name="compatibilityMode" w:uri="http://schemas.microsoft.com/office/word" w:val="12"/>
  </w:compat>
  <w:rsids>
    <w:rsidRoot w:val="000000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styl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2022-02-14T17:40:49Z</dcterms:created>
  <dcterms:modified xsi:type="dcterms:W3CDTF">2022-02-14T09:40:49Z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2022-02-14T17:40:46Z</dcterms:created>
  <dcterms:modified xsi:type="dcterms:W3CDTF">2022-02-14T09:40:46Z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2022-02-14T17:40:42Z</dcterms:created>
  <dcterms:modified xsi:type="dcterms:W3CDTF">2022-02-14T09:40:42Z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2022-02-14T17:40:38Z</dcterms:created>
  <dcterms:modified xsi:type="dcterms:W3CDTF">2022-02-14T09:40:38Z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25d5455-1ef6-4111-87ee-c4281cc0d579}">
  <ds:schemaRefs/>
</ds:datastoreItem>
</file>

<file path=customXml/itemProps3.xml><?xml version="1.0" encoding="utf-8"?>
<ds:datastoreItem xmlns:ds="http://schemas.openxmlformats.org/officeDocument/2006/customXml" ds:itemID="{7b128d4e-6bce-421f-814f-3dd68b5abf47}">
  <ds:schemaRefs/>
</ds:datastoreItem>
</file>

<file path=customXml/itemProps4.xml><?xml version="1.0" encoding="utf-8"?>
<ds:datastoreItem xmlns:ds="http://schemas.openxmlformats.org/officeDocument/2006/customXml" ds:itemID="{af4e8a7d-a0ad-4794-8e2c-9c25a2f15bff}">
  <ds:schemaRefs/>
</ds:datastoreItem>
</file>

<file path=customXml/itemProps5.xml><?xml version="1.0" encoding="utf-8"?>
<ds:datastoreItem xmlns:ds="http://schemas.openxmlformats.org/officeDocument/2006/customXml" ds:itemID="{7d521c31-c2fc-4e14-ac6e-02df158e89a4}">
  <ds:schemaRefs/>
</ds:datastoreItem>
</file>

<file path=customXml/itemProps6.xml><?xml version="1.0" encoding="utf-8"?>
<ds:datastoreItem xmlns:ds="http://schemas.openxmlformats.org/officeDocument/2006/customXml" ds:itemID="{ad1a7e6f-3ddd-4f07-b9dc-a43fa3cc115b}">
  <ds:schemaRefs/>
</ds:datastoreItem>
</file>

<file path=customXml/itemProps7.xml><?xml version="1.0" encoding="utf-8"?>
<ds:datastoreItem xmlns:ds="http://schemas.openxmlformats.org/officeDocument/2006/customXml" ds:itemID="{a2fe852d-f17a-464c-bd50-9125335cfd4c}">
  <ds:schemaRefs/>
</ds:datastoreItem>
</file>

<file path=customXml/itemProps8.xml><?xml version="1.0" encoding="utf-8"?>
<ds:datastoreItem xmlns:ds="http://schemas.openxmlformats.org/officeDocument/2006/customXml" ds:itemID="{7e8cf965-de33-4ee7-ad5e-e82df954806b}">
  <ds:schemaRefs/>
</ds:datastoreItem>
</file>

<file path=customXml/itemProps9.xml><?xml version="1.0" encoding="utf-8"?>
<ds:datastoreItem xmlns:ds="http://schemas.openxmlformats.org/officeDocument/2006/customXml" ds:itemID="{3e2afc21-4530-4e87-9d95-32163d49e9c8}">
  <ds:schemaRefs/>
</ds:datastoreItem>
</file>

<file path=docProps/app.xml><?xml version="1.0" encoding="utf-8"?>
<Properties xmlns="http://schemas.openxmlformats.org/officeDocument/2006/extended-properties" xmlns:vt="http://schemas.openxmlformats.org/officeDocument/2006/docPropsVTypes">
  <TotalTime>15</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2022-02-14T17:40:00Z</dcterms:created>
  <dc:creator>26656</dc:creator>
  <cp:lastModifiedBy>26656</cp:lastModifiedBy>
  <dcterms:modified xsi:type="dcterms:W3CDTF">2023-09-06T01:36:57Z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