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sz w:val="28"/>
          <w:szCs w:val="36"/>
        </w:rPr>
      </w:pPr>
      <w:r>
        <w:rPr>
          <w:rFonts w:hint="eastAsia" w:ascii="黑体" w:hAnsi="黑体" w:eastAsia="黑体" w:cs="黑体"/>
          <w:b/>
          <w:color w:val="000000"/>
          <w:sz w:val="40"/>
          <w:szCs w:val="36"/>
          <w:lang w:val="en-US" w:eastAsia="zh-CN"/>
        </w:rPr>
        <w:t>石家庄市藁城区应急管理局2022年度部门</w:t>
      </w:r>
      <w:r>
        <w:rPr>
          <w:rFonts w:ascii="黑体" w:hAnsi="黑体" w:eastAsia="黑体" w:cs="黑体"/>
          <w:b/>
          <w:color w:val="000000"/>
          <w:sz w:val="40"/>
          <w:szCs w:val="36"/>
        </w:rPr>
        <w:t>预算</w:t>
      </w:r>
      <w:r>
        <w:rPr>
          <w:rFonts w:hint="eastAsia" w:ascii="黑体" w:hAnsi="黑体" w:eastAsia="黑体" w:cs="黑体"/>
          <w:b/>
          <w:color w:val="000000"/>
          <w:sz w:val="40"/>
          <w:szCs w:val="36"/>
          <w:lang w:val="en-US" w:eastAsia="zh-CN"/>
        </w:rPr>
        <w:t>公开</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800"/>
        </w:tabs>
      </w:pPr>
      <w:r>
        <w:rPr>
          <w:sz w:val="28"/>
          <w:szCs w:val="28"/>
        </w:rPr>
        <w:fldChar w:fldCharType="begin"/>
      </w:r>
      <w:r>
        <w:rPr>
          <w:sz w:val="28"/>
          <w:szCs w:val="28"/>
        </w:rPr>
        <w:instrText xml:space="preserve">TOC \o "2-2" \h \z \u</w:instrText>
      </w:r>
      <w:r>
        <w:rPr>
          <w:sz w:val="28"/>
          <w:szCs w:val="28"/>
        </w:rPr>
        <w:fldChar w:fldCharType="separate"/>
      </w:r>
      <w:r>
        <w:rPr>
          <w:szCs w:val="28"/>
        </w:rPr>
        <w:fldChar w:fldCharType="begin"/>
      </w:r>
      <w:r>
        <w:rPr>
          <w:szCs w:val="28"/>
        </w:rPr>
        <w:instrText xml:space="preserve"> HYPERLINK \l _Toc32180 </w:instrText>
      </w:r>
      <w:r>
        <w:rPr>
          <w:szCs w:val="28"/>
        </w:rPr>
        <w:fldChar w:fldCharType="separate"/>
      </w:r>
      <w:r>
        <w:rPr>
          <w:rFonts w:ascii="方正小标宋_GBK" w:hAnsi="方正小标宋_GBK" w:eastAsia="方正小标宋_GBK" w:cs="方正小标宋_GBK"/>
        </w:rPr>
        <w:t>部门预算收支总表</w:t>
      </w:r>
      <w:r>
        <w:tab/>
      </w:r>
      <w:r>
        <w:fldChar w:fldCharType="begin"/>
      </w:r>
      <w:r>
        <w:instrText xml:space="preserve"> PAGEREF _Toc32180 \h </w:instrText>
      </w:r>
      <w:r>
        <w:fldChar w:fldCharType="separate"/>
      </w:r>
      <w:r>
        <w:t>2</w:t>
      </w:r>
      <w:r>
        <w:fldChar w:fldCharType="end"/>
      </w:r>
      <w:r>
        <w:rPr>
          <w:szCs w:val="28"/>
        </w:rPr>
        <w:fldChar w:fldCharType="end"/>
      </w:r>
    </w:p>
    <w:p>
      <w:pPr>
        <w:pStyle w:val="4"/>
        <w:tabs>
          <w:tab w:val="right" w:leader="dot" w:pos="14800"/>
        </w:tabs>
      </w:pPr>
      <w:r>
        <w:rPr>
          <w:szCs w:val="28"/>
        </w:rPr>
        <w:fldChar w:fldCharType="begin"/>
      </w:r>
      <w:r>
        <w:rPr>
          <w:szCs w:val="28"/>
        </w:rPr>
        <w:instrText xml:space="preserve"> HYPERLINK \l _Toc17031 </w:instrText>
      </w:r>
      <w:r>
        <w:rPr>
          <w:szCs w:val="28"/>
        </w:rP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_Toc17031 \h </w:instrText>
      </w:r>
      <w:r>
        <w:fldChar w:fldCharType="separate"/>
      </w:r>
      <w:r>
        <w:t>5</w:t>
      </w:r>
      <w:r>
        <w:fldChar w:fldCharType="end"/>
      </w:r>
      <w:r>
        <w:rPr>
          <w:szCs w:val="28"/>
        </w:rPr>
        <w:fldChar w:fldCharType="end"/>
      </w:r>
    </w:p>
    <w:p>
      <w:pPr>
        <w:pStyle w:val="4"/>
        <w:tabs>
          <w:tab w:val="right" w:leader="dot" w:pos="14800"/>
        </w:tabs>
      </w:pPr>
      <w:r>
        <w:rPr>
          <w:szCs w:val="28"/>
        </w:rPr>
        <w:fldChar w:fldCharType="begin"/>
      </w:r>
      <w:r>
        <w:rPr>
          <w:szCs w:val="28"/>
        </w:rPr>
        <w:instrText xml:space="preserve"> HYPERLINK \l _Toc3963 </w:instrText>
      </w:r>
      <w:r>
        <w:rPr>
          <w:szCs w:val="28"/>
        </w:rPr>
        <w:fldChar w:fldCharType="separate"/>
      </w:r>
      <w:r>
        <w:rPr>
          <w:rFonts w:ascii="方正小标宋_GBK" w:hAnsi="方正小标宋_GBK" w:eastAsia="方正小标宋_GBK" w:cs="方正小标宋_GBK"/>
        </w:rPr>
        <w:t>部门预算支出总表</w:t>
      </w:r>
      <w:r>
        <w:tab/>
      </w:r>
      <w:r>
        <w:fldChar w:fldCharType="begin"/>
      </w:r>
      <w:r>
        <w:instrText xml:space="preserve"> PAGEREF _Toc3963 \h </w:instrText>
      </w:r>
      <w:r>
        <w:fldChar w:fldCharType="separate"/>
      </w:r>
      <w:r>
        <w:t>8</w:t>
      </w:r>
      <w:r>
        <w:fldChar w:fldCharType="end"/>
      </w:r>
      <w:r>
        <w:rPr>
          <w:szCs w:val="28"/>
        </w:rPr>
        <w:fldChar w:fldCharType="end"/>
      </w:r>
    </w:p>
    <w:p>
      <w:pPr>
        <w:pStyle w:val="4"/>
        <w:tabs>
          <w:tab w:val="right" w:leader="dot" w:pos="14800"/>
        </w:tabs>
      </w:pPr>
      <w:r>
        <w:rPr>
          <w:szCs w:val="28"/>
        </w:rPr>
        <w:fldChar w:fldCharType="begin"/>
      </w:r>
      <w:r>
        <w:rPr>
          <w:szCs w:val="28"/>
        </w:rPr>
        <w:instrText xml:space="preserve"> HYPERLINK \l _Toc21704 </w:instrText>
      </w:r>
      <w:r>
        <w:rPr>
          <w:szCs w:val="28"/>
        </w:rP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_Toc21704 \h </w:instrText>
      </w:r>
      <w:r>
        <w:fldChar w:fldCharType="separate"/>
      </w:r>
      <w:r>
        <w:t>10</w:t>
      </w:r>
      <w:r>
        <w:fldChar w:fldCharType="end"/>
      </w:r>
      <w:r>
        <w:rPr>
          <w:szCs w:val="28"/>
        </w:rPr>
        <w:fldChar w:fldCharType="end"/>
      </w:r>
    </w:p>
    <w:p>
      <w:pPr>
        <w:pStyle w:val="4"/>
        <w:tabs>
          <w:tab w:val="right" w:leader="dot" w:pos="14800"/>
        </w:tabs>
      </w:pPr>
      <w:r>
        <w:rPr>
          <w:szCs w:val="28"/>
        </w:rPr>
        <w:fldChar w:fldCharType="begin"/>
      </w:r>
      <w:r>
        <w:rPr>
          <w:szCs w:val="28"/>
        </w:rPr>
        <w:instrText xml:space="preserve"> HYPERLINK \l _Toc17686 </w:instrText>
      </w:r>
      <w:r>
        <w:rPr>
          <w:szCs w:val="28"/>
        </w:rP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_Toc17686 \h </w:instrText>
      </w:r>
      <w:r>
        <w:fldChar w:fldCharType="separate"/>
      </w:r>
      <w:r>
        <w:t>16</w:t>
      </w:r>
      <w:r>
        <w:fldChar w:fldCharType="end"/>
      </w:r>
      <w:r>
        <w:rPr>
          <w:szCs w:val="28"/>
        </w:rPr>
        <w:fldChar w:fldCharType="end"/>
      </w:r>
    </w:p>
    <w:p>
      <w:pPr>
        <w:pStyle w:val="4"/>
        <w:tabs>
          <w:tab w:val="right" w:leader="dot" w:pos="14800"/>
        </w:tabs>
      </w:pPr>
      <w:r>
        <w:rPr>
          <w:szCs w:val="28"/>
        </w:rPr>
        <w:fldChar w:fldCharType="begin"/>
      </w:r>
      <w:r>
        <w:rPr>
          <w:szCs w:val="28"/>
        </w:rPr>
        <w:instrText xml:space="preserve"> HYPERLINK \l _Toc9601 </w:instrText>
      </w:r>
      <w:r>
        <w:rPr>
          <w:szCs w:val="28"/>
        </w:rP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_Toc9601 \h </w:instrText>
      </w:r>
      <w:r>
        <w:fldChar w:fldCharType="separate"/>
      </w:r>
      <w:r>
        <w:t>18</w:t>
      </w:r>
      <w:r>
        <w:fldChar w:fldCharType="end"/>
      </w:r>
      <w:r>
        <w:rPr>
          <w:szCs w:val="28"/>
        </w:rPr>
        <w:fldChar w:fldCharType="end"/>
      </w:r>
    </w:p>
    <w:p>
      <w:pPr>
        <w:pStyle w:val="4"/>
        <w:tabs>
          <w:tab w:val="right" w:leader="dot" w:pos="14800"/>
        </w:tabs>
      </w:pPr>
      <w:r>
        <w:rPr>
          <w:szCs w:val="28"/>
        </w:rPr>
        <w:fldChar w:fldCharType="begin"/>
      </w:r>
      <w:r>
        <w:rPr>
          <w:szCs w:val="28"/>
        </w:rPr>
        <w:instrText xml:space="preserve"> HYPERLINK \l _Toc23153 </w:instrText>
      </w:r>
      <w:r>
        <w:rPr>
          <w:szCs w:val="28"/>
        </w:rP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_Toc23153 \h </w:instrText>
      </w:r>
      <w:r>
        <w:fldChar w:fldCharType="separate"/>
      </w:r>
      <w:r>
        <w:t>20</w:t>
      </w:r>
      <w:r>
        <w:fldChar w:fldCharType="end"/>
      </w:r>
      <w:r>
        <w:rPr>
          <w:szCs w:val="28"/>
        </w:rPr>
        <w:fldChar w:fldCharType="end"/>
      </w:r>
    </w:p>
    <w:p>
      <w:pPr>
        <w:pStyle w:val="4"/>
        <w:tabs>
          <w:tab w:val="right" w:leader="dot" w:pos="14800"/>
        </w:tabs>
      </w:pPr>
      <w:r>
        <w:rPr>
          <w:szCs w:val="28"/>
        </w:rPr>
        <w:fldChar w:fldCharType="begin"/>
      </w:r>
      <w:r>
        <w:rPr>
          <w:szCs w:val="28"/>
        </w:rPr>
        <w:instrText xml:space="preserve"> HYPERLINK \l _Toc14972 </w:instrText>
      </w:r>
      <w:r>
        <w:rPr>
          <w:szCs w:val="28"/>
        </w:rP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_Toc14972 \h </w:instrText>
      </w:r>
      <w:r>
        <w:fldChar w:fldCharType="separate"/>
      </w:r>
      <w:r>
        <w:t>21</w:t>
      </w:r>
      <w:r>
        <w:fldChar w:fldCharType="end"/>
      </w:r>
      <w:r>
        <w:rPr>
          <w:szCs w:val="28"/>
        </w:rPr>
        <w:fldChar w:fldCharType="end"/>
      </w:r>
    </w:p>
    <w:p>
      <w:pPr>
        <w:pStyle w:val="4"/>
        <w:tabs>
          <w:tab w:val="right" w:leader="dot" w:pos="14800"/>
        </w:tabs>
      </w:pPr>
      <w:r>
        <w:rPr>
          <w:szCs w:val="28"/>
        </w:rPr>
        <w:fldChar w:fldCharType="begin"/>
      </w:r>
      <w:r>
        <w:rPr>
          <w:szCs w:val="28"/>
        </w:rPr>
        <w:instrText xml:space="preserve"> HYPERLINK \l _Toc22903 </w:instrText>
      </w:r>
      <w:r>
        <w:rPr>
          <w:szCs w:val="28"/>
        </w:rP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_Toc22903 \h </w:instrText>
      </w:r>
      <w:r>
        <w:fldChar w:fldCharType="separate"/>
      </w:r>
      <w:r>
        <w:t>22</w:t>
      </w:r>
      <w:r>
        <w:fldChar w:fldCharType="end"/>
      </w:r>
      <w:r>
        <w:rPr>
          <w:szCs w:val="28"/>
        </w:rPr>
        <w:fldChar w:fldCharType="end"/>
      </w:r>
    </w:p>
    <w:p>
      <w:pPr>
        <w:rPr>
          <w:sz w:val="28"/>
          <w:szCs w:val="28"/>
        </w:rPr>
      </w:pPr>
      <w:r>
        <w:rPr>
          <w:szCs w:val="28"/>
        </w:rP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800"/>
        </w:tabs>
      </w:pPr>
      <w:bookmarkStart w:id="22" w:name="_GoBack"/>
      <w:bookmarkEnd w:id="22"/>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TOC \o "3-3" \h \z \u</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Cs w:val="28"/>
        </w:rPr>
        <w:fldChar w:fldCharType="begin"/>
      </w:r>
      <w:r>
        <w:rPr>
          <w:rFonts w:ascii="方正小标宋_GBK" w:hAnsi="方正小标宋_GBK" w:eastAsia="方正小标宋_GBK" w:cs="方正小标宋_GBK"/>
          <w:szCs w:val="28"/>
        </w:rPr>
        <w:instrText xml:space="preserve"> HYPERLINK \l _Toc24448 </w:instrText>
      </w:r>
      <w:r>
        <w:rPr>
          <w:rFonts w:ascii="方正小标宋_GBK" w:hAnsi="方正小标宋_GBK" w:eastAsia="方正小标宋_GBK" w:cs="方正小标宋_GBK"/>
          <w:szCs w:val="28"/>
        </w:rPr>
        <w:fldChar w:fldCharType="separate"/>
      </w:r>
      <w:r>
        <w:rPr>
          <w:rFonts w:ascii="黑体" w:hAnsi="黑体" w:eastAsia="黑体" w:cs="黑体"/>
        </w:rPr>
        <w:t>一、部门职责及机构设置情况</w:t>
      </w:r>
      <w:r>
        <w:tab/>
      </w:r>
      <w:r>
        <w:fldChar w:fldCharType="begin"/>
      </w:r>
      <w:r>
        <w:instrText xml:space="preserve"> PAGEREF _Toc24448 \h </w:instrText>
      </w:r>
      <w:r>
        <w:fldChar w:fldCharType="separate"/>
      </w:r>
      <w:r>
        <w:t>24</w:t>
      </w:r>
      <w:r>
        <w:fldChar w:fldCharType="end"/>
      </w:r>
      <w:r>
        <w:rPr>
          <w:rFonts w:ascii="方正小标宋_GBK" w:hAnsi="方正小标宋_GBK" w:eastAsia="方正小标宋_GBK" w:cs="方正小标宋_GBK"/>
          <w:szCs w:val="28"/>
        </w:rPr>
        <w:fldChar w:fldCharType="end"/>
      </w:r>
    </w:p>
    <w:p>
      <w:pPr>
        <w:pStyle w:val="2"/>
        <w:tabs>
          <w:tab w:val="right" w:leader="dot" w:pos="14800"/>
        </w:tabs>
        <w:ind w:left="0" w:leftChars="0" w:firstLine="840" w:firstLineChars="400"/>
      </w:pPr>
      <w:r>
        <w:rPr>
          <w:rFonts w:ascii="方正小标宋_GBK" w:hAnsi="方正小标宋_GBK" w:eastAsia="方正小标宋_GBK" w:cs="方正小标宋_GBK"/>
          <w:szCs w:val="28"/>
        </w:rPr>
        <w:fldChar w:fldCharType="begin"/>
      </w:r>
      <w:r>
        <w:rPr>
          <w:rFonts w:ascii="方正小标宋_GBK" w:hAnsi="方正小标宋_GBK" w:eastAsia="方正小标宋_GBK" w:cs="方正小标宋_GBK"/>
          <w:szCs w:val="28"/>
        </w:rPr>
        <w:instrText xml:space="preserve"> HYPERLINK \l _Toc5611 </w:instrText>
      </w:r>
      <w:r>
        <w:rPr>
          <w:rFonts w:ascii="方正小标宋_GBK" w:hAnsi="方正小标宋_GBK" w:eastAsia="方正小标宋_GBK" w:cs="方正小标宋_GBK"/>
          <w:szCs w:val="28"/>
        </w:rPr>
        <w:fldChar w:fldCharType="separate"/>
      </w:r>
      <w:r>
        <w:rPr>
          <w:rFonts w:ascii="黑体" w:hAnsi="黑体" w:eastAsia="黑体" w:cs="黑体"/>
        </w:rPr>
        <w:t>二、部门预算安排的总体情况</w:t>
      </w:r>
      <w:r>
        <w:tab/>
      </w:r>
      <w:r>
        <w:fldChar w:fldCharType="begin"/>
      </w:r>
      <w:r>
        <w:instrText xml:space="preserve"> PAGEREF _Toc5611 \h </w:instrText>
      </w:r>
      <w:r>
        <w:fldChar w:fldCharType="separate"/>
      </w:r>
      <w:r>
        <w:t>25</w:t>
      </w:r>
      <w:r>
        <w:fldChar w:fldCharType="end"/>
      </w:r>
      <w:r>
        <w:rPr>
          <w:rFonts w:ascii="方正小标宋_GBK" w:hAnsi="方正小标宋_GBK" w:eastAsia="方正小标宋_GBK" w:cs="方正小标宋_GBK"/>
          <w:szCs w:val="28"/>
        </w:rPr>
        <w:fldChar w:fldCharType="end"/>
      </w:r>
    </w:p>
    <w:p>
      <w:pPr>
        <w:pStyle w:val="2"/>
        <w:tabs>
          <w:tab w:val="right" w:leader="dot" w:pos="14800"/>
        </w:tabs>
      </w:pPr>
      <w:r>
        <w:rPr>
          <w:rFonts w:ascii="方正小标宋_GBK" w:hAnsi="方正小标宋_GBK" w:eastAsia="方正小标宋_GBK" w:cs="方正小标宋_GBK"/>
          <w:szCs w:val="28"/>
        </w:rPr>
        <w:fldChar w:fldCharType="begin"/>
      </w:r>
      <w:r>
        <w:rPr>
          <w:rFonts w:ascii="方正小标宋_GBK" w:hAnsi="方正小标宋_GBK" w:eastAsia="方正小标宋_GBK" w:cs="方正小标宋_GBK"/>
          <w:szCs w:val="28"/>
        </w:rPr>
        <w:instrText xml:space="preserve"> HYPERLINK \l _Toc15174 </w:instrText>
      </w:r>
      <w:r>
        <w:rPr>
          <w:rFonts w:ascii="方正小标宋_GBK" w:hAnsi="方正小标宋_GBK" w:eastAsia="方正小标宋_GBK" w:cs="方正小标宋_GBK"/>
          <w:szCs w:val="28"/>
        </w:rPr>
        <w:fldChar w:fldCharType="separate"/>
      </w:r>
      <w:r>
        <w:rPr>
          <w:rFonts w:hint="eastAsia" w:ascii="黑体" w:hAnsi="黑体" w:eastAsia="黑体" w:cs="黑体"/>
        </w:rPr>
        <w:t>三、</w:t>
      </w:r>
      <w:r>
        <w:rPr>
          <w:rFonts w:ascii="黑体" w:hAnsi="黑体" w:eastAsia="黑体" w:cs="黑体"/>
        </w:rPr>
        <w:t>机关运行经费安排情况</w:t>
      </w:r>
      <w:r>
        <w:tab/>
      </w:r>
      <w:r>
        <w:fldChar w:fldCharType="begin"/>
      </w:r>
      <w:r>
        <w:instrText xml:space="preserve"> PAGEREF _Toc15174 \h </w:instrText>
      </w:r>
      <w:r>
        <w:fldChar w:fldCharType="separate"/>
      </w:r>
      <w:r>
        <w:t>26</w:t>
      </w:r>
      <w:r>
        <w:fldChar w:fldCharType="end"/>
      </w:r>
      <w:r>
        <w:rPr>
          <w:rFonts w:ascii="方正小标宋_GBK" w:hAnsi="方正小标宋_GBK" w:eastAsia="方正小标宋_GBK" w:cs="方正小标宋_GBK"/>
          <w:szCs w:val="28"/>
        </w:rPr>
        <w:fldChar w:fldCharType="end"/>
      </w:r>
    </w:p>
    <w:p>
      <w:pPr>
        <w:pStyle w:val="2"/>
        <w:tabs>
          <w:tab w:val="right" w:leader="dot" w:pos="14800"/>
        </w:tabs>
      </w:pPr>
      <w:r>
        <w:rPr>
          <w:rFonts w:ascii="方正小标宋_GBK" w:hAnsi="方正小标宋_GBK" w:eastAsia="方正小标宋_GBK" w:cs="方正小标宋_GBK"/>
          <w:szCs w:val="28"/>
        </w:rPr>
        <w:fldChar w:fldCharType="begin"/>
      </w:r>
      <w:r>
        <w:rPr>
          <w:rFonts w:ascii="方正小标宋_GBK" w:hAnsi="方正小标宋_GBK" w:eastAsia="方正小标宋_GBK" w:cs="方正小标宋_GBK"/>
          <w:szCs w:val="28"/>
        </w:rPr>
        <w:instrText xml:space="preserve"> HYPERLINK \l _Toc28301 </w:instrText>
      </w:r>
      <w:r>
        <w:rPr>
          <w:rFonts w:ascii="方正小标宋_GBK" w:hAnsi="方正小标宋_GBK" w:eastAsia="方正小标宋_GBK" w:cs="方正小标宋_GBK"/>
          <w:szCs w:val="28"/>
        </w:rPr>
        <w:fldChar w:fldCharType="separate"/>
      </w:r>
      <w:r>
        <w:rPr>
          <w:rFonts w:hint="eastAsia" w:ascii="黑体" w:hAnsi="黑体" w:eastAsia="黑体" w:cs="黑体"/>
          <w:lang w:eastAsia="zh-CN"/>
        </w:rPr>
        <w:t>四、</w:t>
      </w:r>
      <w:r>
        <w:rPr>
          <w:rFonts w:ascii="黑体" w:hAnsi="黑体" w:eastAsia="黑体" w:cs="黑体"/>
        </w:rPr>
        <w:t>财政拨款“三公”经费预算情况及增减变化原因</w:t>
      </w:r>
      <w:r>
        <w:tab/>
      </w:r>
      <w:r>
        <w:fldChar w:fldCharType="begin"/>
      </w:r>
      <w:r>
        <w:instrText xml:space="preserve"> PAGEREF _Toc28301 \h </w:instrText>
      </w:r>
      <w:r>
        <w:fldChar w:fldCharType="separate"/>
      </w:r>
      <w:r>
        <w:t>26</w:t>
      </w:r>
      <w:r>
        <w:fldChar w:fldCharType="end"/>
      </w:r>
      <w:r>
        <w:rPr>
          <w:rFonts w:ascii="方正小标宋_GBK" w:hAnsi="方正小标宋_GBK" w:eastAsia="方正小标宋_GBK" w:cs="方正小标宋_GBK"/>
          <w:szCs w:val="28"/>
        </w:rPr>
        <w:fldChar w:fldCharType="end"/>
      </w:r>
    </w:p>
    <w:p>
      <w:pPr>
        <w:pStyle w:val="2"/>
        <w:tabs>
          <w:tab w:val="right" w:leader="dot" w:pos="14800"/>
        </w:tabs>
      </w:pPr>
      <w:r>
        <w:rPr>
          <w:rFonts w:ascii="方正小标宋_GBK" w:hAnsi="方正小标宋_GBK" w:eastAsia="方正小标宋_GBK" w:cs="方正小标宋_GBK"/>
          <w:szCs w:val="28"/>
        </w:rPr>
        <w:fldChar w:fldCharType="begin"/>
      </w:r>
      <w:r>
        <w:rPr>
          <w:rFonts w:ascii="方正小标宋_GBK" w:hAnsi="方正小标宋_GBK" w:eastAsia="方正小标宋_GBK" w:cs="方正小标宋_GBK"/>
          <w:szCs w:val="28"/>
        </w:rPr>
        <w:instrText xml:space="preserve"> HYPERLINK \l _Toc13090 </w:instrText>
      </w:r>
      <w:r>
        <w:rPr>
          <w:rFonts w:ascii="方正小标宋_GBK" w:hAnsi="方正小标宋_GBK" w:eastAsia="方正小标宋_GBK" w:cs="方正小标宋_GBK"/>
          <w:szCs w:val="28"/>
        </w:rPr>
        <w:fldChar w:fldCharType="separate"/>
      </w:r>
      <w:r>
        <w:rPr>
          <w:rFonts w:ascii="黑体" w:hAnsi="黑体" w:eastAsia="黑体" w:cs="黑体"/>
        </w:rPr>
        <w:t>五、预算绩效信息</w:t>
      </w:r>
      <w:r>
        <w:tab/>
      </w:r>
      <w:r>
        <w:fldChar w:fldCharType="begin"/>
      </w:r>
      <w:r>
        <w:instrText xml:space="preserve"> PAGEREF _Toc13090 \h </w:instrText>
      </w:r>
      <w:r>
        <w:fldChar w:fldCharType="separate"/>
      </w:r>
      <w:r>
        <w:t>26</w:t>
      </w:r>
      <w:r>
        <w:fldChar w:fldCharType="end"/>
      </w:r>
      <w:r>
        <w:rPr>
          <w:rFonts w:ascii="方正小标宋_GBK" w:hAnsi="方正小标宋_GBK" w:eastAsia="方正小标宋_GBK" w:cs="方正小标宋_GBK"/>
          <w:szCs w:val="28"/>
        </w:rPr>
        <w:fldChar w:fldCharType="end"/>
      </w:r>
    </w:p>
    <w:p>
      <w:pPr>
        <w:pStyle w:val="2"/>
        <w:tabs>
          <w:tab w:val="right" w:leader="dot" w:pos="14800"/>
        </w:tabs>
      </w:pPr>
      <w:r>
        <w:rPr>
          <w:rFonts w:ascii="方正小标宋_GBK" w:hAnsi="方正小标宋_GBK" w:eastAsia="方正小标宋_GBK" w:cs="方正小标宋_GBK"/>
          <w:szCs w:val="28"/>
        </w:rPr>
        <w:fldChar w:fldCharType="begin"/>
      </w:r>
      <w:r>
        <w:rPr>
          <w:rFonts w:ascii="方正小标宋_GBK" w:hAnsi="方正小标宋_GBK" w:eastAsia="方正小标宋_GBK" w:cs="方正小标宋_GBK"/>
          <w:szCs w:val="28"/>
        </w:rPr>
        <w:instrText xml:space="preserve"> HYPERLINK \l _Toc12500 </w:instrText>
      </w:r>
      <w:r>
        <w:rPr>
          <w:rFonts w:ascii="方正小标宋_GBK" w:hAnsi="方正小标宋_GBK" w:eastAsia="方正小标宋_GBK" w:cs="方正小标宋_GBK"/>
          <w:szCs w:val="28"/>
        </w:rPr>
        <w:fldChar w:fldCharType="separate"/>
      </w:r>
      <w:r>
        <w:rPr>
          <w:rFonts w:ascii="黑体" w:hAnsi="黑体" w:eastAsia="黑体" w:cs="黑体"/>
        </w:rPr>
        <w:t>六、政府采购预算情况</w:t>
      </w:r>
      <w:r>
        <w:tab/>
      </w:r>
      <w:r>
        <w:fldChar w:fldCharType="begin"/>
      </w:r>
      <w:r>
        <w:instrText xml:space="preserve"> PAGEREF _Toc12500 \h </w:instrText>
      </w:r>
      <w:r>
        <w:fldChar w:fldCharType="separate"/>
      </w:r>
      <w:r>
        <w:t>38</w:t>
      </w:r>
      <w:r>
        <w:fldChar w:fldCharType="end"/>
      </w:r>
      <w:r>
        <w:rPr>
          <w:rFonts w:ascii="方正小标宋_GBK" w:hAnsi="方正小标宋_GBK" w:eastAsia="方正小标宋_GBK" w:cs="方正小标宋_GBK"/>
          <w:szCs w:val="28"/>
        </w:rPr>
        <w:fldChar w:fldCharType="end"/>
      </w:r>
    </w:p>
    <w:p>
      <w:pPr>
        <w:pStyle w:val="2"/>
        <w:tabs>
          <w:tab w:val="right" w:leader="dot" w:pos="14800"/>
        </w:tabs>
      </w:pPr>
      <w:r>
        <w:rPr>
          <w:rFonts w:ascii="方正小标宋_GBK" w:hAnsi="方正小标宋_GBK" w:eastAsia="方正小标宋_GBK" w:cs="方正小标宋_GBK"/>
          <w:szCs w:val="28"/>
        </w:rPr>
        <w:fldChar w:fldCharType="begin"/>
      </w:r>
      <w:r>
        <w:rPr>
          <w:rFonts w:ascii="方正小标宋_GBK" w:hAnsi="方正小标宋_GBK" w:eastAsia="方正小标宋_GBK" w:cs="方正小标宋_GBK"/>
          <w:szCs w:val="28"/>
        </w:rPr>
        <w:instrText xml:space="preserve"> HYPERLINK \l _Toc24919 </w:instrText>
      </w:r>
      <w:r>
        <w:rPr>
          <w:rFonts w:ascii="方正小标宋_GBK" w:hAnsi="方正小标宋_GBK" w:eastAsia="方正小标宋_GBK" w:cs="方正小标宋_GBK"/>
          <w:szCs w:val="28"/>
        </w:rPr>
        <w:fldChar w:fldCharType="separate"/>
      </w:r>
      <w:r>
        <w:rPr>
          <w:rFonts w:ascii="黑体" w:hAnsi="黑体" w:eastAsia="黑体" w:cs="黑体"/>
        </w:rPr>
        <w:t>七、国有资产信息</w:t>
      </w:r>
      <w:r>
        <w:tab/>
      </w:r>
      <w:r>
        <w:fldChar w:fldCharType="begin"/>
      </w:r>
      <w:r>
        <w:instrText xml:space="preserve"> PAGEREF _Toc24919 \h </w:instrText>
      </w:r>
      <w:r>
        <w:fldChar w:fldCharType="separate"/>
      </w:r>
      <w:r>
        <w:t>40</w:t>
      </w:r>
      <w:r>
        <w:fldChar w:fldCharType="end"/>
      </w:r>
      <w:r>
        <w:rPr>
          <w:rFonts w:ascii="方正小标宋_GBK" w:hAnsi="方正小标宋_GBK" w:eastAsia="方正小标宋_GBK" w:cs="方正小标宋_GBK"/>
          <w:szCs w:val="28"/>
        </w:rPr>
        <w:fldChar w:fldCharType="end"/>
      </w:r>
    </w:p>
    <w:p>
      <w:pPr>
        <w:pStyle w:val="2"/>
        <w:tabs>
          <w:tab w:val="right" w:leader="dot" w:pos="14800"/>
        </w:tabs>
      </w:pPr>
      <w:r>
        <w:rPr>
          <w:rFonts w:ascii="方正小标宋_GBK" w:hAnsi="方正小标宋_GBK" w:eastAsia="方正小标宋_GBK" w:cs="方正小标宋_GBK"/>
          <w:szCs w:val="28"/>
        </w:rPr>
        <w:fldChar w:fldCharType="begin"/>
      </w:r>
      <w:r>
        <w:rPr>
          <w:rFonts w:ascii="方正小标宋_GBK" w:hAnsi="方正小标宋_GBK" w:eastAsia="方正小标宋_GBK" w:cs="方正小标宋_GBK"/>
          <w:szCs w:val="28"/>
        </w:rPr>
        <w:instrText xml:space="preserve"> HYPERLINK \l _Toc28467 </w:instrText>
      </w:r>
      <w:r>
        <w:rPr>
          <w:rFonts w:ascii="方正小标宋_GBK" w:hAnsi="方正小标宋_GBK" w:eastAsia="方正小标宋_GBK" w:cs="方正小标宋_GBK"/>
          <w:szCs w:val="28"/>
        </w:rPr>
        <w:fldChar w:fldCharType="separate"/>
      </w:r>
      <w:r>
        <w:rPr>
          <w:rFonts w:ascii="黑体" w:hAnsi="黑体" w:eastAsia="黑体" w:cs="黑体"/>
        </w:rPr>
        <w:t>八、名词解释</w:t>
      </w:r>
      <w:r>
        <w:tab/>
      </w:r>
      <w:r>
        <w:fldChar w:fldCharType="begin"/>
      </w:r>
      <w:r>
        <w:instrText xml:space="preserve"> PAGEREF _Toc28467 \h </w:instrText>
      </w:r>
      <w:r>
        <w:fldChar w:fldCharType="separate"/>
      </w:r>
      <w:r>
        <w:t>41</w:t>
      </w:r>
      <w:r>
        <w:fldChar w:fldCharType="end"/>
      </w:r>
      <w:r>
        <w:rPr>
          <w:rFonts w:ascii="方正小标宋_GBK" w:hAnsi="方正小标宋_GBK" w:eastAsia="方正小标宋_GBK" w:cs="方正小标宋_GBK"/>
          <w:szCs w:val="28"/>
        </w:rPr>
        <w:fldChar w:fldCharType="end"/>
      </w:r>
    </w:p>
    <w:p>
      <w:pPr>
        <w:pStyle w:val="2"/>
        <w:tabs>
          <w:tab w:val="right" w:leader="dot" w:pos="14800"/>
        </w:tabs>
      </w:pPr>
      <w:r>
        <w:rPr>
          <w:rFonts w:ascii="方正小标宋_GBK" w:hAnsi="方正小标宋_GBK" w:eastAsia="方正小标宋_GBK" w:cs="方正小标宋_GBK"/>
          <w:szCs w:val="28"/>
        </w:rPr>
        <w:fldChar w:fldCharType="begin"/>
      </w:r>
      <w:r>
        <w:rPr>
          <w:rFonts w:ascii="方正小标宋_GBK" w:hAnsi="方正小标宋_GBK" w:eastAsia="方正小标宋_GBK" w:cs="方正小标宋_GBK"/>
          <w:szCs w:val="28"/>
        </w:rPr>
        <w:instrText xml:space="preserve"> HYPERLINK \l _Toc21221 </w:instrText>
      </w:r>
      <w:r>
        <w:rPr>
          <w:rFonts w:ascii="方正小标宋_GBK" w:hAnsi="方正小标宋_GBK" w:eastAsia="方正小标宋_GBK" w:cs="方正小标宋_GBK"/>
          <w:szCs w:val="28"/>
        </w:rPr>
        <w:fldChar w:fldCharType="separate"/>
      </w:r>
      <w:r>
        <w:rPr>
          <w:rFonts w:ascii="黑体" w:hAnsi="黑体" w:eastAsia="黑体" w:cs="黑体"/>
        </w:rPr>
        <w:t>九、其他需要说明的事项</w:t>
      </w:r>
      <w:r>
        <w:tab/>
      </w:r>
      <w:r>
        <w:fldChar w:fldCharType="begin"/>
      </w:r>
      <w:r>
        <w:instrText xml:space="preserve"> PAGEREF _Toc21221 \h </w:instrText>
      </w:r>
      <w:r>
        <w:fldChar w:fldCharType="separate"/>
      </w:r>
      <w:r>
        <w:t>42</w:t>
      </w:r>
      <w:r>
        <w:fldChar w:fldCharType="end"/>
      </w:r>
      <w:r>
        <w:rPr>
          <w:rFonts w:ascii="方正小标宋_GBK" w:hAnsi="方正小标宋_GBK" w:eastAsia="方正小标宋_GBK" w:cs="方正小标宋_GBK"/>
          <w:szCs w:val="28"/>
        </w:rPr>
        <w:fldChar w:fldCharType="end"/>
      </w:r>
    </w:p>
    <w:p>
      <w:pPr>
        <w:pStyle w:val="4"/>
        <w:tabs>
          <w:tab w:val="right" w:leader="dot" w:pos="14800"/>
        </w:tabs>
        <w:ind w:left="0" w:leftChars="0" w:firstLine="0" w:firstLineChars="0"/>
        <w:rPr>
          <w:rFonts w:ascii="方正小标宋_GBK" w:hAnsi="方正小标宋_GBK" w:eastAsia="方正小标宋_GBK" w:cs="方正小标宋_GBK"/>
          <w:color w:val="000000"/>
          <w:sz w:val="36"/>
        </w:rPr>
      </w:pPr>
      <w:r>
        <w:rPr>
          <w:rFonts w:ascii="方正小标宋_GBK" w:hAnsi="方正小标宋_GBK" w:eastAsia="方正小标宋_GBK" w:cs="方正小标宋_GBK"/>
          <w:szCs w:val="28"/>
        </w:rPr>
        <w:fldChar w:fldCharType="end"/>
      </w:r>
    </w:p>
    <w:p>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1"/>
      </w:pPr>
      <w:bookmarkStart w:id="0" w:name="_Toc32180"/>
      <w:r>
        <w:rPr>
          <w:rFonts w:ascii="方正小标宋_GBK" w:hAnsi="方正小标宋_GBK" w:eastAsia="方正小标宋_GBK" w:cs="方正小标宋_GBK"/>
          <w:color w:val="000000"/>
          <w:sz w:val="36"/>
        </w:rPr>
        <w:t>部门预算收支总表</w:t>
      </w:r>
      <w:bookmarkEnd w:id="0"/>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2197"/>
        <w:gridCol w:w="1745"/>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168" w:type="dxa"/>
            <w:gridSpan w:val="2"/>
            <w:tcBorders>
              <w:top w:val="single" w:color="FFFFFF" w:sz="6" w:space="0"/>
              <w:left w:val="single" w:color="FFFFFF" w:sz="6" w:space="0"/>
              <w:right w:val="single" w:color="FFFFFF" w:sz="6" w:space="0"/>
            </w:tcBorders>
            <w:vAlign w:val="center"/>
          </w:tcPr>
          <w:p>
            <w:pPr>
              <w:pStyle w:val="7"/>
              <w:rPr>
                <w:rFonts w:hint="eastAsia" w:eastAsia="方正小标宋_GBK"/>
                <w:lang w:val="en-US" w:eastAsia="zh-CN"/>
              </w:rPr>
            </w:pPr>
            <w:r>
              <w:t>426石家庄市藁城区应急管理局</w:t>
            </w:r>
            <w:r>
              <w:rPr>
                <w:rFonts w:hint="eastAsia"/>
                <w:lang w:val="en-US" w:eastAsia="zh-CN"/>
              </w:rPr>
              <w:t>本级</w:t>
            </w:r>
          </w:p>
        </w:tc>
        <w:tc>
          <w:tcPr>
            <w:tcW w:w="1745" w:type="dxa"/>
            <w:tcBorders>
              <w:top w:val="single" w:color="FFFFFF" w:sz="6" w:space="0"/>
              <w:left w:val="single" w:color="FFFFFF" w:sz="6" w:space="0"/>
              <w:right w:val="single" w:color="FFFFFF" w:sz="6" w:space="0"/>
            </w:tcBorders>
            <w:vAlign w:val="center"/>
          </w:tcPr>
          <w:p>
            <w:pPr>
              <w:pStyle w:val="8"/>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0"/>
            </w:pPr>
            <w:r>
              <w:t>序号</w:t>
            </w:r>
          </w:p>
        </w:tc>
        <w:tc>
          <w:tcPr>
            <w:tcW w:w="3942" w:type="dxa"/>
            <w:gridSpan w:val="2"/>
            <w:vAlign w:val="center"/>
          </w:tcPr>
          <w:p>
            <w:pPr>
              <w:pStyle w:val="10"/>
            </w:pPr>
            <w:r>
              <w:t>收入</w:t>
            </w:r>
          </w:p>
        </w:tc>
        <w:tc>
          <w:tcPr>
            <w:tcW w:w="3942"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2197" w:type="dxa"/>
            <w:vAlign w:val="center"/>
          </w:tcPr>
          <w:p>
            <w:pPr>
              <w:pStyle w:val="10"/>
            </w:pPr>
            <w:r>
              <w:t>项  目</w:t>
            </w:r>
          </w:p>
        </w:tc>
        <w:tc>
          <w:tcPr>
            <w:tcW w:w="1745" w:type="dxa"/>
            <w:vAlign w:val="center"/>
          </w:tcPr>
          <w:p>
            <w:pPr>
              <w:pStyle w:val="10"/>
            </w:pPr>
            <w:r>
              <w:t>预算数</w:t>
            </w:r>
          </w:p>
        </w:tc>
        <w:tc>
          <w:tcPr>
            <w:tcW w:w="1971" w:type="dxa"/>
            <w:vAlign w:val="center"/>
          </w:tcPr>
          <w:p>
            <w:pPr>
              <w:pStyle w:val="10"/>
            </w:pPr>
            <w:r>
              <w:t>项  目</w:t>
            </w:r>
          </w:p>
        </w:tc>
        <w:tc>
          <w:tcPr>
            <w:tcW w:w="1971"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0"/>
            </w:pPr>
            <w:r>
              <w:t>栏次</w:t>
            </w:r>
          </w:p>
        </w:tc>
        <w:tc>
          <w:tcPr>
            <w:tcW w:w="2197" w:type="dxa"/>
            <w:vAlign w:val="center"/>
          </w:tcPr>
          <w:p>
            <w:pPr>
              <w:pStyle w:val="10"/>
            </w:pPr>
            <w:r>
              <w:t>1</w:t>
            </w:r>
          </w:p>
        </w:tc>
        <w:tc>
          <w:tcPr>
            <w:tcW w:w="1745" w:type="dxa"/>
            <w:vAlign w:val="center"/>
          </w:tcPr>
          <w:p>
            <w:pPr>
              <w:pStyle w:val="10"/>
            </w:pPr>
            <w:r>
              <w:t>2</w:t>
            </w:r>
          </w:p>
        </w:tc>
        <w:tc>
          <w:tcPr>
            <w:tcW w:w="1971" w:type="dxa"/>
            <w:vAlign w:val="center"/>
          </w:tcPr>
          <w:p>
            <w:pPr>
              <w:pStyle w:val="10"/>
            </w:pPr>
            <w:r>
              <w:t>3</w:t>
            </w:r>
          </w:p>
        </w:tc>
        <w:tc>
          <w:tcPr>
            <w:tcW w:w="1971"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w:t>
            </w:r>
          </w:p>
        </w:tc>
        <w:tc>
          <w:tcPr>
            <w:tcW w:w="2197" w:type="dxa"/>
            <w:vAlign w:val="center"/>
          </w:tcPr>
          <w:p>
            <w:pPr>
              <w:pStyle w:val="12"/>
            </w:pPr>
            <w:r>
              <w:t>一、一般公共预算拨款收入</w:t>
            </w:r>
          </w:p>
        </w:tc>
        <w:tc>
          <w:tcPr>
            <w:tcW w:w="1745" w:type="dxa"/>
            <w:vAlign w:val="center"/>
          </w:tcPr>
          <w:p>
            <w:pPr>
              <w:pStyle w:val="13"/>
            </w:pPr>
            <w:r>
              <w:t>1060.51</w:t>
            </w:r>
          </w:p>
        </w:tc>
        <w:tc>
          <w:tcPr>
            <w:tcW w:w="1971" w:type="dxa"/>
            <w:vAlign w:val="center"/>
          </w:tcPr>
          <w:p>
            <w:pPr>
              <w:pStyle w:val="12"/>
            </w:pPr>
            <w:r>
              <w:t>一、一般公共服务支出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w:t>
            </w:r>
          </w:p>
        </w:tc>
        <w:tc>
          <w:tcPr>
            <w:tcW w:w="2197" w:type="dxa"/>
            <w:vAlign w:val="center"/>
          </w:tcPr>
          <w:p>
            <w:pPr>
              <w:pStyle w:val="12"/>
            </w:pPr>
            <w:r>
              <w:t>二、政府性基金预算拨款收入</w:t>
            </w:r>
          </w:p>
        </w:tc>
        <w:tc>
          <w:tcPr>
            <w:tcW w:w="1745" w:type="dxa"/>
            <w:vAlign w:val="center"/>
          </w:tcPr>
          <w:p>
            <w:pPr>
              <w:pStyle w:val="13"/>
            </w:pPr>
          </w:p>
        </w:tc>
        <w:tc>
          <w:tcPr>
            <w:tcW w:w="1971" w:type="dxa"/>
            <w:vAlign w:val="center"/>
          </w:tcPr>
          <w:p>
            <w:pPr>
              <w:pStyle w:val="12"/>
            </w:pPr>
            <w:r>
              <w:t>二、外交支出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w:t>
            </w:r>
          </w:p>
        </w:tc>
        <w:tc>
          <w:tcPr>
            <w:tcW w:w="2197" w:type="dxa"/>
            <w:vAlign w:val="center"/>
          </w:tcPr>
          <w:p>
            <w:pPr>
              <w:pStyle w:val="12"/>
            </w:pPr>
            <w:r>
              <w:t>三、国有资本经营预算拨款收入</w:t>
            </w:r>
          </w:p>
        </w:tc>
        <w:tc>
          <w:tcPr>
            <w:tcW w:w="1745" w:type="dxa"/>
            <w:vAlign w:val="center"/>
          </w:tcPr>
          <w:p>
            <w:pPr>
              <w:pStyle w:val="13"/>
            </w:pPr>
          </w:p>
        </w:tc>
        <w:tc>
          <w:tcPr>
            <w:tcW w:w="1971" w:type="dxa"/>
            <w:vAlign w:val="center"/>
          </w:tcPr>
          <w:p>
            <w:pPr>
              <w:pStyle w:val="12"/>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4</w:t>
            </w:r>
          </w:p>
        </w:tc>
        <w:tc>
          <w:tcPr>
            <w:tcW w:w="2197" w:type="dxa"/>
            <w:vAlign w:val="center"/>
          </w:tcPr>
          <w:p>
            <w:pPr>
              <w:pStyle w:val="12"/>
            </w:pPr>
            <w:r>
              <w:t>四、财政专户管理资金收入</w:t>
            </w:r>
          </w:p>
        </w:tc>
        <w:tc>
          <w:tcPr>
            <w:tcW w:w="1745" w:type="dxa"/>
            <w:vAlign w:val="center"/>
          </w:tcPr>
          <w:p>
            <w:pPr>
              <w:pStyle w:val="13"/>
            </w:pPr>
          </w:p>
        </w:tc>
        <w:tc>
          <w:tcPr>
            <w:tcW w:w="1971" w:type="dxa"/>
            <w:vAlign w:val="center"/>
          </w:tcPr>
          <w:p>
            <w:pPr>
              <w:pStyle w:val="12"/>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5</w:t>
            </w:r>
          </w:p>
        </w:tc>
        <w:tc>
          <w:tcPr>
            <w:tcW w:w="2197" w:type="dxa"/>
            <w:vAlign w:val="center"/>
          </w:tcPr>
          <w:p>
            <w:pPr>
              <w:pStyle w:val="12"/>
            </w:pPr>
            <w:r>
              <w:t>五、事业收入</w:t>
            </w:r>
          </w:p>
        </w:tc>
        <w:tc>
          <w:tcPr>
            <w:tcW w:w="1745" w:type="dxa"/>
            <w:vAlign w:val="center"/>
          </w:tcPr>
          <w:p>
            <w:pPr>
              <w:pStyle w:val="13"/>
            </w:pPr>
          </w:p>
        </w:tc>
        <w:tc>
          <w:tcPr>
            <w:tcW w:w="1971" w:type="dxa"/>
            <w:vAlign w:val="center"/>
          </w:tcPr>
          <w:p>
            <w:pPr>
              <w:pStyle w:val="12"/>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6</w:t>
            </w:r>
          </w:p>
        </w:tc>
        <w:tc>
          <w:tcPr>
            <w:tcW w:w="2197" w:type="dxa"/>
            <w:vAlign w:val="center"/>
          </w:tcPr>
          <w:p>
            <w:pPr>
              <w:pStyle w:val="12"/>
            </w:pPr>
            <w:r>
              <w:t>六、事业单位经营收入</w:t>
            </w:r>
          </w:p>
        </w:tc>
        <w:tc>
          <w:tcPr>
            <w:tcW w:w="1745" w:type="dxa"/>
            <w:vAlign w:val="center"/>
          </w:tcPr>
          <w:p>
            <w:pPr>
              <w:pStyle w:val="13"/>
            </w:pPr>
          </w:p>
        </w:tc>
        <w:tc>
          <w:tcPr>
            <w:tcW w:w="1971" w:type="dxa"/>
            <w:vAlign w:val="center"/>
          </w:tcPr>
          <w:p>
            <w:pPr>
              <w:pStyle w:val="12"/>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7</w:t>
            </w:r>
          </w:p>
        </w:tc>
        <w:tc>
          <w:tcPr>
            <w:tcW w:w="2197" w:type="dxa"/>
            <w:vAlign w:val="center"/>
          </w:tcPr>
          <w:p>
            <w:pPr>
              <w:pStyle w:val="12"/>
            </w:pPr>
            <w:r>
              <w:t>七、上级补助收入</w:t>
            </w:r>
          </w:p>
        </w:tc>
        <w:tc>
          <w:tcPr>
            <w:tcW w:w="1745" w:type="dxa"/>
            <w:vAlign w:val="center"/>
          </w:tcPr>
          <w:p>
            <w:pPr>
              <w:pStyle w:val="13"/>
            </w:pPr>
          </w:p>
        </w:tc>
        <w:tc>
          <w:tcPr>
            <w:tcW w:w="1971" w:type="dxa"/>
            <w:vAlign w:val="center"/>
          </w:tcPr>
          <w:p>
            <w:pPr>
              <w:pStyle w:val="12"/>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8</w:t>
            </w:r>
          </w:p>
        </w:tc>
        <w:tc>
          <w:tcPr>
            <w:tcW w:w="2197" w:type="dxa"/>
            <w:vAlign w:val="center"/>
          </w:tcPr>
          <w:p>
            <w:pPr>
              <w:pStyle w:val="12"/>
            </w:pPr>
            <w:r>
              <w:t>八、附属单位上缴收入</w:t>
            </w:r>
          </w:p>
        </w:tc>
        <w:tc>
          <w:tcPr>
            <w:tcW w:w="1745" w:type="dxa"/>
            <w:vAlign w:val="center"/>
          </w:tcPr>
          <w:p>
            <w:pPr>
              <w:pStyle w:val="13"/>
            </w:pPr>
          </w:p>
        </w:tc>
        <w:tc>
          <w:tcPr>
            <w:tcW w:w="1971" w:type="dxa"/>
            <w:vAlign w:val="center"/>
          </w:tcPr>
          <w:p>
            <w:pPr>
              <w:pStyle w:val="12"/>
            </w:pPr>
            <w:r>
              <w:t>八、社会保障和就业支出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9</w:t>
            </w:r>
          </w:p>
        </w:tc>
        <w:tc>
          <w:tcPr>
            <w:tcW w:w="2197" w:type="dxa"/>
            <w:vAlign w:val="center"/>
          </w:tcPr>
          <w:p>
            <w:pPr>
              <w:pStyle w:val="12"/>
            </w:pPr>
            <w:r>
              <w:t>九、其他收入</w:t>
            </w:r>
          </w:p>
        </w:tc>
        <w:tc>
          <w:tcPr>
            <w:tcW w:w="1745" w:type="dxa"/>
            <w:vAlign w:val="center"/>
          </w:tcPr>
          <w:p>
            <w:pPr>
              <w:pStyle w:val="13"/>
            </w:pPr>
          </w:p>
        </w:tc>
        <w:tc>
          <w:tcPr>
            <w:tcW w:w="1971" w:type="dxa"/>
            <w:vAlign w:val="center"/>
          </w:tcPr>
          <w:p>
            <w:pPr>
              <w:pStyle w:val="12"/>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10</w:t>
            </w:r>
          </w:p>
        </w:tc>
        <w:tc>
          <w:tcPr>
            <w:tcW w:w="2197" w:type="dxa"/>
            <w:vAlign w:val="center"/>
          </w:tcPr>
          <w:p>
            <w:pPr>
              <w:pStyle w:val="12"/>
            </w:pPr>
          </w:p>
        </w:tc>
        <w:tc>
          <w:tcPr>
            <w:tcW w:w="1745" w:type="dxa"/>
            <w:vAlign w:val="center"/>
          </w:tcPr>
          <w:p>
            <w:pPr>
              <w:pStyle w:val="13"/>
            </w:pPr>
          </w:p>
        </w:tc>
        <w:tc>
          <w:tcPr>
            <w:tcW w:w="1971" w:type="dxa"/>
            <w:vAlign w:val="center"/>
          </w:tcPr>
          <w:p>
            <w:pPr>
              <w:pStyle w:val="12"/>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11</w:t>
            </w:r>
          </w:p>
        </w:tc>
        <w:tc>
          <w:tcPr>
            <w:tcW w:w="2197" w:type="dxa"/>
            <w:vAlign w:val="center"/>
          </w:tcPr>
          <w:p>
            <w:pPr>
              <w:pStyle w:val="12"/>
            </w:pPr>
          </w:p>
        </w:tc>
        <w:tc>
          <w:tcPr>
            <w:tcW w:w="1745" w:type="dxa"/>
            <w:vAlign w:val="center"/>
          </w:tcPr>
          <w:p>
            <w:pPr>
              <w:pStyle w:val="13"/>
            </w:pPr>
          </w:p>
        </w:tc>
        <w:tc>
          <w:tcPr>
            <w:tcW w:w="1971" w:type="dxa"/>
            <w:vAlign w:val="center"/>
          </w:tcPr>
          <w:p>
            <w:pPr>
              <w:pStyle w:val="12"/>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12</w:t>
            </w:r>
          </w:p>
        </w:tc>
        <w:tc>
          <w:tcPr>
            <w:tcW w:w="2197" w:type="dxa"/>
            <w:vAlign w:val="center"/>
          </w:tcPr>
          <w:p>
            <w:pPr>
              <w:pStyle w:val="12"/>
            </w:pPr>
          </w:p>
        </w:tc>
        <w:tc>
          <w:tcPr>
            <w:tcW w:w="1745" w:type="dxa"/>
            <w:vAlign w:val="center"/>
          </w:tcPr>
          <w:p>
            <w:pPr>
              <w:pStyle w:val="13"/>
            </w:pPr>
          </w:p>
        </w:tc>
        <w:tc>
          <w:tcPr>
            <w:tcW w:w="1971" w:type="dxa"/>
            <w:vAlign w:val="center"/>
          </w:tcPr>
          <w:p>
            <w:pPr>
              <w:pStyle w:val="12"/>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13</w:t>
            </w:r>
          </w:p>
        </w:tc>
        <w:tc>
          <w:tcPr>
            <w:tcW w:w="2197" w:type="dxa"/>
            <w:vAlign w:val="center"/>
          </w:tcPr>
          <w:p>
            <w:pPr>
              <w:pStyle w:val="12"/>
            </w:pPr>
          </w:p>
        </w:tc>
        <w:tc>
          <w:tcPr>
            <w:tcW w:w="1745" w:type="dxa"/>
            <w:vAlign w:val="center"/>
          </w:tcPr>
          <w:p>
            <w:pPr>
              <w:pStyle w:val="13"/>
            </w:pPr>
          </w:p>
        </w:tc>
        <w:tc>
          <w:tcPr>
            <w:tcW w:w="1971" w:type="dxa"/>
            <w:vAlign w:val="center"/>
          </w:tcPr>
          <w:p>
            <w:pPr>
              <w:pStyle w:val="12"/>
            </w:pPr>
            <w:r>
              <w:t>十三、农林水支出</w:t>
            </w:r>
          </w:p>
        </w:tc>
        <w:tc>
          <w:tcPr>
            <w:tcW w:w="197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14</w:t>
            </w:r>
          </w:p>
        </w:tc>
        <w:tc>
          <w:tcPr>
            <w:tcW w:w="2197" w:type="dxa"/>
            <w:vAlign w:val="center"/>
          </w:tcPr>
          <w:p>
            <w:pPr>
              <w:pStyle w:val="12"/>
            </w:pPr>
          </w:p>
        </w:tc>
        <w:tc>
          <w:tcPr>
            <w:tcW w:w="1745" w:type="dxa"/>
            <w:vAlign w:val="center"/>
          </w:tcPr>
          <w:p>
            <w:pPr>
              <w:pStyle w:val="13"/>
            </w:pPr>
          </w:p>
        </w:tc>
        <w:tc>
          <w:tcPr>
            <w:tcW w:w="1971" w:type="dxa"/>
            <w:vAlign w:val="center"/>
          </w:tcPr>
          <w:p>
            <w:pPr>
              <w:pStyle w:val="12"/>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15</w:t>
            </w:r>
          </w:p>
        </w:tc>
        <w:tc>
          <w:tcPr>
            <w:tcW w:w="2197" w:type="dxa"/>
            <w:vAlign w:val="center"/>
          </w:tcPr>
          <w:p>
            <w:pPr>
              <w:pStyle w:val="12"/>
            </w:pPr>
          </w:p>
        </w:tc>
        <w:tc>
          <w:tcPr>
            <w:tcW w:w="1745" w:type="dxa"/>
            <w:vAlign w:val="center"/>
          </w:tcPr>
          <w:p>
            <w:pPr>
              <w:pStyle w:val="13"/>
            </w:pPr>
          </w:p>
        </w:tc>
        <w:tc>
          <w:tcPr>
            <w:tcW w:w="1971" w:type="dxa"/>
            <w:vAlign w:val="center"/>
          </w:tcPr>
          <w:p>
            <w:pPr>
              <w:pStyle w:val="12"/>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16</w:t>
            </w:r>
          </w:p>
        </w:tc>
        <w:tc>
          <w:tcPr>
            <w:tcW w:w="2197" w:type="dxa"/>
            <w:vAlign w:val="center"/>
          </w:tcPr>
          <w:p>
            <w:pPr>
              <w:pStyle w:val="12"/>
            </w:pPr>
          </w:p>
        </w:tc>
        <w:tc>
          <w:tcPr>
            <w:tcW w:w="1745" w:type="dxa"/>
            <w:vAlign w:val="center"/>
          </w:tcPr>
          <w:p>
            <w:pPr>
              <w:pStyle w:val="13"/>
            </w:pPr>
          </w:p>
        </w:tc>
        <w:tc>
          <w:tcPr>
            <w:tcW w:w="1971" w:type="dxa"/>
            <w:vAlign w:val="center"/>
          </w:tcPr>
          <w:p>
            <w:pPr>
              <w:pStyle w:val="12"/>
            </w:pPr>
            <w:r>
              <w:t>十六、商业服务业等支出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17</w:t>
            </w:r>
          </w:p>
        </w:tc>
        <w:tc>
          <w:tcPr>
            <w:tcW w:w="2197" w:type="dxa"/>
            <w:vAlign w:val="center"/>
          </w:tcPr>
          <w:p>
            <w:pPr>
              <w:pStyle w:val="12"/>
            </w:pPr>
          </w:p>
        </w:tc>
        <w:tc>
          <w:tcPr>
            <w:tcW w:w="1745" w:type="dxa"/>
            <w:vAlign w:val="center"/>
          </w:tcPr>
          <w:p>
            <w:pPr>
              <w:pStyle w:val="13"/>
            </w:pPr>
          </w:p>
        </w:tc>
        <w:tc>
          <w:tcPr>
            <w:tcW w:w="1971" w:type="dxa"/>
            <w:vAlign w:val="center"/>
          </w:tcPr>
          <w:p>
            <w:pPr>
              <w:pStyle w:val="12"/>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18</w:t>
            </w:r>
          </w:p>
        </w:tc>
        <w:tc>
          <w:tcPr>
            <w:tcW w:w="2197" w:type="dxa"/>
            <w:vAlign w:val="center"/>
          </w:tcPr>
          <w:p>
            <w:pPr>
              <w:pStyle w:val="12"/>
            </w:pPr>
          </w:p>
        </w:tc>
        <w:tc>
          <w:tcPr>
            <w:tcW w:w="1745" w:type="dxa"/>
            <w:vAlign w:val="center"/>
          </w:tcPr>
          <w:p>
            <w:pPr>
              <w:pStyle w:val="13"/>
            </w:pPr>
          </w:p>
        </w:tc>
        <w:tc>
          <w:tcPr>
            <w:tcW w:w="1971" w:type="dxa"/>
            <w:vAlign w:val="center"/>
          </w:tcPr>
          <w:p>
            <w:pPr>
              <w:pStyle w:val="12"/>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19</w:t>
            </w:r>
          </w:p>
        </w:tc>
        <w:tc>
          <w:tcPr>
            <w:tcW w:w="2197" w:type="dxa"/>
            <w:vAlign w:val="center"/>
          </w:tcPr>
          <w:p>
            <w:pPr>
              <w:pStyle w:val="12"/>
            </w:pPr>
          </w:p>
        </w:tc>
        <w:tc>
          <w:tcPr>
            <w:tcW w:w="1745" w:type="dxa"/>
            <w:vAlign w:val="center"/>
          </w:tcPr>
          <w:p>
            <w:pPr>
              <w:pStyle w:val="13"/>
            </w:pPr>
          </w:p>
        </w:tc>
        <w:tc>
          <w:tcPr>
            <w:tcW w:w="1971" w:type="dxa"/>
            <w:vAlign w:val="center"/>
          </w:tcPr>
          <w:p>
            <w:pPr>
              <w:pStyle w:val="12"/>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20</w:t>
            </w:r>
          </w:p>
        </w:tc>
        <w:tc>
          <w:tcPr>
            <w:tcW w:w="2197" w:type="dxa"/>
            <w:vAlign w:val="center"/>
          </w:tcPr>
          <w:p>
            <w:pPr>
              <w:pStyle w:val="12"/>
            </w:pPr>
          </w:p>
        </w:tc>
        <w:tc>
          <w:tcPr>
            <w:tcW w:w="1745" w:type="dxa"/>
            <w:vAlign w:val="center"/>
          </w:tcPr>
          <w:p>
            <w:pPr>
              <w:pStyle w:val="13"/>
            </w:pPr>
          </w:p>
        </w:tc>
        <w:tc>
          <w:tcPr>
            <w:tcW w:w="1971" w:type="dxa"/>
            <w:vAlign w:val="center"/>
          </w:tcPr>
          <w:p>
            <w:pPr>
              <w:pStyle w:val="12"/>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21</w:t>
            </w:r>
          </w:p>
        </w:tc>
        <w:tc>
          <w:tcPr>
            <w:tcW w:w="2197" w:type="dxa"/>
            <w:vAlign w:val="center"/>
          </w:tcPr>
          <w:p>
            <w:pPr>
              <w:pStyle w:val="12"/>
            </w:pPr>
          </w:p>
        </w:tc>
        <w:tc>
          <w:tcPr>
            <w:tcW w:w="1745" w:type="dxa"/>
            <w:vAlign w:val="center"/>
          </w:tcPr>
          <w:p>
            <w:pPr>
              <w:pStyle w:val="13"/>
            </w:pPr>
          </w:p>
        </w:tc>
        <w:tc>
          <w:tcPr>
            <w:tcW w:w="1971" w:type="dxa"/>
            <w:vAlign w:val="center"/>
          </w:tcPr>
          <w:p>
            <w:pPr>
              <w:pStyle w:val="12"/>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22</w:t>
            </w:r>
          </w:p>
        </w:tc>
        <w:tc>
          <w:tcPr>
            <w:tcW w:w="2197" w:type="dxa"/>
            <w:vAlign w:val="center"/>
          </w:tcPr>
          <w:p>
            <w:pPr>
              <w:pStyle w:val="12"/>
            </w:pPr>
          </w:p>
        </w:tc>
        <w:tc>
          <w:tcPr>
            <w:tcW w:w="1745" w:type="dxa"/>
            <w:vAlign w:val="center"/>
          </w:tcPr>
          <w:p>
            <w:pPr>
              <w:pStyle w:val="13"/>
            </w:pPr>
          </w:p>
        </w:tc>
        <w:tc>
          <w:tcPr>
            <w:tcW w:w="1971" w:type="dxa"/>
            <w:vAlign w:val="center"/>
          </w:tcPr>
          <w:p>
            <w:pPr>
              <w:pStyle w:val="12"/>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23</w:t>
            </w:r>
          </w:p>
        </w:tc>
        <w:tc>
          <w:tcPr>
            <w:tcW w:w="2197" w:type="dxa"/>
            <w:vAlign w:val="center"/>
          </w:tcPr>
          <w:p>
            <w:pPr>
              <w:pStyle w:val="12"/>
            </w:pPr>
          </w:p>
        </w:tc>
        <w:tc>
          <w:tcPr>
            <w:tcW w:w="1745" w:type="dxa"/>
            <w:vAlign w:val="center"/>
          </w:tcPr>
          <w:p>
            <w:pPr>
              <w:pStyle w:val="13"/>
            </w:pPr>
          </w:p>
        </w:tc>
        <w:tc>
          <w:tcPr>
            <w:tcW w:w="1971" w:type="dxa"/>
            <w:vAlign w:val="center"/>
          </w:tcPr>
          <w:p>
            <w:pPr>
              <w:pStyle w:val="12"/>
            </w:pPr>
            <w:r>
              <w:t>二十三、灾害防治及应急管理支出</w:t>
            </w:r>
          </w:p>
        </w:tc>
        <w:tc>
          <w:tcPr>
            <w:tcW w:w="1971" w:type="dxa"/>
            <w:vAlign w:val="center"/>
          </w:tcPr>
          <w:p>
            <w:pPr>
              <w:pStyle w:val="13"/>
            </w:pPr>
            <w:r>
              <w:t>1050.87</w:t>
            </w: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24</w:t>
            </w:r>
          </w:p>
        </w:tc>
        <w:tc>
          <w:tcPr>
            <w:tcW w:w="2197" w:type="dxa"/>
            <w:vAlign w:val="center"/>
          </w:tcPr>
          <w:p>
            <w:pPr>
              <w:pStyle w:val="12"/>
            </w:pPr>
          </w:p>
        </w:tc>
        <w:tc>
          <w:tcPr>
            <w:tcW w:w="1745" w:type="dxa"/>
            <w:vAlign w:val="center"/>
          </w:tcPr>
          <w:p>
            <w:pPr>
              <w:pStyle w:val="13"/>
            </w:pPr>
          </w:p>
        </w:tc>
        <w:tc>
          <w:tcPr>
            <w:tcW w:w="1971" w:type="dxa"/>
            <w:vAlign w:val="center"/>
          </w:tcPr>
          <w:p>
            <w:pPr>
              <w:pStyle w:val="12"/>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25</w:t>
            </w:r>
          </w:p>
        </w:tc>
        <w:tc>
          <w:tcPr>
            <w:tcW w:w="2197" w:type="dxa"/>
            <w:vAlign w:val="center"/>
          </w:tcPr>
          <w:p>
            <w:pPr>
              <w:pStyle w:val="12"/>
            </w:pPr>
          </w:p>
        </w:tc>
        <w:tc>
          <w:tcPr>
            <w:tcW w:w="1745" w:type="dxa"/>
            <w:vAlign w:val="center"/>
          </w:tcPr>
          <w:p>
            <w:pPr>
              <w:pStyle w:val="13"/>
            </w:pPr>
          </w:p>
        </w:tc>
        <w:tc>
          <w:tcPr>
            <w:tcW w:w="1971" w:type="dxa"/>
            <w:vAlign w:val="center"/>
          </w:tcPr>
          <w:p>
            <w:pPr>
              <w:pStyle w:val="12"/>
            </w:pPr>
            <w:r>
              <w:t>二十五、其他支出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26</w:t>
            </w:r>
          </w:p>
        </w:tc>
        <w:tc>
          <w:tcPr>
            <w:tcW w:w="2197" w:type="dxa"/>
            <w:vAlign w:val="center"/>
          </w:tcPr>
          <w:p>
            <w:pPr>
              <w:pStyle w:val="12"/>
            </w:pPr>
          </w:p>
        </w:tc>
        <w:tc>
          <w:tcPr>
            <w:tcW w:w="1745" w:type="dxa"/>
            <w:vAlign w:val="center"/>
          </w:tcPr>
          <w:p>
            <w:pPr>
              <w:pStyle w:val="13"/>
            </w:pPr>
          </w:p>
        </w:tc>
        <w:tc>
          <w:tcPr>
            <w:tcW w:w="1971" w:type="dxa"/>
            <w:vAlign w:val="center"/>
          </w:tcPr>
          <w:p>
            <w:pPr>
              <w:pStyle w:val="12"/>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27</w:t>
            </w:r>
          </w:p>
        </w:tc>
        <w:tc>
          <w:tcPr>
            <w:tcW w:w="2197" w:type="dxa"/>
            <w:vAlign w:val="center"/>
          </w:tcPr>
          <w:p>
            <w:pPr>
              <w:pStyle w:val="12"/>
            </w:pPr>
          </w:p>
        </w:tc>
        <w:tc>
          <w:tcPr>
            <w:tcW w:w="1745" w:type="dxa"/>
            <w:vAlign w:val="center"/>
          </w:tcPr>
          <w:p>
            <w:pPr>
              <w:pStyle w:val="13"/>
            </w:pPr>
          </w:p>
        </w:tc>
        <w:tc>
          <w:tcPr>
            <w:tcW w:w="1971" w:type="dxa"/>
            <w:vAlign w:val="center"/>
          </w:tcPr>
          <w:p>
            <w:pPr>
              <w:pStyle w:val="12"/>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28</w:t>
            </w:r>
          </w:p>
        </w:tc>
        <w:tc>
          <w:tcPr>
            <w:tcW w:w="2197" w:type="dxa"/>
            <w:vAlign w:val="center"/>
          </w:tcPr>
          <w:p>
            <w:pPr>
              <w:pStyle w:val="12"/>
            </w:pPr>
          </w:p>
        </w:tc>
        <w:tc>
          <w:tcPr>
            <w:tcW w:w="1745" w:type="dxa"/>
            <w:vAlign w:val="center"/>
          </w:tcPr>
          <w:p>
            <w:pPr>
              <w:pStyle w:val="13"/>
            </w:pPr>
          </w:p>
        </w:tc>
        <w:tc>
          <w:tcPr>
            <w:tcW w:w="1971" w:type="dxa"/>
            <w:vAlign w:val="center"/>
          </w:tcPr>
          <w:p>
            <w:pPr>
              <w:pStyle w:val="12"/>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29</w:t>
            </w:r>
          </w:p>
        </w:tc>
        <w:tc>
          <w:tcPr>
            <w:tcW w:w="2197" w:type="dxa"/>
            <w:vAlign w:val="center"/>
          </w:tcPr>
          <w:p>
            <w:pPr>
              <w:pStyle w:val="12"/>
            </w:pPr>
          </w:p>
        </w:tc>
        <w:tc>
          <w:tcPr>
            <w:tcW w:w="1745" w:type="dxa"/>
            <w:vAlign w:val="center"/>
          </w:tcPr>
          <w:p>
            <w:pPr>
              <w:pStyle w:val="13"/>
            </w:pPr>
          </w:p>
        </w:tc>
        <w:tc>
          <w:tcPr>
            <w:tcW w:w="1971" w:type="dxa"/>
            <w:vAlign w:val="center"/>
          </w:tcPr>
          <w:p>
            <w:pPr>
              <w:pStyle w:val="12"/>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30</w:t>
            </w:r>
          </w:p>
        </w:tc>
        <w:tc>
          <w:tcPr>
            <w:tcW w:w="2197" w:type="dxa"/>
            <w:vAlign w:val="center"/>
          </w:tcPr>
          <w:p>
            <w:pPr>
              <w:pStyle w:val="12"/>
            </w:pPr>
          </w:p>
        </w:tc>
        <w:tc>
          <w:tcPr>
            <w:tcW w:w="1745" w:type="dxa"/>
            <w:vAlign w:val="center"/>
          </w:tcPr>
          <w:p>
            <w:pPr>
              <w:pStyle w:val="13"/>
            </w:pPr>
          </w:p>
        </w:tc>
        <w:tc>
          <w:tcPr>
            <w:tcW w:w="1971" w:type="dxa"/>
            <w:vAlign w:val="center"/>
          </w:tcPr>
          <w:p>
            <w:pPr>
              <w:pStyle w:val="12"/>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31</w:t>
            </w:r>
          </w:p>
        </w:tc>
        <w:tc>
          <w:tcPr>
            <w:tcW w:w="2197" w:type="dxa"/>
            <w:vAlign w:val="center"/>
          </w:tcPr>
          <w:p>
            <w:pPr>
              <w:pStyle w:val="14"/>
            </w:pPr>
            <w:r>
              <w:t>本年收入合计</w:t>
            </w:r>
          </w:p>
        </w:tc>
        <w:tc>
          <w:tcPr>
            <w:tcW w:w="1745" w:type="dxa"/>
            <w:vAlign w:val="center"/>
          </w:tcPr>
          <w:p>
            <w:pPr>
              <w:pStyle w:val="15"/>
            </w:pPr>
            <w:r>
              <w:t>1060.51</w:t>
            </w:r>
          </w:p>
        </w:tc>
        <w:tc>
          <w:tcPr>
            <w:tcW w:w="1971" w:type="dxa"/>
            <w:vAlign w:val="center"/>
          </w:tcPr>
          <w:p>
            <w:pPr>
              <w:pStyle w:val="14"/>
            </w:pPr>
            <w:r>
              <w:t>本年支出合计</w:t>
            </w:r>
          </w:p>
        </w:tc>
        <w:tc>
          <w:tcPr>
            <w:tcW w:w="1971" w:type="dxa"/>
            <w:vAlign w:val="center"/>
          </w:tcPr>
          <w:p>
            <w:pPr>
              <w:pStyle w:val="15"/>
            </w:pPr>
            <w:r>
              <w:t>1060.87</w:t>
            </w: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32</w:t>
            </w:r>
          </w:p>
        </w:tc>
        <w:tc>
          <w:tcPr>
            <w:tcW w:w="2197" w:type="dxa"/>
            <w:vAlign w:val="center"/>
          </w:tcPr>
          <w:p>
            <w:pPr>
              <w:pStyle w:val="12"/>
            </w:pPr>
            <w:r>
              <w:t>上年结转结余</w:t>
            </w:r>
          </w:p>
        </w:tc>
        <w:tc>
          <w:tcPr>
            <w:tcW w:w="1745" w:type="dxa"/>
            <w:vAlign w:val="center"/>
          </w:tcPr>
          <w:p>
            <w:pPr>
              <w:pStyle w:val="13"/>
            </w:pPr>
            <w:r>
              <w:t>0.36</w:t>
            </w:r>
          </w:p>
        </w:tc>
        <w:tc>
          <w:tcPr>
            <w:tcW w:w="1971" w:type="dxa"/>
            <w:vAlign w:val="center"/>
          </w:tcPr>
          <w:p>
            <w:pPr>
              <w:pStyle w:val="12"/>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33</w:t>
            </w:r>
          </w:p>
        </w:tc>
        <w:tc>
          <w:tcPr>
            <w:tcW w:w="2197" w:type="dxa"/>
            <w:vAlign w:val="center"/>
          </w:tcPr>
          <w:p>
            <w:pPr>
              <w:pStyle w:val="14"/>
            </w:pPr>
            <w:r>
              <w:t>收入总计</w:t>
            </w:r>
          </w:p>
        </w:tc>
        <w:tc>
          <w:tcPr>
            <w:tcW w:w="1745" w:type="dxa"/>
            <w:vAlign w:val="center"/>
          </w:tcPr>
          <w:p>
            <w:pPr>
              <w:pStyle w:val="15"/>
            </w:pPr>
            <w:r>
              <w:t>1060.87</w:t>
            </w:r>
          </w:p>
        </w:tc>
        <w:tc>
          <w:tcPr>
            <w:tcW w:w="1971" w:type="dxa"/>
            <w:vAlign w:val="center"/>
          </w:tcPr>
          <w:p>
            <w:pPr>
              <w:pStyle w:val="14"/>
            </w:pPr>
            <w:r>
              <w:t>支出总计</w:t>
            </w:r>
          </w:p>
        </w:tc>
        <w:tc>
          <w:tcPr>
            <w:tcW w:w="1971" w:type="dxa"/>
            <w:vAlign w:val="center"/>
          </w:tcPr>
          <w:p>
            <w:pPr>
              <w:pStyle w:val="15"/>
            </w:pPr>
            <w:r>
              <w:t>1060.87</w:t>
            </w:r>
          </w:p>
        </w:tc>
      </w:tr>
    </w:tbl>
    <w:p>
      <w:pPr>
        <w:sectPr>
          <w:footerReference r:id="rId3" w:type="default"/>
          <w:pgSz w:w="16840" w:h="11900" w:orient="landscape"/>
          <w:pgMar w:top="1361" w:right="1020" w:bottom="1134" w:left="1020" w:header="720" w:footer="720" w:gutter="0"/>
        </w:sectPr>
      </w:pPr>
    </w:p>
    <w:p>
      <w:pPr>
        <w:spacing w:before="0" w:after="0" w:line="240" w:lineRule="auto"/>
        <w:ind w:firstLine="0"/>
        <w:jc w:val="center"/>
        <w:outlineLvl w:val="1"/>
      </w:pPr>
      <w:bookmarkStart w:id="1" w:name="_Toc17031"/>
      <w:r>
        <w:rPr>
          <w:rFonts w:ascii="方正小标宋_GBK" w:hAnsi="方正小标宋_GBK" w:eastAsia="方正小标宋_GBK" w:cs="方正小标宋_GBK"/>
          <w:color w:val="000000"/>
          <w:sz w:val="36"/>
        </w:rPr>
        <w:t>部门预算收入总表</w:t>
      </w:r>
      <w:bookmarkEnd w:id="1"/>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943"/>
        <w:gridCol w:w="1050"/>
        <w:gridCol w:w="1130"/>
        <w:gridCol w:w="690"/>
        <w:gridCol w:w="520"/>
        <w:gridCol w:w="630"/>
        <w:gridCol w:w="640"/>
        <w:gridCol w:w="730"/>
        <w:gridCol w:w="489"/>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267" w:type="dxa"/>
            <w:gridSpan w:val="5"/>
            <w:tcBorders>
              <w:top w:val="single" w:color="FFFFFF" w:sz="6" w:space="0"/>
              <w:left w:val="single" w:color="FFFFFF" w:sz="6" w:space="0"/>
              <w:right w:val="single" w:color="FFFFFF" w:sz="6" w:space="0"/>
            </w:tcBorders>
            <w:vAlign w:val="center"/>
          </w:tcPr>
          <w:p>
            <w:pPr>
              <w:pStyle w:val="7"/>
              <w:rPr>
                <w:rFonts w:hint="eastAsia" w:eastAsia="方正小标宋_GBK"/>
                <w:lang w:val="en-US" w:eastAsia="zh-CN"/>
              </w:rPr>
            </w:pPr>
            <w:r>
              <w:t>426石家庄市藁城区应急管理局</w:t>
            </w:r>
            <w:r>
              <w:rPr>
                <w:rFonts w:hint="eastAsia"/>
                <w:lang w:val="en-US" w:eastAsia="zh-CN"/>
              </w:rPr>
              <w:t>本级</w:t>
            </w:r>
          </w:p>
        </w:tc>
        <w:tc>
          <w:tcPr>
            <w:tcW w:w="2340"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3247"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943" w:type="dxa"/>
            <w:vMerge w:val="restart"/>
            <w:vAlign w:val="center"/>
          </w:tcPr>
          <w:p>
            <w:pPr>
              <w:pStyle w:val="10"/>
            </w:pPr>
            <w:r>
              <w:t>合计</w:t>
            </w:r>
          </w:p>
        </w:tc>
        <w:tc>
          <w:tcPr>
            <w:tcW w:w="5879" w:type="dxa"/>
            <w:gridSpan w:val="8"/>
            <w:vAlign w:val="center"/>
          </w:tcPr>
          <w:p>
            <w:pPr>
              <w:pStyle w:val="10"/>
            </w:pPr>
            <w:r>
              <w:t>本年收入</w:t>
            </w:r>
          </w:p>
        </w:tc>
        <w:tc>
          <w:tcPr>
            <w:tcW w:w="758" w:type="dxa"/>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943" w:type="dxa"/>
            <w:vMerge w:val="continue"/>
          </w:tcPr>
          <w:p/>
        </w:tc>
        <w:tc>
          <w:tcPr>
            <w:tcW w:w="1050" w:type="dxa"/>
            <w:vAlign w:val="center"/>
          </w:tcPr>
          <w:p>
            <w:pPr>
              <w:pStyle w:val="10"/>
            </w:pPr>
            <w:r>
              <w:t>小计</w:t>
            </w:r>
          </w:p>
        </w:tc>
        <w:tc>
          <w:tcPr>
            <w:tcW w:w="1130" w:type="dxa"/>
            <w:vAlign w:val="center"/>
          </w:tcPr>
          <w:p>
            <w:pPr>
              <w:pStyle w:val="10"/>
            </w:pPr>
            <w:r>
              <w:t>财政拨款收入</w:t>
            </w:r>
          </w:p>
        </w:tc>
        <w:tc>
          <w:tcPr>
            <w:tcW w:w="690" w:type="dxa"/>
            <w:vAlign w:val="center"/>
          </w:tcPr>
          <w:p>
            <w:pPr>
              <w:pStyle w:val="10"/>
            </w:pPr>
            <w:r>
              <w:t>财政专户 收入</w:t>
            </w:r>
          </w:p>
        </w:tc>
        <w:tc>
          <w:tcPr>
            <w:tcW w:w="520" w:type="dxa"/>
            <w:vAlign w:val="center"/>
          </w:tcPr>
          <w:p>
            <w:pPr>
              <w:pStyle w:val="10"/>
            </w:pPr>
            <w:r>
              <w:t>事业收入</w:t>
            </w:r>
          </w:p>
        </w:tc>
        <w:tc>
          <w:tcPr>
            <w:tcW w:w="630" w:type="dxa"/>
            <w:vAlign w:val="center"/>
          </w:tcPr>
          <w:p>
            <w:pPr>
              <w:pStyle w:val="10"/>
            </w:pPr>
            <w:r>
              <w:t>经营收入</w:t>
            </w:r>
          </w:p>
        </w:tc>
        <w:tc>
          <w:tcPr>
            <w:tcW w:w="640" w:type="dxa"/>
            <w:vAlign w:val="center"/>
          </w:tcPr>
          <w:p>
            <w:pPr>
              <w:pStyle w:val="10"/>
            </w:pPr>
            <w:r>
              <w:t>上级补助收入</w:t>
            </w:r>
          </w:p>
        </w:tc>
        <w:tc>
          <w:tcPr>
            <w:tcW w:w="730" w:type="dxa"/>
            <w:vAlign w:val="center"/>
          </w:tcPr>
          <w:p>
            <w:pPr>
              <w:pStyle w:val="10"/>
            </w:pPr>
            <w:r>
              <w:t>附属单位上缴收入</w:t>
            </w:r>
          </w:p>
        </w:tc>
        <w:tc>
          <w:tcPr>
            <w:tcW w:w="489" w:type="dxa"/>
            <w:vAlign w:val="center"/>
          </w:tcPr>
          <w:p>
            <w:pPr>
              <w:pStyle w:val="10"/>
            </w:pPr>
            <w:r>
              <w:t>其他收入</w:t>
            </w:r>
          </w:p>
        </w:tc>
        <w:tc>
          <w:tcPr>
            <w:tcW w:w="758"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943" w:type="dxa"/>
            <w:vAlign w:val="center"/>
          </w:tcPr>
          <w:p>
            <w:pPr>
              <w:pStyle w:val="10"/>
            </w:pPr>
            <w:r>
              <w:t>3</w:t>
            </w:r>
          </w:p>
        </w:tc>
        <w:tc>
          <w:tcPr>
            <w:tcW w:w="1050" w:type="dxa"/>
            <w:vAlign w:val="center"/>
          </w:tcPr>
          <w:p>
            <w:pPr>
              <w:pStyle w:val="10"/>
            </w:pPr>
            <w:r>
              <w:t>4</w:t>
            </w:r>
          </w:p>
        </w:tc>
        <w:tc>
          <w:tcPr>
            <w:tcW w:w="1130" w:type="dxa"/>
            <w:vAlign w:val="center"/>
          </w:tcPr>
          <w:p>
            <w:pPr>
              <w:pStyle w:val="10"/>
            </w:pPr>
            <w:r>
              <w:t>5</w:t>
            </w:r>
          </w:p>
        </w:tc>
        <w:tc>
          <w:tcPr>
            <w:tcW w:w="690" w:type="dxa"/>
            <w:vAlign w:val="center"/>
          </w:tcPr>
          <w:p>
            <w:pPr>
              <w:pStyle w:val="10"/>
            </w:pPr>
            <w:r>
              <w:t>6</w:t>
            </w:r>
          </w:p>
        </w:tc>
        <w:tc>
          <w:tcPr>
            <w:tcW w:w="520" w:type="dxa"/>
            <w:vAlign w:val="center"/>
          </w:tcPr>
          <w:p>
            <w:pPr>
              <w:pStyle w:val="10"/>
            </w:pPr>
            <w:r>
              <w:t>7</w:t>
            </w:r>
          </w:p>
        </w:tc>
        <w:tc>
          <w:tcPr>
            <w:tcW w:w="630" w:type="dxa"/>
            <w:vAlign w:val="center"/>
          </w:tcPr>
          <w:p>
            <w:pPr>
              <w:pStyle w:val="10"/>
            </w:pPr>
            <w:r>
              <w:t>8</w:t>
            </w:r>
          </w:p>
        </w:tc>
        <w:tc>
          <w:tcPr>
            <w:tcW w:w="640" w:type="dxa"/>
            <w:vAlign w:val="center"/>
          </w:tcPr>
          <w:p>
            <w:pPr>
              <w:pStyle w:val="10"/>
            </w:pPr>
            <w:r>
              <w:t>9</w:t>
            </w:r>
          </w:p>
        </w:tc>
        <w:tc>
          <w:tcPr>
            <w:tcW w:w="730" w:type="dxa"/>
            <w:vAlign w:val="center"/>
          </w:tcPr>
          <w:p>
            <w:pPr>
              <w:pStyle w:val="10"/>
            </w:pPr>
            <w:r>
              <w:t>10</w:t>
            </w:r>
          </w:p>
        </w:tc>
        <w:tc>
          <w:tcPr>
            <w:tcW w:w="489"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w:t>
            </w:r>
          </w:p>
        </w:tc>
        <w:tc>
          <w:tcPr>
            <w:tcW w:w="758" w:type="dxa"/>
            <w:vAlign w:val="center"/>
          </w:tcPr>
          <w:p>
            <w:pPr>
              <w:pStyle w:val="16"/>
            </w:pPr>
          </w:p>
        </w:tc>
        <w:tc>
          <w:tcPr>
            <w:tcW w:w="758" w:type="dxa"/>
            <w:vAlign w:val="center"/>
          </w:tcPr>
          <w:p>
            <w:pPr>
              <w:pStyle w:val="14"/>
            </w:pPr>
            <w:r>
              <w:t>合计</w:t>
            </w:r>
          </w:p>
        </w:tc>
        <w:tc>
          <w:tcPr>
            <w:tcW w:w="943" w:type="dxa"/>
            <w:vAlign w:val="center"/>
          </w:tcPr>
          <w:p>
            <w:pPr>
              <w:pStyle w:val="15"/>
            </w:pPr>
            <w:r>
              <w:t>1060.87</w:t>
            </w:r>
          </w:p>
        </w:tc>
        <w:tc>
          <w:tcPr>
            <w:tcW w:w="1050" w:type="dxa"/>
            <w:vAlign w:val="center"/>
          </w:tcPr>
          <w:p>
            <w:pPr>
              <w:pStyle w:val="15"/>
            </w:pPr>
            <w:r>
              <w:t>1060.51</w:t>
            </w:r>
          </w:p>
        </w:tc>
        <w:tc>
          <w:tcPr>
            <w:tcW w:w="1130" w:type="dxa"/>
            <w:vAlign w:val="center"/>
          </w:tcPr>
          <w:p>
            <w:pPr>
              <w:pStyle w:val="15"/>
            </w:pPr>
            <w:r>
              <w:t>1060.51</w:t>
            </w:r>
          </w:p>
        </w:tc>
        <w:tc>
          <w:tcPr>
            <w:tcW w:w="690" w:type="dxa"/>
            <w:vAlign w:val="center"/>
          </w:tcPr>
          <w:p>
            <w:pPr>
              <w:pStyle w:val="15"/>
            </w:pPr>
          </w:p>
        </w:tc>
        <w:tc>
          <w:tcPr>
            <w:tcW w:w="520" w:type="dxa"/>
            <w:vAlign w:val="center"/>
          </w:tcPr>
          <w:p>
            <w:pPr>
              <w:pStyle w:val="15"/>
            </w:pPr>
          </w:p>
        </w:tc>
        <w:tc>
          <w:tcPr>
            <w:tcW w:w="630" w:type="dxa"/>
            <w:vAlign w:val="center"/>
          </w:tcPr>
          <w:p>
            <w:pPr>
              <w:pStyle w:val="15"/>
            </w:pPr>
          </w:p>
        </w:tc>
        <w:tc>
          <w:tcPr>
            <w:tcW w:w="640" w:type="dxa"/>
            <w:vAlign w:val="center"/>
          </w:tcPr>
          <w:p>
            <w:pPr>
              <w:pStyle w:val="15"/>
            </w:pPr>
          </w:p>
        </w:tc>
        <w:tc>
          <w:tcPr>
            <w:tcW w:w="730" w:type="dxa"/>
            <w:vAlign w:val="center"/>
          </w:tcPr>
          <w:p>
            <w:pPr>
              <w:pStyle w:val="15"/>
            </w:pPr>
          </w:p>
        </w:tc>
        <w:tc>
          <w:tcPr>
            <w:tcW w:w="489" w:type="dxa"/>
            <w:vAlign w:val="center"/>
          </w:tcPr>
          <w:p>
            <w:pPr>
              <w:pStyle w:val="15"/>
            </w:pPr>
          </w:p>
        </w:tc>
        <w:tc>
          <w:tcPr>
            <w:tcW w:w="758" w:type="dxa"/>
            <w:vAlign w:val="center"/>
          </w:tcPr>
          <w:p>
            <w:pPr>
              <w:pStyle w:val="15"/>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w:t>
            </w:r>
          </w:p>
        </w:tc>
        <w:tc>
          <w:tcPr>
            <w:tcW w:w="758" w:type="dxa"/>
            <w:vAlign w:val="center"/>
          </w:tcPr>
          <w:p>
            <w:pPr>
              <w:pStyle w:val="12"/>
            </w:pPr>
            <w:r>
              <w:t>213</w:t>
            </w:r>
          </w:p>
        </w:tc>
        <w:tc>
          <w:tcPr>
            <w:tcW w:w="758" w:type="dxa"/>
            <w:vAlign w:val="center"/>
          </w:tcPr>
          <w:p>
            <w:pPr>
              <w:pStyle w:val="12"/>
            </w:pPr>
            <w:r>
              <w:t>农林水支出</w:t>
            </w:r>
          </w:p>
        </w:tc>
        <w:tc>
          <w:tcPr>
            <w:tcW w:w="943" w:type="dxa"/>
            <w:vAlign w:val="center"/>
          </w:tcPr>
          <w:p>
            <w:pPr>
              <w:pStyle w:val="13"/>
            </w:pPr>
            <w:r>
              <w:t>10.00</w:t>
            </w:r>
          </w:p>
        </w:tc>
        <w:tc>
          <w:tcPr>
            <w:tcW w:w="1050" w:type="dxa"/>
            <w:vAlign w:val="center"/>
          </w:tcPr>
          <w:p>
            <w:pPr>
              <w:pStyle w:val="13"/>
            </w:pPr>
            <w:r>
              <w:t>10.00</w:t>
            </w:r>
          </w:p>
        </w:tc>
        <w:tc>
          <w:tcPr>
            <w:tcW w:w="1130" w:type="dxa"/>
            <w:vAlign w:val="center"/>
          </w:tcPr>
          <w:p>
            <w:pPr>
              <w:pStyle w:val="13"/>
            </w:pPr>
            <w:r>
              <w:t>10.00</w:t>
            </w:r>
          </w:p>
        </w:tc>
        <w:tc>
          <w:tcPr>
            <w:tcW w:w="690" w:type="dxa"/>
            <w:vAlign w:val="center"/>
          </w:tcPr>
          <w:p>
            <w:pPr>
              <w:pStyle w:val="13"/>
            </w:pPr>
          </w:p>
        </w:tc>
        <w:tc>
          <w:tcPr>
            <w:tcW w:w="520" w:type="dxa"/>
            <w:vAlign w:val="center"/>
          </w:tcPr>
          <w:p>
            <w:pPr>
              <w:pStyle w:val="13"/>
            </w:pPr>
          </w:p>
        </w:tc>
        <w:tc>
          <w:tcPr>
            <w:tcW w:w="630" w:type="dxa"/>
            <w:vAlign w:val="center"/>
          </w:tcPr>
          <w:p>
            <w:pPr>
              <w:pStyle w:val="13"/>
            </w:pPr>
          </w:p>
        </w:tc>
        <w:tc>
          <w:tcPr>
            <w:tcW w:w="640" w:type="dxa"/>
            <w:vAlign w:val="center"/>
          </w:tcPr>
          <w:p>
            <w:pPr>
              <w:pStyle w:val="13"/>
            </w:pPr>
          </w:p>
        </w:tc>
        <w:tc>
          <w:tcPr>
            <w:tcW w:w="730" w:type="dxa"/>
            <w:vAlign w:val="center"/>
          </w:tcPr>
          <w:p>
            <w:pPr>
              <w:pStyle w:val="13"/>
            </w:pPr>
          </w:p>
        </w:tc>
        <w:tc>
          <w:tcPr>
            <w:tcW w:w="4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3</w:t>
            </w:r>
          </w:p>
        </w:tc>
        <w:tc>
          <w:tcPr>
            <w:tcW w:w="758" w:type="dxa"/>
            <w:vAlign w:val="center"/>
          </w:tcPr>
          <w:p>
            <w:pPr>
              <w:pStyle w:val="12"/>
            </w:pPr>
            <w:r>
              <w:t>21303</w:t>
            </w:r>
          </w:p>
        </w:tc>
        <w:tc>
          <w:tcPr>
            <w:tcW w:w="758" w:type="dxa"/>
            <w:vAlign w:val="center"/>
          </w:tcPr>
          <w:p>
            <w:pPr>
              <w:pStyle w:val="12"/>
            </w:pPr>
            <w:r>
              <w:t>水利</w:t>
            </w:r>
          </w:p>
        </w:tc>
        <w:tc>
          <w:tcPr>
            <w:tcW w:w="943" w:type="dxa"/>
            <w:vAlign w:val="center"/>
          </w:tcPr>
          <w:p>
            <w:pPr>
              <w:pStyle w:val="13"/>
            </w:pPr>
            <w:r>
              <w:t>10.00</w:t>
            </w:r>
          </w:p>
        </w:tc>
        <w:tc>
          <w:tcPr>
            <w:tcW w:w="1050" w:type="dxa"/>
            <w:vAlign w:val="center"/>
          </w:tcPr>
          <w:p>
            <w:pPr>
              <w:pStyle w:val="13"/>
            </w:pPr>
            <w:r>
              <w:t>10.00</w:t>
            </w:r>
          </w:p>
        </w:tc>
        <w:tc>
          <w:tcPr>
            <w:tcW w:w="1130" w:type="dxa"/>
            <w:vAlign w:val="center"/>
          </w:tcPr>
          <w:p>
            <w:pPr>
              <w:pStyle w:val="13"/>
            </w:pPr>
            <w:r>
              <w:t>10.00</w:t>
            </w:r>
          </w:p>
        </w:tc>
        <w:tc>
          <w:tcPr>
            <w:tcW w:w="690" w:type="dxa"/>
            <w:vAlign w:val="center"/>
          </w:tcPr>
          <w:p>
            <w:pPr>
              <w:pStyle w:val="13"/>
            </w:pPr>
          </w:p>
        </w:tc>
        <w:tc>
          <w:tcPr>
            <w:tcW w:w="520" w:type="dxa"/>
            <w:vAlign w:val="center"/>
          </w:tcPr>
          <w:p>
            <w:pPr>
              <w:pStyle w:val="13"/>
            </w:pPr>
          </w:p>
        </w:tc>
        <w:tc>
          <w:tcPr>
            <w:tcW w:w="630" w:type="dxa"/>
            <w:vAlign w:val="center"/>
          </w:tcPr>
          <w:p>
            <w:pPr>
              <w:pStyle w:val="13"/>
            </w:pPr>
          </w:p>
        </w:tc>
        <w:tc>
          <w:tcPr>
            <w:tcW w:w="640" w:type="dxa"/>
            <w:vAlign w:val="center"/>
          </w:tcPr>
          <w:p>
            <w:pPr>
              <w:pStyle w:val="13"/>
            </w:pPr>
          </w:p>
        </w:tc>
        <w:tc>
          <w:tcPr>
            <w:tcW w:w="730" w:type="dxa"/>
            <w:vAlign w:val="center"/>
          </w:tcPr>
          <w:p>
            <w:pPr>
              <w:pStyle w:val="13"/>
            </w:pPr>
          </w:p>
        </w:tc>
        <w:tc>
          <w:tcPr>
            <w:tcW w:w="4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4</w:t>
            </w:r>
          </w:p>
        </w:tc>
        <w:tc>
          <w:tcPr>
            <w:tcW w:w="758" w:type="dxa"/>
            <w:vAlign w:val="center"/>
          </w:tcPr>
          <w:p>
            <w:pPr>
              <w:pStyle w:val="12"/>
            </w:pPr>
            <w:r>
              <w:t>2130314</w:t>
            </w:r>
          </w:p>
        </w:tc>
        <w:tc>
          <w:tcPr>
            <w:tcW w:w="758" w:type="dxa"/>
            <w:vAlign w:val="center"/>
          </w:tcPr>
          <w:p>
            <w:pPr>
              <w:pStyle w:val="12"/>
            </w:pPr>
            <w:r>
              <w:t>防汛</w:t>
            </w:r>
          </w:p>
        </w:tc>
        <w:tc>
          <w:tcPr>
            <w:tcW w:w="943" w:type="dxa"/>
            <w:vAlign w:val="center"/>
          </w:tcPr>
          <w:p>
            <w:pPr>
              <w:pStyle w:val="13"/>
            </w:pPr>
            <w:r>
              <w:t>10.00</w:t>
            </w:r>
          </w:p>
        </w:tc>
        <w:tc>
          <w:tcPr>
            <w:tcW w:w="1050" w:type="dxa"/>
            <w:vAlign w:val="center"/>
          </w:tcPr>
          <w:p>
            <w:pPr>
              <w:pStyle w:val="13"/>
            </w:pPr>
            <w:r>
              <w:t>10.00</w:t>
            </w:r>
          </w:p>
        </w:tc>
        <w:tc>
          <w:tcPr>
            <w:tcW w:w="1130" w:type="dxa"/>
            <w:vAlign w:val="center"/>
          </w:tcPr>
          <w:p>
            <w:pPr>
              <w:pStyle w:val="13"/>
            </w:pPr>
            <w:r>
              <w:t>10.00</w:t>
            </w:r>
          </w:p>
        </w:tc>
        <w:tc>
          <w:tcPr>
            <w:tcW w:w="690" w:type="dxa"/>
            <w:vAlign w:val="center"/>
          </w:tcPr>
          <w:p>
            <w:pPr>
              <w:pStyle w:val="13"/>
            </w:pPr>
          </w:p>
        </w:tc>
        <w:tc>
          <w:tcPr>
            <w:tcW w:w="520" w:type="dxa"/>
            <w:vAlign w:val="center"/>
          </w:tcPr>
          <w:p>
            <w:pPr>
              <w:pStyle w:val="13"/>
            </w:pPr>
          </w:p>
        </w:tc>
        <w:tc>
          <w:tcPr>
            <w:tcW w:w="630" w:type="dxa"/>
            <w:vAlign w:val="center"/>
          </w:tcPr>
          <w:p>
            <w:pPr>
              <w:pStyle w:val="13"/>
            </w:pPr>
          </w:p>
        </w:tc>
        <w:tc>
          <w:tcPr>
            <w:tcW w:w="640" w:type="dxa"/>
            <w:vAlign w:val="center"/>
          </w:tcPr>
          <w:p>
            <w:pPr>
              <w:pStyle w:val="13"/>
            </w:pPr>
          </w:p>
        </w:tc>
        <w:tc>
          <w:tcPr>
            <w:tcW w:w="730" w:type="dxa"/>
            <w:vAlign w:val="center"/>
          </w:tcPr>
          <w:p>
            <w:pPr>
              <w:pStyle w:val="13"/>
            </w:pPr>
          </w:p>
        </w:tc>
        <w:tc>
          <w:tcPr>
            <w:tcW w:w="4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5</w:t>
            </w:r>
          </w:p>
        </w:tc>
        <w:tc>
          <w:tcPr>
            <w:tcW w:w="758" w:type="dxa"/>
            <w:vAlign w:val="center"/>
          </w:tcPr>
          <w:p>
            <w:pPr>
              <w:pStyle w:val="12"/>
            </w:pPr>
            <w:r>
              <w:t>224</w:t>
            </w:r>
          </w:p>
        </w:tc>
        <w:tc>
          <w:tcPr>
            <w:tcW w:w="758" w:type="dxa"/>
            <w:vAlign w:val="center"/>
          </w:tcPr>
          <w:p>
            <w:pPr>
              <w:pStyle w:val="12"/>
            </w:pPr>
            <w:r>
              <w:t>灾害防治及应急管理支出</w:t>
            </w:r>
          </w:p>
        </w:tc>
        <w:tc>
          <w:tcPr>
            <w:tcW w:w="943" w:type="dxa"/>
            <w:vAlign w:val="center"/>
          </w:tcPr>
          <w:p>
            <w:pPr>
              <w:pStyle w:val="13"/>
            </w:pPr>
            <w:r>
              <w:t>1050.87</w:t>
            </w:r>
          </w:p>
        </w:tc>
        <w:tc>
          <w:tcPr>
            <w:tcW w:w="1050" w:type="dxa"/>
            <w:vAlign w:val="center"/>
          </w:tcPr>
          <w:p>
            <w:pPr>
              <w:pStyle w:val="13"/>
            </w:pPr>
            <w:r>
              <w:t>1050.51</w:t>
            </w:r>
          </w:p>
        </w:tc>
        <w:tc>
          <w:tcPr>
            <w:tcW w:w="1130" w:type="dxa"/>
            <w:vAlign w:val="center"/>
          </w:tcPr>
          <w:p>
            <w:pPr>
              <w:pStyle w:val="13"/>
            </w:pPr>
            <w:r>
              <w:t>1050.51</w:t>
            </w:r>
          </w:p>
        </w:tc>
        <w:tc>
          <w:tcPr>
            <w:tcW w:w="690" w:type="dxa"/>
            <w:vAlign w:val="center"/>
          </w:tcPr>
          <w:p>
            <w:pPr>
              <w:pStyle w:val="13"/>
            </w:pPr>
          </w:p>
        </w:tc>
        <w:tc>
          <w:tcPr>
            <w:tcW w:w="520" w:type="dxa"/>
            <w:vAlign w:val="center"/>
          </w:tcPr>
          <w:p>
            <w:pPr>
              <w:pStyle w:val="13"/>
            </w:pPr>
          </w:p>
        </w:tc>
        <w:tc>
          <w:tcPr>
            <w:tcW w:w="630" w:type="dxa"/>
            <w:vAlign w:val="center"/>
          </w:tcPr>
          <w:p>
            <w:pPr>
              <w:pStyle w:val="13"/>
            </w:pPr>
          </w:p>
        </w:tc>
        <w:tc>
          <w:tcPr>
            <w:tcW w:w="640" w:type="dxa"/>
            <w:vAlign w:val="center"/>
          </w:tcPr>
          <w:p>
            <w:pPr>
              <w:pStyle w:val="13"/>
            </w:pPr>
          </w:p>
        </w:tc>
        <w:tc>
          <w:tcPr>
            <w:tcW w:w="730" w:type="dxa"/>
            <w:vAlign w:val="center"/>
          </w:tcPr>
          <w:p>
            <w:pPr>
              <w:pStyle w:val="13"/>
            </w:pPr>
          </w:p>
        </w:tc>
        <w:tc>
          <w:tcPr>
            <w:tcW w:w="489" w:type="dxa"/>
            <w:vAlign w:val="center"/>
          </w:tcPr>
          <w:p>
            <w:pPr>
              <w:pStyle w:val="13"/>
            </w:pPr>
          </w:p>
        </w:tc>
        <w:tc>
          <w:tcPr>
            <w:tcW w:w="758" w:type="dxa"/>
            <w:vAlign w:val="center"/>
          </w:tcPr>
          <w:p>
            <w:pPr>
              <w:pStyle w:val="13"/>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6</w:t>
            </w:r>
          </w:p>
        </w:tc>
        <w:tc>
          <w:tcPr>
            <w:tcW w:w="758" w:type="dxa"/>
            <w:vAlign w:val="center"/>
          </w:tcPr>
          <w:p>
            <w:pPr>
              <w:pStyle w:val="12"/>
            </w:pPr>
            <w:r>
              <w:t>22401</w:t>
            </w:r>
          </w:p>
        </w:tc>
        <w:tc>
          <w:tcPr>
            <w:tcW w:w="758" w:type="dxa"/>
            <w:vAlign w:val="center"/>
          </w:tcPr>
          <w:p>
            <w:pPr>
              <w:pStyle w:val="12"/>
            </w:pPr>
            <w:r>
              <w:t>应急管理事务</w:t>
            </w:r>
          </w:p>
        </w:tc>
        <w:tc>
          <w:tcPr>
            <w:tcW w:w="943" w:type="dxa"/>
            <w:vAlign w:val="center"/>
          </w:tcPr>
          <w:p>
            <w:pPr>
              <w:pStyle w:val="13"/>
            </w:pPr>
            <w:r>
              <w:t>912.69</w:t>
            </w:r>
          </w:p>
        </w:tc>
        <w:tc>
          <w:tcPr>
            <w:tcW w:w="1050" w:type="dxa"/>
            <w:vAlign w:val="center"/>
          </w:tcPr>
          <w:p>
            <w:pPr>
              <w:pStyle w:val="13"/>
            </w:pPr>
            <w:r>
              <w:t>912.33</w:t>
            </w:r>
          </w:p>
        </w:tc>
        <w:tc>
          <w:tcPr>
            <w:tcW w:w="1130" w:type="dxa"/>
            <w:vAlign w:val="center"/>
          </w:tcPr>
          <w:p>
            <w:pPr>
              <w:pStyle w:val="13"/>
            </w:pPr>
            <w:r>
              <w:t>912.33</w:t>
            </w:r>
          </w:p>
        </w:tc>
        <w:tc>
          <w:tcPr>
            <w:tcW w:w="690" w:type="dxa"/>
            <w:vAlign w:val="center"/>
          </w:tcPr>
          <w:p>
            <w:pPr>
              <w:pStyle w:val="13"/>
            </w:pPr>
          </w:p>
        </w:tc>
        <w:tc>
          <w:tcPr>
            <w:tcW w:w="520" w:type="dxa"/>
            <w:vAlign w:val="center"/>
          </w:tcPr>
          <w:p>
            <w:pPr>
              <w:pStyle w:val="13"/>
            </w:pPr>
          </w:p>
        </w:tc>
        <w:tc>
          <w:tcPr>
            <w:tcW w:w="630" w:type="dxa"/>
            <w:vAlign w:val="center"/>
          </w:tcPr>
          <w:p>
            <w:pPr>
              <w:pStyle w:val="13"/>
            </w:pPr>
          </w:p>
        </w:tc>
        <w:tc>
          <w:tcPr>
            <w:tcW w:w="640" w:type="dxa"/>
            <w:vAlign w:val="center"/>
          </w:tcPr>
          <w:p>
            <w:pPr>
              <w:pStyle w:val="13"/>
            </w:pPr>
          </w:p>
        </w:tc>
        <w:tc>
          <w:tcPr>
            <w:tcW w:w="730" w:type="dxa"/>
            <w:vAlign w:val="center"/>
          </w:tcPr>
          <w:p>
            <w:pPr>
              <w:pStyle w:val="13"/>
            </w:pPr>
          </w:p>
        </w:tc>
        <w:tc>
          <w:tcPr>
            <w:tcW w:w="489" w:type="dxa"/>
            <w:vAlign w:val="center"/>
          </w:tcPr>
          <w:p>
            <w:pPr>
              <w:pStyle w:val="13"/>
            </w:pPr>
          </w:p>
        </w:tc>
        <w:tc>
          <w:tcPr>
            <w:tcW w:w="758" w:type="dxa"/>
            <w:vAlign w:val="center"/>
          </w:tcPr>
          <w:p>
            <w:pPr>
              <w:pStyle w:val="13"/>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7</w:t>
            </w:r>
          </w:p>
        </w:tc>
        <w:tc>
          <w:tcPr>
            <w:tcW w:w="758" w:type="dxa"/>
            <w:vAlign w:val="center"/>
          </w:tcPr>
          <w:p>
            <w:pPr>
              <w:pStyle w:val="12"/>
            </w:pPr>
            <w:r>
              <w:t>2240101</w:t>
            </w:r>
          </w:p>
        </w:tc>
        <w:tc>
          <w:tcPr>
            <w:tcW w:w="758" w:type="dxa"/>
            <w:vAlign w:val="center"/>
          </w:tcPr>
          <w:p>
            <w:pPr>
              <w:pStyle w:val="12"/>
            </w:pPr>
            <w:r>
              <w:t>行政运行</w:t>
            </w:r>
          </w:p>
        </w:tc>
        <w:tc>
          <w:tcPr>
            <w:tcW w:w="943" w:type="dxa"/>
            <w:vAlign w:val="center"/>
          </w:tcPr>
          <w:p>
            <w:pPr>
              <w:pStyle w:val="13"/>
            </w:pPr>
            <w:r>
              <w:t>737.33</w:t>
            </w:r>
          </w:p>
        </w:tc>
        <w:tc>
          <w:tcPr>
            <w:tcW w:w="1050" w:type="dxa"/>
            <w:vAlign w:val="center"/>
          </w:tcPr>
          <w:p>
            <w:pPr>
              <w:pStyle w:val="13"/>
            </w:pPr>
            <w:r>
              <w:t>737.33</w:t>
            </w:r>
          </w:p>
        </w:tc>
        <w:tc>
          <w:tcPr>
            <w:tcW w:w="1130" w:type="dxa"/>
            <w:vAlign w:val="center"/>
          </w:tcPr>
          <w:p>
            <w:pPr>
              <w:pStyle w:val="13"/>
            </w:pPr>
            <w:r>
              <w:t>737.33</w:t>
            </w:r>
          </w:p>
        </w:tc>
        <w:tc>
          <w:tcPr>
            <w:tcW w:w="690" w:type="dxa"/>
            <w:vAlign w:val="center"/>
          </w:tcPr>
          <w:p>
            <w:pPr>
              <w:pStyle w:val="13"/>
            </w:pPr>
          </w:p>
        </w:tc>
        <w:tc>
          <w:tcPr>
            <w:tcW w:w="520" w:type="dxa"/>
            <w:vAlign w:val="center"/>
          </w:tcPr>
          <w:p>
            <w:pPr>
              <w:pStyle w:val="13"/>
            </w:pPr>
          </w:p>
        </w:tc>
        <w:tc>
          <w:tcPr>
            <w:tcW w:w="630" w:type="dxa"/>
            <w:vAlign w:val="center"/>
          </w:tcPr>
          <w:p>
            <w:pPr>
              <w:pStyle w:val="13"/>
            </w:pPr>
          </w:p>
        </w:tc>
        <w:tc>
          <w:tcPr>
            <w:tcW w:w="640" w:type="dxa"/>
            <w:vAlign w:val="center"/>
          </w:tcPr>
          <w:p>
            <w:pPr>
              <w:pStyle w:val="13"/>
            </w:pPr>
          </w:p>
        </w:tc>
        <w:tc>
          <w:tcPr>
            <w:tcW w:w="730" w:type="dxa"/>
            <w:vAlign w:val="center"/>
          </w:tcPr>
          <w:p>
            <w:pPr>
              <w:pStyle w:val="13"/>
            </w:pPr>
          </w:p>
        </w:tc>
        <w:tc>
          <w:tcPr>
            <w:tcW w:w="4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8</w:t>
            </w:r>
          </w:p>
        </w:tc>
        <w:tc>
          <w:tcPr>
            <w:tcW w:w="758" w:type="dxa"/>
            <w:vAlign w:val="center"/>
          </w:tcPr>
          <w:p>
            <w:pPr>
              <w:pStyle w:val="12"/>
            </w:pPr>
            <w:r>
              <w:t>2240106</w:t>
            </w:r>
          </w:p>
        </w:tc>
        <w:tc>
          <w:tcPr>
            <w:tcW w:w="758" w:type="dxa"/>
            <w:vAlign w:val="center"/>
          </w:tcPr>
          <w:p>
            <w:pPr>
              <w:pStyle w:val="12"/>
            </w:pPr>
            <w:r>
              <w:t>安全监管</w:t>
            </w:r>
          </w:p>
        </w:tc>
        <w:tc>
          <w:tcPr>
            <w:tcW w:w="943" w:type="dxa"/>
            <w:vAlign w:val="center"/>
          </w:tcPr>
          <w:p>
            <w:pPr>
              <w:pStyle w:val="13"/>
            </w:pPr>
            <w:r>
              <w:t>175.00</w:t>
            </w:r>
          </w:p>
        </w:tc>
        <w:tc>
          <w:tcPr>
            <w:tcW w:w="1050" w:type="dxa"/>
            <w:vAlign w:val="center"/>
          </w:tcPr>
          <w:p>
            <w:pPr>
              <w:pStyle w:val="13"/>
            </w:pPr>
            <w:r>
              <w:t>175.00</w:t>
            </w:r>
          </w:p>
        </w:tc>
        <w:tc>
          <w:tcPr>
            <w:tcW w:w="1130" w:type="dxa"/>
            <w:vAlign w:val="center"/>
          </w:tcPr>
          <w:p>
            <w:pPr>
              <w:pStyle w:val="13"/>
            </w:pPr>
            <w:r>
              <w:t>175.00</w:t>
            </w:r>
          </w:p>
        </w:tc>
        <w:tc>
          <w:tcPr>
            <w:tcW w:w="690" w:type="dxa"/>
            <w:vAlign w:val="center"/>
          </w:tcPr>
          <w:p>
            <w:pPr>
              <w:pStyle w:val="13"/>
            </w:pPr>
          </w:p>
        </w:tc>
        <w:tc>
          <w:tcPr>
            <w:tcW w:w="520" w:type="dxa"/>
            <w:vAlign w:val="center"/>
          </w:tcPr>
          <w:p>
            <w:pPr>
              <w:pStyle w:val="13"/>
            </w:pPr>
          </w:p>
        </w:tc>
        <w:tc>
          <w:tcPr>
            <w:tcW w:w="630" w:type="dxa"/>
            <w:vAlign w:val="center"/>
          </w:tcPr>
          <w:p>
            <w:pPr>
              <w:pStyle w:val="13"/>
            </w:pPr>
          </w:p>
        </w:tc>
        <w:tc>
          <w:tcPr>
            <w:tcW w:w="640" w:type="dxa"/>
            <w:vAlign w:val="center"/>
          </w:tcPr>
          <w:p>
            <w:pPr>
              <w:pStyle w:val="13"/>
            </w:pPr>
          </w:p>
        </w:tc>
        <w:tc>
          <w:tcPr>
            <w:tcW w:w="730" w:type="dxa"/>
            <w:vAlign w:val="center"/>
          </w:tcPr>
          <w:p>
            <w:pPr>
              <w:pStyle w:val="13"/>
            </w:pPr>
          </w:p>
        </w:tc>
        <w:tc>
          <w:tcPr>
            <w:tcW w:w="4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9</w:t>
            </w:r>
          </w:p>
        </w:tc>
        <w:tc>
          <w:tcPr>
            <w:tcW w:w="758" w:type="dxa"/>
            <w:vAlign w:val="center"/>
          </w:tcPr>
          <w:p>
            <w:pPr>
              <w:pStyle w:val="12"/>
            </w:pPr>
            <w:r>
              <w:t>2240109</w:t>
            </w:r>
          </w:p>
        </w:tc>
        <w:tc>
          <w:tcPr>
            <w:tcW w:w="758" w:type="dxa"/>
            <w:vAlign w:val="center"/>
          </w:tcPr>
          <w:p>
            <w:pPr>
              <w:pStyle w:val="12"/>
            </w:pPr>
            <w:r>
              <w:t>应急管理</w:t>
            </w:r>
          </w:p>
        </w:tc>
        <w:tc>
          <w:tcPr>
            <w:tcW w:w="943" w:type="dxa"/>
            <w:vAlign w:val="center"/>
          </w:tcPr>
          <w:p>
            <w:pPr>
              <w:pStyle w:val="13"/>
            </w:pPr>
            <w:r>
              <w:t>0.36</w:t>
            </w:r>
          </w:p>
        </w:tc>
        <w:tc>
          <w:tcPr>
            <w:tcW w:w="1050" w:type="dxa"/>
            <w:vAlign w:val="center"/>
          </w:tcPr>
          <w:p>
            <w:pPr>
              <w:pStyle w:val="13"/>
            </w:pPr>
          </w:p>
        </w:tc>
        <w:tc>
          <w:tcPr>
            <w:tcW w:w="1130" w:type="dxa"/>
            <w:vAlign w:val="center"/>
          </w:tcPr>
          <w:p>
            <w:pPr>
              <w:pStyle w:val="13"/>
            </w:pPr>
          </w:p>
        </w:tc>
        <w:tc>
          <w:tcPr>
            <w:tcW w:w="690" w:type="dxa"/>
            <w:vAlign w:val="center"/>
          </w:tcPr>
          <w:p>
            <w:pPr>
              <w:pStyle w:val="13"/>
            </w:pPr>
          </w:p>
        </w:tc>
        <w:tc>
          <w:tcPr>
            <w:tcW w:w="520" w:type="dxa"/>
            <w:vAlign w:val="center"/>
          </w:tcPr>
          <w:p>
            <w:pPr>
              <w:pStyle w:val="13"/>
            </w:pPr>
          </w:p>
        </w:tc>
        <w:tc>
          <w:tcPr>
            <w:tcW w:w="630" w:type="dxa"/>
            <w:vAlign w:val="center"/>
          </w:tcPr>
          <w:p>
            <w:pPr>
              <w:pStyle w:val="13"/>
            </w:pPr>
          </w:p>
        </w:tc>
        <w:tc>
          <w:tcPr>
            <w:tcW w:w="640" w:type="dxa"/>
            <w:vAlign w:val="center"/>
          </w:tcPr>
          <w:p>
            <w:pPr>
              <w:pStyle w:val="13"/>
            </w:pPr>
          </w:p>
        </w:tc>
        <w:tc>
          <w:tcPr>
            <w:tcW w:w="730" w:type="dxa"/>
            <w:vAlign w:val="center"/>
          </w:tcPr>
          <w:p>
            <w:pPr>
              <w:pStyle w:val="13"/>
            </w:pPr>
          </w:p>
        </w:tc>
        <w:tc>
          <w:tcPr>
            <w:tcW w:w="489" w:type="dxa"/>
            <w:vAlign w:val="center"/>
          </w:tcPr>
          <w:p>
            <w:pPr>
              <w:pStyle w:val="13"/>
            </w:pPr>
          </w:p>
        </w:tc>
        <w:tc>
          <w:tcPr>
            <w:tcW w:w="758" w:type="dxa"/>
            <w:vAlign w:val="center"/>
          </w:tcPr>
          <w:p>
            <w:pPr>
              <w:pStyle w:val="13"/>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10</w:t>
            </w:r>
          </w:p>
        </w:tc>
        <w:tc>
          <w:tcPr>
            <w:tcW w:w="758" w:type="dxa"/>
            <w:vAlign w:val="center"/>
          </w:tcPr>
          <w:p>
            <w:pPr>
              <w:pStyle w:val="12"/>
            </w:pPr>
            <w:r>
              <w:t>22405</w:t>
            </w:r>
          </w:p>
        </w:tc>
        <w:tc>
          <w:tcPr>
            <w:tcW w:w="758" w:type="dxa"/>
            <w:vAlign w:val="center"/>
          </w:tcPr>
          <w:p>
            <w:pPr>
              <w:pStyle w:val="12"/>
            </w:pPr>
            <w:r>
              <w:t>地震事务</w:t>
            </w:r>
          </w:p>
        </w:tc>
        <w:tc>
          <w:tcPr>
            <w:tcW w:w="943" w:type="dxa"/>
            <w:vAlign w:val="center"/>
          </w:tcPr>
          <w:p>
            <w:pPr>
              <w:pStyle w:val="13"/>
            </w:pPr>
            <w:r>
              <w:t>0.80</w:t>
            </w:r>
          </w:p>
        </w:tc>
        <w:tc>
          <w:tcPr>
            <w:tcW w:w="1050" w:type="dxa"/>
            <w:vAlign w:val="center"/>
          </w:tcPr>
          <w:p>
            <w:pPr>
              <w:pStyle w:val="13"/>
            </w:pPr>
            <w:r>
              <w:t>0.80</w:t>
            </w:r>
          </w:p>
        </w:tc>
        <w:tc>
          <w:tcPr>
            <w:tcW w:w="1130" w:type="dxa"/>
            <w:vAlign w:val="center"/>
          </w:tcPr>
          <w:p>
            <w:pPr>
              <w:pStyle w:val="13"/>
            </w:pPr>
            <w:r>
              <w:t>0.80</w:t>
            </w:r>
          </w:p>
        </w:tc>
        <w:tc>
          <w:tcPr>
            <w:tcW w:w="690" w:type="dxa"/>
            <w:vAlign w:val="center"/>
          </w:tcPr>
          <w:p>
            <w:pPr>
              <w:pStyle w:val="13"/>
            </w:pPr>
          </w:p>
        </w:tc>
        <w:tc>
          <w:tcPr>
            <w:tcW w:w="520" w:type="dxa"/>
            <w:vAlign w:val="center"/>
          </w:tcPr>
          <w:p>
            <w:pPr>
              <w:pStyle w:val="13"/>
            </w:pPr>
          </w:p>
        </w:tc>
        <w:tc>
          <w:tcPr>
            <w:tcW w:w="630" w:type="dxa"/>
            <w:vAlign w:val="center"/>
          </w:tcPr>
          <w:p>
            <w:pPr>
              <w:pStyle w:val="13"/>
            </w:pPr>
          </w:p>
        </w:tc>
        <w:tc>
          <w:tcPr>
            <w:tcW w:w="640" w:type="dxa"/>
            <w:vAlign w:val="center"/>
          </w:tcPr>
          <w:p>
            <w:pPr>
              <w:pStyle w:val="13"/>
            </w:pPr>
          </w:p>
        </w:tc>
        <w:tc>
          <w:tcPr>
            <w:tcW w:w="730" w:type="dxa"/>
            <w:vAlign w:val="center"/>
          </w:tcPr>
          <w:p>
            <w:pPr>
              <w:pStyle w:val="13"/>
            </w:pPr>
          </w:p>
        </w:tc>
        <w:tc>
          <w:tcPr>
            <w:tcW w:w="4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11</w:t>
            </w:r>
          </w:p>
        </w:tc>
        <w:tc>
          <w:tcPr>
            <w:tcW w:w="758" w:type="dxa"/>
            <w:vAlign w:val="center"/>
          </w:tcPr>
          <w:p>
            <w:pPr>
              <w:pStyle w:val="12"/>
            </w:pPr>
            <w:r>
              <w:t>2240504</w:t>
            </w:r>
          </w:p>
        </w:tc>
        <w:tc>
          <w:tcPr>
            <w:tcW w:w="758" w:type="dxa"/>
            <w:vAlign w:val="center"/>
          </w:tcPr>
          <w:p>
            <w:pPr>
              <w:pStyle w:val="12"/>
            </w:pPr>
            <w:r>
              <w:t>地震监测</w:t>
            </w:r>
          </w:p>
        </w:tc>
        <w:tc>
          <w:tcPr>
            <w:tcW w:w="943" w:type="dxa"/>
            <w:vAlign w:val="center"/>
          </w:tcPr>
          <w:p>
            <w:pPr>
              <w:pStyle w:val="13"/>
            </w:pPr>
            <w:r>
              <w:t>0.80</w:t>
            </w:r>
          </w:p>
        </w:tc>
        <w:tc>
          <w:tcPr>
            <w:tcW w:w="1050" w:type="dxa"/>
            <w:vAlign w:val="center"/>
          </w:tcPr>
          <w:p>
            <w:pPr>
              <w:pStyle w:val="13"/>
            </w:pPr>
            <w:r>
              <w:t>0.80</w:t>
            </w:r>
          </w:p>
        </w:tc>
        <w:tc>
          <w:tcPr>
            <w:tcW w:w="1130" w:type="dxa"/>
            <w:vAlign w:val="center"/>
          </w:tcPr>
          <w:p>
            <w:pPr>
              <w:pStyle w:val="13"/>
            </w:pPr>
            <w:r>
              <w:t>0.80</w:t>
            </w:r>
          </w:p>
        </w:tc>
        <w:tc>
          <w:tcPr>
            <w:tcW w:w="690" w:type="dxa"/>
            <w:vAlign w:val="center"/>
          </w:tcPr>
          <w:p>
            <w:pPr>
              <w:pStyle w:val="13"/>
            </w:pPr>
          </w:p>
        </w:tc>
        <w:tc>
          <w:tcPr>
            <w:tcW w:w="520" w:type="dxa"/>
            <w:vAlign w:val="center"/>
          </w:tcPr>
          <w:p>
            <w:pPr>
              <w:pStyle w:val="13"/>
            </w:pPr>
          </w:p>
        </w:tc>
        <w:tc>
          <w:tcPr>
            <w:tcW w:w="630" w:type="dxa"/>
            <w:vAlign w:val="center"/>
          </w:tcPr>
          <w:p>
            <w:pPr>
              <w:pStyle w:val="13"/>
            </w:pPr>
          </w:p>
        </w:tc>
        <w:tc>
          <w:tcPr>
            <w:tcW w:w="640" w:type="dxa"/>
            <w:vAlign w:val="center"/>
          </w:tcPr>
          <w:p>
            <w:pPr>
              <w:pStyle w:val="13"/>
            </w:pPr>
          </w:p>
        </w:tc>
        <w:tc>
          <w:tcPr>
            <w:tcW w:w="730" w:type="dxa"/>
            <w:vAlign w:val="center"/>
          </w:tcPr>
          <w:p>
            <w:pPr>
              <w:pStyle w:val="13"/>
            </w:pPr>
          </w:p>
        </w:tc>
        <w:tc>
          <w:tcPr>
            <w:tcW w:w="4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12</w:t>
            </w:r>
          </w:p>
        </w:tc>
        <w:tc>
          <w:tcPr>
            <w:tcW w:w="758" w:type="dxa"/>
            <w:vAlign w:val="center"/>
          </w:tcPr>
          <w:p>
            <w:pPr>
              <w:pStyle w:val="12"/>
            </w:pPr>
            <w:r>
              <w:t>22407</w:t>
            </w:r>
          </w:p>
        </w:tc>
        <w:tc>
          <w:tcPr>
            <w:tcW w:w="758" w:type="dxa"/>
            <w:vAlign w:val="center"/>
          </w:tcPr>
          <w:p>
            <w:pPr>
              <w:pStyle w:val="12"/>
            </w:pPr>
            <w:r>
              <w:t>自然灾害救灾及恢复重建支出</w:t>
            </w:r>
          </w:p>
        </w:tc>
        <w:tc>
          <w:tcPr>
            <w:tcW w:w="943" w:type="dxa"/>
            <w:vAlign w:val="center"/>
          </w:tcPr>
          <w:p>
            <w:pPr>
              <w:pStyle w:val="13"/>
            </w:pPr>
            <w:r>
              <w:t>137.38</w:t>
            </w:r>
          </w:p>
        </w:tc>
        <w:tc>
          <w:tcPr>
            <w:tcW w:w="1050" w:type="dxa"/>
            <w:vAlign w:val="center"/>
          </w:tcPr>
          <w:p>
            <w:pPr>
              <w:pStyle w:val="13"/>
            </w:pPr>
            <w:r>
              <w:t>137.38</w:t>
            </w:r>
          </w:p>
        </w:tc>
        <w:tc>
          <w:tcPr>
            <w:tcW w:w="1130" w:type="dxa"/>
            <w:vAlign w:val="center"/>
          </w:tcPr>
          <w:p>
            <w:pPr>
              <w:pStyle w:val="13"/>
            </w:pPr>
            <w:r>
              <w:t>137.38</w:t>
            </w:r>
          </w:p>
        </w:tc>
        <w:tc>
          <w:tcPr>
            <w:tcW w:w="690" w:type="dxa"/>
            <w:vAlign w:val="center"/>
          </w:tcPr>
          <w:p>
            <w:pPr>
              <w:pStyle w:val="13"/>
            </w:pPr>
          </w:p>
        </w:tc>
        <w:tc>
          <w:tcPr>
            <w:tcW w:w="520" w:type="dxa"/>
            <w:vAlign w:val="center"/>
          </w:tcPr>
          <w:p>
            <w:pPr>
              <w:pStyle w:val="13"/>
            </w:pPr>
          </w:p>
        </w:tc>
        <w:tc>
          <w:tcPr>
            <w:tcW w:w="630" w:type="dxa"/>
            <w:vAlign w:val="center"/>
          </w:tcPr>
          <w:p>
            <w:pPr>
              <w:pStyle w:val="13"/>
            </w:pPr>
          </w:p>
        </w:tc>
        <w:tc>
          <w:tcPr>
            <w:tcW w:w="640" w:type="dxa"/>
            <w:vAlign w:val="center"/>
          </w:tcPr>
          <w:p>
            <w:pPr>
              <w:pStyle w:val="13"/>
            </w:pPr>
          </w:p>
        </w:tc>
        <w:tc>
          <w:tcPr>
            <w:tcW w:w="730" w:type="dxa"/>
            <w:vAlign w:val="center"/>
          </w:tcPr>
          <w:p>
            <w:pPr>
              <w:pStyle w:val="13"/>
            </w:pPr>
          </w:p>
        </w:tc>
        <w:tc>
          <w:tcPr>
            <w:tcW w:w="4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13</w:t>
            </w:r>
          </w:p>
        </w:tc>
        <w:tc>
          <w:tcPr>
            <w:tcW w:w="758" w:type="dxa"/>
            <w:vAlign w:val="center"/>
          </w:tcPr>
          <w:p>
            <w:pPr>
              <w:pStyle w:val="12"/>
            </w:pPr>
            <w:r>
              <w:t>2240703</w:t>
            </w:r>
          </w:p>
        </w:tc>
        <w:tc>
          <w:tcPr>
            <w:tcW w:w="758" w:type="dxa"/>
            <w:vAlign w:val="center"/>
          </w:tcPr>
          <w:p>
            <w:pPr>
              <w:pStyle w:val="12"/>
            </w:pPr>
            <w:r>
              <w:t>自然灾害救灾补助</w:t>
            </w:r>
          </w:p>
        </w:tc>
        <w:tc>
          <w:tcPr>
            <w:tcW w:w="943" w:type="dxa"/>
            <w:vAlign w:val="center"/>
          </w:tcPr>
          <w:p>
            <w:pPr>
              <w:pStyle w:val="13"/>
            </w:pPr>
            <w:r>
              <w:t>99.60</w:t>
            </w:r>
          </w:p>
        </w:tc>
        <w:tc>
          <w:tcPr>
            <w:tcW w:w="1050" w:type="dxa"/>
            <w:vAlign w:val="center"/>
          </w:tcPr>
          <w:p>
            <w:pPr>
              <w:pStyle w:val="13"/>
            </w:pPr>
            <w:r>
              <w:t>99.60</w:t>
            </w:r>
          </w:p>
        </w:tc>
        <w:tc>
          <w:tcPr>
            <w:tcW w:w="1130" w:type="dxa"/>
            <w:vAlign w:val="center"/>
          </w:tcPr>
          <w:p>
            <w:pPr>
              <w:pStyle w:val="13"/>
            </w:pPr>
            <w:r>
              <w:t>99.60</w:t>
            </w:r>
          </w:p>
        </w:tc>
        <w:tc>
          <w:tcPr>
            <w:tcW w:w="690" w:type="dxa"/>
            <w:vAlign w:val="center"/>
          </w:tcPr>
          <w:p>
            <w:pPr>
              <w:pStyle w:val="13"/>
            </w:pPr>
          </w:p>
        </w:tc>
        <w:tc>
          <w:tcPr>
            <w:tcW w:w="520" w:type="dxa"/>
            <w:vAlign w:val="center"/>
          </w:tcPr>
          <w:p>
            <w:pPr>
              <w:pStyle w:val="13"/>
            </w:pPr>
          </w:p>
        </w:tc>
        <w:tc>
          <w:tcPr>
            <w:tcW w:w="630" w:type="dxa"/>
            <w:vAlign w:val="center"/>
          </w:tcPr>
          <w:p>
            <w:pPr>
              <w:pStyle w:val="13"/>
            </w:pPr>
          </w:p>
        </w:tc>
        <w:tc>
          <w:tcPr>
            <w:tcW w:w="640" w:type="dxa"/>
            <w:vAlign w:val="center"/>
          </w:tcPr>
          <w:p>
            <w:pPr>
              <w:pStyle w:val="13"/>
            </w:pPr>
          </w:p>
        </w:tc>
        <w:tc>
          <w:tcPr>
            <w:tcW w:w="730" w:type="dxa"/>
            <w:vAlign w:val="center"/>
          </w:tcPr>
          <w:p>
            <w:pPr>
              <w:pStyle w:val="13"/>
            </w:pPr>
          </w:p>
        </w:tc>
        <w:tc>
          <w:tcPr>
            <w:tcW w:w="4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14</w:t>
            </w:r>
          </w:p>
        </w:tc>
        <w:tc>
          <w:tcPr>
            <w:tcW w:w="758" w:type="dxa"/>
            <w:vAlign w:val="center"/>
          </w:tcPr>
          <w:p>
            <w:pPr>
              <w:pStyle w:val="12"/>
            </w:pPr>
            <w:r>
              <w:t>2240704</w:t>
            </w:r>
          </w:p>
        </w:tc>
        <w:tc>
          <w:tcPr>
            <w:tcW w:w="758" w:type="dxa"/>
            <w:vAlign w:val="center"/>
          </w:tcPr>
          <w:p>
            <w:pPr>
              <w:pStyle w:val="12"/>
            </w:pPr>
            <w:r>
              <w:t>自然灾害灾后重建补助</w:t>
            </w:r>
          </w:p>
        </w:tc>
        <w:tc>
          <w:tcPr>
            <w:tcW w:w="943" w:type="dxa"/>
            <w:vAlign w:val="center"/>
          </w:tcPr>
          <w:p>
            <w:pPr>
              <w:pStyle w:val="13"/>
            </w:pPr>
            <w:r>
              <w:t>37.77</w:t>
            </w:r>
          </w:p>
        </w:tc>
        <w:tc>
          <w:tcPr>
            <w:tcW w:w="1050" w:type="dxa"/>
            <w:vAlign w:val="center"/>
          </w:tcPr>
          <w:p>
            <w:pPr>
              <w:pStyle w:val="13"/>
            </w:pPr>
            <w:r>
              <w:t>37.77</w:t>
            </w:r>
          </w:p>
        </w:tc>
        <w:tc>
          <w:tcPr>
            <w:tcW w:w="1130" w:type="dxa"/>
            <w:vAlign w:val="center"/>
          </w:tcPr>
          <w:p>
            <w:pPr>
              <w:pStyle w:val="13"/>
            </w:pPr>
            <w:r>
              <w:t>37.77</w:t>
            </w:r>
          </w:p>
        </w:tc>
        <w:tc>
          <w:tcPr>
            <w:tcW w:w="690" w:type="dxa"/>
            <w:vAlign w:val="center"/>
          </w:tcPr>
          <w:p>
            <w:pPr>
              <w:pStyle w:val="13"/>
            </w:pPr>
          </w:p>
        </w:tc>
        <w:tc>
          <w:tcPr>
            <w:tcW w:w="520" w:type="dxa"/>
            <w:vAlign w:val="center"/>
          </w:tcPr>
          <w:p>
            <w:pPr>
              <w:pStyle w:val="13"/>
            </w:pPr>
          </w:p>
        </w:tc>
        <w:tc>
          <w:tcPr>
            <w:tcW w:w="630" w:type="dxa"/>
            <w:vAlign w:val="center"/>
          </w:tcPr>
          <w:p>
            <w:pPr>
              <w:pStyle w:val="13"/>
            </w:pPr>
          </w:p>
        </w:tc>
        <w:tc>
          <w:tcPr>
            <w:tcW w:w="640" w:type="dxa"/>
            <w:vAlign w:val="center"/>
          </w:tcPr>
          <w:p>
            <w:pPr>
              <w:pStyle w:val="13"/>
            </w:pPr>
          </w:p>
        </w:tc>
        <w:tc>
          <w:tcPr>
            <w:tcW w:w="730" w:type="dxa"/>
            <w:vAlign w:val="center"/>
          </w:tcPr>
          <w:p>
            <w:pPr>
              <w:pStyle w:val="13"/>
            </w:pPr>
          </w:p>
        </w:tc>
        <w:tc>
          <w:tcPr>
            <w:tcW w:w="489"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3963"/>
      <w:r>
        <w:rPr>
          <w:rFonts w:ascii="方正小标宋_GBK" w:hAnsi="方正小标宋_GBK" w:eastAsia="方正小标宋_GBK" w:cs="方正小标宋_GBK"/>
          <w:color w:val="000000"/>
          <w:sz w:val="36"/>
        </w:rPr>
        <w:t>部门预算支出总表</w:t>
      </w:r>
      <w:bookmarkEnd w:id="2"/>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val="en-US" w:eastAsia="zh-CN"/>
              </w:rPr>
            </w:pPr>
            <w:r>
              <w:t>426石家庄市藁城区应急管理局</w:t>
            </w:r>
            <w:r>
              <w:rPr>
                <w:rFonts w:hint="eastAsia"/>
                <w:lang w:val="en-US" w:eastAsia="zh-CN"/>
              </w:rPr>
              <w:t>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1060.87</w:t>
            </w:r>
          </w:p>
        </w:tc>
        <w:tc>
          <w:tcPr>
            <w:tcW w:w="1095" w:type="dxa"/>
            <w:vAlign w:val="center"/>
          </w:tcPr>
          <w:p>
            <w:pPr>
              <w:pStyle w:val="15"/>
            </w:pPr>
            <w:r>
              <w:t>737.33</w:t>
            </w:r>
          </w:p>
        </w:tc>
        <w:tc>
          <w:tcPr>
            <w:tcW w:w="1095" w:type="dxa"/>
            <w:vAlign w:val="center"/>
          </w:tcPr>
          <w:p>
            <w:pPr>
              <w:pStyle w:val="15"/>
            </w:pPr>
            <w:r>
              <w:t>323.54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21303</w:t>
            </w:r>
          </w:p>
        </w:tc>
        <w:tc>
          <w:tcPr>
            <w:tcW w:w="1095" w:type="dxa"/>
            <w:vAlign w:val="center"/>
          </w:tcPr>
          <w:p>
            <w:pPr>
              <w:pStyle w:val="12"/>
            </w:pPr>
            <w:r>
              <w:t>水利</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2130314</w:t>
            </w:r>
          </w:p>
        </w:tc>
        <w:tc>
          <w:tcPr>
            <w:tcW w:w="1095" w:type="dxa"/>
            <w:vAlign w:val="center"/>
          </w:tcPr>
          <w:p>
            <w:pPr>
              <w:pStyle w:val="12"/>
            </w:pPr>
            <w:r>
              <w:t>防汛</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5</w:t>
            </w:r>
          </w:p>
        </w:tc>
        <w:tc>
          <w:tcPr>
            <w:tcW w:w="1095" w:type="dxa"/>
            <w:vAlign w:val="center"/>
          </w:tcPr>
          <w:p>
            <w:pPr>
              <w:pStyle w:val="12"/>
            </w:pPr>
            <w:r>
              <w:t>224</w:t>
            </w:r>
          </w:p>
        </w:tc>
        <w:tc>
          <w:tcPr>
            <w:tcW w:w="1095" w:type="dxa"/>
            <w:vAlign w:val="center"/>
          </w:tcPr>
          <w:p>
            <w:pPr>
              <w:pStyle w:val="12"/>
            </w:pPr>
            <w:r>
              <w:t>灾害防治及应急管理支出</w:t>
            </w:r>
          </w:p>
        </w:tc>
        <w:tc>
          <w:tcPr>
            <w:tcW w:w="1095" w:type="dxa"/>
            <w:vAlign w:val="center"/>
          </w:tcPr>
          <w:p>
            <w:pPr>
              <w:pStyle w:val="13"/>
            </w:pPr>
            <w:r>
              <w:t>1050.87</w:t>
            </w:r>
          </w:p>
        </w:tc>
        <w:tc>
          <w:tcPr>
            <w:tcW w:w="1095" w:type="dxa"/>
            <w:vAlign w:val="center"/>
          </w:tcPr>
          <w:p>
            <w:pPr>
              <w:pStyle w:val="13"/>
            </w:pPr>
            <w:r>
              <w:t>737.33</w:t>
            </w:r>
          </w:p>
        </w:tc>
        <w:tc>
          <w:tcPr>
            <w:tcW w:w="1095" w:type="dxa"/>
            <w:vAlign w:val="center"/>
          </w:tcPr>
          <w:p>
            <w:pPr>
              <w:pStyle w:val="13"/>
            </w:pPr>
            <w:r>
              <w:t>313.54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6</w:t>
            </w:r>
          </w:p>
        </w:tc>
        <w:tc>
          <w:tcPr>
            <w:tcW w:w="1095" w:type="dxa"/>
            <w:vAlign w:val="center"/>
          </w:tcPr>
          <w:p>
            <w:pPr>
              <w:pStyle w:val="12"/>
            </w:pPr>
            <w:r>
              <w:t>22401</w:t>
            </w:r>
          </w:p>
        </w:tc>
        <w:tc>
          <w:tcPr>
            <w:tcW w:w="1095" w:type="dxa"/>
            <w:vAlign w:val="center"/>
          </w:tcPr>
          <w:p>
            <w:pPr>
              <w:pStyle w:val="12"/>
            </w:pPr>
            <w:r>
              <w:t>应急管理事务</w:t>
            </w:r>
          </w:p>
        </w:tc>
        <w:tc>
          <w:tcPr>
            <w:tcW w:w="1095" w:type="dxa"/>
            <w:vAlign w:val="center"/>
          </w:tcPr>
          <w:p>
            <w:pPr>
              <w:pStyle w:val="13"/>
            </w:pPr>
            <w:r>
              <w:t>912.69</w:t>
            </w:r>
          </w:p>
        </w:tc>
        <w:tc>
          <w:tcPr>
            <w:tcW w:w="1095" w:type="dxa"/>
            <w:vAlign w:val="center"/>
          </w:tcPr>
          <w:p>
            <w:pPr>
              <w:pStyle w:val="13"/>
            </w:pPr>
            <w:r>
              <w:t>737.33</w:t>
            </w:r>
          </w:p>
        </w:tc>
        <w:tc>
          <w:tcPr>
            <w:tcW w:w="1095" w:type="dxa"/>
            <w:vAlign w:val="center"/>
          </w:tcPr>
          <w:p>
            <w:pPr>
              <w:pStyle w:val="13"/>
            </w:pPr>
            <w:r>
              <w:t>175.36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7</w:t>
            </w:r>
          </w:p>
        </w:tc>
        <w:tc>
          <w:tcPr>
            <w:tcW w:w="1095" w:type="dxa"/>
            <w:vAlign w:val="center"/>
          </w:tcPr>
          <w:p>
            <w:pPr>
              <w:pStyle w:val="12"/>
            </w:pPr>
            <w:r>
              <w:t>2240101</w:t>
            </w:r>
          </w:p>
        </w:tc>
        <w:tc>
          <w:tcPr>
            <w:tcW w:w="1095" w:type="dxa"/>
            <w:vAlign w:val="center"/>
          </w:tcPr>
          <w:p>
            <w:pPr>
              <w:pStyle w:val="12"/>
            </w:pPr>
            <w:r>
              <w:t>行政运行</w:t>
            </w:r>
          </w:p>
        </w:tc>
        <w:tc>
          <w:tcPr>
            <w:tcW w:w="1095" w:type="dxa"/>
            <w:vAlign w:val="center"/>
          </w:tcPr>
          <w:p>
            <w:pPr>
              <w:pStyle w:val="13"/>
            </w:pPr>
            <w:r>
              <w:t>737.33</w:t>
            </w:r>
          </w:p>
        </w:tc>
        <w:tc>
          <w:tcPr>
            <w:tcW w:w="1095" w:type="dxa"/>
            <w:vAlign w:val="center"/>
          </w:tcPr>
          <w:p>
            <w:pPr>
              <w:pStyle w:val="13"/>
            </w:pPr>
            <w:r>
              <w:t>737.33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8</w:t>
            </w:r>
          </w:p>
        </w:tc>
        <w:tc>
          <w:tcPr>
            <w:tcW w:w="1095" w:type="dxa"/>
            <w:vAlign w:val="center"/>
          </w:tcPr>
          <w:p>
            <w:pPr>
              <w:pStyle w:val="12"/>
            </w:pPr>
            <w:r>
              <w:t>2240106</w:t>
            </w:r>
          </w:p>
        </w:tc>
        <w:tc>
          <w:tcPr>
            <w:tcW w:w="1095" w:type="dxa"/>
            <w:vAlign w:val="center"/>
          </w:tcPr>
          <w:p>
            <w:pPr>
              <w:pStyle w:val="12"/>
            </w:pPr>
            <w:r>
              <w:t>安全监管</w:t>
            </w:r>
          </w:p>
        </w:tc>
        <w:tc>
          <w:tcPr>
            <w:tcW w:w="1095" w:type="dxa"/>
            <w:vAlign w:val="center"/>
          </w:tcPr>
          <w:p>
            <w:pPr>
              <w:pStyle w:val="13"/>
            </w:pPr>
            <w:r>
              <w:t>175.00</w:t>
            </w:r>
          </w:p>
        </w:tc>
        <w:tc>
          <w:tcPr>
            <w:tcW w:w="1095" w:type="dxa"/>
            <w:vAlign w:val="center"/>
          </w:tcPr>
          <w:p>
            <w:pPr>
              <w:pStyle w:val="13"/>
            </w:pPr>
          </w:p>
        </w:tc>
        <w:tc>
          <w:tcPr>
            <w:tcW w:w="1095" w:type="dxa"/>
            <w:vAlign w:val="center"/>
          </w:tcPr>
          <w:p>
            <w:pPr>
              <w:pStyle w:val="13"/>
            </w:pPr>
            <w:r>
              <w:t>175.00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9</w:t>
            </w:r>
          </w:p>
        </w:tc>
        <w:tc>
          <w:tcPr>
            <w:tcW w:w="1095" w:type="dxa"/>
            <w:vAlign w:val="center"/>
          </w:tcPr>
          <w:p>
            <w:pPr>
              <w:pStyle w:val="12"/>
            </w:pPr>
            <w:r>
              <w:t>2240109</w:t>
            </w:r>
          </w:p>
        </w:tc>
        <w:tc>
          <w:tcPr>
            <w:tcW w:w="1095" w:type="dxa"/>
            <w:vAlign w:val="center"/>
          </w:tcPr>
          <w:p>
            <w:pPr>
              <w:pStyle w:val="12"/>
            </w:pPr>
            <w:r>
              <w:t>应急管理</w:t>
            </w:r>
          </w:p>
        </w:tc>
        <w:tc>
          <w:tcPr>
            <w:tcW w:w="1095" w:type="dxa"/>
            <w:vAlign w:val="center"/>
          </w:tcPr>
          <w:p>
            <w:pPr>
              <w:pStyle w:val="13"/>
            </w:pPr>
            <w:r>
              <w:t>0.36</w:t>
            </w:r>
          </w:p>
        </w:tc>
        <w:tc>
          <w:tcPr>
            <w:tcW w:w="1095" w:type="dxa"/>
            <w:vAlign w:val="center"/>
          </w:tcPr>
          <w:p>
            <w:pPr>
              <w:pStyle w:val="13"/>
            </w:pPr>
          </w:p>
        </w:tc>
        <w:tc>
          <w:tcPr>
            <w:tcW w:w="1095" w:type="dxa"/>
            <w:vAlign w:val="center"/>
          </w:tcPr>
          <w:p>
            <w:pPr>
              <w:pStyle w:val="13"/>
            </w:pPr>
            <w:r>
              <w:t>0.36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10</w:t>
            </w:r>
          </w:p>
        </w:tc>
        <w:tc>
          <w:tcPr>
            <w:tcW w:w="1095" w:type="dxa"/>
            <w:vAlign w:val="center"/>
          </w:tcPr>
          <w:p>
            <w:pPr>
              <w:pStyle w:val="12"/>
            </w:pPr>
            <w:r>
              <w:t>22405</w:t>
            </w:r>
          </w:p>
        </w:tc>
        <w:tc>
          <w:tcPr>
            <w:tcW w:w="1095" w:type="dxa"/>
            <w:vAlign w:val="center"/>
          </w:tcPr>
          <w:p>
            <w:pPr>
              <w:pStyle w:val="12"/>
            </w:pPr>
            <w:r>
              <w:t>地震事务</w:t>
            </w:r>
          </w:p>
        </w:tc>
        <w:tc>
          <w:tcPr>
            <w:tcW w:w="1095" w:type="dxa"/>
            <w:vAlign w:val="center"/>
          </w:tcPr>
          <w:p>
            <w:pPr>
              <w:pStyle w:val="13"/>
            </w:pPr>
            <w:r>
              <w:t>0.80</w:t>
            </w:r>
          </w:p>
        </w:tc>
        <w:tc>
          <w:tcPr>
            <w:tcW w:w="1095" w:type="dxa"/>
            <w:vAlign w:val="center"/>
          </w:tcPr>
          <w:p>
            <w:pPr>
              <w:pStyle w:val="13"/>
            </w:pPr>
          </w:p>
        </w:tc>
        <w:tc>
          <w:tcPr>
            <w:tcW w:w="1095" w:type="dxa"/>
            <w:vAlign w:val="center"/>
          </w:tcPr>
          <w:p>
            <w:pPr>
              <w:pStyle w:val="13"/>
            </w:pPr>
            <w:r>
              <w:t>0.80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11</w:t>
            </w:r>
          </w:p>
        </w:tc>
        <w:tc>
          <w:tcPr>
            <w:tcW w:w="1095" w:type="dxa"/>
            <w:vAlign w:val="center"/>
          </w:tcPr>
          <w:p>
            <w:pPr>
              <w:pStyle w:val="12"/>
            </w:pPr>
            <w:r>
              <w:t>2240504</w:t>
            </w:r>
          </w:p>
        </w:tc>
        <w:tc>
          <w:tcPr>
            <w:tcW w:w="1095" w:type="dxa"/>
            <w:vAlign w:val="center"/>
          </w:tcPr>
          <w:p>
            <w:pPr>
              <w:pStyle w:val="12"/>
            </w:pPr>
            <w:r>
              <w:t>地震监测</w:t>
            </w:r>
          </w:p>
        </w:tc>
        <w:tc>
          <w:tcPr>
            <w:tcW w:w="1095" w:type="dxa"/>
            <w:vAlign w:val="center"/>
          </w:tcPr>
          <w:p>
            <w:pPr>
              <w:pStyle w:val="13"/>
            </w:pPr>
            <w:r>
              <w:t>0.80</w:t>
            </w:r>
          </w:p>
        </w:tc>
        <w:tc>
          <w:tcPr>
            <w:tcW w:w="1095" w:type="dxa"/>
            <w:vAlign w:val="center"/>
          </w:tcPr>
          <w:p>
            <w:pPr>
              <w:pStyle w:val="13"/>
            </w:pPr>
          </w:p>
        </w:tc>
        <w:tc>
          <w:tcPr>
            <w:tcW w:w="1095" w:type="dxa"/>
            <w:vAlign w:val="center"/>
          </w:tcPr>
          <w:p>
            <w:pPr>
              <w:pStyle w:val="13"/>
            </w:pPr>
            <w:r>
              <w:t>0.80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12</w:t>
            </w:r>
          </w:p>
        </w:tc>
        <w:tc>
          <w:tcPr>
            <w:tcW w:w="1095" w:type="dxa"/>
            <w:vAlign w:val="center"/>
          </w:tcPr>
          <w:p>
            <w:pPr>
              <w:pStyle w:val="12"/>
            </w:pPr>
            <w:r>
              <w:t>22407</w:t>
            </w:r>
          </w:p>
        </w:tc>
        <w:tc>
          <w:tcPr>
            <w:tcW w:w="1095" w:type="dxa"/>
            <w:vAlign w:val="center"/>
          </w:tcPr>
          <w:p>
            <w:pPr>
              <w:pStyle w:val="12"/>
            </w:pPr>
            <w:r>
              <w:t>自然灾害救灾及恢复重建支出</w:t>
            </w:r>
          </w:p>
        </w:tc>
        <w:tc>
          <w:tcPr>
            <w:tcW w:w="1095" w:type="dxa"/>
            <w:vAlign w:val="center"/>
          </w:tcPr>
          <w:p>
            <w:pPr>
              <w:pStyle w:val="13"/>
            </w:pPr>
            <w:r>
              <w:t>137.38</w:t>
            </w:r>
          </w:p>
        </w:tc>
        <w:tc>
          <w:tcPr>
            <w:tcW w:w="1095" w:type="dxa"/>
            <w:vAlign w:val="center"/>
          </w:tcPr>
          <w:p>
            <w:pPr>
              <w:pStyle w:val="13"/>
            </w:pPr>
          </w:p>
        </w:tc>
        <w:tc>
          <w:tcPr>
            <w:tcW w:w="1095" w:type="dxa"/>
            <w:vAlign w:val="center"/>
          </w:tcPr>
          <w:p>
            <w:pPr>
              <w:pStyle w:val="13"/>
            </w:pPr>
            <w:r>
              <w:t>137.38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13</w:t>
            </w:r>
          </w:p>
        </w:tc>
        <w:tc>
          <w:tcPr>
            <w:tcW w:w="1095" w:type="dxa"/>
            <w:vAlign w:val="center"/>
          </w:tcPr>
          <w:p>
            <w:pPr>
              <w:pStyle w:val="12"/>
            </w:pPr>
            <w:r>
              <w:t>2240703</w:t>
            </w:r>
          </w:p>
        </w:tc>
        <w:tc>
          <w:tcPr>
            <w:tcW w:w="1095" w:type="dxa"/>
            <w:vAlign w:val="center"/>
          </w:tcPr>
          <w:p>
            <w:pPr>
              <w:pStyle w:val="12"/>
            </w:pPr>
            <w:r>
              <w:t>自然灾害救灾补助</w:t>
            </w:r>
          </w:p>
        </w:tc>
        <w:tc>
          <w:tcPr>
            <w:tcW w:w="1095" w:type="dxa"/>
            <w:vAlign w:val="center"/>
          </w:tcPr>
          <w:p>
            <w:pPr>
              <w:pStyle w:val="13"/>
            </w:pPr>
            <w:r>
              <w:t>99.60</w:t>
            </w:r>
          </w:p>
        </w:tc>
        <w:tc>
          <w:tcPr>
            <w:tcW w:w="1095" w:type="dxa"/>
            <w:vAlign w:val="center"/>
          </w:tcPr>
          <w:p>
            <w:pPr>
              <w:pStyle w:val="13"/>
            </w:pPr>
          </w:p>
        </w:tc>
        <w:tc>
          <w:tcPr>
            <w:tcW w:w="1095" w:type="dxa"/>
            <w:vAlign w:val="center"/>
          </w:tcPr>
          <w:p>
            <w:pPr>
              <w:pStyle w:val="13"/>
            </w:pPr>
            <w:r>
              <w:t>99.60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14</w:t>
            </w:r>
          </w:p>
        </w:tc>
        <w:tc>
          <w:tcPr>
            <w:tcW w:w="1095" w:type="dxa"/>
            <w:vAlign w:val="center"/>
          </w:tcPr>
          <w:p>
            <w:pPr>
              <w:pStyle w:val="12"/>
            </w:pPr>
            <w:r>
              <w:t>2240704</w:t>
            </w:r>
          </w:p>
        </w:tc>
        <w:tc>
          <w:tcPr>
            <w:tcW w:w="1095" w:type="dxa"/>
            <w:vAlign w:val="center"/>
          </w:tcPr>
          <w:p>
            <w:pPr>
              <w:pStyle w:val="12"/>
            </w:pPr>
            <w:r>
              <w:t>自然灾害灾后重建补助</w:t>
            </w:r>
          </w:p>
        </w:tc>
        <w:tc>
          <w:tcPr>
            <w:tcW w:w="1095" w:type="dxa"/>
            <w:vAlign w:val="center"/>
          </w:tcPr>
          <w:p>
            <w:pPr>
              <w:pStyle w:val="13"/>
            </w:pPr>
            <w:r>
              <w:t>37.77</w:t>
            </w:r>
          </w:p>
        </w:tc>
        <w:tc>
          <w:tcPr>
            <w:tcW w:w="1095" w:type="dxa"/>
            <w:vAlign w:val="center"/>
          </w:tcPr>
          <w:p>
            <w:pPr>
              <w:pStyle w:val="13"/>
            </w:pPr>
          </w:p>
        </w:tc>
        <w:tc>
          <w:tcPr>
            <w:tcW w:w="1095" w:type="dxa"/>
            <w:vAlign w:val="center"/>
          </w:tcPr>
          <w:p>
            <w:pPr>
              <w:pStyle w:val="13"/>
            </w:pPr>
            <w:r>
              <w:t>37.77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217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694"/>
        <w:gridCol w:w="1170"/>
        <w:gridCol w:w="1200"/>
        <w:gridCol w:w="1080"/>
        <w:gridCol w:w="1016"/>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158"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val="en-US" w:eastAsia="zh-CN"/>
              </w:rPr>
            </w:pPr>
            <w:r>
              <w:t>426石家庄市藁城区应急管理局</w:t>
            </w:r>
            <w:r>
              <w:rPr>
                <w:rFonts w:hint="eastAsia"/>
                <w:lang w:val="en-US" w:eastAsia="zh-CN"/>
              </w:rPr>
              <w:t>本级</w:t>
            </w:r>
          </w:p>
        </w:tc>
        <w:tc>
          <w:tcPr>
            <w:tcW w:w="1170" w:type="dxa"/>
            <w:tcBorders>
              <w:top w:val="single" w:color="FFFFFF" w:sz="6" w:space="0"/>
              <w:left w:val="single" w:color="FFFFFF" w:sz="6" w:space="0"/>
              <w:right w:val="single" w:color="FFFFFF" w:sz="6" w:space="0"/>
            </w:tcBorders>
            <w:vAlign w:val="center"/>
          </w:tcPr>
          <w:p>
            <w:pPr>
              <w:pStyle w:val="8"/>
            </w:pPr>
            <w:r>
              <w:t>预算年度：2022</w:t>
            </w:r>
          </w:p>
        </w:tc>
        <w:tc>
          <w:tcPr>
            <w:tcW w:w="45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926" w:type="dxa"/>
            <w:gridSpan w:val="2"/>
            <w:vAlign w:val="center"/>
          </w:tcPr>
          <w:p>
            <w:pPr>
              <w:pStyle w:val="10"/>
            </w:pPr>
            <w:r>
              <w:t>收入</w:t>
            </w:r>
          </w:p>
        </w:tc>
        <w:tc>
          <w:tcPr>
            <w:tcW w:w="56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694" w:type="dxa"/>
            <w:vAlign w:val="center"/>
          </w:tcPr>
          <w:p>
            <w:pPr>
              <w:pStyle w:val="10"/>
            </w:pPr>
            <w:r>
              <w:t>金额</w:t>
            </w:r>
          </w:p>
        </w:tc>
        <w:tc>
          <w:tcPr>
            <w:tcW w:w="1170" w:type="dxa"/>
            <w:vAlign w:val="center"/>
          </w:tcPr>
          <w:p>
            <w:pPr>
              <w:pStyle w:val="10"/>
            </w:pPr>
            <w:r>
              <w:t>项  目</w:t>
            </w:r>
          </w:p>
        </w:tc>
        <w:tc>
          <w:tcPr>
            <w:tcW w:w="1200" w:type="dxa"/>
            <w:vAlign w:val="center"/>
          </w:tcPr>
          <w:p>
            <w:pPr>
              <w:pStyle w:val="10"/>
            </w:pPr>
            <w:r>
              <w:t>合计</w:t>
            </w:r>
          </w:p>
        </w:tc>
        <w:tc>
          <w:tcPr>
            <w:tcW w:w="1080" w:type="dxa"/>
            <w:vAlign w:val="center"/>
          </w:tcPr>
          <w:p>
            <w:pPr>
              <w:pStyle w:val="10"/>
            </w:pPr>
            <w:r>
              <w:t>一般公共预算财政拨款</w:t>
            </w:r>
          </w:p>
        </w:tc>
        <w:tc>
          <w:tcPr>
            <w:tcW w:w="1016"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694" w:type="dxa"/>
            <w:vAlign w:val="center"/>
          </w:tcPr>
          <w:p>
            <w:pPr>
              <w:pStyle w:val="10"/>
            </w:pPr>
            <w:r>
              <w:t>2</w:t>
            </w:r>
          </w:p>
        </w:tc>
        <w:tc>
          <w:tcPr>
            <w:tcW w:w="1170" w:type="dxa"/>
            <w:vAlign w:val="center"/>
          </w:tcPr>
          <w:p>
            <w:pPr>
              <w:pStyle w:val="10"/>
            </w:pPr>
            <w:r>
              <w:t>3</w:t>
            </w:r>
          </w:p>
        </w:tc>
        <w:tc>
          <w:tcPr>
            <w:tcW w:w="1200" w:type="dxa"/>
            <w:vAlign w:val="center"/>
          </w:tcPr>
          <w:p>
            <w:pPr>
              <w:pStyle w:val="10"/>
            </w:pPr>
            <w:r>
              <w:t>4</w:t>
            </w:r>
          </w:p>
        </w:tc>
        <w:tc>
          <w:tcPr>
            <w:tcW w:w="1080" w:type="dxa"/>
            <w:vAlign w:val="center"/>
          </w:tcPr>
          <w:p>
            <w:pPr>
              <w:pStyle w:val="10"/>
            </w:pPr>
            <w:r>
              <w:t>5</w:t>
            </w:r>
          </w:p>
        </w:tc>
        <w:tc>
          <w:tcPr>
            <w:tcW w:w="1016" w:type="dxa"/>
            <w:vAlign w:val="center"/>
          </w:tcPr>
          <w:p>
            <w:pPr>
              <w:pStyle w:val="10"/>
            </w:pPr>
            <w:r>
              <w:t>6</w:t>
            </w:r>
          </w:p>
        </w:tc>
        <w:tc>
          <w:tcPr>
            <w:tcW w:w="1232"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w:t>
            </w:r>
          </w:p>
        </w:tc>
        <w:tc>
          <w:tcPr>
            <w:tcW w:w="1232" w:type="dxa"/>
            <w:vAlign w:val="center"/>
          </w:tcPr>
          <w:p>
            <w:pPr>
              <w:pStyle w:val="12"/>
            </w:pPr>
            <w:r>
              <w:t>一、一般公共预算拨款</w:t>
            </w:r>
          </w:p>
        </w:tc>
        <w:tc>
          <w:tcPr>
            <w:tcW w:w="1694" w:type="dxa"/>
            <w:vAlign w:val="center"/>
          </w:tcPr>
          <w:p>
            <w:pPr>
              <w:pStyle w:val="13"/>
            </w:pPr>
            <w:r>
              <w:t>1060.51</w:t>
            </w:r>
          </w:p>
        </w:tc>
        <w:tc>
          <w:tcPr>
            <w:tcW w:w="1170" w:type="dxa"/>
            <w:vAlign w:val="center"/>
          </w:tcPr>
          <w:p>
            <w:pPr>
              <w:pStyle w:val="12"/>
            </w:pPr>
            <w:r>
              <w:t>一、一般公共服务支出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w:t>
            </w:r>
          </w:p>
        </w:tc>
        <w:tc>
          <w:tcPr>
            <w:tcW w:w="1232" w:type="dxa"/>
            <w:vAlign w:val="center"/>
          </w:tcPr>
          <w:p>
            <w:pPr>
              <w:pStyle w:val="12"/>
            </w:pPr>
            <w:r>
              <w:t>二、政府性基金预算拨款</w:t>
            </w:r>
          </w:p>
        </w:tc>
        <w:tc>
          <w:tcPr>
            <w:tcW w:w="1694" w:type="dxa"/>
            <w:vAlign w:val="center"/>
          </w:tcPr>
          <w:p>
            <w:pPr>
              <w:pStyle w:val="13"/>
            </w:pPr>
          </w:p>
        </w:tc>
        <w:tc>
          <w:tcPr>
            <w:tcW w:w="1170" w:type="dxa"/>
            <w:vAlign w:val="center"/>
          </w:tcPr>
          <w:p>
            <w:pPr>
              <w:pStyle w:val="12"/>
            </w:pPr>
            <w:r>
              <w:t>二、外交支出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w:t>
            </w:r>
          </w:p>
        </w:tc>
        <w:tc>
          <w:tcPr>
            <w:tcW w:w="1232" w:type="dxa"/>
            <w:vAlign w:val="center"/>
          </w:tcPr>
          <w:p>
            <w:pPr>
              <w:pStyle w:val="12"/>
            </w:pPr>
            <w:r>
              <w:t>三、国有资本经营预算拨款</w:t>
            </w:r>
          </w:p>
        </w:tc>
        <w:tc>
          <w:tcPr>
            <w:tcW w:w="1694" w:type="dxa"/>
            <w:vAlign w:val="center"/>
          </w:tcPr>
          <w:p>
            <w:pPr>
              <w:pStyle w:val="13"/>
            </w:pPr>
          </w:p>
        </w:tc>
        <w:tc>
          <w:tcPr>
            <w:tcW w:w="1170" w:type="dxa"/>
            <w:vAlign w:val="center"/>
          </w:tcPr>
          <w:p>
            <w:pPr>
              <w:pStyle w:val="12"/>
            </w:pPr>
            <w:r>
              <w:t>三、国防支出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4</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四、公共安全支出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5</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五、教育支出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6</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六、科学技术支出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7</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七、文化旅游体育与传媒支出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8</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八、社会保障和就业支出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9</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九、社会保险基金支出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10</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十、卫生健康支出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11</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十一、节能环保支出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12</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十二、城乡社区支出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13</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十三、农林水支出</w:t>
            </w:r>
          </w:p>
        </w:tc>
        <w:tc>
          <w:tcPr>
            <w:tcW w:w="1200" w:type="dxa"/>
            <w:vAlign w:val="center"/>
          </w:tcPr>
          <w:p>
            <w:pPr>
              <w:pStyle w:val="13"/>
            </w:pPr>
            <w:r>
              <w:t>10.00</w:t>
            </w:r>
          </w:p>
        </w:tc>
        <w:tc>
          <w:tcPr>
            <w:tcW w:w="1080" w:type="dxa"/>
            <w:vAlign w:val="center"/>
          </w:tcPr>
          <w:p>
            <w:pPr>
              <w:pStyle w:val="13"/>
            </w:pPr>
            <w:r>
              <w:t>10.00</w:t>
            </w: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14</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十四、交通运输支出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15</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十五、资源勘探工业信息等支出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16</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十六、商业服务业等支出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17</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十七、金融支出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18</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十八、援助其他地区支出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19</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十九、自然资源海洋气象等支出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20</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二十、住房保障支出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21</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二十一、粮油物资储备支出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22</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二十二、国有资本经营预算支出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23</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二十三、灾害防治及应急管理支出</w:t>
            </w:r>
          </w:p>
        </w:tc>
        <w:tc>
          <w:tcPr>
            <w:tcW w:w="1200" w:type="dxa"/>
            <w:vAlign w:val="center"/>
          </w:tcPr>
          <w:p>
            <w:pPr>
              <w:pStyle w:val="13"/>
            </w:pPr>
            <w:r>
              <w:t>1050.87</w:t>
            </w:r>
          </w:p>
        </w:tc>
        <w:tc>
          <w:tcPr>
            <w:tcW w:w="1080" w:type="dxa"/>
            <w:vAlign w:val="center"/>
          </w:tcPr>
          <w:p>
            <w:pPr>
              <w:pStyle w:val="13"/>
            </w:pPr>
            <w:r>
              <w:t>1050.87</w:t>
            </w: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24</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二十四、预备费</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25</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二十五、其他支出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26</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二十六、转移性支出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27</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二十七、债务还本支出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28</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二十八、债务付息支出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29</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二十九、债务发行费用支出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30</w:t>
            </w:r>
          </w:p>
        </w:tc>
        <w:tc>
          <w:tcPr>
            <w:tcW w:w="1232" w:type="dxa"/>
            <w:vAlign w:val="center"/>
          </w:tcPr>
          <w:p>
            <w:pPr>
              <w:pStyle w:val="12"/>
            </w:pPr>
          </w:p>
        </w:tc>
        <w:tc>
          <w:tcPr>
            <w:tcW w:w="1694" w:type="dxa"/>
            <w:vAlign w:val="center"/>
          </w:tcPr>
          <w:p>
            <w:pPr>
              <w:pStyle w:val="13"/>
            </w:pPr>
          </w:p>
        </w:tc>
        <w:tc>
          <w:tcPr>
            <w:tcW w:w="1170" w:type="dxa"/>
            <w:vAlign w:val="center"/>
          </w:tcPr>
          <w:p>
            <w:pPr>
              <w:pStyle w:val="12"/>
            </w:pPr>
            <w:r>
              <w:t>三十、抗疫特别国债安排的支出</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31</w:t>
            </w:r>
          </w:p>
        </w:tc>
        <w:tc>
          <w:tcPr>
            <w:tcW w:w="1232" w:type="dxa"/>
            <w:vAlign w:val="center"/>
          </w:tcPr>
          <w:p>
            <w:pPr>
              <w:pStyle w:val="14"/>
            </w:pPr>
            <w:r>
              <w:t>本年收入合计</w:t>
            </w:r>
          </w:p>
        </w:tc>
        <w:tc>
          <w:tcPr>
            <w:tcW w:w="1694" w:type="dxa"/>
            <w:vAlign w:val="center"/>
          </w:tcPr>
          <w:p>
            <w:pPr>
              <w:pStyle w:val="15"/>
            </w:pPr>
            <w:r>
              <w:t>1060.51</w:t>
            </w:r>
          </w:p>
        </w:tc>
        <w:tc>
          <w:tcPr>
            <w:tcW w:w="1170" w:type="dxa"/>
            <w:vAlign w:val="center"/>
          </w:tcPr>
          <w:p>
            <w:pPr>
              <w:pStyle w:val="14"/>
            </w:pPr>
            <w:r>
              <w:t>本年支出合计</w:t>
            </w:r>
          </w:p>
        </w:tc>
        <w:tc>
          <w:tcPr>
            <w:tcW w:w="1200" w:type="dxa"/>
            <w:vAlign w:val="center"/>
          </w:tcPr>
          <w:p>
            <w:pPr>
              <w:pStyle w:val="15"/>
            </w:pPr>
            <w:r>
              <w:t>1060.87</w:t>
            </w:r>
          </w:p>
        </w:tc>
        <w:tc>
          <w:tcPr>
            <w:tcW w:w="1080" w:type="dxa"/>
            <w:vAlign w:val="center"/>
          </w:tcPr>
          <w:p>
            <w:pPr>
              <w:pStyle w:val="15"/>
            </w:pPr>
            <w:r>
              <w:t>1060.87</w:t>
            </w:r>
          </w:p>
        </w:tc>
        <w:tc>
          <w:tcPr>
            <w:tcW w:w="1016"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32</w:t>
            </w:r>
          </w:p>
        </w:tc>
        <w:tc>
          <w:tcPr>
            <w:tcW w:w="1232" w:type="dxa"/>
            <w:vAlign w:val="center"/>
          </w:tcPr>
          <w:p>
            <w:pPr>
              <w:pStyle w:val="12"/>
            </w:pPr>
            <w:r>
              <w:t>年初财政拨款结转和结余</w:t>
            </w:r>
          </w:p>
        </w:tc>
        <w:tc>
          <w:tcPr>
            <w:tcW w:w="1694" w:type="dxa"/>
            <w:vAlign w:val="center"/>
          </w:tcPr>
          <w:p>
            <w:pPr>
              <w:pStyle w:val="13"/>
            </w:pPr>
            <w:r>
              <w:t>0.36</w:t>
            </w:r>
          </w:p>
        </w:tc>
        <w:tc>
          <w:tcPr>
            <w:tcW w:w="1170" w:type="dxa"/>
            <w:vAlign w:val="center"/>
          </w:tcPr>
          <w:p>
            <w:pPr>
              <w:pStyle w:val="12"/>
            </w:pPr>
            <w:r>
              <w:t>年末财政拨款结转和结余</w:t>
            </w: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33</w:t>
            </w:r>
          </w:p>
        </w:tc>
        <w:tc>
          <w:tcPr>
            <w:tcW w:w="1232" w:type="dxa"/>
            <w:vAlign w:val="center"/>
          </w:tcPr>
          <w:p>
            <w:pPr>
              <w:pStyle w:val="12"/>
            </w:pPr>
            <w:r>
              <w:t>一、一般公共预算拨款</w:t>
            </w:r>
          </w:p>
        </w:tc>
        <w:tc>
          <w:tcPr>
            <w:tcW w:w="1694" w:type="dxa"/>
            <w:vAlign w:val="center"/>
          </w:tcPr>
          <w:p>
            <w:pPr>
              <w:pStyle w:val="13"/>
            </w:pPr>
            <w:r>
              <w:t>0.36</w:t>
            </w:r>
          </w:p>
        </w:tc>
        <w:tc>
          <w:tcPr>
            <w:tcW w:w="1170" w:type="dxa"/>
            <w:vAlign w:val="center"/>
          </w:tcPr>
          <w:p>
            <w:pPr>
              <w:pStyle w:val="12"/>
            </w:pP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34</w:t>
            </w:r>
          </w:p>
        </w:tc>
        <w:tc>
          <w:tcPr>
            <w:tcW w:w="1232" w:type="dxa"/>
            <w:vAlign w:val="center"/>
          </w:tcPr>
          <w:p>
            <w:pPr>
              <w:pStyle w:val="12"/>
            </w:pPr>
            <w:r>
              <w:t>二、政府性基金预算拨款</w:t>
            </w:r>
          </w:p>
        </w:tc>
        <w:tc>
          <w:tcPr>
            <w:tcW w:w="1694" w:type="dxa"/>
            <w:vAlign w:val="center"/>
          </w:tcPr>
          <w:p>
            <w:pPr>
              <w:pStyle w:val="13"/>
            </w:pPr>
          </w:p>
        </w:tc>
        <w:tc>
          <w:tcPr>
            <w:tcW w:w="1170" w:type="dxa"/>
            <w:vAlign w:val="center"/>
          </w:tcPr>
          <w:p>
            <w:pPr>
              <w:pStyle w:val="12"/>
            </w:pP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35</w:t>
            </w:r>
          </w:p>
        </w:tc>
        <w:tc>
          <w:tcPr>
            <w:tcW w:w="1232" w:type="dxa"/>
            <w:vAlign w:val="center"/>
          </w:tcPr>
          <w:p>
            <w:pPr>
              <w:pStyle w:val="12"/>
            </w:pPr>
            <w:r>
              <w:t>三、国有资本经营预算拨款</w:t>
            </w:r>
          </w:p>
        </w:tc>
        <w:tc>
          <w:tcPr>
            <w:tcW w:w="1694" w:type="dxa"/>
            <w:vAlign w:val="center"/>
          </w:tcPr>
          <w:p>
            <w:pPr>
              <w:pStyle w:val="13"/>
            </w:pPr>
          </w:p>
        </w:tc>
        <w:tc>
          <w:tcPr>
            <w:tcW w:w="1170" w:type="dxa"/>
            <w:vAlign w:val="center"/>
          </w:tcPr>
          <w:p>
            <w:pPr>
              <w:pStyle w:val="12"/>
            </w:pPr>
          </w:p>
        </w:tc>
        <w:tc>
          <w:tcPr>
            <w:tcW w:w="1200" w:type="dxa"/>
            <w:vAlign w:val="center"/>
          </w:tcPr>
          <w:p>
            <w:pPr>
              <w:pStyle w:val="13"/>
            </w:pPr>
          </w:p>
        </w:tc>
        <w:tc>
          <w:tcPr>
            <w:tcW w:w="1080" w:type="dxa"/>
            <w:vAlign w:val="center"/>
          </w:tcPr>
          <w:p>
            <w:pPr>
              <w:pStyle w:val="13"/>
            </w:pPr>
          </w:p>
        </w:tc>
        <w:tc>
          <w:tcPr>
            <w:tcW w:w="101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36</w:t>
            </w:r>
          </w:p>
        </w:tc>
        <w:tc>
          <w:tcPr>
            <w:tcW w:w="1232" w:type="dxa"/>
            <w:vAlign w:val="center"/>
          </w:tcPr>
          <w:p>
            <w:pPr>
              <w:pStyle w:val="14"/>
            </w:pPr>
            <w:r>
              <w:t>收入总计</w:t>
            </w:r>
          </w:p>
        </w:tc>
        <w:tc>
          <w:tcPr>
            <w:tcW w:w="1694" w:type="dxa"/>
            <w:vAlign w:val="center"/>
          </w:tcPr>
          <w:p>
            <w:pPr>
              <w:pStyle w:val="15"/>
            </w:pPr>
            <w:r>
              <w:t>1060.87</w:t>
            </w:r>
          </w:p>
        </w:tc>
        <w:tc>
          <w:tcPr>
            <w:tcW w:w="1170" w:type="dxa"/>
            <w:vAlign w:val="center"/>
          </w:tcPr>
          <w:p>
            <w:pPr>
              <w:pStyle w:val="14"/>
            </w:pPr>
            <w:r>
              <w:t>支出总计</w:t>
            </w:r>
          </w:p>
        </w:tc>
        <w:tc>
          <w:tcPr>
            <w:tcW w:w="1200" w:type="dxa"/>
            <w:vAlign w:val="center"/>
          </w:tcPr>
          <w:p>
            <w:pPr>
              <w:pStyle w:val="15"/>
            </w:pPr>
            <w:r>
              <w:t>1060.87</w:t>
            </w:r>
          </w:p>
        </w:tc>
        <w:tc>
          <w:tcPr>
            <w:tcW w:w="1080" w:type="dxa"/>
            <w:vAlign w:val="center"/>
          </w:tcPr>
          <w:p>
            <w:pPr>
              <w:pStyle w:val="15"/>
            </w:pPr>
            <w:r>
              <w:t>1060.87</w:t>
            </w:r>
          </w:p>
        </w:tc>
        <w:tc>
          <w:tcPr>
            <w:tcW w:w="1016"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17686"/>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val="en-US" w:eastAsia="zh-CN"/>
              </w:rPr>
            </w:pPr>
            <w:r>
              <w:t>426石家庄市藁城区应急管理局</w:t>
            </w:r>
            <w:r>
              <w:rPr>
                <w:rFonts w:hint="eastAsia"/>
                <w:lang w:val="en-US" w:eastAsia="zh-CN"/>
              </w:rPr>
              <w:t>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1060.87</w:t>
            </w:r>
          </w:p>
        </w:tc>
        <w:tc>
          <w:tcPr>
            <w:tcW w:w="1643" w:type="dxa"/>
            <w:vAlign w:val="center"/>
          </w:tcPr>
          <w:p>
            <w:pPr>
              <w:pStyle w:val="15"/>
            </w:pPr>
            <w:r>
              <w:t>737.33</w:t>
            </w:r>
          </w:p>
        </w:tc>
        <w:tc>
          <w:tcPr>
            <w:tcW w:w="1643" w:type="dxa"/>
            <w:vAlign w:val="center"/>
          </w:tcPr>
          <w:p>
            <w:pPr>
              <w:pStyle w:val="15"/>
            </w:pPr>
            <w:r>
              <w:t>323.54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21303</w:t>
            </w:r>
          </w:p>
        </w:tc>
        <w:tc>
          <w:tcPr>
            <w:tcW w:w="1643" w:type="dxa"/>
            <w:vAlign w:val="center"/>
          </w:tcPr>
          <w:p>
            <w:pPr>
              <w:pStyle w:val="12"/>
            </w:pPr>
            <w:r>
              <w:t>水利</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2130314</w:t>
            </w:r>
          </w:p>
        </w:tc>
        <w:tc>
          <w:tcPr>
            <w:tcW w:w="1643" w:type="dxa"/>
            <w:vAlign w:val="center"/>
          </w:tcPr>
          <w:p>
            <w:pPr>
              <w:pStyle w:val="12"/>
            </w:pPr>
            <w:r>
              <w:t>防汛</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224</w:t>
            </w:r>
          </w:p>
        </w:tc>
        <w:tc>
          <w:tcPr>
            <w:tcW w:w="1643" w:type="dxa"/>
            <w:vAlign w:val="center"/>
          </w:tcPr>
          <w:p>
            <w:pPr>
              <w:pStyle w:val="12"/>
            </w:pPr>
            <w:r>
              <w:t>灾害防治及应急管理支出</w:t>
            </w:r>
          </w:p>
        </w:tc>
        <w:tc>
          <w:tcPr>
            <w:tcW w:w="1643" w:type="dxa"/>
            <w:vAlign w:val="center"/>
          </w:tcPr>
          <w:p>
            <w:pPr>
              <w:pStyle w:val="13"/>
            </w:pPr>
            <w:r>
              <w:t>1050.87</w:t>
            </w:r>
          </w:p>
        </w:tc>
        <w:tc>
          <w:tcPr>
            <w:tcW w:w="1643" w:type="dxa"/>
            <w:vAlign w:val="center"/>
          </w:tcPr>
          <w:p>
            <w:pPr>
              <w:pStyle w:val="13"/>
            </w:pPr>
            <w:r>
              <w:t>737.33</w:t>
            </w:r>
          </w:p>
        </w:tc>
        <w:tc>
          <w:tcPr>
            <w:tcW w:w="1643" w:type="dxa"/>
            <w:vAlign w:val="center"/>
          </w:tcPr>
          <w:p>
            <w:pPr>
              <w:pStyle w:val="13"/>
            </w:pPr>
            <w:r>
              <w:t>313.54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22401</w:t>
            </w:r>
          </w:p>
        </w:tc>
        <w:tc>
          <w:tcPr>
            <w:tcW w:w="1643" w:type="dxa"/>
            <w:vAlign w:val="center"/>
          </w:tcPr>
          <w:p>
            <w:pPr>
              <w:pStyle w:val="12"/>
            </w:pPr>
            <w:r>
              <w:t>应急管理事务</w:t>
            </w:r>
          </w:p>
        </w:tc>
        <w:tc>
          <w:tcPr>
            <w:tcW w:w="1643" w:type="dxa"/>
            <w:vAlign w:val="center"/>
          </w:tcPr>
          <w:p>
            <w:pPr>
              <w:pStyle w:val="13"/>
            </w:pPr>
            <w:r>
              <w:t>912.69</w:t>
            </w:r>
          </w:p>
        </w:tc>
        <w:tc>
          <w:tcPr>
            <w:tcW w:w="1643" w:type="dxa"/>
            <w:vAlign w:val="center"/>
          </w:tcPr>
          <w:p>
            <w:pPr>
              <w:pStyle w:val="13"/>
            </w:pPr>
            <w:r>
              <w:t>737.33</w:t>
            </w:r>
          </w:p>
        </w:tc>
        <w:tc>
          <w:tcPr>
            <w:tcW w:w="1643" w:type="dxa"/>
            <w:vAlign w:val="center"/>
          </w:tcPr>
          <w:p>
            <w:pPr>
              <w:pStyle w:val="13"/>
            </w:pPr>
            <w:r>
              <w:t>175.36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2240101</w:t>
            </w:r>
          </w:p>
        </w:tc>
        <w:tc>
          <w:tcPr>
            <w:tcW w:w="1643" w:type="dxa"/>
            <w:vAlign w:val="center"/>
          </w:tcPr>
          <w:p>
            <w:pPr>
              <w:pStyle w:val="12"/>
            </w:pPr>
            <w:r>
              <w:t>行政运行</w:t>
            </w:r>
          </w:p>
        </w:tc>
        <w:tc>
          <w:tcPr>
            <w:tcW w:w="1643" w:type="dxa"/>
            <w:vAlign w:val="center"/>
          </w:tcPr>
          <w:p>
            <w:pPr>
              <w:pStyle w:val="13"/>
            </w:pPr>
            <w:r>
              <w:t>737.33</w:t>
            </w:r>
          </w:p>
        </w:tc>
        <w:tc>
          <w:tcPr>
            <w:tcW w:w="1643" w:type="dxa"/>
            <w:vAlign w:val="center"/>
          </w:tcPr>
          <w:p>
            <w:pPr>
              <w:pStyle w:val="13"/>
            </w:pPr>
            <w:r>
              <w:t>737.33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2240106</w:t>
            </w:r>
          </w:p>
        </w:tc>
        <w:tc>
          <w:tcPr>
            <w:tcW w:w="1643" w:type="dxa"/>
            <w:vAlign w:val="center"/>
          </w:tcPr>
          <w:p>
            <w:pPr>
              <w:pStyle w:val="12"/>
            </w:pPr>
            <w:r>
              <w:t>安全监管</w:t>
            </w:r>
          </w:p>
        </w:tc>
        <w:tc>
          <w:tcPr>
            <w:tcW w:w="1643" w:type="dxa"/>
            <w:vAlign w:val="center"/>
          </w:tcPr>
          <w:p>
            <w:pPr>
              <w:pStyle w:val="13"/>
            </w:pPr>
            <w:r>
              <w:t>175.00</w:t>
            </w:r>
          </w:p>
        </w:tc>
        <w:tc>
          <w:tcPr>
            <w:tcW w:w="1643" w:type="dxa"/>
            <w:vAlign w:val="center"/>
          </w:tcPr>
          <w:p>
            <w:pPr>
              <w:pStyle w:val="13"/>
            </w:pPr>
          </w:p>
        </w:tc>
        <w:tc>
          <w:tcPr>
            <w:tcW w:w="1643" w:type="dxa"/>
            <w:vAlign w:val="center"/>
          </w:tcPr>
          <w:p>
            <w:pPr>
              <w:pStyle w:val="13"/>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2240109</w:t>
            </w:r>
          </w:p>
        </w:tc>
        <w:tc>
          <w:tcPr>
            <w:tcW w:w="1643" w:type="dxa"/>
            <w:vAlign w:val="center"/>
          </w:tcPr>
          <w:p>
            <w:pPr>
              <w:pStyle w:val="12"/>
            </w:pPr>
            <w:r>
              <w:t>应急管理</w:t>
            </w:r>
          </w:p>
        </w:tc>
        <w:tc>
          <w:tcPr>
            <w:tcW w:w="1643" w:type="dxa"/>
            <w:vAlign w:val="center"/>
          </w:tcPr>
          <w:p>
            <w:pPr>
              <w:pStyle w:val="13"/>
            </w:pPr>
            <w:r>
              <w:t>0.36</w:t>
            </w:r>
          </w:p>
        </w:tc>
        <w:tc>
          <w:tcPr>
            <w:tcW w:w="1643" w:type="dxa"/>
            <w:vAlign w:val="center"/>
          </w:tcPr>
          <w:p>
            <w:pPr>
              <w:pStyle w:val="13"/>
            </w:pPr>
          </w:p>
        </w:tc>
        <w:tc>
          <w:tcPr>
            <w:tcW w:w="1643" w:type="dxa"/>
            <w:vAlign w:val="center"/>
          </w:tcPr>
          <w:p>
            <w:pPr>
              <w:pStyle w:val="13"/>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22405</w:t>
            </w:r>
          </w:p>
        </w:tc>
        <w:tc>
          <w:tcPr>
            <w:tcW w:w="1643" w:type="dxa"/>
            <w:vAlign w:val="center"/>
          </w:tcPr>
          <w:p>
            <w:pPr>
              <w:pStyle w:val="12"/>
            </w:pPr>
            <w:r>
              <w:t>地震事务</w:t>
            </w:r>
          </w:p>
        </w:tc>
        <w:tc>
          <w:tcPr>
            <w:tcW w:w="1643" w:type="dxa"/>
            <w:vAlign w:val="center"/>
          </w:tcPr>
          <w:p>
            <w:pPr>
              <w:pStyle w:val="13"/>
            </w:pPr>
            <w:r>
              <w:t>0.80</w:t>
            </w:r>
          </w:p>
        </w:tc>
        <w:tc>
          <w:tcPr>
            <w:tcW w:w="1643" w:type="dxa"/>
            <w:vAlign w:val="center"/>
          </w:tcPr>
          <w:p>
            <w:pPr>
              <w:pStyle w:val="13"/>
            </w:pPr>
          </w:p>
        </w:tc>
        <w:tc>
          <w:tcPr>
            <w:tcW w:w="1643"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2240504</w:t>
            </w:r>
          </w:p>
        </w:tc>
        <w:tc>
          <w:tcPr>
            <w:tcW w:w="1643" w:type="dxa"/>
            <w:vAlign w:val="center"/>
          </w:tcPr>
          <w:p>
            <w:pPr>
              <w:pStyle w:val="12"/>
            </w:pPr>
            <w:r>
              <w:t>地震监测</w:t>
            </w:r>
          </w:p>
        </w:tc>
        <w:tc>
          <w:tcPr>
            <w:tcW w:w="1643" w:type="dxa"/>
            <w:vAlign w:val="center"/>
          </w:tcPr>
          <w:p>
            <w:pPr>
              <w:pStyle w:val="13"/>
            </w:pPr>
            <w:r>
              <w:t>0.80</w:t>
            </w:r>
          </w:p>
        </w:tc>
        <w:tc>
          <w:tcPr>
            <w:tcW w:w="1643" w:type="dxa"/>
            <w:vAlign w:val="center"/>
          </w:tcPr>
          <w:p>
            <w:pPr>
              <w:pStyle w:val="13"/>
            </w:pPr>
          </w:p>
        </w:tc>
        <w:tc>
          <w:tcPr>
            <w:tcW w:w="1643"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22407</w:t>
            </w:r>
          </w:p>
        </w:tc>
        <w:tc>
          <w:tcPr>
            <w:tcW w:w="1643" w:type="dxa"/>
            <w:vAlign w:val="center"/>
          </w:tcPr>
          <w:p>
            <w:pPr>
              <w:pStyle w:val="12"/>
            </w:pPr>
            <w:r>
              <w:t>自然灾害救灾及恢复重建支出</w:t>
            </w:r>
          </w:p>
        </w:tc>
        <w:tc>
          <w:tcPr>
            <w:tcW w:w="1643" w:type="dxa"/>
            <w:vAlign w:val="center"/>
          </w:tcPr>
          <w:p>
            <w:pPr>
              <w:pStyle w:val="13"/>
            </w:pPr>
            <w:r>
              <w:t>137.38</w:t>
            </w:r>
          </w:p>
        </w:tc>
        <w:tc>
          <w:tcPr>
            <w:tcW w:w="1643" w:type="dxa"/>
            <w:vAlign w:val="center"/>
          </w:tcPr>
          <w:p>
            <w:pPr>
              <w:pStyle w:val="13"/>
            </w:pPr>
          </w:p>
        </w:tc>
        <w:tc>
          <w:tcPr>
            <w:tcW w:w="1643" w:type="dxa"/>
            <w:vAlign w:val="center"/>
          </w:tcPr>
          <w:p>
            <w:pPr>
              <w:pStyle w:val="13"/>
            </w:pPr>
            <w:r>
              <w:t>137.38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2240703</w:t>
            </w:r>
          </w:p>
        </w:tc>
        <w:tc>
          <w:tcPr>
            <w:tcW w:w="1643" w:type="dxa"/>
            <w:vAlign w:val="center"/>
          </w:tcPr>
          <w:p>
            <w:pPr>
              <w:pStyle w:val="12"/>
            </w:pPr>
            <w:r>
              <w:t>自然灾害救灾补助</w:t>
            </w:r>
          </w:p>
        </w:tc>
        <w:tc>
          <w:tcPr>
            <w:tcW w:w="1643" w:type="dxa"/>
            <w:vAlign w:val="center"/>
          </w:tcPr>
          <w:p>
            <w:pPr>
              <w:pStyle w:val="13"/>
            </w:pPr>
            <w:r>
              <w:t>99.60</w:t>
            </w:r>
          </w:p>
        </w:tc>
        <w:tc>
          <w:tcPr>
            <w:tcW w:w="1643" w:type="dxa"/>
            <w:vAlign w:val="center"/>
          </w:tcPr>
          <w:p>
            <w:pPr>
              <w:pStyle w:val="13"/>
            </w:pPr>
          </w:p>
        </w:tc>
        <w:tc>
          <w:tcPr>
            <w:tcW w:w="1643" w:type="dxa"/>
            <w:vAlign w:val="center"/>
          </w:tcPr>
          <w:p>
            <w:pPr>
              <w:pStyle w:val="13"/>
            </w:pPr>
            <w:r>
              <w:t>99.60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2240704</w:t>
            </w:r>
          </w:p>
        </w:tc>
        <w:tc>
          <w:tcPr>
            <w:tcW w:w="1643" w:type="dxa"/>
            <w:vAlign w:val="center"/>
          </w:tcPr>
          <w:p>
            <w:pPr>
              <w:pStyle w:val="12"/>
            </w:pPr>
            <w:r>
              <w:t>自然灾害灾后重建补助</w:t>
            </w:r>
          </w:p>
        </w:tc>
        <w:tc>
          <w:tcPr>
            <w:tcW w:w="1643" w:type="dxa"/>
            <w:vAlign w:val="center"/>
          </w:tcPr>
          <w:p>
            <w:pPr>
              <w:pStyle w:val="13"/>
            </w:pPr>
            <w:r>
              <w:t>37.77</w:t>
            </w:r>
          </w:p>
        </w:tc>
        <w:tc>
          <w:tcPr>
            <w:tcW w:w="1643" w:type="dxa"/>
            <w:vAlign w:val="center"/>
          </w:tcPr>
          <w:p>
            <w:pPr>
              <w:pStyle w:val="13"/>
            </w:pPr>
          </w:p>
        </w:tc>
        <w:tc>
          <w:tcPr>
            <w:tcW w:w="1643" w:type="dxa"/>
            <w:vAlign w:val="center"/>
          </w:tcPr>
          <w:p>
            <w:pPr>
              <w:pStyle w:val="13"/>
            </w:pPr>
            <w:r>
              <w:t>37.77</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9601"/>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tabs>
                <w:tab w:val="left" w:pos="3961"/>
              </w:tabs>
              <w:rPr>
                <w:rFonts w:hint="default" w:eastAsia="方正小标宋_GBK"/>
                <w:lang w:val="en-US" w:eastAsia="zh-CN"/>
              </w:rPr>
            </w:pPr>
            <w:r>
              <w:t>426石家庄市藁城区应急管理局</w:t>
            </w:r>
            <w:r>
              <w:rPr>
                <w:rFonts w:hint="eastAsia"/>
                <w:lang w:val="en-US" w:eastAsia="zh-CN"/>
              </w:rPr>
              <w:t>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737.33</w:t>
            </w:r>
          </w:p>
        </w:tc>
        <w:tc>
          <w:tcPr>
            <w:tcW w:w="1643" w:type="dxa"/>
            <w:vAlign w:val="center"/>
          </w:tcPr>
          <w:p>
            <w:pPr>
              <w:pStyle w:val="15"/>
            </w:pPr>
            <w:r>
              <w:t>685.67</w:t>
            </w:r>
          </w:p>
        </w:tc>
        <w:tc>
          <w:tcPr>
            <w:tcW w:w="1643" w:type="dxa"/>
            <w:vAlign w:val="center"/>
          </w:tcPr>
          <w:p>
            <w:pPr>
              <w:pStyle w:val="15"/>
            </w:pPr>
            <w:r>
              <w:t>51.66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3"/>
            </w:pPr>
            <w:r>
              <w:t>685.61</w:t>
            </w:r>
          </w:p>
        </w:tc>
        <w:tc>
          <w:tcPr>
            <w:tcW w:w="1643" w:type="dxa"/>
            <w:vAlign w:val="center"/>
          </w:tcPr>
          <w:p>
            <w:pPr>
              <w:pStyle w:val="13"/>
            </w:pPr>
            <w:r>
              <w:t>685.61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3"/>
            </w:pPr>
            <w:r>
              <w:t>152.58</w:t>
            </w:r>
          </w:p>
        </w:tc>
        <w:tc>
          <w:tcPr>
            <w:tcW w:w="1643" w:type="dxa"/>
            <w:vAlign w:val="center"/>
          </w:tcPr>
          <w:p>
            <w:pPr>
              <w:pStyle w:val="13"/>
            </w:pPr>
            <w:r>
              <w:t>152.58</w:t>
            </w:r>
          </w:p>
        </w:tc>
        <w:tc>
          <w:tcPr>
            <w:tcW w:w="1643"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3"/>
            </w:pPr>
            <w:r>
              <w:t>254.16</w:t>
            </w:r>
          </w:p>
        </w:tc>
        <w:tc>
          <w:tcPr>
            <w:tcW w:w="1643" w:type="dxa"/>
            <w:vAlign w:val="center"/>
          </w:tcPr>
          <w:p>
            <w:pPr>
              <w:pStyle w:val="13"/>
            </w:pPr>
            <w:r>
              <w:t>254.16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3"/>
            </w:pPr>
            <w:r>
              <w:t>8.14</w:t>
            </w:r>
          </w:p>
        </w:tc>
        <w:tc>
          <w:tcPr>
            <w:tcW w:w="1643" w:type="dxa"/>
            <w:vAlign w:val="center"/>
          </w:tcPr>
          <w:p>
            <w:pPr>
              <w:pStyle w:val="13"/>
            </w:pPr>
            <w:r>
              <w:t>8.14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3"/>
            </w:pPr>
            <w:r>
              <w:t>49.02</w:t>
            </w:r>
          </w:p>
        </w:tc>
        <w:tc>
          <w:tcPr>
            <w:tcW w:w="1643" w:type="dxa"/>
            <w:vAlign w:val="center"/>
          </w:tcPr>
          <w:p>
            <w:pPr>
              <w:pStyle w:val="13"/>
            </w:pPr>
            <w:r>
              <w:t>49.02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3"/>
            </w:pPr>
            <w:r>
              <w:t>60.42</w:t>
            </w:r>
          </w:p>
        </w:tc>
        <w:tc>
          <w:tcPr>
            <w:tcW w:w="1643" w:type="dxa"/>
            <w:vAlign w:val="center"/>
          </w:tcPr>
          <w:p>
            <w:pPr>
              <w:pStyle w:val="13"/>
            </w:pPr>
            <w:r>
              <w:t>60.42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3"/>
            </w:pPr>
            <w:r>
              <w:t>31.72</w:t>
            </w:r>
          </w:p>
        </w:tc>
        <w:tc>
          <w:tcPr>
            <w:tcW w:w="1643" w:type="dxa"/>
            <w:vAlign w:val="center"/>
          </w:tcPr>
          <w:p>
            <w:pPr>
              <w:pStyle w:val="13"/>
            </w:pPr>
            <w:r>
              <w:t>31.72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3"/>
            </w:pPr>
            <w:r>
              <w:t>24.55</w:t>
            </w:r>
          </w:p>
        </w:tc>
        <w:tc>
          <w:tcPr>
            <w:tcW w:w="1643" w:type="dxa"/>
            <w:vAlign w:val="center"/>
          </w:tcPr>
          <w:p>
            <w:pPr>
              <w:pStyle w:val="13"/>
            </w:pPr>
            <w:r>
              <w:t>24.55</w:t>
            </w:r>
          </w:p>
        </w:tc>
        <w:tc>
          <w:tcPr>
            <w:tcW w:w="1643"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3"/>
            </w:pPr>
            <w:r>
              <w:t>54.93</w:t>
            </w:r>
          </w:p>
        </w:tc>
        <w:tc>
          <w:tcPr>
            <w:tcW w:w="1643" w:type="dxa"/>
            <w:vAlign w:val="center"/>
          </w:tcPr>
          <w:p>
            <w:pPr>
              <w:pStyle w:val="13"/>
            </w:pPr>
            <w:r>
              <w:t>54.93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3"/>
            </w:pPr>
            <w:r>
              <w:t>50.09</w:t>
            </w:r>
          </w:p>
        </w:tc>
        <w:tc>
          <w:tcPr>
            <w:tcW w:w="1643" w:type="dxa"/>
            <w:vAlign w:val="center"/>
          </w:tcPr>
          <w:p>
            <w:pPr>
              <w:pStyle w:val="13"/>
            </w:pPr>
            <w:r>
              <w:t>50.09</w:t>
            </w:r>
          </w:p>
        </w:tc>
        <w:tc>
          <w:tcPr>
            <w:tcW w:w="1643"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3"/>
            </w:pPr>
            <w:r>
              <w:t>51.66</w:t>
            </w:r>
          </w:p>
        </w:tc>
        <w:tc>
          <w:tcPr>
            <w:tcW w:w="1643" w:type="dxa"/>
            <w:vAlign w:val="center"/>
          </w:tcPr>
          <w:p>
            <w:pPr>
              <w:pStyle w:val="13"/>
            </w:pPr>
          </w:p>
        </w:tc>
        <w:tc>
          <w:tcPr>
            <w:tcW w:w="1643" w:type="dxa"/>
            <w:vAlign w:val="center"/>
          </w:tcPr>
          <w:p>
            <w:pPr>
              <w:pStyle w:val="13"/>
            </w:pPr>
            <w:r>
              <w:t>51.66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3"/>
            </w:pPr>
            <w:r>
              <w:t>5.26</w:t>
            </w:r>
          </w:p>
        </w:tc>
        <w:tc>
          <w:tcPr>
            <w:tcW w:w="1643" w:type="dxa"/>
            <w:vAlign w:val="center"/>
          </w:tcPr>
          <w:p>
            <w:pPr>
              <w:pStyle w:val="13"/>
            </w:pPr>
          </w:p>
        </w:tc>
        <w:tc>
          <w:tcPr>
            <w:tcW w:w="1643" w:type="dxa"/>
            <w:vAlign w:val="center"/>
          </w:tcPr>
          <w:p>
            <w:pPr>
              <w:pStyle w:val="13"/>
            </w:pPr>
            <w:r>
              <w:t>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30202</w:t>
            </w:r>
          </w:p>
        </w:tc>
        <w:tc>
          <w:tcPr>
            <w:tcW w:w="1643" w:type="dxa"/>
            <w:vAlign w:val="center"/>
          </w:tcPr>
          <w:p>
            <w:pPr>
              <w:pStyle w:val="12"/>
            </w:pPr>
            <w:r>
              <w:t>印刷费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3"/>
            </w:pPr>
            <w:r>
              <w:t>15.14</w:t>
            </w:r>
          </w:p>
        </w:tc>
        <w:tc>
          <w:tcPr>
            <w:tcW w:w="1643" w:type="dxa"/>
            <w:vAlign w:val="center"/>
          </w:tcPr>
          <w:p>
            <w:pPr>
              <w:pStyle w:val="13"/>
            </w:pPr>
          </w:p>
        </w:tc>
        <w:tc>
          <w:tcPr>
            <w:tcW w:w="1643" w:type="dxa"/>
            <w:vAlign w:val="center"/>
          </w:tcPr>
          <w:p>
            <w:pPr>
              <w:pStyle w:val="13"/>
            </w:pPr>
            <w:r>
              <w:t>15.14</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30211</w:t>
            </w:r>
          </w:p>
        </w:tc>
        <w:tc>
          <w:tcPr>
            <w:tcW w:w="1643" w:type="dxa"/>
            <w:vAlign w:val="center"/>
          </w:tcPr>
          <w:p>
            <w:pPr>
              <w:pStyle w:val="12"/>
            </w:pPr>
            <w:r>
              <w:t>差旅费</w:t>
            </w:r>
          </w:p>
        </w:tc>
        <w:tc>
          <w:tcPr>
            <w:tcW w:w="1643" w:type="dxa"/>
            <w:vAlign w:val="center"/>
          </w:tcPr>
          <w:p>
            <w:pPr>
              <w:pStyle w:val="13"/>
            </w:pPr>
            <w:r>
              <w:t>0.20</w:t>
            </w:r>
          </w:p>
        </w:tc>
        <w:tc>
          <w:tcPr>
            <w:tcW w:w="1643" w:type="dxa"/>
            <w:vAlign w:val="center"/>
          </w:tcPr>
          <w:p>
            <w:pPr>
              <w:pStyle w:val="13"/>
            </w:pPr>
          </w:p>
        </w:tc>
        <w:tc>
          <w:tcPr>
            <w:tcW w:w="1643"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17</w:t>
            </w:r>
          </w:p>
        </w:tc>
        <w:tc>
          <w:tcPr>
            <w:tcW w:w="1643" w:type="dxa"/>
            <w:vAlign w:val="center"/>
          </w:tcPr>
          <w:p>
            <w:pPr>
              <w:pStyle w:val="12"/>
            </w:pPr>
            <w:r>
              <w:t>30213</w:t>
            </w:r>
          </w:p>
        </w:tc>
        <w:tc>
          <w:tcPr>
            <w:tcW w:w="1643" w:type="dxa"/>
            <w:vAlign w:val="center"/>
          </w:tcPr>
          <w:p>
            <w:pPr>
              <w:pStyle w:val="12"/>
            </w:pPr>
            <w:r>
              <w:t>维修(护)费</w:t>
            </w:r>
          </w:p>
        </w:tc>
        <w:tc>
          <w:tcPr>
            <w:tcW w:w="1643" w:type="dxa"/>
            <w:vAlign w:val="center"/>
          </w:tcPr>
          <w:p>
            <w:pPr>
              <w:pStyle w:val="13"/>
            </w:pPr>
            <w:r>
              <w:t>2.50</w:t>
            </w:r>
          </w:p>
        </w:tc>
        <w:tc>
          <w:tcPr>
            <w:tcW w:w="1643" w:type="dxa"/>
            <w:vAlign w:val="center"/>
          </w:tcPr>
          <w:p>
            <w:pPr>
              <w:pStyle w:val="13"/>
            </w:pPr>
          </w:p>
        </w:tc>
        <w:tc>
          <w:tcPr>
            <w:tcW w:w="1643" w:type="dxa"/>
            <w:vAlign w:val="center"/>
          </w:tcPr>
          <w:p>
            <w:pPr>
              <w:pStyle w:val="13"/>
            </w:pPr>
            <w:r>
              <w:t>2.50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18</w:t>
            </w:r>
          </w:p>
        </w:tc>
        <w:tc>
          <w:tcPr>
            <w:tcW w:w="1643" w:type="dxa"/>
            <w:vAlign w:val="center"/>
          </w:tcPr>
          <w:p>
            <w:pPr>
              <w:pStyle w:val="12"/>
            </w:pPr>
            <w:r>
              <w:t>30216</w:t>
            </w:r>
          </w:p>
        </w:tc>
        <w:tc>
          <w:tcPr>
            <w:tcW w:w="1643" w:type="dxa"/>
            <w:vAlign w:val="center"/>
          </w:tcPr>
          <w:p>
            <w:pPr>
              <w:pStyle w:val="12"/>
            </w:pPr>
            <w:r>
              <w:t>培训费</w:t>
            </w:r>
          </w:p>
        </w:tc>
        <w:tc>
          <w:tcPr>
            <w:tcW w:w="1643" w:type="dxa"/>
            <w:vAlign w:val="center"/>
          </w:tcPr>
          <w:p>
            <w:pPr>
              <w:pStyle w:val="13"/>
            </w:pPr>
            <w:r>
              <w:t>0.50</w:t>
            </w:r>
          </w:p>
        </w:tc>
        <w:tc>
          <w:tcPr>
            <w:tcW w:w="1643" w:type="dxa"/>
            <w:vAlign w:val="center"/>
          </w:tcPr>
          <w:p>
            <w:pPr>
              <w:pStyle w:val="13"/>
            </w:pPr>
          </w:p>
        </w:tc>
        <w:tc>
          <w:tcPr>
            <w:tcW w:w="1643"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19</w:t>
            </w:r>
          </w:p>
        </w:tc>
        <w:tc>
          <w:tcPr>
            <w:tcW w:w="1643" w:type="dxa"/>
            <w:vAlign w:val="center"/>
          </w:tcPr>
          <w:p>
            <w:pPr>
              <w:pStyle w:val="12"/>
            </w:pPr>
            <w:r>
              <w:t>30217</w:t>
            </w:r>
          </w:p>
        </w:tc>
        <w:tc>
          <w:tcPr>
            <w:tcW w:w="1643" w:type="dxa"/>
            <w:vAlign w:val="center"/>
          </w:tcPr>
          <w:p>
            <w:pPr>
              <w:pStyle w:val="12"/>
            </w:pPr>
            <w:r>
              <w:t>公务接待费</w:t>
            </w:r>
          </w:p>
        </w:tc>
        <w:tc>
          <w:tcPr>
            <w:tcW w:w="1643" w:type="dxa"/>
            <w:vAlign w:val="center"/>
          </w:tcPr>
          <w:p>
            <w:pPr>
              <w:pStyle w:val="13"/>
            </w:pPr>
            <w:r>
              <w:t>0.14</w:t>
            </w:r>
          </w:p>
        </w:tc>
        <w:tc>
          <w:tcPr>
            <w:tcW w:w="1643" w:type="dxa"/>
            <w:vAlign w:val="center"/>
          </w:tcPr>
          <w:p>
            <w:pPr>
              <w:pStyle w:val="13"/>
            </w:pPr>
          </w:p>
        </w:tc>
        <w:tc>
          <w:tcPr>
            <w:tcW w:w="1643" w:type="dxa"/>
            <w:vAlign w:val="center"/>
          </w:tcPr>
          <w:p>
            <w:pPr>
              <w:pStyle w:val="13"/>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20</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3"/>
            </w:pPr>
            <w:r>
              <w:t>3.39</w:t>
            </w:r>
          </w:p>
        </w:tc>
        <w:tc>
          <w:tcPr>
            <w:tcW w:w="1643" w:type="dxa"/>
            <w:vAlign w:val="center"/>
          </w:tcPr>
          <w:p>
            <w:pPr>
              <w:pStyle w:val="13"/>
            </w:pPr>
          </w:p>
        </w:tc>
        <w:tc>
          <w:tcPr>
            <w:tcW w:w="1643" w:type="dxa"/>
            <w:vAlign w:val="center"/>
          </w:tcPr>
          <w:p>
            <w:pPr>
              <w:pStyle w:val="13"/>
            </w:pPr>
            <w:r>
              <w:t>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21</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3"/>
            </w:pPr>
            <w:r>
              <w:t>3.81</w:t>
            </w:r>
          </w:p>
        </w:tc>
        <w:tc>
          <w:tcPr>
            <w:tcW w:w="1643" w:type="dxa"/>
            <w:vAlign w:val="center"/>
          </w:tcPr>
          <w:p>
            <w:pPr>
              <w:pStyle w:val="13"/>
            </w:pPr>
          </w:p>
        </w:tc>
        <w:tc>
          <w:tcPr>
            <w:tcW w:w="1643" w:type="dxa"/>
            <w:vAlign w:val="center"/>
          </w:tcPr>
          <w:p>
            <w:pPr>
              <w:pStyle w:val="13"/>
            </w:pPr>
            <w:r>
              <w:t>3.81</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22</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23</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3"/>
            </w:pPr>
            <w:r>
              <w:t>15.66</w:t>
            </w:r>
          </w:p>
        </w:tc>
        <w:tc>
          <w:tcPr>
            <w:tcW w:w="1643" w:type="dxa"/>
            <w:vAlign w:val="center"/>
          </w:tcPr>
          <w:p>
            <w:pPr>
              <w:pStyle w:val="13"/>
            </w:pPr>
          </w:p>
        </w:tc>
        <w:tc>
          <w:tcPr>
            <w:tcW w:w="1643" w:type="dxa"/>
            <w:vAlign w:val="center"/>
          </w:tcPr>
          <w:p>
            <w:pPr>
              <w:pStyle w:val="13"/>
            </w:pPr>
            <w:r>
              <w:t>15.66</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24</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3"/>
            </w:pPr>
            <w:r>
              <w:t>0.86</w:t>
            </w:r>
          </w:p>
        </w:tc>
        <w:tc>
          <w:tcPr>
            <w:tcW w:w="1643" w:type="dxa"/>
            <w:vAlign w:val="center"/>
          </w:tcPr>
          <w:p>
            <w:pPr>
              <w:pStyle w:val="13"/>
            </w:pPr>
          </w:p>
        </w:tc>
        <w:tc>
          <w:tcPr>
            <w:tcW w:w="1643" w:type="dxa"/>
            <w:vAlign w:val="center"/>
          </w:tcPr>
          <w:p>
            <w:pPr>
              <w:pStyle w:val="13"/>
            </w:pPr>
            <w:r>
              <w:t>0.86</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25</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3"/>
            </w:pPr>
            <w:r>
              <w:t>0.06</w:t>
            </w:r>
          </w:p>
        </w:tc>
        <w:tc>
          <w:tcPr>
            <w:tcW w:w="1643" w:type="dxa"/>
            <w:vAlign w:val="center"/>
          </w:tcPr>
          <w:p>
            <w:pPr>
              <w:pStyle w:val="13"/>
            </w:pPr>
            <w:r>
              <w:t>0.06</w:t>
            </w:r>
          </w:p>
        </w:tc>
        <w:tc>
          <w:tcPr>
            <w:tcW w:w="1643"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26</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3"/>
            </w:pPr>
            <w:r>
              <w:t>0.06</w:t>
            </w:r>
          </w:p>
        </w:tc>
        <w:tc>
          <w:tcPr>
            <w:tcW w:w="1643" w:type="dxa"/>
            <w:vAlign w:val="center"/>
          </w:tcPr>
          <w:p>
            <w:pPr>
              <w:pStyle w:val="13"/>
            </w:pPr>
            <w:r>
              <w:t>0.06</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23153"/>
      <w:r>
        <w:rPr>
          <w:rFonts w:ascii="方正小标宋_GBK" w:hAnsi="方正小标宋_GBK" w:eastAsia="方正小标宋_GBK" w:cs="方正小标宋_GBK"/>
          <w:color w:val="000000"/>
          <w:sz w:val="36"/>
        </w:rPr>
        <w:t>部门预算政府基金预算财政拨款支出表</w:t>
      </w:r>
      <w:bookmarkEnd w:id="6"/>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val="en-US" w:eastAsia="zh-CN"/>
              </w:rPr>
            </w:pPr>
            <w:r>
              <w:t>426石家庄市藁城区应急管理局</w:t>
            </w:r>
            <w:r>
              <w:rPr>
                <w:rFonts w:hint="eastAsia"/>
                <w:lang w:val="en-US" w:eastAsia="zh-CN"/>
              </w:rPr>
              <w:t>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14972"/>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val="en-US" w:eastAsia="zh-CN"/>
              </w:rPr>
            </w:pPr>
            <w:r>
              <w:t>426石家庄市藁城区应急管理局</w:t>
            </w:r>
            <w:r>
              <w:rPr>
                <w:rFonts w:hint="eastAsia"/>
                <w:lang w:val="en-US" w:eastAsia="zh-CN"/>
              </w:rPr>
              <w:t>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22903"/>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val="en-US" w:eastAsia="zh-CN"/>
              </w:rPr>
            </w:pPr>
            <w:r>
              <w:t>426石家庄市藁城区应急管理局</w:t>
            </w:r>
            <w:r>
              <w:rPr>
                <w:rFonts w:hint="eastAsia"/>
                <w:lang w:val="en-US" w:eastAsia="zh-CN"/>
              </w:rPr>
              <w:t>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1</w:t>
            </w:r>
          </w:p>
        </w:tc>
        <w:tc>
          <w:tcPr>
            <w:tcW w:w="1643" w:type="dxa"/>
            <w:vAlign w:val="center"/>
          </w:tcPr>
          <w:p>
            <w:pPr>
              <w:pStyle w:val="14"/>
            </w:pPr>
            <w:r>
              <w:t>合计</w:t>
            </w:r>
          </w:p>
        </w:tc>
        <w:tc>
          <w:tcPr>
            <w:tcW w:w="1643" w:type="dxa"/>
            <w:vAlign w:val="center"/>
          </w:tcPr>
          <w:p>
            <w:pPr>
              <w:pStyle w:val="15"/>
              <w:rPr>
                <w:rFonts w:hint="default" w:eastAsia="方正书宋_GBK"/>
                <w:lang w:val="en-US" w:eastAsia="zh-CN"/>
              </w:rPr>
            </w:pPr>
            <w:r>
              <w:rPr>
                <w:rFonts w:hint="eastAsia"/>
                <w:lang w:val="en-US" w:eastAsia="zh-CN"/>
              </w:rPr>
              <w:t>2.34</w:t>
            </w:r>
          </w:p>
        </w:tc>
        <w:tc>
          <w:tcPr>
            <w:tcW w:w="1643" w:type="dxa"/>
            <w:vAlign w:val="center"/>
          </w:tcPr>
          <w:p>
            <w:pPr>
              <w:pStyle w:val="15"/>
              <w:rPr>
                <w:rFonts w:hint="default" w:eastAsia="方正书宋_GBK"/>
                <w:lang w:val="en-US" w:eastAsia="zh-CN"/>
              </w:rPr>
            </w:pPr>
            <w:r>
              <w:rPr>
                <w:rFonts w:hint="eastAsia"/>
                <w:lang w:val="en-US" w:eastAsia="zh-CN"/>
              </w:rPr>
              <w:t>2.34</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2</w:t>
            </w:r>
          </w:p>
        </w:tc>
        <w:tc>
          <w:tcPr>
            <w:tcW w:w="1643" w:type="dxa"/>
            <w:vAlign w:val="center"/>
          </w:tcPr>
          <w:p>
            <w:pPr>
              <w:pStyle w:val="12"/>
            </w:pPr>
            <w:r>
              <w:t>“三公”经费小计</w:t>
            </w:r>
          </w:p>
        </w:tc>
        <w:tc>
          <w:tcPr>
            <w:tcW w:w="1643" w:type="dxa"/>
            <w:vAlign w:val="center"/>
          </w:tcPr>
          <w:p>
            <w:pPr>
              <w:pStyle w:val="13"/>
              <w:rPr>
                <w:rFonts w:hint="default" w:eastAsia="方正书宋_GBK"/>
                <w:lang w:val="en-US" w:eastAsia="zh-CN"/>
              </w:rPr>
            </w:pPr>
            <w:r>
              <w:rPr>
                <w:rFonts w:hint="eastAsia"/>
                <w:lang w:val="en-US" w:eastAsia="zh-CN"/>
              </w:rPr>
              <w:t>2.34</w:t>
            </w:r>
          </w:p>
        </w:tc>
        <w:tc>
          <w:tcPr>
            <w:tcW w:w="1643" w:type="dxa"/>
            <w:vAlign w:val="center"/>
          </w:tcPr>
          <w:p>
            <w:pPr>
              <w:pStyle w:val="13"/>
              <w:rPr>
                <w:rFonts w:hint="default" w:eastAsia="方正书宋_GBK"/>
                <w:lang w:val="en-US" w:eastAsia="zh-CN"/>
              </w:rPr>
            </w:pPr>
            <w:r>
              <w:rPr>
                <w:rFonts w:hint="eastAsia"/>
                <w:lang w:val="en-US" w:eastAsia="zh-CN"/>
              </w:rPr>
              <w:t>2.34</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3</w:t>
            </w:r>
          </w:p>
        </w:tc>
        <w:tc>
          <w:tcPr>
            <w:tcW w:w="1643" w:type="dxa"/>
            <w:vAlign w:val="center"/>
          </w:tcPr>
          <w:p>
            <w:pPr>
              <w:pStyle w:val="12"/>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4</w:t>
            </w:r>
          </w:p>
        </w:tc>
        <w:tc>
          <w:tcPr>
            <w:tcW w:w="1643" w:type="dxa"/>
            <w:vAlign w:val="center"/>
          </w:tcPr>
          <w:p>
            <w:pPr>
              <w:pStyle w:val="12"/>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5</w:t>
            </w:r>
          </w:p>
        </w:tc>
        <w:tc>
          <w:tcPr>
            <w:tcW w:w="1643" w:type="dxa"/>
            <w:vAlign w:val="center"/>
          </w:tcPr>
          <w:p>
            <w:pPr>
              <w:pStyle w:val="12"/>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6</w:t>
            </w:r>
          </w:p>
        </w:tc>
        <w:tc>
          <w:tcPr>
            <w:tcW w:w="1643" w:type="dxa"/>
            <w:vAlign w:val="center"/>
          </w:tcPr>
          <w:p>
            <w:pPr>
              <w:pStyle w:val="12"/>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7</w:t>
            </w:r>
          </w:p>
        </w:tc>
        <w:tc>
          <w:tcPr>
            <w:tcW w:w="1643" w:type="dxa"/>
            <w:vAlign w:val="center"/>
          </w:tcPr>
          <w:p>
            <w:pPr>
              <w:pStyle w:val="12"/>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8</w:t>
            </w:r>
          </w:p>
        </w:tc>
        <w:tc>
          <w:tcPr>
            <w:tcW w:w="1643" w:type="dxa"/>
            <w:vAlign w:val="center"/>
          </w:tcPr>
          <w:p>
            <w:pPr>
              <w:pStyle w:val="12"/>
            </w:pPr>
            <w:r>
              <w:t xml:space="preserve">          公务用车运行维护费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9</w:t>
            </w:r>
          </w:p>
        </w:tc>
        <w:tc>
          <w:tcPr>
            <w:tcW w:w="1643" w:type="dxa"/>
            <w:vAlign w:val="center"/>
          </w:tcPr>
          <w:p>
            <w:pPr>
              <w:pStyle w:val="12"/>
            </w:pPr>
            <w:r>
              <w:t>三、公务接待费</w:t>
            </w:r>
          </w:p>
        </w:tc>
        <w:tc>
          <w:tcPr>
            <w:tcW w:w="1643" w:type="dxa"/>
            <w:vAlign w:val="center"/>
          </w:tcPr>
          <w:p>
            <w:pPr>
              <w:pStyle w:val="13"/>
            </w:pPr>
            <w:r>
              <w:t>0.14</w:t>
            </w:r>
          </w:p>
        </w:tc>
        <w:tc>
          <w:tcPr>
            <w:tcW w:w="1643" w:type="dxa"/>
            <w:vAlign w:val="center"/>
          </w:tcPr>
          <w:p>
            <w:pPr>
              <w:pStyle w:val="13"/>
            </w:pPr>
            <w:r>
              <w:t>0.14</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石家庄市藁城区应急管理局2022年部门预算信息公开情况说明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石家庄市藁城区应急管理局2022年部门预算信息公开情况说明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按照《预算法》、《地方预决算公开操作规程》和《关于进一步推进预算公开工作的实施意见》规定，现将石家庄市藁城区应急管理局2022年部门预算公开如下：</w:t>
      </w:r>
    </w:p>
    <w:p>
      <w:pPr>
        <w:spacing w:before="10" w:after="10" w:line="360" w:lineRule="auto"/>
        <w:ind w:firstLine="640"/>
        <w:jc w:val="left"/>
        <w:outlineLvl w:val="2"/>
      </w:pPr>
      <w:bookmarkStart w:id="9" w:name="_Toc24448"/>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负责应急管理工作，指导全区各级各部门应对全区安全生产类、自然灾害类等突发事件和综合防灾减灾救灾工作。负责安全生产综合监督管理和工矿商贸行业安全生产监督管理工作。督促落实经济管理、安全生产等政策规定，组织编制全区应急体系建设、安全生产和综合防灾减灾规划，督促落实应急管理、安全生产地方性法规、规章、规程和标准并监督实施。建设应急预案体系，落实完善事故灾难和自然灾害分级应对制度，组织开展预案演练，推动应急避难设施建设。建立完善全区应急管理信息系统，建立监测预警和灾情报告制度，健全自然灾害信息资源获取和共享机制。组织协调安全生产类、自然灾害类等突发事件应急救援，承担区应对灾害指挥部工作，综合研判突发事件发展态势并提出应对建议。统一协调指挥各类应急专业队伍，建立应急协调联动机制，推进指挥平台对接。统筹应急救援力量建设，综合协调应急救援队伍。组织协调消防工作，指导消防监督、火灾预防、火灾扑救等工作。组织协调自然灾害防治和综合监测预警工作，会同有关部门做好自然灾害综合风险评估工作。组织协调灾害救助工作，负责灾情核查、损失评估、救灾捐赠工作，管理、分配救灾款物并监督使用。依法行使安全生产综合监督管理职权，指导协调、监督检查有关部门和各乡镇(区）的安全生产工作，组织开展安全生产巡查、考核工作。依法监督管理工矿商贸企业安全生产工作，负责危险化学品监督管理综合工作和烟花爆竹监督管理工作。依法开展生产安全事故调查处理，监督事故查处和责任追究落实情况，组织开展自然灾害类突发事件的调查评估工作。制定应急物资储备和应急救援装备规划并组织实施。负责应急管理、安全生产宣传教育和培训、科技成果推广和信息化建设工作。组织协调、指导监督全区安全生产行政执法工作，组织开展对区属企业的执法检查和对辖区安全生产重点企业的执法抽查。</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石家庄市藁城区应急管理局本级</w:t>
            </w:r>
          </w:p>
        </w:tc>
        <w:tc>
          <w:tcPr>
            <w:tcW w:w="2464" w:type="dxa"/>
            <w:vAlign w:val="center"/>
          </w:tcPr>
          <w:p>
            <w:pPr>
              <w:pStyle w:val="11"/>
            </w:pPr>
            <w:r>
              <w:t>行政</w:t>
            </w:r>
          </w:p>
        </w:tc>
        <w:tc>
          <w:tcPr>
            <w:tcW w:w="2464" w:type="dxa"/>
            <w:vAlign w:val="center"/>
          </w:tcPr>
          <w:p>
            <w:pPr>
              <w:pStyle w:val="11"/>
            </w:pPr>
            <w:r>
              <w:t>正科级</w:t>
            </w:r>
          </w:p>
        </w:tc>
        <w:tc>
          <w:tcPr>
            <w:tcW w:w="2464" w:type="dxa"/>
            <w:vAlign w:val="center"/>
          </w:tcPr>
          <w:p>
            <w:pPr>
              <w:pStyle w:val="11"/>
            </w:pPr>
            <w:r>
              <w:t>财政拨款</w:t>
            </w:r>
          </w:p>
        </w:tc>
      </w:tr>
    </w:tbl>
    <w:p>
      <w:pPr>
        <w:spacing w:before="10" w:after="10" w:line="360" w:lineRule="auto"/>
        <w:ind w:firstLine="640"/>
        <w:jc w:val="left"/>
        <w:outlineLvl w:val="2"/>
      </w:pPr>
      <w:bookmarkStart w:id="10" w:name="_Toc56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按照预算管理有关规定，目前我省部门预算的编制实行综合预算管理，即全部收入和支出都反映在预算中。石家庄市藁城区应急管理局机关及所属事业单位的收支包含在部门预算中。</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反映本部门当年全部收入。2022年预算收入1</w:t>
      </w:r>
      <w:r>
        <w:rPr>
          <w:rFonts w:hint="eastAsia" w:eastAsia="仿宋" w:cs="Times New Roman"/>
          <w:sz w:val="32"/>
          <w:szCs w:val="32"/>
          <w:lang w:val="en-US" w:eastAsia="zh-CN"/>
        </w:rPr>
        <w:t>060.87</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1060.87</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收支预算总表支出栏、基本支出表、项目支出表按经济分类和支出功能分类科目编制，反映本部门预算中支出预算的总体情况。2022年部门支出预算为1</w:t>
      </w:r>
      <w:r>
        <w:rPr>
          <w:rFonts w:hint="eastAsia" w:eastAsia="仿宋" w:cs="Times New Roman"/>
          <w:sz w:val="32"/>
          <w:szCs w:val="32"/>
          <w:lang w:val="en-US" w:eastAsia="zh-CN"/>
        </w:rPr>
        <w:t>060.87</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737.33</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685.67</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51.66</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323.54</w:t>
      </w:r>
      <w:r>
        <w:rPr>
          <w:rFonts w:hint="eastAsia" w:ascii="Times New Roman" w:hAnsi="Times New Roman" w:eastAsia="仿宋" w:cs="Times New Roman"/>
          <w:sz w:val="32"/>
          <w:szCs w:val="32"/>
        </w:rPr>
        <w:t>万元，主要为</w:t>
      </w:r>
      <w:r>
        <w:rPr>
          <w:rFonts w:hint="eastAsia" w:eastAsia="仿宋" w:cs="Times New Roman"/>
          <w:sz w:val="32"/>
          <w:szCs w:val="32"/>
          <w:lang w:val="en-US" w:eastAsia="zh-CN"/>
        </w:rPr>
        <w:t>农林水支出10</w:t>
      </w:r>
      <w:r>
        <w:rPr>
          <w:rFonts w:hint="eastAsia" w:ascii="Times New Roman" w:hAnsi="Times New Roman" w:eastAsia="仿宋" w:cs="Times New Roman"/>
          <w:sz w:val="32"/>
          <w:szCs w:val="32"/>
        </w:rPr>
        <w:t>万元，灾害防治及应急管理支出</w:t>
      </w:r>
      <w:r>
        <w:rPr>
          <w:rFonts w:hint="eastAsia" w:eastAsia="仿宋" w:cs="Times New Roman"/>
          <w:sz w:val="32"/>
          <w:szCs w:val="32"/>
          <w:lang w:val="en-US" w:eastAsia="zh-CN"/>
        </w:rPr>
        <w:t>313.54</w:t>
      </w:r>
      <w:r>
        <w:rPr>
          <w:rFonts w:hint="eastAsia" w:ascii="Times New Roman" w:hAnsi="Times New Roman" w:eastAsia="仿宋" w:cs="Times New Roman"/>
          <w:sz w:val="32"/>
          <w:szCs w:val="32"/>
        </w:rPr>
        <w:t>万元</w:t>
      </w:r>
      <w:r>
        <w:rPr>
          <w:rFonts w:hint="eastAsia" w:eastAsia="仿宋" w:cs="Times New Roman"/>
          <w:sz w:val="32"/>
          <w:szCs w:val="32"/>
          <w:lang w:eastAsia="zh-CN"/>
        </w:rPr>
        <w:t>；</w:t>
      </w:r>
      <w:r>
        <w:rPr>
          <w:rFonts w:hint="eastAsia" w:ascii="Times New Roman" w:hAnsi="Times New Roman" w:eastAsia="仿宋" w:cs="Times New Roman"/>
          <w:sz w:val="32"/>
          <w:szCs w:val="32"/>
        </w:rPr>
        <w:t>其他支出0万元。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仿宋" w:cs="Times New Roman"/>
          <w:color w:val="000000"/>
          <w:sz w:val="32"/>
          <w:szCs w:val="32"/>
        </w:rPr>
        <w:t>2022年部门预算收支安排</w:t>
      </w:r>
      <w:r>
        <w:rPr>
          <w:rFonts w:hint="eastAsia" w:eastAsia="仿宋" w:cs="Times New Roman"/>
          <w:color w:val="000000"/>
          <w:sz w:val="32"/>
          <w:szCs w:val="32"/>
          <w:lang w:val="en-US" w:eastAsia="zh-CN"/>
        </w:rPr>
        <w:t>1060.87</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126.43</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增加76.46</w:t>
      </w:r>
      <w:r>
        <w:rPr>
          <w:rFonts w:hint="eastAsia" w:ascii="Times New Roman" w:hAnsi="Times New Roman" w:eastAsia="仿宋" w:cs="Times New Roman"/>
          <w:sz w:val="32"/>
          <w:szCs w:val="32"/>
        </w:rPr>
        <w:t>万元，主要是人员</w:t>
      </w:r>
      <w:r>
        <w:rPr>
          <w:rFonts w:hint="eastAsia" w:eastAsia="仿宋" w:cs="Times New Roman"/>
          <w:sz w:val="32"/>
          <w:szCs w:val="32"/>
          <w:lang w:val="en-US"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val="en-US"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49.97</w:t>
      </w:r>
      <w:r>
        <w:rPr>
          <w:rFonts w:hint="eastAsia" w:ascii="Times New Roman" w:hAnsi="Times New Roman" w:eastAsia="仿宋" w:cs="Times New Roman"/>
          <w:sz w:val="32"/>
          <w:szCs w:val="32"/>
        </w:rPr>
        <w:t>万元，主要是增加</w:t>
      </w:r>
      <w:r>
        <w:rPr>
          <w:rFonts w:hint="eastAsia" w:eastAsia="仿宋" w:cs="Times New Roman"/>
          <w:sz w:val="32"/>
          <w:szCs w:val="32"/>
          <w:lang w:val="en-US" w:eastAsia="zh-CN"/>
        </w:rPr>
        <w:t>全区安全隐患排查经费</w:t>
      </w:r>
      <w:r>
        <w:rPr>
          <w:rFonts w:hint="eastAsia" w:ascii="Times New Roman" w:hAnsi="Times New Roman" w:eastAsia="仿宋" w:cs="Times New Roman"/>
          <w:sz w:val="32"/>
          <w:szCs w:val="32"/>
        </w:rPr>
        <w:t>资金、</w:t>
      </w:r>
      <w:r>
        <w:rPr>
          <w:rFonts w:hint="eastAsia" w:eastAsia="仿宋" w:cs="Times New Roman"/>
          <w:sz w:val="32"/>
          <w:szCs w:val="32"/>
          <w:lang w:val="en-US" w:eastAsia="zh-CN"/>
        </w:rPr>
        <w:t>应急防汛物资储备</w:t>
      </w:r>
      <w:r>
        <w:rPr>
          <w:rFonts w:hint="eastAsia" w:ascii="Times New Roman" w:hAnsi="Times New Roman" w:eastAsia="仿宋" w:cs="Times New Roman"/>
          <w:sz w:val="32"/>
          <w:szCs w:val="32"/>
        </w:rPr>
        <w:t>资金；其他支出无增减变化。</w:t>
      </w:r>
    </w:p>
    <w:p>
      <w:pPr>
        <w:keepNext w:val="0"/>
        <w:keepLines w:val="0"/>
        <w:pageBreakBefore w:val="0"/>
        <w:widowControl/>
        <w:numPr>
          <w:ilvl w:val="0"/>
          <w:numId w:val="1"/>
        </w:numPr>
        <w:kinsoku/>
        <w:wordWrap/>
        <w:overflowPunct/>
        <w:topLinePunct w:val="0"/>
        <w:autoSpaceDE/>
        <w:autoSpaceDN/>
        <w:bidi w:val="0"/>
        <w:adjustRightInd/>
        <w:snapToGrid/>
        <w:spacing w:before="10" w:after="10" w:line="500" w:lineRule="exact"/>
        <w:ind w:firstLine="640"/>
        <w:jc w:val="left"/>
        <w:textAlignment w:val="auto"/>
        <w:outlineLvl w:val="2"/>
        <w:rPr>
          <w:rFonts w:ascii="黑体" w:hAnsi="黑体" w:eastAsia="黑体" w:cs="黑体"/>
          <w:color w:val="000000"/>
          <w:sz w:val="32"/>
        </w:rPr>
      </w:pPr>
      <w:bookmarkStart w:id="11" w:name="_Toc15174"/>
      <w:r>
        <w:rPr>
          <w:rFonts w:ascii="黑体" w:hAnsi="黑体" w:eastAsia="黑体" w:cs="黑体"/>
          <w:color w:val="000000"/>
          <w:sz w:val="32"/>
        </w:rPr>
        <w:t>机关运行经费安排情况</w:t>
      </w:r>
      <w:bookmarkEnd w:id="11"/>
    </w:p>
    <w:p>
      <w:pPr>
        <w:spacing w:before="0" w:after="0" w:line="500" w:lineRule="exact"/>
        <w:ind w:firstLine="560"/>
        <w:jc w:val="left"/>
        <w:outlineLvl w:val="9"/>
        <w:rPr>
          <w:rFonts w:hint="eastAsia" w:ascii="Times New Roman" w:hAnsi="Times New Roman" w:eastAsia="仿宋" w:cs="Times New Roman"/>
          <w:color w:val="000000"/>
          <w:sz w:val="32"/>
          <w:szCs w:val="32"/>
        </w:rPr>
      </w:pPr>
      <w:bookmarkStart w:id="12" w:name="_Toc25286"/>
      <w:bookmarkStart w:id="13" w:name="_Toc1293"/>
      <w:r>
        <w:rPr>
          <w:rFonts w:hint="eastAsia" w:ascii="Times New Roman" w:hAnsi="Times New Roman" w:eastAsia="仿宋" w:cs="Times New Roman"/>
          <w:color w:val="000000"/>
          <w:sz w:val="32"/>
          <w:szCs w:val="32"/>
        </w:rPr>
        <w:t>2022年，我部门机关运行经费共计安排</w:t>
      </w:r>
      <w:r>
        <w:rPr>
          <w:rFonts w:hint="eastAsia" w:ascii="Times New Roman" w:hAnsi="Times New Roman" w:eastAsia="仿宋" w:cs="Times New Roman"/>
          <w:color w:val="000000"/>
          <w:sz w:val="32"/>
          <w:szCs w:val="32"/>
          <w:lang w:val="en-US" w:eastAsia="zh-CN"/>
        </w:rPr>
        <w:t>51.66</w:t>
      </w:r>
      <w:r>
        <w:rPr>
          <w:rFonts w:hint="eastAsia" w:ascii="Times New Roman" w:hAnsi="Times New Roman" w:eastAsia="仿宋" w:cs="Times New Roman"/>
          <w:color w:val="000000"/>
          <w:sz w:val="32"/>
          <w:szCs w:val="32"/>
        </w:rPr>
        <w:t>万元，主要用于保证机关正常运转的办公及印刷费、邮电费、差旅费、福利费、日常维修费、公务车运行维护费等支出。</w:t>
      </w:r>
      <w:bookmarkEnd w:id="12"/>
      <w:bookmarkEnd w:id="13"/>
    </w:p>
    <w:p>
      <w:pPr>
        <w:keepNext w:val="0"/>
        <w:keepLines w:val="0"/>
        <w:pageBreakBefore w:val="0"/>
        <w:widowControl/>
        <w:numPr>
          <w:ilvl w:val="0"/>
          <w:numId w:val="1"/>
        </w:numPr>
        <w:tabs>
          <w:tab w:val="left" w:pos="9689"/>
        </w:tabs>
        <w:kinsoku/>
        <w:wordWrap/>
        <w:overflowPunct/>
        <w:topLinePunct w:val="0"/>
        <w:autoSpaceDE/>
        <w:autoSpaceDN/>
        <w:bidi w:val="0"/>
        <w:adjustRightInd/>
        <w:snapToGrid/>
        <w:spacing w:before="10" w:after="10" w:line="500" w:lineRule="exact"/>
        <w:ind w:left="0" w:leftChars="0" w:firstLine="640" w:firstLineChars="0"/>
        <w:jc w:val="left"/>
        <w:textAlignment w:val="auto"/>
        <w:outlineLvl w:val="2"/>
        <w:rPr>
          <w:rFonts w:ascii="黑体" w:hAnsi="黑体" w:eastAsia="黑体" w:cs="黑体"/>
          <w:color w:val="000000"/>
          <w:sz w:val="32"/>
        </w:rPr>
      </w:pPr>
      <w:bookmarkStart w:id="14" w:name="_Toc28301"/>
      <w:bookmarkStart w:id="15" w:name="_Toc5685"/>
      <w:bookmarkStart w:id="16" w:name="_Toc31435"/>
      <w:r>
        <w:rPr>
          <w:rFonts w:ascii="黑体" w:hAnsi="黑体" w:eastAsia="黑体" w:cs="黑体"/>
          <w:color w:val="000000"/>
          <w:sz w:val="32"/>
        </w:rPr>
        <w:t>财政拨款“三公”经费预算情况及增减变化原因</w:t>
      </w:r>
      <w:bookmarkEnd w:id="14"/>
      <w:r>
        <w:rPr>
          <w:rFonts w:hint="eastAsia" w:ascii="黑体" w:hAnsi="黑体" w:eastAsia="黑体" w:cs="黑体"/>
          <w:color w:val="000000"/>
          <w:sz w:val="32"/>
          <w:lang w:eastAsia="zh-CN"/>
        </w:rPr>
        <w:tab/>
      </w:r>
    </w:p>
    <w:p>
      <w:pPr>
        <w:keepNext w:val="0"/>
        <w:keepLines w:val="0"/>
        <w:pageBreakBefore w:val="0"/>
        <w:widowControl/>
        <w:numPr>
          <w:ilvl w:val="0"/>
          <w:numId w:val="0"/>
        </w:numPr>
        <w:kinsoku/>
        <w:wordWrap/>
        <w:overflowPunct/>
        <w:topLinePunct w:val="0"/>
        <w:autoSpaceDE/>
        <w:autoSpaceDN/>
        <w:bidi w:val="0"/>
        <w:adjustRightInd/>
        <w:snapToGrid/>
        <w:spacing w:before="10" w:after="10" w:line="500" w:lineRule="exact"/>
        <w:ind w:firstLine="640" w:firstLineChars="200"/>
        <w:jc w:val="left"/>
        <w:textAlignment w:val="auto"/>
        <w:outlineLvl w:val="9"/>
      </w:pPr>
      <w:r>
        <w:rPr>
          <w:rFonts w:hint="eastAsia" w:ascii="Times New Roman" w:hAnsi="Times New Roman" w:eastAsia="仿宋" w:cs="Times New Roman"/>
          <w:sz w:val="32"/>
          <w:szCs w:val="32"/>
        </w:rPr>
        <w:t>2022年，我部门财政拨款“三公”经费预算安排</w:t>
      </w:r>
      <w:r>
        <w:rPr>
          <w:rFonts w:hint="eastAsia" w:eastAsia="仿宋" w:cs="Times New Roman"/>
          <w:sz w:val="32"/>
          <w:szCs w:val="32"/>
          <w:lang w:val="en-US" w:eastAsia="zh-CN"/>
        </w:rPr>
        <w:t>2.34</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2.2</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2.2</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0.14</w:t>
      </w:r>
      <w:r>
        <w:rPr>
          <w:rFonts w:hint="eastAsia" w:ascii="Times New Roman" w:hAnsi="Times New Roman" w:eastAsia="仿宋" w:cs="Times New Roman"/>
          <w:sz w:val="32"/>
          <w:szCs w:val="32"/>
        </w:rPr>
        <w:t>万元。“三公”经费与上年持平，无增减变化。</w:t>
      </w:r>
      <w:bookmarkEnd w:id="15"/>
      <w:bookmarkEnd w:id="16"/>
    </w:p>
    <w:p>
      <w:pPr>
        <w:spacing w:before="10" w:after="10" w:line="360" w:lineRule="auto"/>
        <w:ind w:firstLine="640"/>
        <w:jc w:val="left"/>
        <w:outlineLvl w:val="2"/>
      </w:pPr>
      <w:bookmarkStart w:id="17" w:name="_Toc13090"/>
      <w:r>
        <w:rPr>
          <w:rFonts w:ascii="黑体" w:hAnsi="黑体" w:eastAsia="黑体" w:cs="黑体"/>
          <w:color w:val="000000"/>
          <w:sz w:val="32"/>
        </w:rPr>
        <w:t>五、预算绩效信息</w:t>
      </w:r>
      <w:bookmarkEnd w:id="17"/>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18"/>
      </w:pPr>
      <w:r>
        <w:t>贯彻落实国家、省、市部署和要求，牢固树立安全红线意识，进一步强化责任落实、深化专项整治、夯实基层基础、创新工作举措、全面提高防灾减灾能力，严防各类事故发生，为我区建设“一极四城”营造良好氛围。坚持以人民为中心的发展思想，突出预防为主，继续推进安全生产责任制和企业双控机制落实，督促各生产经营单位安全管理能力提升；加大安全监管执法工作力度，强化重点行业领域隐患排查治理工作，严格查处安全生产违法行为，扭转我区安全生产被动局面；加强从业人员安全生产、防灾减灾等知识培训工作，组织开展应急救援演练和比武活动，提升各部门安全生产工作意识和工作能力；深入推进综合减灾能力建设，增强全社会对灾害的防范意识，保障我区安全生产形势持续稳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19"/>
      </w:pPr>
      <w:r>
        <w:t>（一）全区安全生产形势持续稳定。</w:t>
      </w:r>
    </w:p>
    <w:p>
      <w:pPr>
        <w:pStyle w:val="19"/>
      </w:pPr>
      <w:r>
        <w:t>绩效目标：落实全区安全隐患排查工作，增强全区人民的安全防范意识，宣传普及安全生产法律法规和知识技能，加强社会和舆论监督，在全区营造全民参与的安全生产工作氛围。</w:t>
      </w:r>
    </w:p>
    <w:p>
      <w:pPr>
        <w:pStyle w:val="19"/>
      </w:pPr>
      <w:r>
        <w:t>绩效指标：深化三年行动，全面排查治理各类风险隐患。通过招投标方式聘请专家团队，对全区危化、工贸、消防、教育、交通、民政、发改等行业领域进行不少于2轮的专家查隐患活动，排查企业数150家以上，隐患排查率95%以上，隐患整改率100%。广泛开展培训，印发宣传资料提升各类人员履职意识和知识水平。</w:t>
      </w:r>
    </w:p>
    <w:p>
      <w:pPr>
        <w:pStyle w:val="19"/>
      </w:pPr>
      <w:r>
        <w:t>（二）区安委会日常工作能力进一步提升。</w:t>
      </w:r>
    </w:p>
    <w:p>
      <w:pPr>
        <w:pStyle w:val="19"/>
      </w:pPr>
      <w:r>
        <w:t>绩效目标：印制安全生产法律法规和区政府各类政策文件，及时贯彻落实安全生产规章标准。组织安全生产考评、定期开展安全生产督导检查，开展安全生产专项行动，根据工作实际确定安全生产工作措施和资金投入。做好全区危险化学品安全监管综合工作，组织实施工矿商贸行业安全生产规章、标准和规程。</w:t>
      </w:r>
    </w:p>
    <w:p>
      <w:pPr>
        <w:pStyle w:val="19"/>
      </w:pPr>
      <w:r>
        <w:t>绩效指标：对职责范围内的重点生产经营单位实现执法全覆盖，对发现的安全生产重大违法违规行为行政处罚率达到100%，对企业主要负责人不依法履行安全职责的行政处罚率达100%，对执法检查企业的按期复查率达100%，全区全年发生事故总数为0次。</w:t>
      </w:r>
    </w:p>
    <w:p>
      <w:pPr>
        <w:pStyle w:val="19"/>
      </w:pPr>
      <w:r>
        <w:t>印制安全生产法律法规和区政府各类政策文件的工作完成率达100%；全年召开4次以上安全生产例会，2次以上安委会会议，安排部署、督促检查、指导协调全区安全生产工作3次以上，及时召开安全生产专题会议和工作协调会，传达部署阶段性工作；开办非高危企业主要负责人、安全员安全生产培训会3次以上。</w:t>
      </w:r>
    </w:p>
    <w:p>
      <w:pPr>
        <w:pStyle w:val="19"/>
      </w:pPr>
      <w:r>
        <w:t>（三）应对自然灾害的能力显著提高。</w:t>
      </w:r>
    </w:p>
    <w:p>
      <w:pPr>
        <w:pStyle w:val="19"/>
      </w:pPr>
      <w:r>
        <w:t>绩效目标：组织全区防灾减灾及救灾储备体系建设、区级救灾物资储备工作，开展灾害信息员体系建设，统计、汇总、核灾、会商灾情，统一发布灾情；组织协调紧急转移安置灾民；确保灾害发生后，救灾物资第一时间运达灾区。提升监测能力，强化震情跟踪；加强基础研究，提高地震预测水平，提供更有效的公共服务。发挥防汛抗旱减灾体系作用，最大限度地减少水旱灾害造成的人员伤亡和财产损失；维持全区安全的生产生活氛围。</w:t>
      </w:r>
    </w:p>
    <w:p>
      <w:pPr>
        <w:pStyle w:val="19"/>
      </w:pPr>
      <w:r>
        <w:t>绩效指标：应急救灾资金补助力度达100%；救援物资在12小时内到达灾区，保障全区冬春期间受灾人员基本生活，应急救助工作基本完成；灾害信息在12小时内进行报送，重大负面舆情和事件不超过2次；受灾群众对救灾工作较为满意。</w:t>
      </w:r>
    </w:p>
    <w:p>
      <w:pPr>
        <w:pStyle w:val="19"/>
      </w:pPr>
      <w:r>
        <w:t>获得地震监测数据的准确率达到100%，突发公共卫生事件报告率为100%，处理各种宏、微观异常的及时率为100%。</w:t>
      </w:r>
    </w:p>
    <w:p>
      <w:pPr>
        <w:pStyle w:val="19"/>
      </w:pPr>
      <w:r>
        <w:t>应急度汛、抗旱应急、山洪灾害防治项目工程的完成率达到95%以上，确保全区造成重大损失的水旱灾害为0件，全区群众对防灾减灾、应急救援工作的满意比例达95%以上。</w:t>
      </w:r>
    </w:p>
    <w:p>
      <w:pPr>
        <w:pStyle w:val="19"/>
      </w:pPr>
      <w:r>
        <w:t>（四）应急管理机制更加健全。</w:t>
      </w:r>
    </w:p>
    <w:p>
      <w:pPr>
        <w:pStyle w:val="19"/>
      </w:pPr>
      <w:r>
        <w:t>绩效目标：负责安全生产应急管理综合监管，组织、协调安全生产应急救援工作，会同有关部门加强生产安全事故应急能力建设，健全完善全区安全生产应急救援体系；完善安全生产应急管理资源数据库；完成各级各部门和各单位修改完善应急救援预案并进行培训和演练。</w:t>
      </w:r>
    </w:p>
    <w:p>
      <w:pPr>
        <w:pStyle w:val="19"/>
      </w:pPr>
      <w:r>
        <w:t>绩效指标：本辖区企业安全管理员应急技能集训完成率达到90%以上；面对突发事件的应急救援平均响应时间不超过0.25小时。开展应急演练1次，建设减灾示范区5个，物资保障人数达1万人。</w:t>
      </w:r>
    </w:p>
    <w:p>
      <w:pPr>
        <w:pStyle w:val="19"/>
      </w:pPr>
      <w:r>
        <w:t>应急救援中心设备有效运转率为100%；安全生产信息平台能够正常运行；本年全省互联网+安全生产监管信息平台建设的完成率达90%以上，对高危行业生产经营企业隐患排查率达90%以上，存在安全隐患的生产经营单位总数所占比例不超过10%。</w:t>
      </w:r>
    </w:p>
    <w:p>
      <w:pPr>
        <w:pStyle w:val="19"/>
      </w:pPr>
      <w:r>
        <w:t>（五）全区农村安全生活得到有效保障。</w:t>
      </w:r>
    </w:p>
    <w:p>
      <w:pPr>
        <w:pStyle w:val="19"/>
      </w:pPr>
      <w:r>
        <w:t>绩效目标：推进政策性农村住房保险工作开展，切实做好相关承保理赔工作，帮助受灾农民重建家园，尽快恢复生产生活。构建新型农民群众农村住房灾害救助体系，创新救助机制，帮助农民住房灾后重建，维护社会稳定。有效提升农村农民群众住房抵御自然灾害风险的能力和灾后补偿水平。</w:t>
      </w:r>
    </w:p>
    <w:p>
      <w:pPr>
        <w:pStyle w:val="19"/>
      </w:pPr>
      <w:r>
        <w:t>绩效指标：有效帮助农民灾后重建住房的数量占发生住房灾害数量总数的比率达90%以上，保险公司灾后补偿水平达到100%，理赔金额依照合同规定及时全额补贴给受灾群众，接受帮助和理赔的群众满意度达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0"/>
      </w:pPr>
      <w:r>
        <w:t>（一）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pPr>
        <w:pStyle w:val="20"/>
      </w:pPr>
      <w:r>
        <w:t>（二）加强支出管理。按照“谁花钱、谁负责、谁举证”的原则，明确各股室预算绩效管理职责。实现花钱必有效，确保财务与业务工作紧密衔接。各股室按要求积极开展预算绩效评价，根据评价结果进行整改，确保绩效目标顺利实现。通过编实编细预算指标，确保每一分钱花在刀刃上，提高资金使用效率。将各项工作做在前面，按照支出进度完成资金支出。</w:t>
      </w:r>
    </w:p>
    <w:p>
      <w:pPr>
        <w:pStyle w:val="20"/>
      </w:pPr>
      <w:r>
        <w:t>（三）加强绩效运行监控。按财政要求开展绩效监控，全程跟踪预算执行进度，对执行过程中发现支出进度落后的问题及时反馈给各相关股室，督促加快工作进程，保障支出进度。对于工作中发现的问题，及时与领导反映沟通，制定切实可行的举措，保障绩效目标按期高质量完成。</w:t>
      </w:r>
    </w:p>
    <w:p>
      <w:pPr>
        <w:pStyle w:val="20"/>
      </w:pPr>
      <w:r>
        <w:t>（四）做好绩效自评。按财政要求开展上年度部门预算绩效自评和重点评价工作，通过汇总各股室上年度主要完成的工作内容，对比年初预算绩效目标，全面评价目标完成情况，对评价中发现的问题及时讨论研判，制定合理的整改措施，调整优化支出方式，提高资金的使用效益，为下年度提供科学依据。</w:t>
      </w:r>
    </w:p>
    <w:p>
      <w:pPr>
        <w:pStyle w:val="20"/>
      </w:pPr>
      <w:r>
        <w:t>（五）规范财务资产管理。完善财务管理制度，及时更新内控制度、内部审计制度、国有资产管理制度及“三重一大”集体议事决策制度，严格审批程序，对于大额支出应经过分管领导和主要领导批准后支出，每一笔资金支出应提供相应的附件材料。加强固定资产登记、使用和报废处置管理，做到支出合理，物尽其用。</w:t>
      </w:r>
    </w:p>
    <w:p>
      <w:pPr>
        <w:pStyle w:val="20"/>
      </w:pPr>
      <w:r>
        <w:t>（六）加强内部监督。注重内部监督制度建设，对绩效运行情况、重大支出决策、对外投资等重要经济业务事项的决策和执行进行督导，并配合做好审计、财政监督等外部监督工作，确保财政资金安全有效，最大限度发挥财政资金使用效益。</w:t>
      </w:r>
    </w:p>
    <w:p>
      <w:pPr>
        <w:pStyle w:val="20"/>
      </w:pPr>
      <w:r>
        <w:t>（七）加强宣传培训调研。以“防灾减灾宣传日”和“安全生产月”为契机，认真开展方针、防汛、防火等防灾减灾知识科普宣传活动。加强人员培训，提高本部门职工业务素质。开展各乡镇安全员培训及灾害信息员培训活动，提升各类人员履责意识和知识水平，提升安全监管和管理能力。加强项目实施情况的调研，提出优化财政资金配置、提高资金使用效益的意见建议；加大宣传力度，加强单位内部股室间的协调联动，强化预算绩效管理意识，促进预算绩效管理水平进一步提升。</w:t>
      </w:r>
    </w:p>
    <w:p>
      <w:pPr>
        <w:pStyle w:val="20"/>
      </w:pPr>
    </w:p>
    <w:p>
      <w:pPr>
        <w:pStyle w:val="20"/>
      </w:pPr>
    </w:p>
    <w:p>
      <w:pPr>
        <w:pStyle w:val="20"/>
        <w:ind w:left="0" w:leftChars="0" w:firstLine="0" w:firstLineChars="0"/>
      </w:pPr>
    </w:p>
    <w:p>
      <w:pPr>
        <w:pStyle w:val="21"/>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pPr>
        <w:pStyle w:val="21"/>
        <w:spacing w:before="0" w:after="0"/>
        <w:ind w:firstLine="560"/>
        <w:jc w:val="left"/>
        <w:outlineLvl w:val="9"/>
      </w:pPr>
      <w:r>
        <w:rPr>
          <w:rFonts w:ascii="方正仿宋_GBK" w:hAnsi="方正仿宋_GBK" w:eastAsia="方正仿宋_GBK" w:cs="方正仿宋_GBK"/>
          <w:b/>
          <w:color w:val="000000"/>
          <w:sz w:val="28"/>
        </w:rPr>
        <w:t>1、安全生产专项经费绩效目标表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2"/>
            </w:pPr>
            <w:r>
              <w:t>绩效目标</w:t>
            </w:r>
          </w:p>
        </w:tc>
        <w:tc>
          <w:tcPr>
            <w:tcW w:w="7399" w:type="dxa"/>
            <w:tcBorders>
              <w:bottom w:val="single" w:color="FFFFFF" w:sz="6" w:space="0"/>
            </w:tcBorders>
            <w:vAlign w:val="center"/>
          </w:tcPr>
          <w:p>
            <w:pPr>
              <w:pStyle w:val="23"/>
            </w:pPr>
            <w:r>
              <w:t>1.开展安全生产执法检查活动。组织开展5.12、安全生产月、防灾减灾等宣传活动。聘用法律、安全专家参与隐患排查和执法检查活动。征定安全生产报纸、杂志等资料。发放劳务派遣人员工资和综合行政执法工作中的交通保障。</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2285" w:hRule="exact"/>
          <w:jc w:val="center"/>
        </w:trPr>
        <w:tc>
          <w:tcPr>
            <w:tcW w:w="2466" w:type="dxa"/>
            <w:vMerge w:val="restart"/>
            <w:vAlign w:val="center"/>
          </w:tcPr>
          <w:p>
            <w:pPr>
              <w:pStyle w:val="24"/>
            </w:pPr>
            <w:r>
              <w:t>产出指标</w:t>
            </w:r>
          </w:p>
        </w:tc>
        <w:tc>
          <w:tcPr>
            <w:tcW w:w="2466" w:type="dxa"/>
            <w:vAlign w:val="center"/>
          </w:tcPr>
          <w:p>
            <w:pPr>
              <w:pStyle w:val="23"/>
            </w:pPr>
            <w:r>
              <w:t>数量指标</w:t>
            </w:r>
          </w:p>
        </w:tc>
        <w:tc>
          <w:tcPr>
            <w:tcW w:w="2466" w:type="dxa"/>
            <w:vAlign w:val="center"/>
          </w:tcPr>
          <w:p>
            <w:pPr>
              <w:pStyle w:val="23"/>
            </w:pPr>
            <w:r>
              <w:t>开展安全监管执法、安全培训宣教</w:t>
            </w:r>
          </w:p>
        </w:tc>
        <w:tc>
          <w:tcPr>
            <w:tcW w:w="2466" w:type="dxa"/>
            <w:vAlign w:val="center"/>
          </w:tcPr>
          <w:p>
            <w:pPr>
              <w:pStyle w:val="23"/>
            </w:pPr>
            <w:r>
              <w:t>查处安全生产违法行为，提升全民安全防范意识，提升各类人员履责意识和知识水平，提升安全监管和管理能力</w:t>
            </w:r>
          </w:p>
        </w:tc>
        <w:tc>
          <w:tcPr>
            <w:tcW w:w="2466" w:type="dxa"/>
            <w:vAlign w:val="center"/>
          </w:tcPr>
          <w:p>
            <w:pPr>
              <w:pStyle w:val="23"/>
              <w:keepNext w:val="0"/>
              <w:keepLines w:val="0"/>
              <w:pageBreakBefore w:val="0"/>
              <w:widowControl/>
              <w:kinsoku/>
              <w:wordWrap/>
              <w:overflowPunct/>
              <w:topLinePunct w:val="0"/>
              <w:autoSpaceDE/>
              <w:autoSpaceDN/>
              <w:bidi w:val="0"/>
              <w:adjustRightInd/>
              <w:snapToGrid/>
              <w:spacing w:line="280" w:lineRule="exact"/>
              <w:textAlignment w:val="auto"/>
            </w:pPr>
            <w:r>
              <w:t>执法检查企业120家以上。印制各类培训宣教资料5万册；征送杂志报刊1000份以上；聘用法律顾问1人；租用3辆车保证行政执法交通；保证4名劳务派遣人员工资支出等。</w:t>
            </w:r>
          </w:p>
          <w:p>
            <w:pPr>
              <w:pStyle w:val="23"/>
            </w:pPr>
          </w:p>
        </w:tc>
        <w:tc>
          <w:tcPr>
            <w:tcW w:w="2466" w:type="dxa"/>
            <w:vAlign w:val="center"/>
          </w:tcPr>
          <w:p>
            <w:pPr>
              <w:pStyle w:val="23"/>
            </w:pPr>
            <w:r>
              <w:t>执法案卷，租车合同，劳务派遣人员工资表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55" w:hRule="atLeast"/>
          <w:jc w:val="center"/>
        </w:trPr>
        <w:tc>
          <w:tcPr>
            <w:tcW w:w="2466" w:type="dxa"/>
            <w:vMerge w:val="continue"/>
            <w:vAlign w:val="center"/>
          </w:tcPr>
          <w:p>
            <w:pPr>
              <w:pStyle w:val="21"/>
            </w:pPr>
          </w:p>
        </w:tc>
        <w:tc>
          <w:tcPr>
            <w:tcW w:w="2466" w:type="dxa"/>
            <w:vAlign w:val="center"/>
          </w:tcPr>
          <w:p>
            <w:pPr>
              <w:pStyle w:val="23"/>
            </w:pPr>
            <w:r>
              <w:t>质量指标</w:t>
            </w:r>
          </w:p>
        </w:tc>
        <w:tc>
          <w:tcPr>
            <w:tcW w:w="2466" w:type="dxa"/>
            <w:vAlign w:val="center"/>
          </w:tcPr>
          <w:p>
            <w:pPr>
              <w:pStyle w:val="23"/>
            </w:pPr>
            <w:r>
              <w:t>按照法律规定依法查处各类违法行为。执法规范，成效明显。</w:t>
            </w:r>
          </w:p>
        </w:tc>
        <w:tc>
          <w:tcPr>
            <w:tcW w:w="2466" w:type="dxa"/>
            <w:vAlign w:val="center"/>
          </w:tcPr>
          <w:p>
            <w:pPr>
              <w:pStyle w:val="23"/>
            </w:pPr>
            <w:r>
              <w:t>检查企业立案率</w:t>
            </w:r>
          </w:p>
        </w:tc>
        <w:tc>
          <w:tcPr>
            <w:tcW w:w="2466" w:type="dxa"/>
            <w:vAlign w:val="center"/>
          </w:tcPr>
          <w:p>
            <w:pPr>
              <w:pStyle w:val="23"/>
            </w:pPr>
            <w:r>
              <w:t>≥40%</w:t>
            </w:r>
          </w:p>
        </w:tc>
        <w:tc>
          <w:tcPr>
            <w:tcW w:w="2466" w:type="dxa"/>
            <w:vAlign w:val="center"/>
          </w:tcPr>
          <w:p>
            <w:pPr>
              <w:pStyle w:val="23"/>
            </w:pPr>
            <w:r>
              <w:t>执法记录，执法案卷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85" w:hRule="atLeast"/>
          <w:jc w:val="center"/>
        </w:trPr>
        <w:tc>
          <w:tcPr>
            <w:tcW w:w="2466" w:type="dxa"/>
            <w:vMerge w:val="continue"/>
            <w:vAlign w:val="center"/>
          </w:tcPr>
          <w:p>
            <w:pPr>
              <w:pStyle w:val="21"/>
            </w:pPr>
          </w:p>
        </w:tc>
        <w:tc>
          <w:tcPr>
            <w:tcW w:w="2466" w:type="dxa"/>
            <w:vAlign w:val="center"/>
          </w:tcPr>
          <w:p>
            <w:pPr>
              <w:pStyle w:val="23"/>
            </w:pPr>
            <w:r>
              <w:t>时效指标</w:t>
            </w:r>
          </w:p>
        </w:tc>
        <w:tc>
          <w:tcPr>
            <w:tcW w:w="2466" w:type="dxa"/>
            <w:vAlign w:val="center"/>
          </w:tcPr>
          <w:p>
            <w:pPr>
              <w:pStyle w:val="23"/>
            </w:pPr>
            <w:r>
              <w:t>支出进度</w:t>
            </w:r>
          </w:p>
        </w:tc>
        <w:tc>
          <w:tcPr>
            <w:tcW w:w="2466" w:type="dxa"/>
            <w:vAlign w:val="center"/>
          </w:tcPr>
          <w:p>
            <w:pPr>
              <w:pStyle w:val="23"/>
            </w:pPr>
            <w:r>
              <w:t>按支出计划支出资金</w:t>
            </w:r>
          </w:p>
        </w:tc>
        <w:tc>
          <w:tcPr>
            <w:tcW w:w="2466" w:type="dxa"/>
            <w:vAlign w:val="center"/>
          </w:tcPr>
          <w:p>
            <w:pPr>
              <w:pStyle w:val="23"/>
            </w:pPr>
            <w:r>
              <w:t>6月底达60%，10月底达90%</w:t>
            </w:r>
          </w:p>
        </w:tc>
        <w:tc>
          <w:tcPr>
            <w:tcW w:w="2466" w:type="dxa"/>
            <w:vAlign w:val="center"/>
          </w:tcPr>
          <w:p>
            <w:pPr>
              <w:pStyle w:val="23"/>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2466" w:type="dxa"/>
            <w:vMerge w:val="continue"/>
            <w:vAlign w:val="center"/>
          </w:tcPr>
          <w:p>
            <w:pPr>
              <w:pStyle w:val="21"/>
            </w:pPr>
          </w:p>
        </w:tc>
        <w:tc>
          <w:tcPr>
            <w:tcW w:w="2466" w:type="dxa"/>
            <w:vAlign w:val="center"/>
          </w:tcPr>
          <w:p>
            <w:pPr>
              <w:pStyle w:val="23"/>
            </w:pPr>
            <w:r>
              <w:t>成本指标</w:t>
            </w:r>
          </w:p>
        </w:tc>
        <w:tc>
          <w:tcPr>
            <w:tcW w:w="2466" w:type="dxa"/>
            <w:vAlign w:val="center"/>
          </w:tcPr>
          <w:p>
            <w:pPr>
              <w:pStyle w:val="23"/>
            </w:pPr>
            <w:r>
              <w:t>预算成本</w:t>
            </w:r>
          </w:p>
        </w:tc>
        <w:tc>
          <w:tcPr>
            <w:tcW w:w="2466" w:type="dxa"/>
            <w:vAlign w:val="center"/>
          </w:tcPr>
          <w:p>
            <w:pPr>
              <w:pStyle w:val="23"/>
            </w:pPr>
            <w:r>
              <w:t>严格控制预算成本</w:t>
            </w:r>
          </w:p>
        </w:tc>
        <w:tc>
          <w:tcPr>
            <w:tcW w:w="2466" w:type="dxa"/>
            <w:vAlign w:val="center"/>
          </w:tcPr>
          <w:p>
            <w:pPr>
              <w:pStyle w:val="23"/>
            </w:pPr>
            <w:r>
              <w:t>不超过年度预算</w:t>
            </w:r>
          </w:p>
        </w:tc>
        <w:tc>
          <w:tcPr>
            <w:tcW w:w="2466" w:type="dxa"/>
            <w:vAlign w:val="center"/>
          </w:tcPr>
          <w:p>
            <w:pPr>
              <w:pStyle w:val="23"/>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4"/>
            </w:pPr>
            <w:r>
              <w:t>效益指标</w:t>
            </w:r>
          </w:p>
        </w:tc>
        <w:tc>
          <w:tcPr>
            <w:tcW w:w="2466" w:type="dxa"/>
            <w:vAlign w:val="center"/>
          </w:tcPr>
          <w:p>
            <w:pPr>
              <w:pStyle w:val="23"/>
            </w:pPr>
            <w:r>
              <w:t>社会效益指标</w:t>
            </w:r>
          </w:p>
        </w:tc>
        <w:tc>
          <w:tcPr>
            <w:tcW w:w="2466" w:type="dxa"/>
            <w:vAlign w:val="center"/>
          </w:tcPr>
          <w:p>
            <w:pPr>
              <w:pStyle w:val="23"/>
            </w:pPr>
            <w:r>
              <w:t>全区安全形势稳定</w:t>
            </w:r>
          </w:p>
        </w:tc>
        <w:tc>
          <w:tcPr>
            <w:tcW w:w="2466" w:type="dxa"/>
            <w:vAlign w:val="center"/>
          </w:tcPr>
          <w:p>
            <w:pPr>
              <w:pStyle w:val="23"/>
            </w:pPr>
            <w:r>
              <w:t>全区不发生产生产安全事故。</w:t>
            </w:r>
          </w:p>
        </w:tc>
        <w:tc>
          <w:tcPr>
            <w:tcW w:w="2466" w:type="dxa"/>
            <w:vAlign w:val="center"/>
          </w:tcPr>
          <w:p>
            <w:pPr>
              <w:pStyle w:val="23"/>
            </w:pPr>
            <w:r>
              <w:t>在上级安全生产年度考核中取得优秀成绩。</w:t>
            </w:r>
          </w:p>
        </w:tc>
        <w:tc>
          <w:tcPr>
            <w:tcW w:w="2466" w:type="dxa"/>
            <w:vAlign w:val="center"/>
          </w:tcPr>
          <w:p>
            <w:pPr>
              <w:pStyle w:val="23"/>
            </w:pPr>
            <w:r>
              <w:t>全年立案数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466" w:type="dxa"/>
            <w:vAlign w:val="center"/>
          </w:tcPr>
          <w:p>
            <w:pPr>
              <w:pStyle w:val="23"/>
            </w:pPr>
            <w:r>
              <w:t>服务对象满意度指标</w:t>
            </w:r>
          </w:p>
        </w:tc>
        <w:tc>
          <w:tcPr>
            <w:tcW w:w="2466" w:type="dxa"/>
            <w:vAlign w:val="center"/>
          </w:tcPr>
          <w:p>
            <w:pPr>
              <w:pStyle w:val="23"/>
            </w:pPr>
            <w:r>
              <w:t>安全生产单位满意度</w:t>
            </w:r>
          </w:p>
        </w:tc>
        <w:tc>
          <w:tcPr>
            <w:tcW w:w="2466" w:type="dxa"/>
            <w:vAlign w:val="center"/>
          </w:tcPr>
          <w:p>
            <w:pPr>
              <w:pStyle w:val="23"/>
            </w:pPr>
            <w:r>
              <w:t>安全生产企业对安全培训、执法工作满意的总数占企业总数的百分比</w:t>
            </w:r>
          </w:p>
        </w:tc>
        <w:tc>
          <w:tcPr>
            <w:tcW w:w="2466" w:type="dxa"/>
            <w:vAlign w:val="center"/>
          </w:tcPr>
          <w:p>
            <w:pPr>
              <w:pStyle w:val="23"/>
            </w:pPr>
            <w:r>
              <w:t>≥90%</w:t>
            </w:r>
          </w:p>
        </w:tc>
        <w:tc>
          <w:tcPr>
            <w:tcW w:w="2466" w:type="dxa"/>
            <w:vAlign w:val="center"/>
          </w:tcPr>
          <w:p>
            <w:pPr>
              <w:pStyle w:val="23"/>
            </w:pPr>
            <w:r>
              <w:t>年度工作计划</w:t>
            </w:r>
          </w:p>
        </w:tc>
      </w:tr>
    </w:tbl>
    <w:p>
      <w:pPr>
        <w:pStyle w:val="21"/>
      </w:pPr>
    </w:p>
    <w:p>
      <w:pPr>
        <w:pStyle w:val="21"/>
        <w:spacing w:before="0" w:after="0"/>
        <w:ind w:firstLine="560"/>
        <w:jc w:val="left"/>
        <w:outlineLvl w:val="9"/>
      </w:pPr>
      <w:r>
        <w:rPr>
          <w:rFonts w:ascii="方正仿宋_GBK" w:hAnsi="方正仿宋_GBK" w:eastAsia="方正仿宋_GBK" w:cs="方正仿宋_GBK"/>
          <w:b/>
          <w:color w:val="000000"/>
          <w:sz w:val="28"/>
        </w:rPr>
        <w:t>2、地震观测人员补助绩效目标表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2"/>
            </w:pPr>
            <w:r>
              <w:t>绩效目标</w:t>
            </w:r>
          </w:p>
        </w:tc>
        <w:tc>
          <w:tcPr>
            <w:tcW w:w="7399" w:type="dxa"/>
            <w:tcBorders>
              <w:bottom w:val="single" w:color="FFFFFF" w:sz="6" w:space="0"/>
            </w:tcBorders>
            <w:vAlign w:val="center"/>
          </w:tcPr>
          <w:p>
            <w:pPr>
              <w:pStyle w:val="23"/>
            </w:pPr>
            <w:r>
              <w:t>1.监测梅花井地震数据，保证正常运转并按时上报情况。</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4"/>
            </w:pPr>
            <w:r>
              <w:t>产出指标</w:t>
            </w:r>
          </w:p>
        </w:tc>
        <w:tc>
          <w:tcPr>
            <w:tcW w:w="2466" w:type="dxa"/>
            <w:vAlign w:val="center"/>
          </w:tcPr>
          <w:p>
            <w:pPr>
              <w:pStyle w:val="23"/>
            </w:pPr>
            <w:r>
              <w:t>数量指标</w:t>
            </w:r>
          </w:p>
        </w:tc>
        <w:tc>
          <w:tcPr>
            <w:tcW w:w="2466" w:type="dxa"/>
            <w:vAlign w:val="center"/>
          </w:tcPr>
          <w:p>
            <w:pPr>
              <w:pStyle w:val="23"/>
            </w:pPr>
            <w:r>
              <w:t>观测数据</w:t>
            </w:r>
          </w:p>
        </w:tc>
        <w:tc>
          <w:tcPr>
            <w:tcW w:w="2466" w:type="dxa"/>
            <w:vAlign w:val="center"/>
          </w:tcPr>
          <w:p>
            <w:pPr>
              <w:pStyle w:val="23"/>
            </w:pPr>
            <w:r>
              <w:t>全年保证每小时监测一个数据</w:t>
            </w:r>
          </w:p>
        </w:tc>
        <w:tc>
          <w:tcPr>
            <w:tcW w:w="2466" w:type="dxa"/>
            <w:vAlign w:val="center"/>
          </w:tcPr>
          <w:p>
            <w:pPr>
              <w:pStyle w:val="23"/>
            </w:pPr>
            <w:r>
              <w:t>8760个</w:t>
            </w:r>
          </w:p>
        </w:tc>
        <w:tc>
          <w:tcPr>
            <w:tcW w:w="2466" w:type="dxa"/>
            <w:vAlign w:val="center"/>
          </w:tcPr>
          <w:p>
            <w:pPr>
              <w:pStyle w:val="23"/>
            </w:pPr>
            <w:r>
              <w:t>2021年防震减灾工作要点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质量指标</w:t>
            </w:r>
          </w:p>
        </w:tc>
        <w:tc>
          <w:tcPr>
            <w:tcW w:w="2466" w:type="dxa"/>
            <w:vAlign w:val="center"/>
          </w:tcPr>
          <w:p>
            <w:pPr>
              <w:pStyle w:val="23"/>
            </w:pPr>
            <w:r>
              <w:t>数据准确性</w:t>
            </w:r>
          </w:p>
        </w:tc>
        <w:tc>
          <w:tcPr>
            <w:tcW w:w="2466" w:type="dxa"/>
            <w:vAlign w:val="center"/>
          </w:tcPr>
          <w:p>
            <w:pPr>
              <w:pStyle w:val="23"/>
            </w:pPr>
            <w:r>
              <w:t>地震监测数据准确</w:t>
            </w:r>
          </w:p>
        </w:tc>
        <w:tc>
          <w:tcPr>
            <w:tcW w:w="2466" w:type="dxa"/>
            <w:vAlign w:val="center"/>
          </w:tcPr>
          <w:p>
            <w:pPr>
              <w:pStyle w:val="23"/>
            </w:pPr>
            <w:r>
              <w:t>读图准确，不出错误。</w:t>
            </w:r>
          </w:p>
        </w:tc>
        <w:tc>
          <w:tcPr>
            <w:tcW w:w="2466" w:type="dxa"/>
            <w:vAlign w:val="center"/>
          </w:tcPr>
          <w:p>
            <w:pPr>
              <w:pStyle w:val="23"/>
            </w:pPr>
            <w:r>
              <w:t>2021年防震减灾工作要点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时效指标</w:t>
            </w:r>
          </w:p>
        </w:tc>
        <w:tc>
          <w:tcPr>
            <w:tcW w:w="2466" w:type="dxa"/>
            <w:vAlign w:val="center"/>
          </w:tcPr>
          <w:p>
            <w:pPr>
              <w:pStyle w:val="23"/>
            </w:pPr>
            <w:r>
              <w:t>数据及时性</w:t>
            </w:r>
          </w:p>
        </w:tc>
        <w:tc>
          <w:tcPr>
            <w:tcW w:w="2466" w:type="dxa"/>
            <w:vAlign w:val="center"/>
          </w:tcPr>
          <w:p>
            <w:pPr>
              <w:pStyle w:val="23"/>
            </w:pPr>
            <w:r>
              <w:t>数据上报要及时</w:t>
            </w:r>
          </w:p>
        </w:tc>
        <w:tc>
          <w:tcPr>
            <w:tcW w:w="2466" w:type="dxa"/>
            <w:vAlign w:val="center"/>
          </w:tcPr>
          <w:p>
            <w:pPr>
              <w:pStyle w:val="23"/>
            </w:pPr>
            <w:r>
              <w:t>每天按时上报</w:t>
            </w:r>
          </w:p>
        </w:tc>
        <w:tc>
          <w:tcPr>
            <w:tcW w:w="2466" w:type="dxa"/>
            <w:vAlign w:val="center"/>
          </w:tcPr>
          <w:p>
            <w:pPr>
              <w:pStyle w:val="23"/>
            </w:pPr>
            <w:r>
              <w:t>2021年防震减灾工作要点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成本指标</w:t>
            </w:r>
          </w:p>
        </w:tc>
        <w:tc>
          <w:tcPr>
            <w:tcW w:w="2466" w:type="dxa"/>
            <w:vAlign w:val="center"/>
          </w:tcPr>
          <w:p>
            <w:pPr>
              <w:pStyle w:val="23"/>
            </w:pPr>
            <w:r>
              <w:t>数据成本</w:t>
            </w:r>
          </w:p>
        </w:tc>
        <w:tc>
          <w:tcPr>
            <w:tcW w:w="2466" w:type="dxa"/>
            <w:vAlign w:val="center"/>
          </w:tcPr>
          <w:p>
            <w:pPr>
              <w:pStyle w:val="23"/>
            </w:pPr>
            <w:r>
              <w:t>平均监测每个数据的成本</w:t>
            </w:r>
          </w:p>
        </w:tc>
        <w:tc>
          <w:tcPr>
            <w:tcW w:w="2466" w:type="dxa"/>
            <w:vAlign w:val="center"/>
          </w:tcPr>
          <w:p>
            <w:pPr>
              <w:pStyle w:val="23"/>
            </w:pPr>
            <w:r>
              <w:t>≤1元/个</w:t>
            </w:r>
          </w:p>
        </w:tc>
        <w:tc>
          <w:tcPr>
            <w:tcW w:w="2466" w:type="dxa"/>
            <w:vAlign w:val="center"/>
          </w:tcPr>
          <w:p>
            <w:pPr>
              <w:pStyle w:val="23"/>
            </w:pPr>
            <w:r>
              <w:t>2021年防震减灾工作要点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4"/>
            </w:pPr>
            <w:r>
              <w:t>效益指标</w:t>
            </w:r>
          </w:p>
        </w:tc>
        <w:tc>
          <w:tcPr>
            <w:tcW w:w="2466" w:type="dxa"/>
            <w:vAlign w:val="center"/>
          </w:tcPr>
          <w:p>
            <w:pPr>
              <w:pStyle w:val="23"/>
            </w:pPr>
            <w:r>
              <w:t>社会效益指标</w:t>
            </w:r>
          </w:p>
        </w:tc>
        <w:tc>
          <w:tcPr>
            <w:tcW w:w="2466" w:type="dxa"/>
            <w:vAlign w:val="center"/>
          </w:tcPr>
          <w:p>
            <w:pPr>
              <w:pStyle w:val="23"/>
            </w:pPr>
            <w:r>
              <w:t>地震监测预警</w:t>
            </w:r>
          </w:p>
        </w:tc>
        <w:tc>
          <w:tcPr>
            <w:tcW w:w="2466" w:type="dxa"/>
            <w:vAlign w:val="center"/>
          </w:tcPr>
          <w:p>
            <w:pPr>
              <w:pStyle w:val="23"/>
            </w:pPr>
            <w:r>
              <w:t>有效预测地震发生概率和级别</w:t>
            </w:r>
          </w:p>
        </w:tc>
        <w:tc>
          <w:tcPr>
            <w:tcW w:w="2466" w:type="dxa"/>
            <w:vAlign w:val="center"/>
          </w:tcPr>
          <w:p>
            <w:pPr>
              <w:pStyle w:val="23"/>
            </w:pPr>
            <w:r>
              <w:t>为地震监测预警提供数据支撑</w:t>
            </w:r>
          </w:p>
        </w:tc>
        <w:tc>
          <w:tcPr>
            <w:tcW w:w="2466" w:type="dxa"/>
            <w:vAlign w:val="center"/>
          </w:tcPr>
          <w:p>
            <w:pPr>
              <w:pStyle w:val="23"/>
            </w:pPr>
            <w:r>
              <w:t>2021年防震减灾工作要点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466" w:type="dxa"/>
            <w:vAlign w:val="center"/>
          </w:tcPr>
          <w:p>
            <w:pPr>
              <w:pStyle w:val="23"/>
            </w:pPr>
            <w:r>
              <w:t>服务对象满意度指标</w:t>
            </w:r>
          </w:p>
        </w:tc>
        <w:tc>
          <w:tcPr>
            <w:tcW w:w="2466" w:type="dxa"/>
            <w:vAlign w:val="center"/>
          </w:tcPr>
          <w:p>
            <w:pPr>
              <w:pStyle w:val="23"/>
            </w:pPr>
            <w:r>
              <w:t>群众满意度</w:t>
            </w:r>
          </w:p>
        </w:tc>
        <w:tc>
          <w:tcPr>
            <w:tcW w:w="2466" w:type="dxa"/>
            <w:vAlign w:val="center"/>
          </w:tcPr>
          <w:p>
            <w:pPr>
              <w:pStyle w:val="23"/>
            </w:pPr>
            <w:r>
              <w:t>表示满意的群众/调查群众总数</w:t>
            </w:r>
          </w:p>
        </w:tc>
        <w:tc>
          <w:tcPr>
            <w:tcW w:w="2466" w:type="dxa"/>
            <w:vAlign w:val="center"/>
          </w:tcPr>
          <w:p>
            <w:pPr>
              <w:pStyle w:val="23"/>
            </w:pPr>
            <w:r>
              <w:t>≥90%</w:t>
            </w:r>
          </w:p>
        </w:tc>
        <w:tc>
          <w:tcPr>
            <w:tcW w:w="2466" w:type="dxa"/>
            <w:vAlign w:val="center"/>
          </w:tcPr>
          <w:p>
            <w:pPr>
              <w:pStyle w:val="23"/>
            </w:pPr>
            <w:r>
              <w:t>年度工作计划</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pPr>
      <w:r>
        <w:rPr>
          <w:rFonts w:ascii="方正仿宋_GBK" w:hAnsi="方正仿宋_GBK" w:eastAsia="方正仿宋_GBK" w:cs="方正仿宋_GBK"/>
          <w:b/>
          <w:color w:val="000000"/>
          <w:sz w:val="28"/>
        </w:rPr>
        <w:t>3、全区安全隐患排查经费绩效目标表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2"/>
            </w:pPr>
            <w:r>
              <w:t>绩效目标</w:t>
            </w:r>
          </w:p>
        </w:tc>
        <w:tc>
          <w:tcPr>
            <w:tcW w:w="7399" w:type="dxa"/>
            <w:tcBorders>
              <w:bottom w:val="single" w:color="FFFFFF" w:sz="6" w:space="0"/>
            </w:tcBorders>
            <w:vAlign w:val="center"/>
          </w:tcPr>
          <w:p>
            <w:pPr>
              <w:pStyle w:val="23"/>
            </w:pPr>
            <w:r>
              <w:t>1.对危险化学品和工贸行业企业进行专家查隐患。</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4"/>
            </w:pPr>
            <w:r>
              <w:t>产出指标</w:t>
            </w:r>
          </w:p>
        </w:tc>
        <w:tc>
          <w:tcPr>
            <w:tcW w:w="2466" w:type="dxa"/>
            <w:vAlign w:val="center"/>
          </w:tcPr>
          <w:p>
            <w:pPr>
              <w:pStyle w:val="23"/>
            </w:pPr>
            <w:r>
              <w:t>数量指标</w:t>
            </w:r>
          </w:p>
        </w:tc>
        <w:tc>
          <w:tcPr>
            <w:tcW w:w="2466" w:type="dxa"/>
            <w:vAlign w:val="center"/>
          </w:tcPr>
          <w:p>
            <w:pPr>
              <w:pStyle w:val="23"/>
            </w:pPr>
            <w:r>
              <w:t>危化和工贸企业隐患排查数</w:t>
            </w:r>
          </w:p>
        </w:tc>
        <w:tc>
          <w:tcPr>
            <w:tcW w:w="2466" w:type="dxa"/>
            <w:vAlign w:val="center"/>
          </w:tcPr>
          <w:p>
            <w:pPr>
              <w:pStyle w:val="23"/>
            </w:pPr>
            <w:r>
              <w:t>危化和工贸行业生产经营企业隐患排查数</w:t>
            </w:r>
          </w:p>
        </w:tc>
        <w:tc>
          <w:tcPr>
            <w:tcW w:w="2466" w:type="dxa"/>
            <w:vAlign w:val="center"/>
          </w:tcPr>
          <w:p>
            <w:pPr>
              <w:pStyle w:val="23"/>
            </w:pPr>
            <w:r>
              <w:t>≥150家</w:t>
            </w:r>
          </w:p>
        </w:tc>
        <w:tc>
          <w:tcPr>
            <w:tcW w:w="2466" w:type="dxa"/>
            <w:vAlign w:val="center"/>
          </w:tcPr>
          <w:p>
            <w:pPr>
              <w:pStyle w:val="23"/>
            </w:pPr>
            <w:r>
              <w:t>隐患排查报告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质量指标</w:t>
            </w:r>
          </w:p>
        </w:tc>
        <w:tc>
          <w:tcPr>
            <w:tcW w:w="2466" w:type="dxa"/>
            <w:vAlign w:val="center"/>
          </w:tcPr>
          <w:p>
            <w:pPr>
              <w:pStyle w:val="23"/>
            </w:pPr>
            <w:r>
              <w:t>排查消除企业存在的各类安全隐患</w:t>
            </w:r>
          </w:p>
        </w:tc>
        <w:tc>
          <w:tcPr>
            <w:tcW w:w="2466" w:type="dxa"/>
            <w:vAlign w:val="center"/>
          </w:tcPr>
          <w:p>
            <w:pPr>
              <w:pStyle w:val="23"/>
            </w:pPr>
            <w:r>
              <w:t>企业整改隐患数量占排查隐患总数的比重</w:t>
            </w:r>
          </w:p>
        </w:tc>
        <w:tc>
          <w:tcPr>
            <w:tcW w:w="2466" w:type="dxa"/>
            <w:vAlign w:val="center"/>
          </w:tcPr>
          <w:p>
            <w:pPr>
              <w:pStyle w:val="23"/>
            </w:pPr>
            <w:r>
              <w:t>≥95%</w:t>
            </w:r>
          </w:p>
        </w:tc>
        <w:tc>
          <w:tcPr>
            <w:tcW w:w="2466" w:type="dxa"/>
            <w:vAlign w:val="center"/>
          </w:tcPr>
          <w:p>
            <w:pPr>
              <w:pStyle w:val="23"/>
            </w:pPr>
            <w:r>
              <w:t>隐患排查报告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时效指标</w:t>
            </w:r>
          </w:p>
        </w:tc>
        <w:tc>
          <w:tcPr>
            <w:tcW w:w="2466" w:type="dxa"/>
            <w:vAlign w:val="center"/>
          </w:tcPr>
          <w:p>
            <w:pPr>
              <w:pStyle w:val="23"/>
            </w:pPr>
            <w:r>
              <w:t>支出进度</w:t>
            </w:r>
          </w:p>
        </w:tc>
        <w:tc>
          <w:tcPr>
            <w:tcW w:w="2466" w:type="dxa"/>
            <w:vAlign w:val="center"/>
          </w:tcPr>
          <w:p>
            <w:pPr>
              <w:pStyle w:val="23"/>
            </w:pPr>
            <w:r>
              <w:t>按支出计划支出资金</w:t>
            </w:r>
          </w:p>
        </w:tc>
        <w:tc>
          <w:tcPr>
            <w:tcW w:w="2466" w:type="dxa"/>
            <w:vAlign w:val="center"/>
          </w:tcPr>
          <w:p>
            <w:pPr>
              <w:pStyle w:val="23"/>
            </w:pPr>
            <w:r>
              <w:t>6月底达60%，10月底达90%</w:t>
            </w:r>
          </w:p>
        </w:tc>
        <w:tc>
          <w:tcPr>
            <w:tcW w:w="2466" w:type="dxa"/>
            <w:vAlign w:val="center"/>
          </w:tcPr>
          <w:p>
            <w:pPr>
              <w:pStyle w:val="23"/>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成本指标</w:t>
            </w:r>
          </w:p>
        </w:tc>
        <w:tc>
          <w:tcPr>
            <w:tcW w:w="2466" w:type="dxa"/>
            <w:vAlign w:val="center"/>
          </w:tcPr>
          <w:p>
            <w:pPr>
              <w:pStyle w:val="23"/>
            </w:pPr>
            <w:r>
              <w:t>每标段成本</w:t>
            </w:r>
          </w:p>
        </w:tc>
        <w:tc>
          <w:tcPr>
            <w:tcW w:w="2466" w:type="dxa"/>
            <w:vAlign w:val="center"/>
          </w:tcPr>
          <w:p>
            <w:pPr>
              <w:pStyle w:val="23"/>
            </w:pPr>
            <w:r>
              <w:t>危化和工贸每标段平均成本</w:t>
            </w:r>
          </w:p>
        </w:tc>
        <w:tc>
          <w:tcPr>
            <w:tcW w:w="2466" w:type="dxa"/>
            <w:vAlign w:val="center"/>
          </w:tcPr>
          <w:p>
            <w:pPr>
              <w:pStyle w:val="23"/>
            </w:pPr>
            <w:r>
              <w:t>≤20万元</w:t>
            </w:r>
          </w:p>
        </w:tc>
        <w:tc>
          <w:tcPr>
            <w:tcW w:w="2466"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4"/>
            </w:pPr>
            <w:r>
              <w:t>效益指标</w:t>
            </w:r>
          </w:p>
        </w:tc>
        <w:tc>
          <w:tcPr>
            <w:tcW w:w="2466" w:type="dxa"/>
            <w:vAlign w:val="center"/>
          </w:tcPr>
          <w:p>
            <w:pPr>
              <w:pStyle w:val="23"/>
            </w:pPr>
            <w:r>
              <w:t>社会效益指标</w:t>
            </w:r>
          </w:p>
        </w:tc>
        <w:tc>
          <w:tcPr>
            <w:tcW w:w="2466" w:type="dxa"/>
            <w:vAlign w:val="center"/>
          </w:tcPr>
          <w:p>
            <w:pPr>
              <w:pStyle w:val="23"/>
            </w:pPr>
            <w:r>
              <w:t>全区安全形势稳定</w:t>
            </w:r>
          </w:p>
        </w:tc>
        <w:tc>
          <w:tcPr>
            <w:tcW w:w="2466" w:type="dxa"/>
            <w:vAlign w:val="center"/>
          </w:tcPr>
          <w:p>
            <w:pPr>
              <w:pStyle w:val="23"/>
            </w:pPr>
            <w:r>
              <w:t>防范和遏制生产事故发生。</w:t>
            </w:r>
          </w:p>
        </w:tc>
        <w:tc>
          <w:tcPr>
            <w:tcW w:w="2466" w:type="dxa"/>
            <w:vAlign w:val="center"/>
          </w:tcPr>
          <w:p>
            <w:pPr>
              <w:pStyle w:val="23"/>
            </w:pPr>
            <w:r>
              <w:t>危化企业和工贸企业不发生生产安全事故。</w:t>
            </w:r>
          </w:p>
        </w:tc>
        <w:tc>
          <w:tcPr>
            <w:tcW w:w="2466" w:type="dxa"/>
            <w:vAlign w:val="center"/>
          </w:tcPr>
          <w:p>
            <w:pPr>
              <w:pStyle w:val="23"/>
            </w:pPr>
            <w:r>
              <w:t>事故报告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466" w:type="dxa"/>
            <w:vAlign w:val="center"/>
          </w:tcPr>
          <w:p>
            <w:pPr>
              <w:pStyle w:val="23"/>
            </w:pPr>
            <w:r>
              <w:t>服务对象满意度指标</w:t>
            </w:r>
          </w:p>
        </w:tc>
        <w:tc>
          <w:tcPr>
            <w:tcW w:w="2466" w:type="dxa"/>
            <w:vAlign w:val="center"/>
          </w:tcPr>
          <w:p>
            <w:pPr>
              <w:pStyle w:val="23"/>
            </w:pPr>
            <w:r>
              <w:t>企业满意度</w:t>
            </w:r>
          </w:p>
        </w:tc>
        <w:tc>
          <w:tcPr>
            <w:tcW w:w="2466" w:type="dxa"/>
            <w:vAlign w:val="center"/>
          </w:tcPr>
          <w:p>
            <w:pPr>
              <w:pStyle w:val="23"/>
            </w:pPr>
            <w:r>
              <w:t>接受隐患排查的企业对提升安全管理水平和能力的满意度</w:t>
            </w:r>
          </w:p>
        </w:tc>
        <w:tc>
          <w:tcPr>
            <w:tcW w:w="2466" w:type="dxa"/>
            <w:vAlign w:val="center"/>
          </w:tcPr>
          <w:p>
            <w:pPr>
              <w:pStyle w:val="23"/>
            </w:pPr>
            <w:r>
              <w:t>≥90%</w:t>
            </w:r>
          </w:p>
        </w:tc>
        <w:tc>
          <w:tcPr>
            <w:tcW w:w="2466" w:type="dxa"/>
            <w:vAlign w:val="center"/>
          </w:tcPr>
          <w:p>
            <w:pPr>
              <w:pStyle w:val="23"/>
            </w:pPr>
            <w:r>
              <w:t>年度工作计划</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pPr>
      <w:r>
        <w:rPr>
          <w:rFonts w:ascii="方正仿宋_GBK" w:hAnsi="方正仿宋_GBK" w:eastAsia="方正仿宋_GBK" w:cs="方正仿宋_GBK"/>
          <w:b/>
          <w:color w:val="000000"/>
          <w:sz w:val="28"/>
        </w:rPr>
        <w:t>4、全区农房保险补贴资金绩效目标表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2"/>
            </w:pPr>
            <w:r>
              <w:t>绩效目标</w:t>
            </w:r>
          </w:p>
        </w:tc>
        <w:tc>
          <w:tcPr>
            <w:tcW w:w="7399" w:type="dxa"/>
            <w:tcBorders>
              <w:bottom w:val="single" w:color="FFFFFF" w:sz="6" w:space="0"/>
            </w:tcBorders>
            <w:vAlign w:val="center"/>
          </w:tcPr>
          <w:p>
            <w:pPr>
              <w:pStyle w:val="23"/>
            </w:pPr>
            <w:r>
              <w:t>1.使因自然灾害倒损的农房得到保险公司快速理赔</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4"/>
            </w:pPr>
            <w:r>
              <w:t>产出指标</w:t>
            </w:r>
          </w:p>
        </w:tc>
        <w:tc>
          <w:tcPr>
            <w:tcW w:w="2466" w:type="dxa"/>
            <w:vAlign w:val="center"/>
          </w:tcPr>
          <w:p>
            <w:pPr>
              <w:pStyle w:val="23"/>
            </w:pPr>
            <w:r>
              <w:t>数量指标</w:t>
            </w:r>
          </w:p>
        </w:tc>
        <w:tc>
          <w:tcPr>
            <w:tcW w:w="2466" w:type="dxa"/>
            <w:vAlign w:val="center"/>
          </w:tcPr>
          <w:p>
            <w:pPr>
              <w:pStyle w:val="23"/>
            </w:pPr>
            <w:r>
              <w:t>保险覆盖面</w:t>
            </w:r>
          </w:p>
        </w:tc>
        <w:tc>
          <w:tcPr>
            <w:tcW w:w="2466" w:type="dxa"/>
            <w:vAlign w:val="center"/>
          </w:tcPr>
          <w:p>
            <w:pPr>
              <w:pStyle w:val="23"/>
            </w:pPr>
            <w:r>
              <w:t>保险覆盖农户数量</w:t>
            </w:r>
          </w:p>
        </w:tc>
        <w:tc>
          <w:tcPr>
            <w:tcW w:w="2466" w:type="dxa"/>
            <w:vAlign w:val="center"/>
          </w:tcPr>
          <w:p>
            <w:pPr>
              <w:pStyle w:val="23"/>
            </w:pPr>
            <w:r>
              <w:t>188874户</w:t>
            </w:r>
          </w:p>
        </w:tc>
        <w:tc>
          <w:tcPr>
            <w:tcW w:w="2466" w:type="dxa"/>
            <w:vAlign w:val="center"/>
          </w:tcPr>
          <w:p>
            <w:pPr>
              <w:pStyle w:val="23"/>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质量指标</w:t>
            </w:r>
          </w:p>
        </w:tc>
        <w:tc>
          <w:tcPr>
            <w:tcW w:w="2466" w:type="dxa"/>
            <w:vAlign w:val="center"/>
          </w:tcPr>
          <w:p>
            <w:pPr>
              <w:pStyle w:val="23"/>
            </w:pPr>
            <w:r>
              <w:t>理赔标准执行率</w:t>
            </w:r>
          </w:p>
        </w:tc>
        <w:tc>
          <w:tcPr>
            <w:tcW w:w="2466" w:type="dxa"/>
            <w:vAlign w:val="center"/>
          </w:tcPr>
          <w:p>
            <w:pPr>
              <w:pStyle w:val="23"/>
            </w:pPr>
            <w:r>
              <w:t>保险实际理赔金额占应当理赔的总金额的比率</w:t>
            </w:r>
          </w:p>
        </w:tc>
        <w:tc>
          <w:tcPr>
            <w:tcW w:w="2466" w:type="dxa"/>
            <w:vAlign w:val="center"/>
          </w:tcPr>
          <w:p>
            <w:pPr>
              <w:pStyle w:val="23"/>
            </w:pPr>
            <w:r>
              <w:t>100%</w:t>
            </w:r>
          </w:p>
        </w:tc>
        <w:tc>
          <w:tcPr>
            <w:tcW w:w="2466" w:type="dxa"/>
            <w:vAlign w:val="center"/>
          </w:tcPr>
          <w:p>
            <w:pPr>
              <w:pStyle w:val="23"/>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时效指标</w:t>
            </w:r>
          </w:p>
        </w:tc>
        <w:tc>
          <w:tcPr>
            <w:tcW w:w="2466" w:type="dxa"/>
            <w:vAlign w:val="center"/>
          </w:tcPr>
          <w:p>
            <w:pPr>
              <w:pStyle w:val="23"/>
            </w:pPr>
            <w:r>
              <w:t>理赔时间</w:t>
            </w:r>
          </w:p>
        </w:tc>
        <w:tc>
          <w:tcPr>
            <w:tcW w:w="2466" w:type="dxa"/>
            <w:vAlign w:val="center"/>
          </w:tcPr>
          <w:p>
            <w:pPr>
              <w:pStyle w:val="23"/>
            </w:pPr>
            <w:r>
              <w:t>快速理赔</w:t>
            </w:r>
          </w:p>
        </w:tc>
        <w:tc>
          <w:tcPr>
            <w:tcW w:w="2466" w:type="dxa"/>
            <w:vAlign w:val="center"/>
          </w:tcPr>
          <w:p>
            <w:pPr>
              <w:pStyle w:val="23"/>
            </w:pPr>
            <w:r>
              <w:t>接险后在规定时间内完成赔付</w:t>
            </w:r>
          </w:p>
        </w:tc>
        <w:tc>
          <w:tcPr>
            <w:tcW w:w="2466" w:type="dxa"/>
            <w:vAlign w:val="center"/>
          </w:tcPr>
          <w:p>
            <w:pPr>
              <w:pStyle w:val="23"/>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成本指标</w:t>
            </w:r>
          </w:p>
        </w:tc>
        <w:tc>
          <w:tcPr>
            <w:tcW w:w="2466" w:type="dxa"/>
            <w:vAlign w:val="center"/>
          </w:tcPr>
          <w:p>
            <w:pPr>
              <w:pStyle w:val="23"/>
            </w:pPr>
            <w:r>
              <w:t>保险成本</w:t>
            </w:r>
          </w:p>
        </w:tc>
        <w:tc>
          <w:tcPr>
            <w:tcW w:w="2466" w:type="dxa"/>
            <w:vAlign w:val="center"/>
          </w:tcPr>
          <w:p>
            <w:pPr>
              <w:pStyle w:val="23"/>
            </w:pPr>
            <w:r>
              <w:t>平均每户的保险成本</w:t>
            </w:r>
          </w:p>
        </w:tc>
        <w:tc>
          <w:tcPr>
            <w:tcW w:w="2466" w:type="dxa"/>
            <w:vAlign w:val="center"/>
          </w:tcPr>
          <w:p>
            <w:pPr>
              <w:pStyle w:val="23"/>
            </w:pPr>
            <w:r>
              <w:t>2元/户</w:t>
            </w:r>
          </w:p>
        </w:tc>
        <w:tc>
          <w:tcPr>
            <w:tcW w:w="2466" w:type="dxa"/>
            <w:vAlign w:val="center"/>
          </w:tcPr>
          <w:p>
            <w:pPr>
              <w:pStyle w:val="23"/>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4"/>
            </w:pPr>
            <w:r>
              <w:t>效益指标</w:t>
            </w:r>
          </w:p>
        </w:tc>
        <w:tc>
          <w:tcPr>
            <w:tcW w:w="2466" w:type="dxa"/>
            <w:vAlign w:val="center"/>
          </w:tcPr>
          <w:p>
            <w:pPr>
              <w:pStyle w:val="23"/>
            </w:pPr>
            <w:r>
              <w:t>社会效益指标</w:t>
            </w:r>
          </w:p>
        </w:tc>
        <w:tc>
          <w:tcPr>
            <w:tcW w:w="2466" w:type="dxa"/>
            <w:vAlign w:val="center"/>
          </w:tcPr>
          <w:p>
            <w:pPr>
              <w:pStyle w:val="23"/>
            </w:pPr>
            <w:r>
              <w:t>灾后重建水平</w:t>
            </w:r>
          </w:p>
        </w:tc>
        <w:tc>
          <w:tcPr>
            <w:tcW w:w="2466" w:type="dxa"/>
            <w:vAlign w:val="center"/>
          </w:tcPr>
          <w:p>
            <w:pPr>
              <w:pStyle w:val="23"/>
            </w:pPr>
            <w:r>
              <w:t>降低灾害对群众的损失，促进恢复重建。</w:t>
            </w:r>
          </w:p>
        </w:tc>
        <w:tc>
          <w:tcPr>
            <w:tcW w:w="2466" w:type="dxa"/>
            <w:vAlign w:val="center"/>
          </w:tcPr>
          <w:p>
            <w:pPr>
              <w:pStyle w:val="23"/>
            </w:pPr>
            <w:r>
              <w:t>房屋倒损后得到资金支持</w:t>
            </w:r>
          </w:p>
        </w:tc>
        <w:tc>
          <w:tcPr>
            <w:tcW w:w="2466" w:type="dxa"/>
            <w:vAlign w:val="center"/>
          </w:tcPr>
          <w:p>
            <w:pPr>
              <w:pStyle w:val="23"/>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466" w:type="dxa"/>
            <w:vAlign w:val="center"/>
          </w:tcPr>
          <w:p>
            <w:pPr>
              <w:pStyle w:val="23"/>
            </w:pPr>
            <w:r>
              <w:t>服务对象满意度指标</w:t>
            </w:r>
          </w:p>
        </w:tc>
        <w:tc>
          <w:tcPr>
            <w:tcW w:w="2466" w:type="dxa"/>
            <w:vAlign w:val="center"/>
          </w:tcPr>
          <w:p>
            <w:pPr>
              <w:pStyle w:val="23"/>
            </w:pPr>
            <w:r>
              <w:t>群众满意度</w:t>
            </w:r>
          </w:p>
        </w:tc>
        <w:tc>
          <w:tcPr>
            <w:tcW w:w="2466" w:type="dxa"/>
            <w:vAlign w:val="center"/>
          </w:tcPr>
          <w:p>
            <w:pPr>
              <w:pStyle w:val="23"/>
            </w:pPr>
            <w:r>
              <w:t>对赔付结果表示认可的受灾群众占受灾群众总数的比率</w:t>
            </w:r>
          </w:p>
        </w:tc>
        <w:tc>
          <w:tcPr>
            <w:tcW w:w="2466" w:type="dxa"/>
            <w:vAlign w:val="center"/>
          </w:tcPr>
          <w:p>
            <w:pPr>
              <w:pStyle w:val="23"/>
            </w:pPr>
            <w:r>
              <w:t>≥95%</w:t>
            </w:r>
          </w:p>
        </w:tc>
        <w:tc>
          <w:tcPr>
            <w:tcW w:w="2466" w:type="dxa"/>
            <w:vAlign w:val="center"/>
          </w:tcPr>
          <w:p>
            <w:pPr>
              <w:pStyle w:val="23"/>
            </w:pPr>
            <w:r>
              <w:t>年度工作计划</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pPr>
      <w:r>
        <w:rPr>
          <w:rFonts w:ascii="方正仿宋_GBK" w:hAnsi="方正仿宋_GBK" w:eastAsia="方正仿宋_GBK" w:cs="方正仿宋_GBK"/>
          <w:b/>
          <w:color w:val="000000"/>
          <w:sz w:val="28"/>
        </w:rPr>
        <w:t>5、石财建[2021]73号下达2021年第二批新型基础设施建设专项（应急通信领域）中央基建投资预算绩效目标表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2"/>
            </w:pPr>
            <w:r>
              <w:t>绩效目标</w:t>
            </w:r>
          </w:p>
        </w:tc>
        <w:tc>
          <w:tcPr>
            <w:tcW w:w="7399" w:type="dxa"/>
            <w:tcBorders>
              <w:bottom w:val="single" w:color="FFFFFF" w:sz="6" w:space="0"/>
            </w:tcBorders>
            <w:vAlign w:val="center"/>
          </w:tcPr>
          <w:p>
            <w:pPr>
              <w:pStyle w:val="23"/>
            </w:pPr>
            <w:r>
              <w:t>1.1、建设应急通信调度系统，实现多种通信手段互为补充的应急通信综合指挥调度。</w:t>
            </w:r>
          </w:p>
          <w:p>
            <w:pPr>
              <w:pStyle w:val="23"/>
            </w:pPr>
            <w:r>
              <w:t>2.2、建设互联互通系统，实现京津冀互联互通。</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4"/>
            </w:pPr>
            <w:r>
              <w:t>产出指标</w:t>
            </w:r>
          </w:p>
        </w:tc>
        <w:tc>
          <w:tcPr>
            <w:tcW w:w="2466" w:type="dxa"/>
            <w:vAlign w:val="center"/>
          </w:tcPr>
          <w:p>
            <w:pPr>
              <w:pStyle w:val="23"/>
            </w:pPr>
            <w:r>
              <w:t>数量指标</w:t>
            </w:r>
          </w:p>
        </w:tc>
        <w:tc>
          <w:tcPr>
            <w:tcW w:w="2466" w:type="dxa"/>
            <w:vAlign w:val="center"/>
          </w:tcPr>
          <w:p>
            <w:pPr>
              <w:pStyle w:val="23"/>
            </w:pPr>
            <w:r>
              <w:t>设备清单</w:t>
            </w:r>
          </w:p>
        </w:tc>
        <w:tc>
          <w:tcPr>
            <w:tcW w:w="2466" w:type="dxa"/>
            <w:vAlign w:val="center"/>
          </w:tcPr>
          <w:p>
            <w:pPr>
              <w:pStyle w:val="23"/>
            </w:pPr>
            <w:r>
              <w:t>购置安装的设备数</w:t>
            </w:r>
          </w:p>
        </w:tc>
        <w:tc>
          <w:tcPr>
            <w:tcW w:w="2466" w:type="dxa"/>
            <w:vAlign w:val="center"/>
          </w:tcPr>
          <w:p>
            <w:pPr>
              <w:pStyle w:val="23"/>
            </w:pPr>
            <w:r>
              <w:t>≥9套（台）</w:t>
            </w:r>
          </w:p>
        </w:tc>
        <w:tc>
          <w:tcPr>
            <w:tcW w:w="2466" w:type="dxa"/>
            <w:vAlign w:val="center"/>
          </w:tcPr>
          <w:p>
            <w:pPr>
              <w:pStyle w:val="23"/>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质量指标</w:t>
            </w:r>
          </w:p>
        </w:tc>
        <w:tc>
          <w:tcPr>
            <w:tcW w:w="2466" w:type="dxa"/>
            <w:vAlign w:val="center"/>
          </w:tcPr>
          <w:p>
            <w:pPr>
              <w:pStyle w:val="23"/>
            </w:pPr>
            <w:r>
              <w:t>实现的通信手段种类</w:t>
            </w:r>
          </w:p>
        </w:tc>
        <w:tc>
          <w:tcPr>
            <w:tcW w:w="2466" w:type="dxa"/>
            <w:vAlign w:val="center"/>
          </w:tcPr>
          <w:p>
            <w:pPr>
              <w:pStyle w:val="23"/>
            </w:pPr>
            <w:r>
              <w:t>项目建成后可以实现的通信手段种类</w:t>
            </w:r>
          </w:p>
        </w:tc>
        <w:tc>
          <w:tcPr>
            <w:tcW w:w="2466" w:type="dxa"/>
            <w:vAlign w:val="center"/>
          </w:tcPr>
          <w:p>
            <w:pPr>
              <w:pStyle w:val="23"/>
            </w:pPr>
            <w:r>
              <w:t>≥1种</w:t>
            </w:r>
          </w:p>
        </w:tc>
        <w:tc>
          <w:tcPr>
            <w:tcW w:w="2466" w:type="dxa"/>
            <w:vAlign w:val="center"/>
          </w:tcPr>
          <w:p>
            <w:pPr>
              <w:pStyle w:val="23"/>
            </w:pPr>
            <w:r>
              <w:t>《河北省应急管理厅关于加快推进河北省重大活动应急通信保障能力提升工程项目建设的通知》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时效指标</w:t>
            </w:r>
          </w:p>
        </w:tc>
        <w:tc>
          <w:tcPr>
            <w:tcW w:w="2466" w:type="dxa"/>
            <w:vAlign w:val="center"/>
          </w:tcPr>
          <w:p>
            <w:pPr>
              <w:pStyle w:val="23"/>
            </w:pPr>
            <w:r>
              <w:t>完成时限</w:t>
            </w:r>
          </w:p>
        </w:tc>
        <w:tc>
          <w:tcPr>
            <w:tcW w:w="2466" w:type="dxa"/>
            <w:vAlign w:val="center"/>
          </w:tcPr>
          <w:p>
            <w:pPr>
              <w:pStyle w:val="23"/>
            </w:pPr>
            <w:r>
              <w:t>系统完成建设时间</w:t>
            </w:r>
          </w:p>
        </w:tc>
        <w:tc>
          <w:tcPr>
            <w:tcW w:w="2466" w:type="dxa"/>
            <w:vAlign w:val="center"/>
          </w:tcPr>
          <w:p>
            <w:pPr>
              <w:pStyle w:val="23"/>
            </w:pPr>
            <w:r>
              <w:t>早于12月底</w:t>
            </w:r>
          </w:p>
        </w:tc>
        <w:tc>
          <w:tcPr>
            <w:tcW w:w="2466" w:type="dxa"/>
            <w:vAlign w:val="center"/>
          </w:tcPr>
          <w:p>
            <w:pPr>
              <w:pStyle w:val="23"/>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成本指标</w:t>
            </w:r>
          </w:p>
        </w:tc>
        <w:tc>
          <w:tcPr>
            <w:tcW w:w="2466" w:type="dxa"/>
            <w:vAlign w:val="center"/>
          </w:tcPr>
          <w:p>
            <w:pPr>
              <w:pStyle w:val="23"/>
            </w:pPr>
            <w:r>
              <w:t>项目建设费用</w:t>
            </w:r>
          </w:p>
        </w:tc>
        <w:tc>
          <w:tcPr>
            <w:tcW w:w="2466" w:type="dxa"/>
            <w:vAlign w:val="center"/>
          </w:tcPr>
          <w:p>
            <w:pPr>
              <w:pStyle w:val="23"/>
            </w:pPr>
            <w:r>
              <w:t>项目建设费用</w:t>
            </w:r>
          </w:p>
        </w:tc>
        <w:tc>
          <w:tcPr>
            <w:tcW w:w="2466" w:type="dxa"/>
            <w:vAlign w:val="center"/>
          </w:tcPr>
          <w:p>
            <w:pPr>
              <w:pStyle w:val="23"/>
            </w:pPr>
            <w:r>
              <w:t>5.495万元国家补助，5.495万元地方自筹</w:t>
            </w:r>
          </w:p>
        </w:tc>
        <w:tc>
          <w:tcPr>
            <w:tcW w:w="2466" w:type="dxa"/>
            <w:vAlign w:val="center"/>
          </w:tcPr>
          <w:p>
            <w:pPr>
              <w:pStyle w:val="23"/>
            </w:pPr>
            <w:r>
              <w:t>冀应急科技[2021]96号（5.495万元国家补助，5.495万元地方自筹）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4"/>
            </w:pPr>
            <w:r>
              <w:t>效益指标</w:t>
            </w:r>
          </w:p>
        </w:tc>
        <w:tc>
          <w:tcPr>
            <w:tcW w:w="2466" w:type="dxa"/>
            <w:vAlign w:val="center"/>
          </w:tcPr>
          <w:p>
            <w:pPr>
              <w:pStyle w:val="23"/>
            </w:pPr>
            <w:r>
              <w:t>社会效益指标</w:t>
            </w:r>
          </w:p>
        </w:tc>
        <w:tc>
          <w:tcPr>
            <w:tcW w:w="2466" w:type="dxa"/>
            <w:vAlign w:val="center"/>
          </w:tcPr>
          <w:p>
            <w:pPr>
              <w:pStyle w:val="23"/>
            </w:pPr>
            <w:r>
              <w:t>应急通信保障能力</w:t>
            </w:r>
          </w:p>
        </w:tc>
        <w:tc>
          <w:tcPr>
            <w:tcW w:w="2466" w:type="dxa"/>
            <w:vAlign w:val="center"/>
          </w:tcPr>
          <w:p>
            <w:pPr>
              <w:pStyle w:val="23"/>
            </w:pPr>
            <w:r>
              <w:t>应急通信保障系统及互联互通系统使用情况</w:t>
            </w:r>
          </w:p>
        </w:tc>
        <w:tc>
          <w:tcPr>
            <w:tcW w:w="2466" w:type="dxa"/>
            <w:vAlign w:val="center"/>
          </w:tcPr>
          <w:p>
            <w:pPr>
              <w:pStyle w:val="23"/>
            </w:pPr>
            <w:r>
              <w:t>项目建成后，可以实现多种通信手段互为补充的应急通信综合指挥调度；实现京津冀互联互通。</w:t>
            </w:r>
          </w:p>
        </w:tc>
        <w:tc>
          <w:tcPr>
            <w:tcW w:w="2466" w:type="dxa"/>
            <w:vAlign w:val="center"/>
          </w:tcPr>
          <w:p>
            <w:pPr>
              <w:pStyle w:val="23"/>
            </w:pPr>
            <w:r>
              <w:t>实际应用情况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466" w:type="dxa"/>
            <w:vAlign w:val="center"/>
          </w:tcPr>
          <w:p>
            <w:pPr>
              <w:pStyle w:val="23"/>
            </w:pPr>
            <w:r>
              <w:t>服务对象满意度指标</w:t>
            </w:r>
          </w:p>
        </w:tc>
        <w:tc>
          <w:tcPr>
            <w:tcW w:w="2466" w:type="dxa"/>
            <w:vAlign w:val="center"/>
          </w:tcPr>
          <w:p>
            <w:pPr>
              <w:pStyle w:val="23"/>
            </w:pPr>
            <w:r>
              <w:t>用户满意度</w:t>
            </w:r>
          </w:p>
        </w:tc>
        <w:tc>
          <w:tcPr>
            <w:tcW w:w="2466" w:type="dxa"/>
            <w:vAlign w:val="center"/>
          </w:tcPr>
          <w:p>
            <w:pPr>
              <w:pStyle w:val="23"/>
            </w:pPr>
            <w:r>
              <w:t>对该系统功能较为满意的用户数占总用户数的比率</w:t>
            </w:r>
          </w:p>
        </w:tc>
        <w:tc>
          <w:tcPr>
            <w:tcW w:w="2466" w:type="dxa"/>
            <w:vAlign w:val="center"/>
          </w:tcPr>
          <w:p>
            <w:pPr>
              <w:pStyle w:val="23"/>
            </w:pPr>
            <w:r>
              <w:t>≥90百分比</w:t>
            </w:r>
          </w:p>
        </w:tc>
        <w:tc>
          <w:tcPr>
            <w:tcW w:w="2466" w:type="dxa"/>
            <w:vAlign w:val="center"/>
          </w:tcPr>
          <w:p>
            <w:pPr>
              <w:pStyle w:val="23"/>
            </w:pPr>
            <w:r>
              <w:t>调查结果</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pPr>
      <w:r>
        <w:rPr>
          <w:rFonts w:ascii="方正仿宋_GBK" w:hAnsi="方正仿宋_GBK" w:eastAsia="方正仿宋_GBK" w:cs="方正仿宋_GBK"/>
          <w:b/>
          <w:color w:val="000000"/>
          <w:sz w:val="28"/>
        </w:rPr>
        <w:t>6、石财建[2021]87号提前下达2022年自然灾害救助专项资金绩效目标表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2"/>
            </w:pPr>
            <w:r>
              <w:t>绩效目标</w:t>
            </w:r>
          </w:p>
        </w:tc>
        <w:tc>
          <w:tcPr>
            <w:tcW w:w="7399" w:type="dxa"/>
            <w:tcBorders>
              <w:bottom w:val="single" w:color="FFFFFF" w:sz="6" w:space="0"/>
            </w:tcBorders>
            <w:vAlign w:val="center"/>
          </w:tcPr>
          <w:p>
            <w:pPr>
              <w:pStyle w:val="23"/>
            </w:pPr>
            <w:r>
              <w:t>1.以招投标方式确定保险公司，使因灾倒损农房得到快速理赔</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4"/>
            </w:pPr>
            <w:r>
              <w:t>产出指标</w:t>
            </w:r>
          </w:p>
        </w:tc>
        <w:tc>
          <w:tcPr>
            <w:tcW w:w="2466" w:type="dxa"/>
            <w:vAlign w:val="center"/>
          </w:tcPr>
          <w:p>
            <w:pPr>
              <w:pStyle w:val="23"/>
            </w:pPr>
            <w:r>
              <w:t>数量指标</w:t>
            </w:r>
          </w:p>
        </w:tc>
        <w:tc>
          <w:tcPr>
            <w:tcW w:w="2466" w:type="dxa"/>
            <w:vAlign w:val="center"/>
          </w:tcPr>
          <w:p>
            <w:pPr>
              <w:pStyle w:val="23"/>
            </w:pPr>
            <w:r>
              <w:t>保险覆盖面</w:t>
            </w:r>
          </w:p>
        </w:tc>
        <w:tc>
          <w:tcPr>
            <w:tcW w:w="2466" w:type="dxa"/>
            <w:vAlign w:val="center"/>
          </w:tcPr>
          <w:p>
            <w:pPr>
              <w:pStyle w:val="23"/>
            </w:pPr>
            <w:r>
              <w:t>保险覆盖农户数量</w:t>
            </w:r>
          </w:p>
        </w:tc>
        <w:tc>
          <w:tcPr>
            <w:tcW w:w="2466" w:type="dxa"/>
            <w:vAlign w:val="center"/>
          </w:tcPr>
          <w:p>
            <w:pPr>
              <w:pStyle w:val="23"/>
            </w:pPr>
            <w:r>
              <w:t>188874户</w:t>
            </w:r>
          </w:p>
        </w:tc>
        <w:tc>
          <w:tcPr>
            <w:tcW w:w="2466" w:type="dxa"/>
            <w:vAlign w:val="center"/>
          </w:tcPr>
          <w:p>
            <w:pPr>
              <w:pStyle w:val="23"/>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质量指标</w:t>
            </w:r>
          </w:p>
        </w:tc>
        <w:tc>
          <w:tcPr>
            <w:tcW w:w="2466" w:type="dxa"/>
            <w:vAlign w:val="center"/>
          </w:tcPr>
          <w:p>
            <w:pPr>
              <w:pStyle w:val="23"/>
            </w:pPr>
            <w:r>
              <w:t>理赔标准执行率</w:t>
            </w:r>
          </w:p>
        </w:tc>
        <w:tc>
          <w:tcPr>
            <w:tcW w:w="2466" w:type="dxa"/>
            <w:vAlign w:val="center"/>
          </w:tcPr>
          <w:p>
            <w:pPr>
              <w:pStyle w:val="23"/>
            </w:pPr>
            <w:r>
              <w:t>保险实际理赔金额占应当理赔的总金额的比率</w:t>
            </w:r>
          </w:p>
        </w:tc>
        <w:tc>
          <w:tcPr>
            <w:tcW w:w="2466" w:type="dxa"/>
            <w:vAlign w:val="center"/>
          </w:tcPr>
          <w:p>
            <w:pPr>
              <w:pStyle w:val="23"/>
            </w:pPr>
            <w:r>
              <w:t>100%</w:t>
            </w:r>
          </w:p>
        </w:tc>
        <w:tc>
          <w:tcPr>
            <w:tcW w:w="2466" w:type="dxa"/>
            <w:vAlign w:val="center"/>
          </w:tcPr>
          <w:p>
            <w:pPr>
              <w:pStyle w:val="23"/>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时效指标</w:t>
            </w:r>
          </w:p>
        </w:tc>
        <w:tc>
          <w:tcPr>
            <w:tcW w:w="2466" w:type="dxa"/>
            <w:vAlign w:val="center"/>
          </w:tcPr>
          <w:p>
            <w:pPr>
              <w:pStyle w:val="23"/>
            </w:pPr>
            <w:r>
              <w:t>理赔时间</w:t>
            </w:r>
          </w:p>
        </w:tc>
        <w:tc>
          <w:tcPr>
            <w:tcW w:w="2466" w:type="dxa"/>
            <w:vAlign w:val="center"/>
          </w:tcPr>
          <w:p>
            <w:pPr>
              <w:pStyle w:val="23"/>
            </w:pPr>
            <w:r>
              <w:t>快速理赔</w:t>
            </w:r>
          </w:p>
        </w:tc>
        <w:tc>
          <w:tcPr>
            <w:tcW w:w="2466" w:type="dxa"/>
            <w:vAlign w:val="center"/>
          </w:tcPr>
          <w:p>
            <w:pPr>
              <w:pStyle w:val="23"/>
            </w:pPr>
            <w:r>
              <w:t>接险后在规定时间内完成赔付</w:t>
            </w:r>
          </w:p>
        </w:tc>
        <w:tc>
          <w:tcPr>
            <w:tcW w:w="2466" w:type="dxa"/>
            <w:vAlign w:val="center"/>
          </w:tcPr>
          <w:p>
            <w:pPr>
              <w:pStyle w:val="23"/>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成本指标</w:t>
            </w:r>
          </w:p>
        </w:tc>
        <w:tc>
          <w:tcPr>
            <w:tcW w:w="2466" w:type="dxa"/>
            <w:vAlign w:val="center"/>
          </w:tcPr>
          <w:p>
            <w:pPr>
              <w:pStyle w:val="23"/>
            </w:pPr>
            <w:r>
              <w:t>保险成本</w:t>
            </w:r>
          </w:p>
        </w:tc>
        <w:tc>
          <w:tcPr>
            <w:tcW w:w="2466" w:type="dxa"/>
            <w:vAlign w:val="center"/>
          </w:tcPr>
          <w:p>
            <w:pPr>
              <w:pStyle w:val="23"/>
            </w:pPr>
            <w:r>
              <w:t>平均每户的保险成本</w:t>
            </w:r>
          </w:p>
        </w:tc>
        <w:tc>
          <w:tcPr>
            <w:tcW w:w="2466" w:type="dxa"/>
            <w:vAlign w:val="center"/>
          </w:tcPr>
          <w:p>
            <w:pPr>
              <w:pStyle w:val="23"/>
            </w:pPr>
            <w:r>
              <w:t>5元/户</w:t>
            </w:r>
          </w:p>
        </w:tc>
        <w:tc>
          <w:tcPr>
            <w:tcW w:w="2466" w:type="dxa"/>
            <w:vAlign w:val="center"/>
          </w:tcPr>
          <w:p>
            <w:pPr>
              <w:pStyle w:val="23"/>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4"/>
            </w:pPr>
            <w:r>
              <w:t>效益指标</w:t>
            </w:r>
          </w:p>
        </w:tc>
        <w:tc>
          <w:tcPr>
            <w:tcW w:w="2466" w:type="dxa"/>
            <w:vAlign w:val="center"/>
          </w:tcPr>
          <w:p>
            <w:pPr>
              <w:pStyle w:val="23"/>
            </w:pPr>
            <w:r>
              <w:t>社会效益指标</w:t>
            </w:r>
          </w:p>
        </w:tc>
        <w:tc>
          <w:tcPr>
            <w:tcW w:w="2466" w:type="dxa"/>
            <w:vAlign w:val="center"/>
          </w:tcPr>
          <w:p>
            <w:pPr>
              <w:pStyle w:val="23"/>
            </w:pPr>
            <w:r>
              <w:t>灾后重建水平</w:t>
            </w:r>
          </w:p>
        </w:tc>
        <w:tc>
          <w:tcPr>
            <w:tcW w:w="2466" w:type="dxa"/>
            <w:vAlign w:val="center"/>
          </w:tcPr>
          <w:p>
            <w:pPr>
              <w:pStyle w:val="23"/>
            </w:pPr>
            <w:r>
              <w:t>降低灾害对群众的损失，促进恢复重建。</w:t>
            </w:r>
          </w:p>
        </w:tc>
        <w:tc>
          <w:tcPr>
            <w:tcW w:w="2466" w:type="dxa"/>
            <w:vAlign w:val="center"/>
          </w:tcPr>
          <w:p>
            <w:pPr>
              <w:pStyle w:val="23"/>
            </w:pPr>
            <w:r>
              <w:t>房屋倒损后得到资金支持</w:t>
            </w:r>
          </w:p>
        </w:tc>
        <w:tc>
          <w:tcPr>
            <w:tcW w:w="2466" w:type="dxa"/>
            <w:vAlign w:val="center"/>
          </w:tcPr>
          <w:p>
            <w:pPr>
              <w:pStyle w:val="23"/>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466" w:type="dxa"/>
            <w:vAlign w:val="center"/>
          </w:tcPr>
          <w:p>
            <w:pPr>
              <w:pStyle w:val="23"/>
            </w:pPr>
            <w:r>
              <w:t>服务对象满意度指标</w:t>
            </w:r>
          </w:p>
        </w:tc>
        <w:tc>
          <w:tcPr>
            <w:tcW w:w="2466" w:type="dxa"/>
            <w:vAlign w:val="center"/>
          </w:tcPr>
          <w:p>
            <w:pPr>
              <w:pStyle w:val="23"/>
            </w:pPr>
            <w:r>
              <w:t>群众满意度</w:t>
            </w:r>
          </w:p>
        </w:tc>
        <w:tc>
          <w:tcPr>
            <w:tcW w:w="2466" w:type="dxa"/>
            <w:vAlign w:val="center"/>
          </w:tcPr>
          <w:p>
            <w:pPr>
              <w:pStyle w:val="23"/>
            </w:pPr>
            <w:r>
              <w:t>对赔付结果表示认可的受灾群众占受灾群众总数的比率</w:t>
            </w:r>
          </w:p>
        </w:tc>
        <w:tc>
          <w:tcPr>
            <w:tcW w:w="2466" w:type="dxa"/>
            <w:vAlign w:val="center"/>
          </w:tcPr>
          <w:p>
            <w:pPr>
              <w:pStyle w:val="23"/>
            </w:pPr>
            <w:r>
              <w:t>≥95%</w:t>
            </w:r>
          </w:p>
        </w:tc>
        <w:tc>
          <w:tcPr>
            <w:tcW w:w="2466" w:type="dxa"/>
            <w:vAlign w:val="center"/>
          </w:tcPr>
          <w:p>
            <w:pPr>
              <w:pStyle w:val="23"/>
            </w:pPr>
            <w:r>
              <w:t>年度工作计划</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pPr>
      <w:r>
        <w:rPr>
          <w:rFonts w:ascii="方正仿宋_GBK" w:hAnsi="方正仿宋_GBK" w:eastAsia="方正仿宋_GBK" w:cs="方正仿宋_GBK"/>
          <w:b/>
          <w:color w:val="000000"/>
          <w:sz w:val="28"/>
        </w:rPr>
        <w:t>7、应急防汛物资储备资金绩效目标表</w:t>
      </w:r>
    </w:p>
    <w:tbl>
      <w:tblPr>
        <w:tblStyle w:val="5"/>
        <w:tblW w:w="1513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929"/>
        <w:gridCol w:w="820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6929" w:type="dxa"/>
            <w:tcBorders>
              <w:bottom w:val="single" w:color="FFFFFF" w:sz="6" w:space="0"/>
            </w:tcBorders>
            <w:vAlign w:val="center"/>
          </w:tcPr>
          <w:p>
            <w:pPr>
              <w:pStyle w:val="22"/>
            </w:pPr>
            <w:r>
              <w:t>绩效目标</w:t>
            </w:r>
          </w:p>
        </w:tc>
        <w:tc>
          <w:tcPr>
            <w:tcW w:w="8209" w:type="dxa"/>
            <w:tcBorders>
              <w:bottom w:val="single" w:color="FFFFFF" w:sz="6" w:space="0"/>
            </w:tcBorders>
            <w:vAlign w:val="center"/>
          </w:tcPr>
          <w:p>
            <w:pPr>
              <w:pStyle w:val="23"/>
              <w:keepNext w:val="0"/>
              <w:keepLines w:val="0"/>
              <w:pageBreakBefore w:val="0"/>
              <w:widowControl/>
              <w:kinsoku/>
              <w:wordWrap/>
              <w:overflowPunct/>
              <w:topLinePunct w:val="0"/>
              <w:autoSpaceDE/>
              <w:autoSpaceDN/>
              <w:bidi w:val="0"/>
              <w:adjustRightInd/>
              <w:snapToGrid/>
              <w:spacing w:line="240" w:lineRule="exact"/>
              <w:textAlignment w:val="auto"/>
            </w:pPr>
            <w:r>
              <w:t>1.立足“防大汛、抗大旱、抢大险、救大灾”要求，统一指挥、密切协作、消除隐患，扎实做好防汛抗旱工作，保护人民群众生命财产安全。</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14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072"/>
        <w:gridCol w:w="2400"/>
        <w:gridCol w:w="2446"/>
        <w:gridCol w:w="2946"/>
        <w:gridCol w:w="28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072" w:type="dxa"/>
            <w:vAlign w:val="center"/>
          </w:tcPr>
          <w:p>
            <w:pPr>
              <w:pStyle w:val="22"/>
            </w:pPr>
            <w:r>
              <w:t>二级指标</w:t>
            </w:r>
          </w:p>
        </w:tc>
        <w:tc>
          <w:tcPr>
            <w:tcW w:w="2400" w:type="dxa"/>
            <w:vAlign w:val="center"/>
          </w:tcPr>
          <w:p>
            <w:pPr>
              <w:pStyle w:val="22"/>
            </w:pPr>
            <w:r>
              <w:t>三级指标</w:t>
            </w:r>
          </w:p>
        </w:tc>
        <w:tc>
          <w:tcPr>
            <w:tcW w:w="2446" w:type="dxa"/>
            <w:vAlign w:val="center"/>
          </w:tcPr>
          <w:p>
            <w:pPr>
              <w:pStyle w:val="22"/>
            </w:pPr>
            <w:r>
              <w:t>绩效指标描述</w:t>
            </w:r>
          </w:p>
        </w:tc>
        <w:tc>
          <w:tcPr>
            <w:tcW w:w="2946" w:type="dxa"/>
            <w:vAlign w:val="center"/>
          </w:tcPr>
          <w:p>
            <w:pPr>
              <w:pStyle w:val="22"/>
            </w:pPr>
            <w:r>
              <w:t>指标值</w:t>
            </w:r>
          </w:p>
        </w:tc>
        <w:tc>
          <w:tcPr>
            <w:tcW w:w="281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35" w:hRule="atLeast"/>
          <w:jc w:val="center"/>
        </w:trPr>
        <w:tc>
          <w:tcPr>
            <w:tcW w:w="2466" w:type="dxa"/>
            <w:vMerge w:val="restart"/>
            <w:vAlign w:val="center"/>
          </w:tcPr>
          <w:p>
            <w:pPr>
              <w:pStyle w:val="24"/>
            </w:pPr>
            <w:r>
              <w:t>产出指标</w:t>
            </w:r>
          </w:p>
        </w:tc>
        <w:tc>
          <w:tcPr>
            <w:tcW w:w="2072" w:type="dxa"/>
            <w:vAlign w:val="center"/>
          </w:tcPr>
          <w:p>
            <w:pPr>
              <w:pStyle w:val="23"/>
            </w:pPr>
            <w:r>
              <w:t>数量指标</w:t>
            </w:r>
          </w:p>
        </w:tc>
        <w:tc>
          <w:tcPr>
            <w:tcW w:w="2400" w:type="dxa"/>
            <w:vAlign w:val="center"/>
          </w:tcPr>
          <w:p>
            <w:pPr>
              <w:pStyle w:val="23"/>
            </w:pPr>
            <w:r>
              <w:t>开展防汛抗旱会议会议</w:t>
            </w:r>
          </w:p>
        </w:tc>
        <w:tc>
          <w:tcPr>
            <w:tcW w:w="2446" w:type="dxa"/>
            <w:vAlign w:val="center"/>
          </w:tcPr>
          <w:p>
            <w:pPr>
              <w:pStyle w:val="23"/>
            </w:pPr>
            <w:r>
              <w:t>全年电视电话视频会数量</w:t>
            </w:r>
          </w:p>
        </w:tc>
        <w:tc>
          <w:tcPr>
            <w:tcW w:w="2946" w:type="dxa"/>
            <w:vAlign w:val="center"/>
          </w:tcPr>
          <w:p>
            <w:pPr>
              <w:pStyle w:val="23"/>
            </w:pPr>
            <w:r>
              <w:t>≥4次</w:t>
            </w:r>
          </w:p>
        </w:tc>
        <w:tc>
          <w:tcPr>
            <w:tcW w:w="2818" w:type="dxa"/>
            <w:vAlign w:val="center"/>
          </w:tcPr>
          <w:p>
            <w:pPr>
              <w:pStyle w:val="23"/>
            </w:pPr>
            <w:r>
              <w:t>2021年防汛抗旱工作要点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072" w:type="dxa"/>
            <w:vAlign w:val="center"/>
          </w:tcPr>
          <w:p>
            <w:pPr>
              <w:pStyle w:val="23"/>
            </w:pPr>
            <w:r>
              <w:t>质量指标</w:t>
            </w:r>
          </w:p>
        </w:tc>
        <w:tc>
          <w:tcPr>
            <w:tcW w:w="2400" w:type="dxa"/>
            <w:vAlign w:val="center"/>
          </w:tcPr>
          <w:p>
            <w:pPr>
              <w:pStyle w:val="23"/>
            </w:pPr>
            <w:r>
              <w:t>防汛效果</w:t>
            </w:r>
          </w:p>
        </w:tc>
        <w:tc>
          <w:tcPr>
            <w:tcW w:w="2446" w:type="dxa"/>
            <w:vAlign w:val="center"/>
          </w:tcPr>
          <w:p>
            <w:pPr>
              <w:pStyle w:val="23"/>
            </w:pPr>
            <w:r>
              <w:t>防汛物资的使用效果显著</w:t>
            </w:r>
          </w:p>
        </w:tc>
        <w:tc>
          <w:tcPr>
            <w:tcW w:w="2946" w:type="dxa"/>
            <w:vAlign w:val="center"/>
          </w:tcPr>
          <w:p>
            <w:pPr>
              <w:pStyle w:val="23"/>
              <w:keepNext w:val="0"/>
              <w:keepLines w:val="0"/>
              <w:pageBreakBefore w:val="0"/>
              <w:widowControl/>
              <w:kinsoku/>
              <w:wordWrap/>
              <w:overflowPunct/>
              <w:topLinePunct w:val="0"/>
              <w:autoSpaceDE/>
              <w:autoSpaceDN/>
              <w:bidi w:val="0"/>
              <w:adjustRightInd/>
              <w:snapToGrid/>
              <w:spacing w:line="240" w:lineRule="exact"/>
              <w:textAlignment w:val="auto"/>
            </w:pPr>
            <w:r>
              <w:t>合理利用资金，从物资号备各方面，确保我区安全度汛。</w:t>
            </w:r>
          </w:p>
        </w:tc>
        <w:tc>
          <w:tcPr>
            <w:tcW w:w="2818" w:type="dxa"/>
            <w:vAlign w:val="center"/>
          </w:tcPr>
          <w:p>
            <w:pPr>
              <w:pStyle w:val="23"/>
            </w:pPr>
            <w:r>
              <w:t>2021年防汛抗旱工作要点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072" w:type="dxa"/>
            <w:vAlign w:val="center"/>
          </w:tcPr>
          <w:p>
            <w:pPr>
              <w:pStyle w:val="23"/>
            </w:pPr>
            <w:r>
              <w:t>时效指标</w:t>
            </w:r>
          </w:p>
        </w:tc>
        <w:tc>
          <w:tcPr>
            <w:tcW w:w="2400" w:type="dxa"/>
            <w:vAlign w:val="center"/>
          </w:tcPr>
          <w:p>
            <w:pPr>
              <w:pStyle w:val="23"/>
            </w:pPr>
            <w:r>
              <w:t>工作及时性</w:t>
            </w:r>
          </w:p>
        </w:tc>
        <w:tc>
          <w:tcPr>
            <w:tcW w:w="2446" w:type="dxa"/>
            <w:vAlign w:val="center"/>
          </w:tcPr>
          <w:p>
            <w:pPr>
              <w:pStyle w:val="23"/>
            </w:pPr>
            <w:r>
              <w:t>上传下达，排查隐患</w:t>
            </w:r>
          </w:p>
        </w:tc>
        <w:tc>
          <w:tcPr>
            <w:tcW w:w="2946" w:type="dxa"/>
            <w:vAlign w:val="center"/>
          </w:tcPr>
          <w:p>
            <w:pPr>
              <w:pStyle w:val="23"/>
              <w:keepNext w:val="0"/>
              <w:keepLines w:val="0"/>
              <w:pageBreakBefore w:val="0"/>
              <w:widowControl/>
              <w:kinsoku/>
              <w:wordWrap/>
              <w:overflowPunct/>
              <w:topLinePunct w:val="0"/>
              <w:autoSpaceDE/>
              <w:autoSpaceDN/>
              <w:bidi w:val="0"/>
              <w:adjustRightInd/>
              <w:snapToGrid/>
              <w:spacing w:line="240" w:lineRule="exact"/>
              <w:textAlignment w:val="auto"/>
            </w:pPr>
            <w:r>
              <w:t>上报的隐患排查表，建立了我区防汛抗旱隐患排查档案。上报了我区《防汛抢险救援队伍和物资情况统计表》。对防汛抗旱指挥部组成人员及时调整，并将调整后的新同志姓名、职务上报我区政府办。</w:t>
            </w:r>
          </w:p>
        </w:tc>
        <w:tc>
          <w:tcPr>
            <w:tcW w:w="2818" w:type="dxa"/>
            <w:vAlign w:val="center"/>
          </w:tcPr>
          <w:p>
            <w:pPr>
              <w:pStyle w:val="23"/>
            </w:pPr>
            <w:r>
              <w:t>藁汛办[2021]1号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072" w:type="dxa"/>
            <w:vAlign w:val="center"/>
          </w:tcPr>
          <w:p>
            <w:pPr>
              <w:pStyle w:val="23"/>
            </w:pPr>
            <w:r>
              <w:t>成本指标</w:t>
            </w:r>
          </w:p>
        </w:tc>
        <w:tc>
          <w:tcPr>
            <w:tcW w:w="2400" w:type="dxa"/>
            <w:vAlign w:val="center"/>
          </w:tcPr>
          <w:p>
            <w:pPr>
              <w:pStyle w:val="23"/>
            </w:pPr>
            <w:r>
              <w:t>号备物资成本</w:t>
            </w:r>
          </w:p>
        </w:tc>
        <w:tc>
          <w:tcPr>
            <w:tcW w:w="2446" w:type="dxa"/>
            <w:vAlign w:val="center"/>
          </w:tcPr>
          <w:p>
            <w:pPr>
              <w:pStyle w:val="23"/>
              <w:keepNext w:val="0"/>
              <w:keepLines w:val="0"/>
              <w:pageBreakBefore w:val="0"/>
              <w:widowControl/>
              <w:kinsoku/>
              <w:wordWrap/>
              <w:overflowPunct/>
              <w:topLinePunct w:val="0"/>
              <w:autoSpaceDE/>
              <w:autoSpaceDN/>
              <w:bidi w:val="0"/>
              <w:adjustRightInd/>
              <w:snapToGrid/>
              <w:spacing w:line="240" w:lineRule="exact"/>
              <w:textAlignment w:val="auto"/>
            </w:pPr>
            <w:r>
              <w:t>救生衣、照明灯、手动强光搜索灯、发电机、数字对讲机等平均成本</w:t>
            </w:r>
          </w:p>
        </w:tc>
        <w:tc>
          <w:tcPr>
            <w:tcW w:w="2946" w:type="dxa"/>
            <w:vAlign w:val="center"/>
          </w:tcPr>
          <w:p>
            <w:pPr>
              <w:pStyle w:val="23"/>
            </w:pPr>
            <w:r>
              <w:t>≤200元</w:t>
            </w:r>
          </w:p>
        </w:tc>
        <w:tc>
          <w:tcPr>
            <w:tcW w:w="2818" w:type="dxa"/>
            <w:vAlign w:val="center"/>
          </w:tcPr>
          <w:p>
            <w:pPr>
              <w:pStyle w:val="23"/>
            </w:pPr>
            <w:r>
              <w:t>2021年防汛抗旱工作要点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4"/>
            </w:pPr>
            <w:r>
              <w:t>效益指标</w:t>
            </w:r>
          </w:p>
        </w:tc>
        <w:tc>
          <w:tcPr>
            <w:tcW w:w="2072" w:type="dxa"/>
            <w:vAlign w:val="center"/>
          </w:tcPr>
          <w:p>
            <w:pPr>
              <w:pStyle w:val="23"/>
            </w:pPr>
            <w:r>
              <w:t>社会效益指标</w:t>
            </w:r>
          </w:p>
        </w:tc>
        <w:tc>
          <w:tcPr>
            <w:tcW w:w="2400" w:type="dxa"/>
            <w:vAlign w:val="center"/>
          </w:tcPr>
          <w:p>
            <w:pPr>
              <w:pStyle w:val="23"/>
            </w:pPr>
            <w:r>
              <w:t>对全区防汛能力的影响</w:t>
            </w:r>
          </w:p>
        </w:tc>
        <w:tc>
          <w:tcPr>
            <w:tcW w:w="2446" w:type="dxa"/>
            <w:vAlign w:val="center"/>
          </w:tcPr>
          <w:p>
            <w:pPr>
              <w:pStyle w:val="23"/>
            </w:pPr>
            <w:r>
              <w:t>应急防汛工作更加全面、高效、专业</w:t>
            </w:r>
          </w:p>
        </w:tc>
        <w:tc>
          <w:tcPr>
            <w:tcW w:w="2946" w:type="dxa"/>
            <w:vAlign w:val="center"/>
          </w:tcPr>
          <w:p>
            <w:pPr>
              <w:pStyle w:val="23"/>
              <w:keepNext w:val="0"/>
              <w:keepLines w:val="0"/>
              <w:pageBreakBefore w:val="0"/>
              <w:widowControl/>
              <w:kinsoku/>
              <w:wordWrap/>
              <w:overflowPunct/>
              <w:topLinePunct w:val="0"/>
              <w:autoSpaceDE/>
              <w:autoSpaceDN/>
              <w:bidi w:val="0"/>
              <w:adjustRightInd/>
              <w:snapToGrid/>
              <w:spacing w:line="240" w:lineRule="exact"/>
              <w:textAlignment w:val="auto"/>
            </w:pPr>
            <w:r>
              <w:t>切实负起责任，加强日常防汛隐患排查，做到“汛期不停，排查不停”，并将排查出的隐患及时整治完成。切实各自建成一支精炼的防汛队伍，保证能及时做好抗洪抢险工作，同时要把各成员单位的防汛物资储备充足，保证能及时用到应急防汛工作中。</w:t>
            </w:r>
          </w:p>
        </w:tc>
        <w:tc>
          <w:tcPr>
            <w:tcW w:w="2818" w:type="dxa"/>
            <w:vAlign w:val="center"/>
          </w:tcPr>
          <w:p>
            <w:pPr>
              <w:pStyle w:val="23"/>
            </w:pPr>
            <w:r>
              <w:t>2021年防汛抗旱工作要点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072" w:type="dxa"/>
            <w:vAlign w:val="center"/>
          </w:tcPr>
          <w:p>
            <w:pPr>
              <w:pStyle w:val="23"/>
            </w:pPr>
            <w:r>
              <w:t>服务对象满意度指标</w:t>
            </w:r>
          </w:p>
        </w:tc>
        <w:tc>
          <w:tcPr>
            <w:tcW w:w="2400" w:type="dxa"/>
            <w:vAlign w:val="center"/>
          </w:tcPr>
          <w:p>
            <w:pPr>
              <w:pStyle w:val="23"/>
            </w:pPr>
            <w:r>
              <w:t>群众满意度</w:t>
            </w:r>
          </w:p>
        </w:tc>
        <w:tc>
          <w:tcPr>
            <w:tcW w:w="2446" w:type="dxa"/>
            <w:vAlign w:val="center"/>
          </w:tcPr>
          <w:p>
            <w:pPr>
              <w:pStyle w:val="23"/>
            </w:pPr>
            <w:r>
              <w:t>群众满意数量占总数的比例</w:t>
            </w:r>
          </w:p>
        </w:tc>
        <w:tc>
          <w:tcPr>
            <w:tcW w:w="2946" w:type="dxa"/>
            <w:vAlign w:val="center"/>
          </w:tcPr>
          <w:p>
            <w:pPr>
              <w:pStyle w:val="23"/>
            </w:pPr>
            <w:r>
              <w:t>≥90%</w:t>
            </w:r>
          </w:p>
        </w:tc>
        <w:tc>
          <w:tcPr>
            <w:tcW w:w="2818" w:type="dxa"/>
            <w:vAlign w:val="center"/>
          </w:tcPr>
          <w:p>
            <w:pPr>
              <w:pStyle w:val="23"/>
            </w:pPr>
            <w:r>
              <w:t>年度工作计划</w:t>
            </w:r>
          </w:p>
        </w:tc>
      </w:tr>
    </w:tbl>
    <w:p>
      <w:pPr>
        <w:pStyle w:val="21"/>
        <w:sectPr>
          <w:pgSz w:w="16840" w:h="11900" w:orient="landscape"/>
          <w:pgMar w:top="1361" w:right="1020" w:bottom="1361" w:left="1020" w:header="720" w:footer="720" w:gutter="0"/>
        </w:sectPr>
      </w:pPr>
    </w:p>
    <w:p>
      <w:pPr>
        <w:spacing w:before="10" w:after="10" w:line="240" w:lineRule="auto"/>
        <w:ind w:firstLine="640"/>
        <w:jc w:val="left"/>
        <w:outlineLvl w:val="2"/>
      </w:pPr>
      <w:bookmarkStart w:id="18" w:name="_Toc12500"/>
      <w:r>
        <w:rPr>
          <w:rFonts w:ascii="黑体" w:hAnsi="黑体" w:eastAsia="黑体" w:cs="黑体"/>
          <w:color w:val="000000"/>
          <w:sz w:val="32"/>
        </w:rPr>
        <w:t>六、政府采购预算情况</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2022年，石家庄市藁城区应急管理局安排政府采购预算40.00万元。具体内容见下表。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426石家庄市藁城区应急管理局</w:t>
            </w:r>
          </w:p>
        </w:tc>
        <w:tc>
          <w:tcPr>
            <w:tcW w:w="831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合  计</w:t>
            </w: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40.00</w:t>
            </w:r>
          </w:p>
        </w:tc>
        <w:tc>
          <w:tcPr>
            <w:tcW w:w="924" w:type="dxa"/>
            <w:vAlign w:val="center"/>
          </w:tcPr>
          <w:p>
            <w:pPr>
              <w:pStyle w:val="15"/>
            </w:pPr>
            <w:r>
              <w:t>40.00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石家庄市藁城区应急管理局本级小计</w:t>
            </w: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40.00</w:t>
            </w:r>
          </w:p>
        </w:tc>
        <w:tc>
          <w:tcPr>
            <w:tcW w:w="924" w:type="dxa"/>
            <w:vAlign w:val="center"/>
          </w:tcPr>
          <w:p>
            <w:pPr>
              <w:pStyle w:val="15"/>
            </w:pPr>
            <w:r>
              <w:t>40.00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全区安全隐患排查经费</w:t>
            </w:r>
          </w:p>
        </w:tc>
        <w:tc>
          <w:tcPr>
            <w:tcW w:w="924" w:type="dxa"/>
            <w:vAlign w:val="center"/>
          </w:tcPr>
          <w:p>
            <w:pPr>
              <w:pStyle w:val="13"/>
            </w:pPr>
            <w:r>
              <w:t>40.00</w:t>
            </w:r>
          </w:p>
        </w:tc>
        <w:tc>
          <w:tcPr>
            <w:tcW w:w="924" w:type="dxa"/>
            <w:vAlign w:val="center"/>
          </w:tcPr>
          <w:p>
            <w:pPr>
              <w:pStyle w:val="12"/>
            </w:pPr>
            <w:r>
              <w:t>安全服务</w:t>
            </w:r>
          </w:p>
        </w:tc>
        <w:tc>
          <w:tcPr>
            <w:tcW w:w="924" w:type="dxa"/>
            <w:vAlign w:val="center"/>
          </w:tcPr>
          <w:p>
            <w:pPr>
              <w:pStyle w:val="12"/>
            </w:pPr>
            <w:r>
              <w:t>C0810</w:t>
            </w:r>
          </w:p>
        </w:tc>
        <w:tc>
          <w:tcPr>
            <w:tcW w:w="924" w:type="dxa"/>
            <w:vAlign w:val="center"/>
          </w:tcPr>
          <w:p>
            <w:pPr>
              <w:pStyle w:val="11"/>
            </w:pPr>
            <w:r>
              <w:t>项</w:t>
            </w:r>
          </w:p>
        </w:tc>
        <w:tc>
          <w:tcPr>
            <w:tcW w:w="924" w:type="dxa"/>
            <w:vAlign w:val="center"/>
          </w:tcPr>
          <w:p>
            <w:pPr>
              <w:pStyle w:val="13"/>
            </w:pPr>
            <w:r>
              <w:t>2</w:t>
            </w:r>
          </w:p>
        </w:tc>
        <w:tc>
          <w:tcPr>
            <w:tcW w:w="924" w:type="dxa"/>
            <w:vAlign w:val="center"/>
          </w:tcPr>
          <w:p>
            <w:pPr>
              <w:pStyle w:val="13"/>
            </w:pPr>
            <w:r>
              <w:t>20.00</w:t>
            </w:r>
          </w:p>
        </w:tc>
        <w:tc>
          <w:tcPr>
            <w:tcW w:w="924" w:type="dxa"/>
            <w:vAlign w:val="center"/>
          </w:tcPr>
          <w:p>
            <w:pPr>
              <w:pStyle w:val="13"/>
            </w:pPr>
            <w:r>
              <w:t>40.00</w:t>
            </w:r>
          </w:p>
        </w:tc>
        <w:tc>
          <w:tcPr>
            <w:tcW w:w="924" w:type="dxa"/>
            <w:vAlign w:val="center"/>
          </w:tcPr>
          <w:p>
            <w:pPr>
              <w:pStyle w:val="13"/>
            </w:pPr>
            <w:r>
              <w:t>40.00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40.00</w:t>
            </w:r>
          </w:p>
        </w:tc>
      </w:tr>
    </w:tbl>
    <w:p>
      <w:pPr>
        <w:spacing w:before="0" w:after="0" w:line="500" w:lineRule="exact"/>
        <w:ind w:firstLine="420"/>
        <w:jc w:val="left"/>
        <w:outlineLvl w:val="9"/>
        <w:rPr>
          <w:rFonts w:ascii="黑体" w:hAnsi="黑体" w:eastAsia="黑体" w:cs="黑体"/>
          <w:color w:val="000000"/>
          <w:sz w:val="32"/>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10" w:after="10" w:line="240" w:lineRule="auto"/>
        <w:ind w:firstLine="640"/>
        <w:jc w:val="left"/>
        <w:outlineLvl w:val="2"/>
      </w:pPr>
      <w:bookmarkStart w:id="19" w:name="_Toc24919"/>
      <w:r>
        <w:rPr>
          <w:rFonts w:ascii="黑体" w:hAnsi="黑体" w:eastAsia="黑体" w:cs="黑体"/>
          <w:color w:val="000000"/>
          <w:sz w:val="32"/>
        </w:rPr>
        <w:t>七、国有资产信息</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石家庄市藁城区应急管理局（含所属单位）上年末固定资产金额为19</w:t>
      </w:r>
      <w:r>
        <w:rPr>
          <w:rFonts w:hint="eastAsia" w:eastAsia="方正仿宋_GBK" w:cs="Times New Roman"/>
          <w:b w:val="0"/>
          <w:color w:val="000000"/>
          <w:sz w:val="28"/>
          <w:lang w:val="en-US" w:eastAsia="zh-CN"/>
        </w:rPr>
        <w:t>5.08</w:t>
      </w:r>
      <w:r>
        <w:rPr>
          <w:rFonts w:ascii="Times New Roman" w:hAnsi="Times New Roman" w:eastAsia="方正仿宋_GBK" w:cs="Times New Roman"/>
          <w:b w:val="0"/>
          <w:color w:val="000000"/>
          <w:sz w:val="28"/>
        </w:rPr>
        <w:t>万元（详见下表）。本年度拟购置固定资产总额为2.20万元，</w:t>
      </w:r>
      <w:r>
        <w:rPr>
          <w:rFonts w:hint="eastAsia" w:eastAsia="方正仿宋_GBK" w:cs="Times New Roman"/>
          <w:b w:val="0"/>
          <w:color w:val="000000"/>
          <w:sz w:val="28"/>
          <w:lang w:val="en-US" w:eastAsia="zh-CN"/>
        </w:rPr>
        <w:t>主要用于购买空调、电脑、打印机等，因未达到政府采购限额，故未列入政府采购预算</w:t>
      </w:r>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426石家庄市藁城区应急管理局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rPr>
                <w:rFonts w:hint="default" w:eastAsia="方正书宋_GBK"/>
                <w:lang w:val="en-US" w:eastAsia="zh-CN"/>
              </w:rPr>
            </w:pPr>
            <w:r>
              <w:t>19</w:t>
            </w:r>
            <w:r>
              <w:rPr>
                <w:rFonts w:hint="eastAsia"/>
                <w:lang w:val="en-US" w:eastAsia="zh-CN"/>
              </w:rPr>
              <w:t>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pPr>
            <w:r>
              <w:t>2</w:t>
            </w:r>
          </w:p>
        </w:tc>
        <w:tc>
          <w:tcPr>
            <w:tcW w:w="4933" w:type="dxa"/>
            <w:vAlign w:val="center"/>
          </w:tcPr>
          <w:p>
            <w:pPr>
              <w:pStyle w:val="13"/>
            </w:pPr>
            <w:r>
              <w:t>19.88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p>
        </w:tc>
        <w:tc>
          <w:tcPr>
            <w:tcW w:w="4933" w:type="dxa"/>
            <w:vAlign w:val="center"/>
          </w:tcPr>
          <w:p>
            <w:pPr>
              <w:pStyle w:val="13"/>
            </w:pPr>
          </w:p>
        </w:tc>
      </w:tr>
      <w:tr>
        <w:tblPrEx>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1"/>
            </w:pPr>
            <w:r>
              <w:t>309</w:t>
            </w:r>
          </w:p>
        </w:tc>
        <w:tc>
          <w:tcPr>
            <w:tcW w:w="4933" w:type="dxa"/>
            <w:vAlign w:val="center"/>
          </w:tcPr>
          <w:p>
            <w:pPr>
              <w:pStyle w:val="13"/>
            </w:pPr>
            <w:r>
              <w:t>175.20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20" w:name="_Toc28467"/>
      <w:r>
        <w:rPr>
          <w:rFonts w:ascii="黑体" w:hAnsi="黑体" w:eastAsia="黑体" w:cs="黑体"/>
          <w:color w:val="000000"/>
          <w:sz w:val="32"/>
        </w:rPr>
        <w:t>八、名词解释</w:t>
      </w:r>
      <w:bookmarkEnd w:id="20"/>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21" w:name="_Toc21221"/>
      <w:r>
        <w:rPr>
          <w:rFonts w:ascii="黑体" w:hAnsi="黑体" w:eastAsia="黑体" w:cs="黑体"/>
          <w:color w:val="000000"/>
          <w:sz w:val="32"/>
        </w:rPr>
        <w:t>九、其他需要说明的事项</w:t>
      </w:r>
      <w:bookmarkEnd w:id="21"/>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60C523F"/>
    <w:multiLevelType w:val="singleLevel"/>
    <w:tmpl w:val="960C523F"/>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D5F58A4"/>
    <w:rsid w:val="2D616CCD"/>
    <w:rsid w:val="324B6631"/>
    <w:rsid w:val="38AE77E2"/>
    <w:rsid w:val="4CC7047D"/>
    <w:rsid w:val="58233B39"/>
    <w:rsid w:val="5A4833AD"/>
    <w:rsid w:val="69607667"/>
    <w:rsid w:val="7067775B"/>
    <w:rsid w:val="7235696D"/>
    <w:rsid w:val="77F7163E"/>
    <w:rsid w:val="7E2435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Normal_d95bf4a0-8601-447d-b801-7c89c5acea41"/>
    <w:qFormat/>
    <w:uiPriority w:val="0"/>
    <w:rPr>
      <w:rFonts w:ascii="Times New Roman" w:hAnsi="Times New Roman" w:eastAsia="Times New Roman" w:cstheme="minorBidi"/>
      <w:sz w:val="24"/>
      <w:szCs w:val="24"/>
      <w:lang w:val="en-US" w:eastAsia="uk-UA" w:bidi="ar-SA"/>
    </w:rPr>
  </w:style>
  <w:style w:type="paragraph" w:customStyle="1" w:styleId="22">
    <w:name w:val="单元格样式1_6d1fff23-af34-4f6e-8ef0-8813ee7368a4"/>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3">
    <w:name w:val="单元格样式2_91fa0bf0-e1e7-43f7-8320-b06d6b448734"/>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4">
    <w:name w:val="单元格样式3_9eb89413-dd2d-40b4-8e4e-4adab6d60487"/>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2023-09-05T05:55:00Z</dcterms:created>
  <dc:creator>26656</dc:creator>
  <cp:lastModifiedBy>26656</cp:lastModifiedBy>
  <dcterms:modified xsi:type="dcterms:W3CDTF">2023-09-05T08:49:03Z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