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石家庄市藁城区总工会</w:t>
      </w:r>
      <w:r>
        <w:rPr>
          <w:rFonts w:ascii="黑体" w:hAnsi="黑体" w:eastAsia="黑体" w:cs="黑体"/>
          <w:b/>
          <w:color w:val="000000"/>
          <w:sz w:val="44"/>
        </w:rPr>
        <w:t>2022年</w:t>
      </w:r>
      <w:r>
        <w:rPr>
          <w:rFonts w:hint="eastAsia" w:ascii="黑体" w:hAnsi="黑体" w:eastAsia="黑体" w:cs="黑体"/>
          <w:b/>
          <w:color w:val="000000"/>
          <w:sz w:val="44"/>
          <w:lang w:val="en-US" w:eastAsia="zh-CN"/>
        </w:rPr>
        <w:t>度部门</w:t>
      </w:r>
      <w:bookmarkStart w:id="19" w:name="_GoBack"/>
      <w:bookmarkEnd w:id="19"/>
      <w:r>
        <w:rPr>
          <w:rFonts w:ascii="黑体" w:hAnsi="黑体" w:eastAsia="黑体" w:cs="黑体"/>
          <w:b/>
          <w:color w:val="000000"/>
          <w:sz w:val="44"/>
        </w:rPr>
        <w:t>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_Toc2483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_Toc2483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_Toc1884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_Toc1884 \h </w:instrText>
      </w:r>
      <w:r>
        <w:fldChar w:fldCharType="separate"/>
      </w:r>
      <w:r>
        <w:t>5</w:t>
      </w:r>
      <w:r>
        <w:fldChar w:fldCharType="end"/>
      </w:r>
      <w:r>
        <w:fldChar w:fldCharType="end"/>
      </w:r>
    </w:p>
    <w:p>
      <w:pPr>
        <w:pStyle w:val="4"/>
        <w:tabs>
          <w:tab w:val="right" w:leader="dot" w:pos="14800"/>
        </w:tabs>
      </w:pPr>
      <w:r>
        <w:fldChar w:fldCharType="begin"/>
      </w:r>
      <w:r>
        <w:instrText xml:space="preserve"> HYPERLINK \l _Toc3396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_Toc3396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_Toc25174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_Toc25174 \h </w:instrText>
      </w:r>
      <w:r>
        <w:fldChar w:fldCharType="separate"/>
      </w:r>
      <w:r>
        <w:t>7</w:t>
      </w:r>
      <w:r>
        <w:fldChar w:fldCharType="end"/>
      </w:r>
      <w:r>
        <w:fldChar w:fldCharType="end"/>
      </w:r>
    </w:p>
    <w:p>
      <w:pPr>
        <w:pStyle w:val="4"/>
        <w:tabs>
          <w:tab w:val="right" w:leader="dot" w:pos="14800"/>
        </w:tabs>
      </w:pPr>
      <w:r>
        <w:fldChar w:fldCharType="begin"/>
      </w:r>
      <w:r>
        <w:instrText xml:space="preserve"> HYPERLINK \l _Toc17523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_Toc17523 \h </w:instrText>
      </w:r>
      <w:r>
        <w:fldChar w:fldCharType="separate"/>
      </w:r>
      <w:r>
        <w:t>13</w:t>
      </w:r>
      <w:r>
        <w:fldChar w:fldCharType="end"/>
      </w:r>
      <w:r>
        <w:fldChar w:fldCharType="end"/>
      </w:r>
    </w:p>
    <w:p>
      <w:pPr>
        <w:pStyle w:val="4"/>
        <w:tabs>
          <w:tab w:val="right" w:leader="dot" w:pos="14800"/>
        </w:tabs>
      </w:pPr>
      <w:r>
        <w:fldChar w:fldCharType="begin"/>
      </w:r>
      <w:r>
        <w:instrText xml:space="preserve"> HYPERLINK \l _Toc30994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_Toc30994 \h </w:instrText>
      </w:r>
      <w:r>
        <w:fldChar w:fldCharType="separate"/>
      </w:r>
      <w:r>
        <w:t>14</w:t>
      </w:r>
      <w:r>
        <w:fldChar w:fldCharType="end"/>
      </w:r>
      <w:r>
        <w:fldChar w:fldCharType="end"/>
      </w:r>
    </w:p>
    <w:p>
      <w:pPr>
        <w:pStyle w:val="4"/>
        <w:tabs>
          <w:tab w:val="right" w:leader="dot" w:pos="14800"/>
        </w:tabs>
      </w:pPr>
      <w:r>
        <w:fldChar w:fldCharType="begin"/>
      </w:r>
      <w:r>
        <w:instrText xml:space="preserve"> HYPERLINK \l _Toc3456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_Toc3456 \h </w:instrText>
      </w:r>
      <w:r>
        <w:fldChar w:fldCharType="separate"/>
      </w:r>
      <w:r>
        <w:t>15</w:t>
      </w:r>
      <w:r>
        <w:fldChar w:fldCharType="end"/>
      </w:r>
      <w:r>
        <w:fldChar w:fldCharType="end"/>
      </w:r>
    </w:p>
    <w:p>
      <w:pPr>
        <w:pStyle w:val="4"/>
        <w:tabs>
          <w:tab w:val="right" w:leader="dot" w:pos="14800"/>
        </w:tabs>
      </w:pPr>
      <w:r>
        <w:fldChar w:fldCharType="begin"/>
      </w:r>
      <w:r>
        <w:instrText xml:space="preserve"> HYPERLINK \l _Toc12230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_Toc12230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_Toc1782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_Toc1782 \h </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_Toc22668 </w:instrText>
      </w:r>
      <w:r>
        <w:fldChar w:fldCharType="separate"/>
      </w:r>
      <w:r>
        <w:rPr>
          <w:rFonts w:ascii="黑体" w:hAnsi="黑体" w:eastAsia="黑体" w:cs="黑体"/>
        </w:rPr>
        <w:t>一、部门职责及机构设置情况</w:t>
      </w:r>
      <w:r>
        <w:tab/>
      </w:r>
      <w:r>
        <w:fldChar w:fldCharType="begin"/>
      </w:r>
      <w:r>
        <w:instrText xml:space="preserve"> PAGEREF _Toc22668 \h </w:instrText>
      </w:r>
      <w:r>
        <w:fldChar w:fldCharType="separate"/>
      </w:r>
      <w:r>
        <w:t>18</w:t>
      </w:r>
      <w:r>
        <w:fldChar w:fldCharType="end"/>
      </w:r>
      <w:r>
        <w:fldChar w:fldCharType="end"/>
      </w:r>
    </w:p>
    <w:p>
      <w:pPr>
        <w:pStyle w:val="2"/>
        <w:tabs>
          <w:tab w:val="right" w:leader="dot" w:pos="14800"/>
        </w:tabs>
      </w:pPr>
      <w:r>
        <w:fldChar w:fldCharType="begin"/>
      </w:r>
      <w:r>
        <w:instrText xml:space="preserve"> HYPERLINK \l _Toc26887 </w:instrText>
      </w:r>
      <w:r>
        <w:fldChar w:fldCharType="separate"/>
      </w:r>
      <w:r>
        <w:rPr>
          <w:rFonts w:ascii="黑体" w:hAnsi="黑体" w:eastAsia="黑体" w:cs="黑体"/>
        </w:rPr>
        <w:t>二、部门预算安排的总体情况</w:t>
      </w:r>
      <w:r>
        <w:tab/>
      </w:r>
      <w:r>
        <w:fldChar w:fldCharType="begin"/>
      </w:r>
      <w:r>
        <w:instrText xml:space="preserve"> PAGEREF _Toc26887 \h </w:instrText>
      </w:r>
      <w:r>
        <w:fldChar w:fldCharType="separate"/>
      </w:r>
      <w:r>
        <w:t>19</w:t>
      </w:r>
      <w:r>
        <w:fldChar w:fldCharType="end"/>
      </w:r>
      <w:r>
        <w:fldChar w:fldCharType="end"/>
      </w:r>
    </w:p>
    <w:p>
      <w:pPr>
        <w:pStyle w:val="2"/>
        <w:tabs>
          <w:tab w:val="right" w:leader="dot" w:pos="14800"/>
        </w:tabs>
      </w:pPr>
      <w:r>
        <w:fldChar w:fldCharType="begin"/>
      </w:r>
      <w:r>
        <w:instrText xml:space="preserve"> HYPERLINK \l _Toc3844 </w:instrText>
      </w:r>
      <w:r>
        <w:fldChar w:fldCharType="separate"/>
      </w:r>
      <w:r>
        <w:rPr>
          <w:rFonts w:hint="eastAsia" w:ascii="黑体" w:hAnsi="黑体" w:eastAsia="黑体" w:cs="黑体"/>
        </w:rPr>
        <w:t xml:space="preserve">三、 </w:t>
      </w:r>
      <w:r>
        <w:rPr>
          <w:rFonts w:ascii="黑体" w:hAnsi="黑体" w:eastAsia="黑体" w:cs="黑体"/>
        </w:rPr>
        <w:t>机关运行经费安排情况</w:t>
      </w:r>
      <w:r>
        <w:tab/>
      </w:r>
      <w:r>
        <w:fldChar w:fldCharType="begin"/>
      </w:r>
      <w:r>
        <w:instrText xml:space="preserve"> PAGEREF _Toc3844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_Toc13488 </w:instrText>
      </w:r>
      <w:r>
        <w:fldChar w:fldCharType="separate"/>
      </w:r>
      <w:r>
        <w:rPr>
          <w:rFonts w:hint="eastAsia" w:ascii="Times New Roman" w:hAnsi="Times New Roman" w:eastAsia="仿宋" w:cs="Times New Roman"/>
          <w:szCs w:val="32"/>
          <w:lang w:eastAsia="zh-CN"/>
        </w:rPr>
        <w:t>202</w:t>
      </w:r>
      <w:r>
        <w:rPr>
          <w:rFonts w:hint="eastAsia" w:ascii="Times New Roman" w:hAnsi="Times New Roman" w:eastAsia="仿宋" w:cs="Times New Roman"/>
          <w:szCs w:val="32"/>
          <w:lang w:val="en-US" w:eastAsia="zh-CN"/>
        </w:rPr>
        <w:t>2</w:t>
      </w:r>
      <w:r>
        <w:rPr>
          <w:rFonts w:hint="eastAsia" w:ascii="Times New Roman" w:hAnsi="Times New Roman" w:eastAsia="仿宋" w:cs="Times New Roman"/>
          <w:szCs w:val="32"/>
        </w:rPr>
        <w:t>年，我部门机关运行经费共计安排</w:t>
      </w:r>
      <w:r>
        <w:rPr>
          <w:rFonts w:hint="eastAsia" w:ascii="Times New Roman" w:hAnsi="Times New Roman" w:eastAsia="仿宋" w:cs="Times New Roman"/>
          <w:szCs w:val="32"/>
          <w:lang w:val="en-US" w:eastAsia="zh-CN"/>
        </w:rPr>
        <w:t>0</w:t>
      </w:r>
      <w:r>
        <w:rPr>
          <w:rFonts w:hint="eastAsia" w:ascii="Times New Roman" w:hAnsi="Times New Roman" w:eastAsia="仿宋" w:cs="Times New Roman"/>
          <w:szCs w:val="32"/>
        </w:rPr>
        <w:t>万元。</w:t>
      </w:r>
      <w:r>
        <w:tab/>
      </w:r>
      <w:r>
        <w:fldChar w:fldCharType="begin"/>
      </w:r>
      <w:r>
        <w:instrText xml:space="preserve"> PAGEREF _Toc13488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_Toc25328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_Toc25328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_Toc2004 </w:instrText>
      </w:r>
      <w:r>
        <w:fldChar w:fldCharType="separate"/>
      </w:r>
      <w:r>
        <w:rPr>
          <w:rFonts w:ascii="黑体" w:hAnsi="黑体" w:eastAsia="黑体" w:cs="黑体"/>
        </w:rPr>
        <w:t>五、预算绩效信息</w:t>
      </w:r>
      <w:r>
        <w:tab/>
      </w:r>
      <w:r>
        <w:fldChar w:fldCharType="begin"/>
      </w:r>
      <w:r>
        <w:instrText xml:space="preserve"> PAGEREF _Toc2004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_Toc8689 </w:instrText>
      </w:r>
      <w:r>
        <w:fldChar w:fldCharType="separate"/>
      </w:r>
      <w:r>
        <w:rPr>
          <w:rFonts w:ascii="黑体" w:hAnsi="黑体" w:eastAsia="黑体" w:cs="黑体"/>
        </w:rPr>
        <w:t>六、政府采购预算情况</w:t>
      </w:r>
      <w:r>
        <w:tab/>
      </w:r>
      <w:r>
        <w:fldChar w:fldCharType="begin"/>
      </w:r>
      <w:r>
        <w:instrText xml:space="preserve"> PAGEREF _Toc8689 \h </w:instrText>
      </w:r>
      <w:r>
        <w:fldChar w:fldCharType="separate"/>
      </w:r>
      <w:r>
        <w:t>25</w:t>
      </w:r>
      <w:r>
        <w:fldChar w:fldCharType="end"/>
      </w:r>
      <w:r>
        <w:fldChar w:fldCharType="end"/>
      </w:r>
    </w:p>
    <w:p>
      <w:pPr>
        <w:pStyle w:val="2"/>
        <w:tabs>
          <w:tab w:val="right" w:leader="dot" w:pos="14800"/>
        </w:tabs>
      </w:pPr>
      <w:r>
        <w:fldChar w:fldCharType="begin"/>
      </w:r>
      <w:r>
        <w:instrText xml:space="preserve"> HYPERLINK \l _Toc12846 </w:instrText>
      </w:r>
      <w:r>
        <w:fldChar w:fldCharType="separate"/>
      </w:r>
      <w:r>
        <w:rPr>
          <w:rFonts w:ascii="黑体" w:hAnsi="黑体" w:eastAsia="黑体" w:cs="黑体"/>
        </w:rPr>
        <w:t>七、国有资产信息</w:t>
      </w:r>
      <w:r>
        <w:tab/>
      </w:r>
      <w:r>
        <w:fldChar w:fldCharType="begin"/>
      </w:r>
      <w:r>
        <w:instrText xml:space="preserve"> PAGEREF _Toc12846 \h </w:instrText>
      </w:r>
      <w:r>
        <w:fldChar w:fldCharType="separate"/>
      </w:r>
      <w:r>
        <w:t>25</w:t>
      </w:r>
      <w:r>
        <w:fldChar w:fldCharType="end"/>
      </w:r>
      <w:r>
        <w:fldChar w:fldCharType="end"/>
      </w:r>
    </w:p>
    <w:p>
      <w:pPr>
        <w:pStyle w:val="2"/>
        <w:tabs>
          <w:tab w:val="right" w:leader="dot" w:pos="14800"/>
        </w:tabs>
      </w:pPr>
      <w:r>
        <w:fldChar w:fldCharType="begin"/>
      </w:r>
      <w:r>
        <w:instrText xml:space="preserve"> HYPERLINK \l _Toc15082 </w:instrText>
      </w:r>
      <w:r>
        <w:fldChar w:fldCharType="separate"/>
      </w:r>
      <w:r>
        <w:rPr>
          <w:rFonts w:ascii="黑体" w:hAnsi="黑体" w:eastAsia="黑体" w:cs="黑体"/>
        </w:rPr>
        <w:t>八、名词解释</w:t>
      </w:r>
      <w:r>
        <w:tab/>
      </w:r>
      <w:r>
        <w:fldChar w:fldCharType="begin"/>
      </w:r>
      <w:r>
        <w:instrText xml:space="preserve"> PAGEREF _Toc15082 \h </w:instrText>
      </w:r>
      <w:r>
        <w:fldChar w:fldCharType="separate"/>
      </w:r>
      <w:r>
        <w:t>26</w:t>
      </w:r>
      <w:r>
        <w:fldChar w:fldCharType="end"/>
      </w:r>
      <w:r>
        <w:fldChar w:fldCharType="end"/>
      </w:r>
    </w:p>
    <w:p>
      <w:pPr>
        <w:pStyle w:val="2"/>
        <w:tabs>
          <w:tab w:val="right" w:leader="dot" w:pos="14800"/>
        </w:tabs>
      </w:pPr>
      <w:r>
        <w:fldChar w:fldCharType="begin"/>
      </w:r>
      <w:r>
        <w:instrText xml:space="preserve"> HYPERLINK \l _Toc13510 </w:instrText>
      </w:r>
      <w:r>
        <w:fldChar w:fldCharType="separate"/>
      </w:r>
      <w:r>
        <w:rPr>
          <w:rFonts w:ascii="黑体" w:hAnsi="黑体" w:eastAsia="黑体" w:cs="黑体"/>
        </w:rPr>
        <w:t>九、其他需要说明的事项</w:t>
      </w:r>
      <w:r>
        <w:tab/>
      </w:r>
      <w:r>
        <w:fldChar w:fldCharType="begin"/>
      </w:r>
      <w:r>
        <w:instrText xml:space="preserve"> PAGEREF _Toc13510 \h </w:instrText>
      </w:r>
      <w:r>
        <w:fldChar w:fldCharType="separate"/>
      </w:r>
      <w:r>
        <w:t>26</w:t>
      </w:r>
      <w:r>
        <w:fldChar w:fldCharType="end"/>
      </w:r>
      <w:r>
        <w:fldChar w:fldCharType="end"/>
      </w:r>
    </w:p>
    <w:p>
      <w:pPr>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pPr>
        <w:spacing w:before="0" w:after="0" w:line="240" w:lineRule="auto"/>
        <w:jc w:val="center"/>
        <w:outlineLvl w:val="1"/>
      </w:pPr>
      <w:bookmarkStart w:id="0" w:name="_Toc2483"/>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711石家庄市藁城区总工会</w:t>
            </w:r>
          </w:p>
        </w:tc>
        <w:tc>
          <w:tcPr>
            <w:tcW w:w="1971" w:type="dxa"/>
            <w:tcBorders>
              <w:top w:val="single" w:color="FFFFFF" w:sz="6" w:space="0"/>
              <w:left w:val="single" w:color="FFFFFF" w:sz="6" w:space="0"/>
              <w:right w:val="single" w:color="FFFFFF" w:sz="6" w:space="0"/>
            </w:tcBorders>
            <w:vAlign w:val="center"/>
          </w:tcPr>
          <w:p>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489.19</w:t>
            </w:r>
          </w:p>
        </w:tc>
        <w:tc>
          <w:tcPr>
            <w:tcW w:w="1971" w:type="dxa"/>
            <w:vAlign w:val="center"/>
          </w:tcPr>
          <w:p>
            <w:pPr>
              <w:pStyle w:val="12"/>
            </w:pPr>
            <w:r>
              <w:t>一、一般公共服务支出</w:t>
            </w:r>
          </w:p>
        </w:tc>
        <w:tc>
          <w:tcPr>
            <w:tcW w:w="1971" w:type="dxa"/>
            <w:vAlign w:val="center"/>
          </w:tcPr>
          <w:p>
            <w:pPr>
              <w:pStyle w:val="13"/>
            </w:pPr>
            <w:r>
              <w:t>493.87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4"/>
            </w:pPr>
            <w:r>
              <w:t>本年收入合计</w:t>
            </w:r>
          </w:p>
        </w:tc>
        <w:tc>
          <w:tcPr>
            <w:tcW w:w="1971" w:type="dxa"/>
            <w:vAlign w:val="center"/>
          </w:tcPr>
          <w:p>
            <w:pPr>
              <w:pStyle w:val="15"/>
            </w:pPr>
            <w:r>
              <w:t>489.19</w:t>
            </w:r>
          </w:p>
        </w:tc>
        <w:tc>
          <w:tcPr>
            <w:tcW w:w="1971" w:type="dxa"/>
            <w:vAlign w:val="center"/>
          </w:tcPr>
          <w:p>
            <w:pPr>
              <w:pStyle w:val="14"/>
            </w:pPr>
            <w:r>
              <w:t>本年支出合计</w:t>
            </w:r>
          </w:p>
        </w:tc>
        <w:tc>
          <w:tcPr>
            <w:tcW w:w="1971" w:type="dxa"/>
            <w:vAlign w:val="center"/>
          </w:tcPr>
          <w:p>
            <w:pPr>
              <w:pStyle w:val="15"/>
            </w:pPr>
            <w:r>
              <w:t>493.87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2"/>
            </w:pPr>
            <w:r>
              <w:t>上年结转结余</w:t>
            </w:r>
          </w:p>
        </w:tc>
        <w:tc>
          <w:tcPr>
            <w:tcW w:w="1971" w:type="dxa"/>
            <w:vAlign w:val="center"/>
          </w:tcPr>
          <w:p>
            <w:pPr>
              <w:pStyle w:val="13"/>
            </w:pPr>
            <w:r>
              <w:t>4.68</w:t>
            </w: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4"/>
            </w:pPr>
            <w:r>
              <w:t>收入总计</w:t>
            </w:r>
          </w:p>
        </w:tc>
        <w:tc>
          <w:tcPr>
            <w:tcW w:w="1971" w:type="dxa"/>
            <w:vAlign w:val="center"/>
          </w:tcPr>
          <w:p>
            <w:pPr>
              <w:pStyle w:val="15"/>
            </w:pPr>
            <w:r>
              <w:t>493.87</w:t>
            </w:r>
          </w:p>
        </w:tc>
        <w:tc>
          <w:tcPr>
            <w:tcW w:w="1971" w:type="dxa"/>
            <w:vAlign w:val="center"/>
          </w:tcPr>
          <w:p>
            <w:pPr>
              <w:pStyle w:val="14"/>
            </w:pPr>
            <w:r>
              <w:t>支出总计</w:t>
            </w:r>
          </w:p>
        </w:tc>
        <w:tc>
          <w:tcPr>
            <w:tcW w:w="1971" w:type="dxa"/>
            <w:vAlign w:val="center"/>
          </w:tcPr>
          <w:p>
            <w:pPr>
              <w:pStyle w:val="15"/>
            </w:pPr>
            <w:r>
              <w:t>493.87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884"/>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711石家庄市藁城区总工会</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493.87</w:t>
            </w:r>
          </w:p>
        </w:tc>
        <w:tc>
          <w:tcPr>
            <w:tcW w:w="758" w:type="dxa"/>
            <w:vAlign w:val="center"/>
          </w:tcPr>
          <w:p>
            <w:pPr>
              <w:pStyle w:val="15"/>
            </w:pPr>
            <w:r>
              <w:t>489.19</w:t>
            </w:r>
          </w:p>
        </w:tc>
        <w:tc>
          <w:tcPr>
            <w:tcW w:w="758" w:type="dxa"/>
            <w:vAlign w:val="center"/>
          </w:tcPr>
          <w:p>
            <w:pPr>
              <w:pStyle w:val="15"/>
            </w:pPr>
            <w:r>
              <w:t>489.19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3"/>
            </w:pPr>
            <w:r>
              <w:t>493.87</w:t>
            </w:r>
          </w:p>
        </w:tc>
        <w:tc>
          <w:tcPr>
            <w:tcW w:w="758" w:type="dxa"/>
            <w:vAlign w:val="center"/>
          </w:tcPr>
          <w:p>
            <w:pPr>
              <w:pStyle w:val="13"/>
            </w:pPr>
            <w:r>
              <w:t>489.19</w:t>
            </w:r>
          </w:p>
        </w:tc>
        <w:tc>
          <w:tcPr>
            <w:tcW w:w="758" w:type="dxa"/>
            <w:vAlign w:val="center"/>
          </w:tcPr>
          <w:p>
            <w:pPr>
              <w:pStyle w:val="13"/>
            </w:pPr>
            <w:r>
              <w:t>489.19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20129</w:t>
            </w:r>
          </w:p>
        </w:tc>
        <w:tc>
          <w:tcPr>
            <w:tcW w:w="758" w:type="dxa"/>
            <w:vAlign w:val="center"/>
          </w:tcPr>
          <w:p>
            <w:pPr>
              <w:pStyle w:val="12"/>
            </w:pPr>
            <w:r>
              <w:t>群众团体事务</w:t>
            </w:r>
          </w:p>
        </w:tc>
        <w:tc>
          <w:tcPr>
            <w:tcW w:w="758" w:type="dxa"/>
            <w:vAlign w:val="center"/>
          </w:tcPr>
          <w:p>
            <w:pPr>
              <w:pStyle w:val="13"/>
            </w:pPr>
            <w:r>
              <w:t>493.87</w:t>
            </w:r>
          </w:p>
        </w:tc>
        <w:tc>
          <w:tcPr>
            <w:tcW w:w="758" w:type="dxa"/>
            <w:vAlign w:val="center"/>
          </w:tcPr>
          <w:p>
            <w:pPr>
              <w:pStyle w:val="13"/>
            </w:pPr>
            <w:r>
              <w:t>489.19</w:t>
            </w:r>
          </w:p>
        </w:tc>
        <w:tc>
          <w:tcPr>
            <w:tcW w:w="758" w:type="dxa"/>
            <w:vAlign w:val="center"/>
          </w:tcPr>
          <w:p>
            <w:pPr>
              <w:pStyle w:val="13"/>
            </w:pPr>
            <w:r>
              <w:t>489.19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2012902</w:t>
            </w:r>
          </w:p>
        </w:tc>
        <w:tc>
          <w:tcPr>
            <w:tcW w:w="758" w:type="dxa"/>
            <w:vAlign w:val="center"/>
          </w:tcPr>
          <w:p>
            <w:pPr>
              <w:pStyle w:val="12"/>
            </w:pPr>
            <w:r>
              <w:t>一般行政管理事务</w:t>
            </w:r>
          </w:p>
        </w:tc>
        <w:tc>
          <w:tcPr>
            <w:tcW w:w="758" w:type="dxa"/>
            <w:vAlign w:val="center"/>
          </w:tcPr>
          <w:p>
            <w:pPr>
              <w:pStyle w:val="13"/>
            </w:pPr>
            <w:r>
              <w:t>10.13</w:t>
            </w:r>
          </w:p>
        </w:tc>
        <w:tc>
          <w:tcPr>
            <w:tcW w:w="758" w:type="dxa"/>
            <w:vAlign w:val="center"/>
          </w:tcPr>
          <w:p>
            <w:pPr>
              <w:pStyle w:val="13"/>
            </w:pPr>
            <w:r>
              <w:t>5.45</w:t>
            </w:r>
          </w:p>
        </w:tc>
        <w:tc>
          <w:tcPr>
            <w:tcW w:w="758" w:type="dxa"/>
            <w:vAlign w:val="center"/>
          </w:tcPr>
          <w:p>
            <w:pPr>
              <w:pStyle w:val="13"/>
            </w:pPr>
            <w:r>
              <w:t>5.45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2012906</w:t>
            </w:r>
          </w:p>
        </w:tc>
        <w:tc>
          <w:tcPr>
            <w:tcW w:w="758" w:type="dxa"/>
            <w:vAlign w:val="center"/>
          </w:tcPr>
          <w:p>
            <w:pPr>
              <w:pStyle w:val="12"/>
            </w:pPr>
            <w:r>
              <w:t>工会事务</w:t>
            </w:r>
          </w:p>
        </w:tc>
        <w:tc>
          <w:tcPr>
            <w:tcW w:w="758" w:type="dxa"/>
            <w:vAlign w:val="center"/>
          </w:tcPr>
          <w:p>
            <w:pPr>
              <w:pStyle w:val="13"/>
            </w:pPr>
            <w:r>
              <w:t>483.74</w:t>
            </w:r>
          </w:p>
        </w:tc>
        <w:tc>
          <w:tcPr>
            <w:tcW w:w="758" w:type="dxa"/>
            <w:vAlign w:val="center"/>
          </w:tcPr>
          <w:p>
            <w:pPr>
              <w:pStyle w:val="13"/>
            </w:pPr>
            <w:r>
              <w:t>483.74</w:t>
            </w:r>
          </w:p>
        </w:tc>
        <w:tc>
          <w:tcPr>
            <w:tcW w:w="758" w:type="dxa"/>
            <w:vAlign w:val="center"/>
          </w:tcPr>
          <w:p>
            <w:pPr>
              <w:pStyle w:val="13"/>
            </w:pPr>
            <w:r>
              <w:t>483.74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3396"/>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711石家庄市藁城区总工会</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493.87</w:t>
            </w:r>
          </w:p>
        </w:tc>
        <w:tc>
          <w:tcPr>
            <w:tcW w:w="1095" w:type="dxa"/>
            <w:vAlign w:val="center"/>
          </w:tcPr>
          <w:p>
            <w:pPr>
              <w:pStyle w:val="15"/>
            </w:pPr>
            <w:r>
              <w:t>63.74</w:t>
            </w:r>
          </w:p>
        </w:tc>
        <w:tc>
          <w:tcPr>
            <w:tcW w:w="1095" w:type="dxa"/>
            <w:vAlign w:val="center"/>
          </w:tcPr>
          <w:p>
            <w:pPr>
              <w:pStyle w:val="15"/>
            </w:pPr>
            <w:r>
              <w:t>430.13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3"/>
            </w:pPr>
            <w:r>
              <w:t>493.87</w:t>
            </w:r>
          </w:p>
        </w:tc>
        <w:tc>
          <w:tcPr>
            <w:tcW w:w="1095" w:type="dxa"/>
            <w:vAlign w:val="center"/>
          </w:tcPr>
          <w:p>
            <w:pPr>
              <w:pStyle w:val="13"/>
            </w:pPr>
            <w:r>
              <w:t>63.74</w:t>
            </w:r>
          </w:p>
        </w:tc>
        <w:tc>
          <w:tcPr>
            <w:tcW w:w="1095" w:type="dxa"/>
            <w:vAlign w:val="center"/>
          </w:tcPr>
          <w:p>
            <w:pPr>
              <w:pStyle w:val="13"/>
            </w:pPr>
            <w:r>
              <w:t>430.13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20129</w:t>
            </w:r>
          </w:p>
        </w:tc>
        <w:tc>
          <w:tcPr>
            <w:tcW w:w="1095" w:type="dxa"/>
            <w:vAlign w:val="center"/>
          </w:tcPr>
          <w:p>
            <w:pPr>
              <w:pStyle w:val="12"/>
            </w:pPr>
            <w:r>
              <w:t>群众团体事务</w:t>
            </w:r>
          </w:p>
        </w:tc>
        <w:tc>
          <w:tcPr>
            <w:tcW w:w="1095" w:type="dxa"/>
            <w:vAlign w:val="center"/>
          </w:tcPr>
          <w:p>
            <w:pPr>
              <w:pStyle w:val="13"/>
            </w:pPr>
            <w:r>
              <w:t>493.87</w:t>
            </w:r>
          </w:p>
        </w:tc>
        <w:tc>
          <w:tcPr>
            <w:tcW w:w="1095" w:type="dxa"/>
            <w:vAlign w:val="center"/>
          </w:tcPr>
          <w:p>
            <w:pPr>
              <w:pStyle w:val="13"/>
            </w:pPr>
            <w:r>
              <w:t>63.74</w:t>
            </w:r>
          </w:p>
        </w:tc>
        <w:tc>
          <w:tcPr>
            <w:tcW w:w="1095" w:type="dxa"/>
            <w:vAlign w:val="center"/>
          </w:tcPr>
          <w:p>
            <w:pPr>
              <w:pStyle w:val="13"/>
            </w:pPr>
            <w:r>
              <w:t>430.13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2012902</w:t>
            </w:r>
          </w:p>
        </w:tc>
        <w:tc>
          <w:tcPr>
            <w:tcW w:w="1095" w:type="dxa"/>
            <w:vAlign w:val="center"/>
          </w:tcPr>
          <w:p>
            <w:pPr>
              <w:pStyle w:val="12"/>
            </w:pPr>
            <w:r>
              <w:t>一般行政管理事务</w:t>
            </w:r>
          </w:p>
        </w:tc>
        <w:tc>
          <w:tcPr>
            <w:tcW w:w="1095" w:type="dxa"/>
            <w:vAlign w:val="center"/>
          </w:tcPr>
          <w:p>
            <w:pPr>
              <w:pStyle w:val="13"/>
            </w:pPr>
            <w:r>
              <w:t>10.13</w:t>
            </w:r>
          </w:p>
        </w:tc>
        <w:tc>
          <w:tcPr>
            <w:tcW w:w="1095" w:type="dxa"/>
            <w:vAlign w:val="center"/>
          </w:tcPr>
          <w:p>
            <w:pPr>
              <w:pStyle w:val="13"/>
            </w:pPr>
          </w:p>
        </w:tc>
        <w:tc>
          <w:tcPr>
            <w:tcW w:w="1095" w:type="dxa"/>
            <w:vAlign w:val="center"/>
          </w:tcPr>
          <w:p>
            <w:pPr>
              <w:pStyle w:val="13"/>
            </w:pPr>
            <w:r>
              <w:t>10.13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2012906</w:t>
            </w:r>
          </w:p>
        </w:tc>
        <w:tc>
          <w:tcPr>
            <w:tcW w:w="1095" w:type="dxa"/>
            <w:vAlign w:val="center"/>
          </w:tcPr>
          <w:p>
            <w:pPr>
              <w:pStyle w:val="12"/>
            </w:pPr>
            <w:r>
              <w:t>工会事务</w:t>
            </w:r>
          </w:p>
        </w:tc>
        <w:tc>
          <w:tcPr>
            <w:tcW w:w="1095" w:type="dxa"/>
            <w:vAlign w:val="center"/>
          </w:tcPr>
          <w:p>
            <w:pPr>
              <w:pStyle w:val="13"/>
            </w:pPr>
            <w:r>
              <w:t>483.74</w:t>
            </w:r>
          </w:p>
        </w:tc>
        <w:tc>
          <w:tcPr>
            <w:tcW w:w="1095" w:type="dxa"/>
            <w:vAlign w:val="center"/>
          </w:tcPr>
          <w:p>
            <w:pPr>
              <w:pStyle w:val="13"/>
            </w:pPr>
            <w:r>
              <w:t>63.74</w:t>
            </w:r>
          </w:p>
        </w:tc>
        <w:tc>
          <w:tcPr>
            <w:tcW w:w="1095" w:type="dxa"/>
            <w:vAlign w:val="center"/>
          </w:tcPr>
          <w:p>
            <w:pPr>
              <w:pStyle w:val="13"/>
            </w:pPr>
            <w:r>
              <w:t>420.00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2517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711石家庄市藁城区总工会</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489.19</w:t>
            </w:r>
          </w:p>
        </w:tc>
        <w:tc>
          <w:tcPr>
            <w:tcW w:w="1232" w:type="dxa"/>
            <w:vAlign w:val="center"/>
          </w:tcPr>
          <w:p>
            <w:pPr>
              <w:pStyle w:val="12"/>
            </w:pPr>
            <w:r>
              <w:t>一、一般公共服务支出</w:t>
            </w:r>
          </w:p>
        </w:tc>
        <w:tc>
          <w:tcPr>
            <w:tcW w:w="1232" w:type="dxa"/>
            <w:vAlign w:val="center"/>
          </w:tcPr>
          <w:p>
            <w:pPr>
              <w:pStyle w:val="13"/>
            </w:pPr>
            <w:r>
              <w:t>493.87</w:t>
            </w:r>
          </w:p>
        </w:tc>
        <w:tc>
          <w:tcPr>
            <w:tcW w:w="1232" w:type="dxa"/>
            <w:vAlign w:val="center"/>
          </w:tcPr>
          <w:p>
            <w:pPr>
              <w:pStyle w:val="13"/>
            </w:pPr>
            <w:r>
              <w:t>493.87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489.19</w:t>
            </w:r>
          </w:p>
        </w:tc>
        <w:tc>
          <w:tcPr>
            <w:tcW w:w="1232" w:type="dxa"/>
            <w:vAlign w:val="center"/>
          </w:tcPr>
          <w:p>
            <w:pPr>
              <w:pStyle w:val="14"/>
            </w:pPr>
            <w:r>
              <w:t>本年支出合计</w:t>
            </w:r>
          </w:p>
        </w:tc>
        <w:tc>
          <w:tcPr>
            <w:tcW w:w="1232" w:type="dxa"/>
            <w:vAlign w:val="center"/>
          </w:tcPr>
          <w:p>
            <w:pPr>
              <w:pStyle w:val="15"/>
            </w:pPr>
            <w:r>
              <w:t>493.87</w:t>
            </w:r>
          </w:p>
        </w:tc>
        <w:tc>
          <w:tcPr>
            <w:tcW w:w="1232" w:type="dxa"/>
            <w:vAlign w:val="center"/>
          </w:tcPr>
          <w:p>
            <w:pPr>
              <w:pStyle w:val="15"/>
            </w:pPr>
            <w:r>
              <w:t>493.87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r>
              <w:t>4.68</w:t>
            </w: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r>
              <w:t>4.68</w:t>
            </w: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493.87</w:t>
            </w:r>
          </w:p>
        </w:tc>
        <w:tc>
          <w:tcPr>
            <w:tcW w:w="1232" w:type="dxa"/>
            <w:vAlign w:val="center"/>
          </w:tcPr>
          <w:p>
            <w:pPr>
              <w:pStyle w:val="14"/>
            </w:pPr>
            <w:r>
              <w:t>支出总计</w:t>
            </w:r>
          </w:p>
        </w:tc>
        <w:tc>
          <w:tcPr>
            <w:tcW w:w="1232" w:type="dxa"/>
            <w:vAlign w:val="center"/>
          </w:tcPr>
          <w:p>
            <w:pPr>
              <w:pStyle w:val="15"/>
            </w:pPr>
            <w:r>
              <w:t>493.87</w:t>
            </w:r>
          </w:p>
        </w:tc>
        <w:tc>
          <w:tcPr>
            <w:tcW w:w="1232" w:type="dxa"/>
            <w:vAlign w:val="center"/>
          </w:tcPr>
          <w:p>
            <w:pPr>
              <w:pStyle w:val="15"/>
            </w:pPr>
            <w:r>
              <w:t>493.87</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17523"/>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493.87</w:t>
            </w:r>
          </w:p>
        </w:tc>
        <w:tc>
          <w:tcPr>
            <w:tcW w:w="1643" w:type="dxa"/>
            <w:vAlign w:val="center"/>
          </w:tcPr>
          <w:p>
            <w:pPr>
              <w:pStyle w:val="15"/>
            </w:pPr>
            <w:r>
              <w:t>63.74</w:t>
            </w:r>
          </w:p>
        </w:tc>
        <w:tc>
          <w:tcPr>
            <w:tcW w:w="1643" w:type="dxa"/>
            <w:vAlign w:val="center"/>
          </w:tcPr>
          <w:p>
            <w:pPr>
              <w:pStyle w:val="15"/>
            </w:pPr>
            <w:r>
              <w:t>430.13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493.87</w:t>
            </w:r>
          </w:p>
        </w:tc>
        <w:tc>
          <w:tcPr>
            <w:tcW w:w="1643" w:type="dxa"/>
            <w:vAlign w:val="center"/>
          </w:tcPr>
          <w:p>
            <w:pPr>
              <w:pStyle w:val="13"/>
            </w:pPr>
            <w:r>
              <w:t>63.74</w:t>
            </w:r>
          </w:p>
        </w:tc>
        <w:tc>
          <w:tcPr>
            <w:tcW w:w="1643" w:type="dxa"/>
            <w:vAlign w:val="center"/>
          </w:tcPr>
          <w:p>
            <w:pPr>
              <w:pStyle w:val="13"/>
            </w:pPr>
            <w:r>
              <w:t>430.13</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20129</w:t>
            </w:r>
          </w:p>
        </w:tc>
        <w:tc>
          <w:tcPr>
            <w:tcW w:w="1643" w:type="dxa"/>
            <w:vAlign w:val="center"/>
          </w:tcPr>
          <w:p>
            <w:pPr>
              <w:pStyle w:val="12"/>
            </w:pPr>
            <w:r>
              <w:t>群众团体事务</w:t>
            </w:r>
          </w:p>
        </w:tc>
        <w:tc>
          <w:tcPr>
            <w:tcW w:w="1643" w:type="dxa"/>
            <w:vAlign w:val="center"/>
          </w:tcPr>
          <w:p>
            <w:pPr>
              <w:pStyle w:val="13"/>
            </w:pPr>
            <w:r>
              <w:t>493.87</w:t>
            </w:r>
          </w:p>
        </w:tc>
        <w:tc>
          <w:tcPr>
            <w:tcW w:w="1643" w:type="dxa"/>
            <w:vAlign w:val="center"/>
          </w:tcPr>
          <w:p>
            <w:pPr>
              <w:pStyle w:val="13"/>
            </w:pPr>
            <w:r>
              <w:t>63.74</w:t>
            </w:r>
          </w:p>
        </w:tc>
        <w:tc>
          <w:tcPr>
            <w:tcW w:w="1643" w:type="dxa"/>
            <w:vAlign w:val="center"/>
          </w:tcPr>
          <w:p>
            <w:pPr>
              <w:pStyle w:val="13"/>
            </w:pPr>
            <w:r>
              <w:t>430.13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2012902</w:t>
            </w:r>
          </w:p>
        </w:tc>
        <w:tc>
          <w:tcPr>
            <w:tcW w:w="1643" w:type="dxa"/>
            <w:vAlign w:val="center"/>
          </w:tcPr>
          <w:p>
            <w:pPr>
              <w:pStyle w:val="12"/>
            </w:pPr>
            <w:r>
              <w:t>一般行政管理事务</w:t>
            </w:r>
          </w:p>
        </w:tc>
        <w:tc>
          <w:tcPr>
            <w:tcW w:w="1643" w:type="dxa"/>
            <w:vAlign w:val="center"/>
          </w:tcPr>
          <w:p>
            <w:pPr>
              <w:pStyle w:val="13"/>
            </w:pPr>
            <w:r>
              <w:t>10.13</w:t>
            </w:r>
          </w:p>
        </w:tc>
        <w:tc>
          <w:tcPr>
            <w:tcW w:w="1643" w:type="dxa"/>
            <w:vAlign w:val="center"/>
          </w:tcPr>
          <w:p>
            <w:pPr>
              <w:pStyle w:val="13"/>
            </w:pPr>
          </w:p>
        </w:tc>
        <w:tc>
          <w:tcPr>
            <w:tcW w:w="1643" w:type="dxa"/>
            <w:vAlign w:val="center"/>
          </w:tcPr>
          <w:p>
            <w:pPr>
              <w:pStyle w:val="13"/>
            </w:pPr>
            <w:r>
              <w:t>10.13</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2012906</w:t>
            </w:r>
          </w:p>
        </w:tc>
        <w:tc>
          <w:tcPr>
            <w:tcW w:w="1643" w:type="dxa"/>
            <w:vAlign w:val="center"/>
          </w:tcPr>
          <w:p>
            <w:pPr>
              <w:pStyle w:val="12"/>
            </w:pPr>
            <w:r>
              <w:t>工会事务</w:t>
            </w:r>
          </w:p>
        </w:tc>
        <w:tc>
          <w:tcPr>
            <w:tcW w:w="1643" w:type="dxa"/>
            <w:vAlign w:val="center"/>
          </w:tcPr>
          <w:p>
            <w:pPr>
              <w:pStyle w:val="13"/>
            </w:pPr>
            <w:r>
              <w:t>483.74</w:t>
            </w:r>
          </w:p>
        </w:tc>
        <w:tc>
          <w:tcPr>
            <w:tcW w:w="1643" w:type="dxa"/>
            <w:vAlign w:val="center"/>
          </w:tcPr>
          <w:p>
            <w:pPr>
              <w:pStyle w:val="13"/>
            </w:pPr>
            <w:r>
              <w:t>63.74</w:t>
            </w:r>
          </w:p>
        </w:tc>
        <w:tc>
          <w:tcPr>
            <w:tcW w:w="1643" w:type="dxa"/>
            <w:vAlign w:val="center"/>
          </w:tcPr>
          <w:p>
            <w:pPr>
              <w:pStyle w:val="13"/>
            </w:pPr>
            <w:r>
              <w:t>420.00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30994"/>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63.74</w:t>
            </w:r>
          </w:p>
        </w:tc>
        <w:tc>
          <w:tcPr>
            <w:tcW w:w="1643" w:type="dxa"/>
            <w:vAlign w:val="center"/>
          </w:tcPr>
          <w:p>
            <w:pPr>
              <w:pStyle w:val="15"/>
            </w:pPr>
            <w:r>
              <w:t>63.74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63.74</w:t>
            </w:r>
          </w:p>
        </w:tc>
        <w:tc>
          <w:tcPr>
            <w:tcW w:w="1643" w:type="dxa"/>
            <w:vAlign w:val="center"/>
          </w:tcPr>
          <w:p>
            <w:pPr>
              <w:pStyle w:val="13"/>
            </w:pPr>
            <w:r>
              <w:t>63.74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19.84</w:t>
            </w:r>
          </w:p>
        </w:tc>
        <w:tc>
          <w:tcPr>
            <w:tcW w:w="1643" w:type="dxa"/>
            <w:vAlign w:val="center"/>
          </w:tcPr>
          <w:p>
            <w:pPr>
              <w:pStyle w:val="13"/>
            </w:pPr>
            <w:r>
              <w:t>19.84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3"/>
            </w:pPr>
            <w:r>
              <w:t>7.50</w:t>
            </w:r>
          </w:p>
        </w:tc>
        <w:tc>
          <w:tcPr>
            <w:tcW w:w="1643" w:type="dxa"/>
            <w:vAlign w:val="center"/>
          </w:tcPr>
          <w:p>
            <w:pPr>
              <w:pStyle w:val="13"/>
            </w:pPr>
            <w:r>
              <w:t>7.50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10.41</w:t>
            </w:r>
          </w:p>
        </w:tc>
        <w:tc>
          <w:tcPr>
            <w:tcW w:w="1643" w:type="dxa"/>
            <w:vAlign w:val="center"/>
          </w:tcPr>
          <w:p>
            <w:pPr>
              <w:pStyle w:val="13"/>
            </w:pPr>
            <w:r>
              <w:t>10.41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8.06</w:t>
            </w:r>
          </w:p>
        </w:tc>
        <w:tc>
          <w:tcPr>
            <w:tcW w:w="1643" w:type="dxa"/>
            <w:vAlign w:val="center"/>
          </w:tcPr>
          <w:p>
            <w:pPr>
              <w:pStyle w:val="13"/>
            </w:pPr>
            <w:r>
              <w:t>8.06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1.49</w:t>
            </w:r>
          </w:p>
        </w:tc>
        <w:tc>
          <w:tcPr>
            <w:tcW w:w="1643" w:type="dxa"/>
            <w:vAlign w:val="center"/>
          </w:tcPr>
          <w:p>
            <w:pPr>
              <w:pStyle w:val="13"/>
            </w:pPr>
            <w:r>
              <w:t>1.49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16.45</w:t>
            </w:r>
          </w:p>
        </w:tc>
        <w:tc>
          <w:tcPr>
            <w:tcW w:w="1643" w:type="dxa"/>
            <w:vAlign w:val="center"/>
          </w:tcPr>
          <w:p>
            <w:pPr>
              <w:pStyle w:val="13"/>
            </w:pPr>
            <w:r>
              <w:t>16.45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3456"/>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12230"/>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782"/>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石家庄市藁城区总工会2022年部门预算信息公开情况说明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石家庄市藁城区总工会2022年部门预算信息公开情况说明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按照《预算法》、《地方预决算公开操作规程》和《关于进一步推进预算公开工作的实施意见》规定，现将石家庄市藁城区总工会2022年部门预算公开如下：</w:t>
      </w:r>
    </w:p>
    <w:p>
      <w:pPr>
        <w:spacing w:before="10" w:after="10" w:line="360" w:lineRule="auto"/>
        <w:ind w:firstLine="640"/>
        <w:jc w:val="left"/>
        <w:outlineLvl w:val="2"/>
      </w:pPr>
      <w:bookmarkStart w:id="9" w:name="_Toc22668"/>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部门职责：</w:t>
      </w:r>
    </w:p>
    <w:p>
      <w:pPr>
        <w:pStyle w:val="17"/>
      </w:pPr>
      <w:r>
        <w:t>（一）完善工会参与社会管理机制。</w:t>
      </w:r>
    </w:p>
    <w:p>
      <w:pPr>
        <w:pStyle w:val="17"/>
      </w:pPr>
      <w:r>
        <w:t>确保职工合法权益的到有效保障，改善困难劳模生活困境，全力维护职工队伍和谐稳定，提升广大职工技术技能素质。</w:t>
      </w:r>
    </w:p>
    <w:p>
      <w:pPr>
        <w:pStyle w:val="17"/>
      </w:pPr>
      <w:r>
        <w:t>（二）维护职工合法权益。</w:t>
      </w:r>
    </w:p>
    <w:p>
      <w:pPr>
        <w:pStyle w:val="17"/>
      </w:pPr>
      <w:r>
        <w:t>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pPr>
        <w:pStyle w:val="17"/>
      </w:pPr>
      <w:r>
        <w:t>（三）劳动模范管理。</w:t>
      </w:r>
    </w:p>
    <w:p>
      <w:pPr>
        <w:pStyle w:val="17"/>
      </w:pPr>
      <w:r>
        <w:t>协助区政府做好省、市及全国劳模的推荐和管理工作。</w:t>
      </w:r>
    </w:p>
    <w:p>
      <w:pPr>
        <w:pStyle w:val="17"/>
      </w:pPr>
      <w:r>
        <w:t>（四）提高广大职工技术技能素质和文化生活。</w:t>
      </w:r>
    </w:p>
    <w:p>
      <w:pPr>
        <w:pStyle w:val="17"/>
      </w:pPr>
      <w:r>
        <w:t>指导基层工会开展群众性经济技术创新活动以及劳动竞赛、岗位练兵、技能比赛和各类文体活动。</w:t>
      </w:r>
    </w:p>
    <w:p>
      <w:pPr>
        <w:pStyle w:val="17"/>
      </w:pPr>
      <w:r>
        <w:t>（五）综合工会事务管理。</w:t>
      </w:r>
    </w:p>
    <w:p>
      <w:pPr>
        <w:pStyle w:val="17"/>
      </w:pPr>
      <w: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石家庄市藁城区总工会本级</w:t>
            </w:r>
          </w:p>
        </w:tc>
        <w:tc>
          <w:tcPr>
            <w:tcW w:w="2464" w:type="dxa"/>
            <w:vAlign w:val="center"/>
          </w:tcPr>
          <w:p>
            <w:pPr>
              <w:pStyle w:val="11"/>
            </w:pPr>
            <w:r>
              <w:t>事业</w:t>
            </w:r>
          </w:p>
        </w:tc>
        <w:tc>
          <w:tcPr>
            <w:tcW w:w="2464" w:type="dxa"/>
            <w:vAlign w:val="center"/>
          </w:tcPr>
          <w:p>
            <w:pPr>
              <w:pStyle w:val="11"/>
            </w:pPr>
            <w:r>
              <w:t>正科级</w:t>
            </w:r>
          </w:p>
        </w:tc>
        <w:tc>
          <w:tcPr>
            <w:tcW w:w="2464" w:type="dxa"/>
            <w:vAlign w:val="center"/>
          </w:tcPr>
          <w:p>
            <w:pPr>
              <w:pStyle w:val="11"/>
            </w:pPr>
            <w:r>
              <w:t>财政性资金基本保证</w:t>
            </w:r>
          </w:p>
        </w:tc>
      </w:tr>
    </w:tbl>
    <w:p>
      <w:pPr>
        <w:spacing w:before="10" w:after="10" w:line="360" w:lineRule="auto"/>
        <w:ind w:firstLine="640"/>
        <w:jc w:val="left"/>
        <w:outlineLvl w:val="2"/>
      </w:pPr>
      <w:bookmarkStart w:id="10" w:name="_Toc26887"/>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按照预算管理有关规定，目前我省部门预算的编制实行综合预算管理，即全部收入和支出都反映在预算中。石家庄市藁城区总工会机关及所属事业单位的收支包含在部门预算中。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493.87</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493.87</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493.87</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63.74</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63.74</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430.13</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困难职工及困难劳模救助资金</w:t>
      </w:r>
      <w:r>
        <w:rPr>
          <w:rFonts w:hint="eastAsia" w:eastAsia="仿宋" w:cs="Times New Roman"/>
          <w:sz w:val="32"/>
          <w:szCs w:val="32"/>
          <w:lang w:val="en-US" w:eastAsia="zh-CN"/>
        </w:rPr>
        <w:t>10.13万元</w:t>
      </w:r>
      <w:r>
        <w:rPr>
          <w:rFonts w:hint="eastAsia" w:ascii="Times New Roman" w:hAnsi="Times New Roman" w:eastAsia="仿宋" w:cs="Times New Roman"/>
          <w:sz w:val="32"/>
          <w:szCs w:val="32"/>
        </w:rPr>
        <w:t>，</w:t>
      </w:r>
      <w:r>
        <w:rPr>
          <w:rFonts w:hint="eastAsia" w:eastAsia="仿宋" w:cs="Times New Roman"/>
          <w:sz w:val="32"/>
          <w:szCs w:val="32"/>
          <w:lang w:eastAsia="zh-CN"/>
        </w:rPr>
        <w:t>工会费</w:t>
      </w:r>
      <w:r>
        <w:rPr>
          <w:rFonts w:hint="eastAsia" w:eastAsia="仿宋" w:cs="Times New Roman"/>
          <w:sz w:val="32"/>
          <w:szCs w:val="32"/>
          <w:lang w:val="en-US" w:eastAsia="zh-CN"/>
        </w:rPr>
        <w:t>420</w:t>
      </w:r>
      <w:r>
        <w:rPr>
          <w:rFonts w:hint="eastAsia" w:ascii="Times New Roman" w:hAnsi="Times New Roman" w:eastAsia="仿宋" w:cs="Times New Roman"/>
          <w:sz w:val="32"/>
          <w:szCs w:val="32"/>
        </w:rPr>
        <w:t>万元</w:t>
      </w:r>
      <w:r>
        <w:rPr>
          <w:rFonts w:hint="eastAsia" w:eastAsia="仿宋" w:cs="Times New Roman"/>
          <w:sz w:val="32"/>
          <w:szCs w:val="32"/>
          <w:lang w:eastAsia="zh-CN"/>
        </w:rPr>
        <w:t>。</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color w:val="000000"/>
          <w:sz w:val="32"/>
          <w:szCs w:val="32"/>
        </w:rPr>
        <w:t>2022年部门预算收支安排</w:t>
      </w:r>
      <w:r>
        <w:rPr>
          <w:rFonts w:hint="eastAsia" w:eastAsia="仿宋" w:cs="Times New Roman"/>
          <w:color w:val="000000"/>
          <w:sz w:val="32"/>
          <w:szCs w:val="32"/>
          <w:lang w:val="en-US" w:eastAsia="zh-CN"/>
        </w:rPr>
        <w:t>493.87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253.71</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23.58</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人员经费；项目支出增加</w:t>
      </w:r>
      <w:r>
        <w:rPr>
          <w:rFonts w:hint="eastAsia" w:eastAsia="仿宋" w:cs="Times New Roman"/>
          <w:sz w:val="32"/>
          <w:szCs w:val="32"/>
          <w:lang w:val="en-US" w:eastAsia="zh-CN"/>
        </w:rPr>
        <w:t>230.13</w:t>
      </w:r>
      <w:r>
        <w:rPr>
          <w:rFonts w:hint="eastAsia" w:ascii="Times New Roman" w:hAnsi="Times New Roman" w:eastAsia="仿宋" w:cs="Times New Roman"/>
          <w:sz w:val="32"/>
          <w:szCs w:val="32"/>
        </w:rPr>
        <w:t>万元，主要是</w:t>
      </w:r>
      <w:r>
        <w:rPr>
          <w:rFonts w:hint="eastAsia" w:eastAsia="仿宋" w:cs="Times New Roman"/>
          <w:sz w:val="32"/>
          <w:szCs w:val="32"/>
          <w:lang w:val="en-US" w:eastAsia="zh-CN"/>
        </w:rPr>
        <w:t>2021年受疫情影响，工会经费拨缴减少，2022年恢复正常比例拨付。</w:t>
      </w:r>
    </w:p>
    <w:p>
      <w:pPr>
        <w:pStyle w:val="18"/>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3844"/>
      <w:r>
        <w:rPr>
          <w:rFonts w:ascii="黑体" w:hAnsi="黑体" w:eastAsia="黑体" w:cs="黑体"/>
          <w:color w:val="000000"/>
          <w:sz w:val="32"/>
        </w:rPr>
        <w:t>机关运行经费安排情况</w:t>
      </w:r>
      <w:bookmarkEnd w:id="11"/>
    </w:p>
    <w:p>
      <w:pPr>
        <w:numPr>
          <w:ilvl w:val="0"/>
          <w:numId w:val="0"/>
        </w:numPr>
        <w:spacing w:before="10" w:after="10" w:line="360" w:lineRule="auto"/>
        <w:ind w:firstLine="640" w:firstLineChars="200"/>
        <w:jc w:val="left"/>
        <w:outlineLvl w:val="2"/>
        <w:rPr>
          <w:rFonts w:ascii="Times New Roman" w:hAnsi="Times New Roman" w:eastAsia="仿宋" w:cs="Times New Roman"/>
          <w:sz w:val="32"/>
          <w:szCs w:val="32"/>
        </w:rPr>
      </w:pPr>
      <w:bookmarkStart w:id="12" w:name="_Toc13488"/>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bookmarkEnd w:id="12"/>
    </w:p>
    <w:p>
      <w:pPr>
        <w:spacing w:before="10" w:after="10" w:line="360" w:lineRule="auto"/>
        <w:ind w:firstLine="640" w:firstLineChars="200"/>
        <w:jc w:val="left"/>
        <w:outlineLvl w:val="2"/>
      </w:pPr>
      <w:bookmarkStart w:id="13" w:name="_Toc25328"/>
      <w:r>
        <w:rPr>
          <w:rFonts w:ascii="黑体" w:hAnsi="黑体" w:eastAsia="黑体" w:cs="黑体"/>
          <w:color w:val="000000"/>
          <w:sz w:val="32"/>
        </w:rPr>
        <w:t>四、财政拨款“三公”经费预算情况及增减变化原因</w:t>
      </w:r>
      <w:bookmarkEnd w:id="13"/>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万元；公务用车购置及运维费0万元（其中：公务用车购置费0万元，公务用车运行维护费0万元)；公务接待费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19"/>
      </w:pPr>
    </w:p>
    <w:p>
      <w:pPr>
        <w:spacing w:before="10" w:after="10" w:line="360" w:lineRule="auto"/>
        <w:ind w:firstLine="640"/>
        <w:jc w:val="left"/>
        <w:outlineLvl w:val="2"/>
      </w:pPr>
      <w:bookmarkStart w:id="14" w:name="_Toc2004"/>
      <w:r>
        <w:rPr>
          <w:rFonts w:ascii="黑体" w:hAnsi="黑体" w:eastAsia="黑体" w:cs="黑体"/>
          <w:color w:val="000000"/>
          <w:sz w:val="32"/>
        </w:rPr>
        <w:t>五、预算绩效信息</w:t>
      </w:r>
      <w:bookmarkEnd w:id="14"/>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0"/>
      </w:pPr>
    </w:p>
    <w:p>
      <w:pPr>
        <w:pStyle w:val="20"/>
      </w:pPr>
      <w:r>
        <w:t>藁城区总工会总体绩效目标</w:t>
      </w:r>
    </w:p>
    <w:p>
      <w:pPr>
        <w:pStyle w:val="20"/>
      </w:pPr>
    </w:p>
    <w:p>
      <w:pPr>
        <w:pStyle w:val="20"/>
      </w:pPr>
      <w:r>
        <w:t>区总工会坚持以习近平新时代中国特色社会主义思想为统领，深入贯彻落实  省、市委关于统一战线重大决策部署和省市有关会议精神，夯实基础保障，创新工作举措，开展主题活动，全力开创新时代工会工作新局面。</w:t>
      </w:r>
    </w:p>
    <w:p>
      <w:pPr>
        <w:pStyle w:val="20"/>
      </w:pPr>
      <w:r>
        <w:t>1、提高职工代表大会制度和联席会议制度的规范化和有效性。</w:t>
      </w:r>
    </w:p>
    <w:p>
      <w:pPr>
        <w:pStyle w:val="20"/>
      </w:pPr>
      <w:r>
        <w:t>2、维护好以工资为核心的各项劳动经济权益，让广大职工共享经济发展成果，全力维护职工队伍和谐稳定。</w:t>
      </w:r>
    </w:p>
    <w:p>
      <w:pPr>
        <w:pStyle w:val="20"/>
      </w:pPr>
      <w:r>
        <w:t>3、加强和改进劳动模范和管理服务工作，有效解决或缓解困难省劳模的生活状况。</w:t>
      </w:r>
    </w:p>
    <w:p>
      <w:pPr>
        <w:pStyle w:val="20"/>
      </w:pPr>
      <w:r>
        <w:t>4、广大职工为全区科学发展绿色崛起大局所作的贡献进一步凸显；广大职工在创新型企业建设中的作用进一步增强；广大职工技术技能素质进一步提升；保障教学和师资培养的资金投入；提高广大职工文化生活。</w:t>
      </w:r>
    </w:p>
    <w:p>
      <w:pPr>
        <w:pStyle w:val="20"/>
      </w:pPr>
      <w:r>
        <w:t>5、切实提高规划综合事务管理水平，保障单位的正常运行。</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1"/>
      </w:pPr>
      <w:r>
        <w:t>二、分项绩效目标</w:t>
      </w:r>
    </w:p>
    <w:p>
      <w:pPr>
        <w:pStyle w:val="21"/>
      </w:pPr>
      <w:r>
        <w:t>藁城区总工会分项绩效目标</w:t>
      </w:r>
    </w:p>
    <w:p>
      <w:pPr>
        <w:pStyle w:val="21"/>
      </w:pPr>
    </w:p>
    <w:p>
      <w:pPr>
        <w:pStyle w:val="21"/>
      </w:pPr>
      <w:r>
        <w:t>（一）维护职工合法权益</w:t>
      </w:r>
    </w:p>
    <w:p>
      <w:pPr>
        <w:pStyle w:val="21"/>
      </w:pPr>
      <w:r>
        <w:t>绩效目标：职工代表大会制度和联席会议制度规范化和有效性；维护好以工资为核心的各项劳动经济权益，让广大职工共享经济发展成果，全力维护职工队伍和谐稳定；加强和改进劳动模范和管理服务工作，有效解决或缓解困难省劳模的生活状况。</w:t>
      </w:r>
    </w:p>
    <w:p>
      <w:pPr>
        <w:pStyle w:val="21"/>
      </w:pPr>
      <w:r>
        <w:t>绩效指标：职工代表大会制度规范率达到≧10%，厂务公开民主管理示范单位创建率≧12%，为企业和职工提供法律援助≧20人次，职工对安全生产教育知识的知晓率和满意度≧85%，为参加职工互助活动符合救助条件的职工救助率≧98%，省劳模救助率≧98%。</w:t>
      </w:r>
    </w:p>
    <w:p>
      <w:pPr>
        <w:pStyle w:val="21"/>
      </w:pPr>
      <w:r>
        <w:t>（二）提升职工技能及创新水平</w:t>
      </w:r>
    </w:p>
    <w:p>
      <w:pPr>
        <w:pStyle w:val="21"/>
      </w:pPr>
      <w:r>
        <w:t>绩效目标：提高广大职工技术技能素质和文化生活。</w:t>
      </w:r>
    </w:p>
    <w:p>
      <w:pPr>
        <w:pStyle w:val="21"/>
      </w:pPr>
      <w:r>
        <w:t>绩效指标：参赛职工和参加技能培训职工比率≧90%，职工年完成技术革新项目数量（万顷）≧2项，职工完成发明创造数量（万项）≧0.5项，开展岗位练兵、技能比赛的企业比例≧85%，组织开展职工文体活动≧3次。</w:t>
      </w:r>
    </w:p>
    <w:p>
      <w:pPr>
        <w:pStyle w:val="21"/>
      </w:pPr>
      <w:r>
        <w:t>（三）工会事务管理</w:t>
      </w:r>
    </w:p>
    <w:p>
      <w:pPr>
        <w:pStyle w:val="21"/>
      </w:pPr>
      <w:r>
        <w:t>绩效目标：切实提高工会综合事务管理水平，保障单位正常运行</w:t>
      </w:r>
    </w:p>
    <w:p>
      <w:pPr>
        <w:pStyle w:val="21"/>
      </w:pPr>
      <w:r>
        <w:t>绩效指标：综合事务保障率≧90%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三、工作保障措施</w:t>
      </w:r>
    </w:p>
    <w:p>
      <w:pPr>
        <w:pStyle w:val="22"/>
      </w:pPr>
      <w:r>
        <w:t>藁城区总工会工作保障措施</w:t>
      </w:r>
    </w:p>
    <w:p>
      <w:pPr>
        <w:pStyle w:val="22"/>
      </w:pPr>
      <w:r>
        <w:t>(一)完善制度建设。制定完善预算绩效管理制度，保障绩效管理的有效落实，制定资金使用和管理办法，确保资金支出有序进行，为全年预算绩效目标的实现奠定制度基础。</w:t>
      </w:r>
    </w:p>
    <w:p>
      <w:pPr>
        <w:pStyle w:val="22"/>
      </w:pPr>
      <w:r>
        <w:t>（二）加强支出管理。以项目预算绩效为依据，优化支出结构，预算编制做细做实，支出执行有章可循。资金支出安排科学合理，为项目组织实施保驾护航。</w:t>
      </w:r>
    </w:p>
    <w:p>
      <w:pPr>
        <w:pStyle w:val="22"/>
      </w:pPr>
      <w:r>
        <w:t>（三）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2"/>
      </w:pPr>
      <w:r>
        <w:t>（四）加强宣传培训调研等。加强人员培训，提高本部门职工业务素质；加强调研，提出优化财政资金配置、提高资金使用效益的意见；加大宣传力度，强化预算绩效管理意识，促进预算绩效管理水平进一步提升。</w:t>
      </w:r>
    </w:p>
    <w:p>
      <w:pPr>
        <w:spacing w:before="0" w:after="0" w:line="240" w:lineRule="auto"/>
        <w:ind w:firstLine="640"/>
        <w:jc w:val="left"/>
        <w:outlineLvl w:val="9"/>
      </w:pPr>
    </w:p>
    <w:p>
      <w:pPr>
        <w:pStyle w:val="23"/>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3"/>
        <w:spacing w:before="0" w:after="0"/>
        <w:ind w:firstLine="560"/>
        <w:jc w:val="left"/>
        <w:outlineLvl w:val="9"/>
      </w:pPr>
      <w:r>
        <w:rPr>
          <w:rFonts w:ascii="方正仿宋_GBK" w:hAnsi="方正仿宋_GBK" w:eastAsia="方正仿宋_GBK" w:cs="方正仿宋_GBK"/>
          <w:b/>
          <w:color w:val="000000"/>
          <w:sz w:val="28"/>
        </w:rPr>
        <w:t>1、工会费绩效目标表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1.目标内容2搞好职工活动，工会业务活动保障单位正常运转</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综合事务保障率</w:t>
            </w:r>
          </w:p>
        </w:tc>
        <w:tc>
          <w:tcPr>
            <w:tcW w:w="2466" w:type="dxa"/>
            <w:vAlign w:val="center"/>
          </w:tcPr>
          <w:p>
            <w:pPr>
              <w:pStyle w:val="25"/>
            </w:pPr>
            <w:r>
              <w:t>反应单位正常运转情况</w:t>
            </w:r>
          </w:p>
        </w:tc>
        <w:tc>
          <w:tcPr>
            <w:tcW w:w="2466" w:type="dxa"/>
            <w:vAlign w:val="center"/>
          </w:tcPr>
          <w:p>
            <w:pPr>
              <w:pStyle w:val="25"/>
            </w:pPr>
            <w:r>
              <w:t>≥90</w:t>
            </w:r>
          </w:p>
        </w:tc>
        <w:tc>
          <w:tcPr>
            <w:tcW w:w="2466" w:type="dxa"/>
            <w:vAlign w:val="center"/>
          </w:tcPr>
          <w:p>
            <w:pPr>
              <w:pStyle w:val="2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发放人员工资及时率</w:t>
            </w:r>
          </w:p>
        </w:tc>
        <w:tc>
          <w:tcPr>
            <w:tcW w:w="2466" w:type="dxa"/>
            <w:vAlign w:val="center"/>
          </w:tcPr>
          <w:p>
            <w:pPr>
              <w:pStyle w:val="25"/>
            </w:pPr>
            <w:r>
              <w:t>工资按时发放</w:t>
            </w:r>
          </w:p>
        </w:tc>
        <w:tc>
          <w:tcPr>
            <w:tcW w:w="2466" w:type="dxa"/>
            <w:vAlign w:val="center"/>
          </w:tcPr>
          <w:p>
            <w:pPr>
              <w:pStyle w:val="25"/>
            </w:pPr>
            <w:r>
              <w:t>100</w:t>
            </w:r>
          </w:p>
        </w:tc>
        <w:tc>
          <w:tcPr>
            <w:tcW w:w="2466" w:type="dxa"/>
            <w:vAlign w:val="center"/>
          </w:tcPr>
          <w:p>
            <w:pPr>
              <w:pStyle w:val="25"/>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全年工作计划完成率</w:t>
            </w:r>
          </w:p>
        </w:tc>
        <w:tc>
          <w:tcPr>
            <w:tcW w:w="2466" w:type="dxa"/>
            <w:vAlign w:val="center"/>
          </w:tcPr>
          <w:p>
            <w:pPr>
              <w:pStyle w:val="25"/>
            </w:pPr>
            <w:r>
              <w:t>反应各项任务活动完成情况</w:t>
            </w:r>
          </w:p>
        </w:tc>
        <w:tc>
          <w:tcPr>
            <w:tcW w:w="2466" w:type="dxa"/>
            <w:vAlign w:val="center"/>
          </w:tcPr>
          <w:p>
            <w:pPr>
              <w:pStyle w:val="25"/>
            </w:pPr>
            <w:r>
              <w:t>≥90</w:t>
            </w:r>
          </w:p>
        </w:tc>
        <w:tc>
          <w:tcPr>
            <w:tcW w:w="2466" w:type="dxa"/>
            <w:vAlign w:val="center"/>
          </w:tcPr>
          <w:p>
            <w:pPr>
              <w:pStyle w:val="25"/>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发放工资人数</w:t>
            </w:r>
          </w:p>
        </w:tc>
        <w:tc>
          <w:tcPr>
            <w:tcW w:w="2466" w:type="dxa"/>
            <w:vAlign w:val="center"/>
          </w:tcPr>
          <w:p>
            <w:pPr>
              <w:pStyle w:val="25"/>
            </w:pPr>
            <w:r>
              <w:t>反应工资发放人数情况</w:t>
            </w:r>
          </w:p>
        </w:tc>
        <w:tc>
          <w:tcPr>
            <w:tcW w:w="2466" w:type="dxa"/>
            <w:vAlign w:val="center"/>
          </w:tcPr>
          <w:p>
            <w:pPr>
              <w:pStyle w:val="25"/>
            </w:pPr>
            <w:r>
              <w:t>≥14</w:t>
            </w:r>
          </w:p>
        </w:tc>
        <w:tc>
          <w:tcPr>
            <w:tcW w:w="2466" w:type="dxa"/>
            <w:vAlign w:val="center"/>
          </w:tcPr>
          <w:p>
            <w:pPr>
              <w:pStyle w:val="25"/>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保障单位正常运转</w:t>
            </w:r>
          </w:p>
        </w:tc>
        <w:tc>
          <w:tcPr>
            <w:tcW w:w="2466" w:type="dxa"/>
            <w:vAlign w:val="center"/>
          </w:tcPr>
          <w:p>
            <w:pPr>
              <w:pStyle w:val="25"/>
            </w:pPr>
            <w:r>
              <w:t>反应人员发放情况，单位运转情况</w:t>
            </w:r>
          </w:p>
        </w:tc>
        <w:tc>
          <w:tcPr>
            <w:tcW w:w="2466" w:type="dxa"/>
            <w:vAlign w:val="center"/>
          </w:tcPr>
          <w:p>
            <w:pPr>
              <w:pStyle w:val="25"/>
            </w:pPr>
            <w:r>
              <w:t>100</w:t>
            </w:r>
          </w:p>
        </w:tc>
        <w:tc>
          <w:tcPr>
            <w:tcW w:w="2466" w:type="dxa"/>
            <w:vAlign w:val="center"/>
          </w:tcPr>
          <w:p>
            <w:pPr>
              <w:pStyle w:val="25"/>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可持续影响指标</w:t>
            </w:r>
          </w:p>
        </w:tc>
        <w:tc>
          <w:tcPr>
            <w:tcW w:w="2466" w:type="dxa"/>
            <w:vAlign w:val="center"/>
          </w:tcPr>
          <w:p>
            <w:pPr>
              <w:pStyle w:val="25"/>
            </w:pPr>
            <w:r>
              <w:t>经费使用合理，职工满意度</w:t>
            </w:r>
          </w:p>
        </w:tc>
        <w:tc>
          <w:tcPr>
            <w:tcW w:w="2466" w:type="dxa"/>
            <w:vAlign w:val="center"/>
          </w:tcPr>
          <w:p>
            <w:pPr>
              <w:pStyle w:val="25"/>
            </w:pPr>
            <w:r>
              <w:t>职工活动全年7次以上，职工是否满意</w:t>
            </w:r>
          </w:p>
        </w:tc>
        <w:tc>
          <w:tcPr>
            <w:tcW w:w="2466" w:type="dxa"/>
            <w:vAlign w:val="center"/>
          </w:tcPr>
          <w:p>
            <w:pPr>
              <w:pStyle w:val="25"/>
            </w:pPr>
            <w:r>
              <w:t>≥90</w:t>
            </w:r>
          </w:p>
        </w:tc>
        <w:tc>
          <w:tcPr>
            <w:tcW w:w="2466" w:type="dxa"/>
            <w:vAlign w:val="center"/>
          </w:tcPr>
          <w:p>
            <w:pPr>
              <w:pStyle w:val="25"/>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服务对象满意度指标</w:t>
            </w:r>
          </w:p>
        </w:tc>
        <w:tc>
          <w:tcPr>
            <w:tcW w:w="2466" w:type="dxa"/>
            <w:vAlign w:val="center"/>
          </w:tcPr>
          <w:p>
            <w:pPr>
              <w:pStyle w:val="25"/>
            </w:pPr>
            <w:r>
              <w:t>职工满意度</w:t>
            </w:r>
          </w:p>
        </w:tc>
        <w:tc>
          <w:tcPr>
            <w:tcW w:w="2466" w:type="dxa"/>
            <w:vAlign w:val="center"/>
          </w:tcPr>
          <w:p>
            <w:pPr>
              <w:pStyle w:val="25"/>
            </w:pPr>
            <w:r>
              <w:t>≥95</w:t>
            </w:r>
          </w:p>
        </w:tc>
        <w:tc>
          <w:tcPr>
            <w:tcW w:w="2466" w:type="dxa"/>
            <w:vAlign w:val="center"/>
          </w:tcPr>
          <w:p>
            <w:pPr>
              <w:pStyle w:val="25"/>
            </w:pPr>
            <w:r>
              <w:t>调查问卷</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2、石财行[2021]37号关于下达2021年省、市级困难职工救助资金及困难劳模帮扶救助资金的通知[省级困难职工救助资金]绩效目标表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1.帮扶困难职工</w:t>
            </w:r>
          </w:p>
          <w:p>
            <w:pPr>
              <w:pStyle w:val="25"/>
            </w:pPr>
            <w:r>
              <w:t>2.帮助困难劳模</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奖励、慰问人次</w:t>
            </w:r>
          </w:p>
        </w:tc>
        <w:tc>
          <w:tcPr>
            <w:tcW w:w="2466" w:type="dxa"/>
            <w:vAlign w:val="center"/>
          </w:tcPr>
          <w:p>
            <w:pPr>
              <w:pStyle w:val="25"/>
            </w:pPr>
            <w:r>
              <w:t>奖励、慰问人次</w:t>
            </w:r>
          </w:p>
        </w:tc>
        <w:tc>
          <w:tcPr>
            <w:tcW w:w="2466" w:type="dxa"/>
            <w:vAlign w:val="center"/>
          </w:tcPr>
          <w:p>
            <w:pPr>
              <w:pStyle w:val="25"/>
            </w:pPr>
            <w:r>
              <w:t>≥10人</w:t>
            </w:r>
          </w:p>
        </w:tc>
        <w:tc>
          <w:tcPr>
            <w:tcW w:w="2466" w:type="dxa"/>
            <w:vAlign w:val="center"/>
          </w:tcPr>
          <w:p>
            <w:pPr>
              <w:pStyle w:val="2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计划完成率</w:t>
            </w:r>
          </w:p>
        </w:tc>
        <w:tc>
          <w:tcPr>
            <w:tcW w:w="2466" w:type="dxa"/>
            <w:vAlign w:val="center"/>
          </w:tcPr>
          <w:p>
            <w:pPr>
              <w:pStyle w:val="25"/>
            </w:pPr>
            <w:r>
              <w:t>计划完成率</w:t>
            </w:r>
          </w:p>
        </w:tc>
        <w:tc>
          <w:tcPr>
            <w:tcW w:w="2466" w:type="dxa"/>
            <w:vAlign w:val="center"/>
          </w:tcPr>
          <w:p>
            <w:pPr>
              <w:pStyle w:val="25"/>
            </w:pPr>
            <w:r>
              <w:t>≥70百分比</w:t>
            </w:r>
          </w:p>
        </w:tc>
        <w:tc>
          <w:tcPr>
            <w:tcW w:w="2466" w:type="dxa"/>
            <w:vAlign w:val="center"/>
          </w:tcPr>
          <w:p>
            <w:pPr>
              <w:pStyle w:val="2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支付时效</w:t>
            </w:r>
          </w:p>
        </w:tc>
        <w:tc>
          <w:tcPr>
            <w:tcW w:w="2466" w:type="dxa"/>
            <w:vAlign w:val="center"/>
          </w:tcPr>
          <w:p>
            <w:pPr>
              <w:pStyle w:val="25"/>
            </w:pPr>
            <w:r>
              <w:t>资金按时支出</w:t>
            </w:r>
          </w:p>
        </w:tc>
        <w:tc>
          <w:tcPr>
            <w:tcW w:w="2466" w:type="dxa"/>
            <w:vAlign w:val="center"/>
          </w:tcPr>
          <w:p>
            <w:pPr>
              <w:pStyle w:val="25"/>
            </w:pPr>
            <w:r>
              <w:t>≥80百分比</w:t>
            </w:r>
          </w:p>
        </w:tc>
        <w:tc>
          <w:tcPr>
            <w:tcW w:w="2466" w:type="dxa"/>
            <w:vAlign w:val="center"/>
          </w:tcPr>
          <w:p>
            <w:pPr>
              <w:pStyle w:val="2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社会效益增长率</w:t>
            </w:r>
          </w:p>
        </w:tc>
        <w:tc>
          <w:tcPr>
            <w:tcW w:w="2466" w:type="dxa"/>
            <w:vAlign w:val="center"/>
          </w:tcPr>
          <w:p>
            <w:pPr>
              <w:pStyle w:val="25"/>
            </w:pPr>
            <w:r>
              <w:t>社会效益增长率</w:t>
            </w:r>
          </w:p>
        </w:tc>
        <w:tc>
          <w:tcPr>
            <w:tcW w:w="2466" w:type="dxa"/>
            <w:vAlign w:val="center"/>
          </w:tcPr>
          <w:p>
            <w:pPr>
              <w:pStyle w:val="25"/>
            </w:pPr>
            <w:r>
              <w:t>≥50百分比</w:t>
            </w:r>
          </w:p>
        </w:tc>
        <w:tc>
          <w:tcPr>
            <w:tcW w:w="2466" w:type="dxa"/>
            <w:vAlign w:val="center"/>
          </w:tcPr>
          <w:p>
            <w:pPr>
              <w:pStyle w:val="25"/>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服务对象对项目实施效果的满意程度</w:t>
            </w:r>
          </w:p>
        </w:tc>
        <w:tc>
          <w:tcPr>
            <w:tcW w:w="2466" w:type="dxa"/>
            <w:vAlign w:val="center"/>
          </w:tcPr>
          <w:p>
            <w:pPr>
              <w:pStyle w:val="25"/>
            </w:pPr>
            <w:r>
              <w:t>≥90百分比</w:t>
            </w:r>
          </w:p>
        </w:tc>
        <w:tc>
          <w:tcPr>
            <w:tcW w:w="2466" w:type="dxa"/>
            <w:vAlign w:val="center"/>
          </w:tcPr>
          <w:p>
            <w:pPr>
              <w:pStyle w:val="25"/>
            </w:pPr>
            <w:r>
              <w:t>上级文件</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3、石财行[2021]63号关于提前下达2022年省级困难职工及劳模帮扶救助资金的通知绩效目标表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1.目标内容1补助困难劳模</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发放补助人数</w:t>
            </w:r>
          </w:p>
        </w:tc>
        <w:tc>
          <w:tcPr>
            <w:tcW w:w="2466" w:type="dxa"/>
            <w:vAlign w:val="center"/>
          </w:tcPr>
          <w:p>
            <w:pPr>
              <w:pStyle w:val="25"/>
            </w:pPr>
            <w:r>
              <w:t>发放补助人数</w:t>
            </w:r>
          </w:p>
        </w:tc>
        <w:tc>
          <w:tcPr>
            <w:tcW w:w="2466" w:type="dxa"/>
            <w:vAlign w:val="center"/>
          </w:tcPr>
          <w:p>
            <w:pPr>
              <w:pStyle w:val="25"/>
            </w:pPr>
            <w:r>
              <w:t>≥5个人</w:t>
            </w:r>
          </w:p>
        </w:tc>
        <w:tc>
          <w:tcPr>
            <w:tcW w:w="2466" w:type="dxa"/>
            <w:vAlign w:val="center"/>
          </w:tcPr>
          <w:p>
            <w:pPr>
              <w:pStyle w:val="25"/>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补助人员合规率</w:t>
            </w:r>
          </w:p>
        </w:tc>
        <w:tc>
          <w:tcPr>
            <w:tcW w:w="2466" w:type="dxa"/>
            <w:vAlign w:val="center"/>
          </w:tcPr>
          <w:p>
            <w:pPr>
              <w:pStyle w:val="25"/>
            </w:pPr>
            <w:r>
              <w:t>补助人员合规率</w:t>
            </w:r>
          </w:p>
        </w:tc>
        <w:tc>
          <w:tcPr>
            <w:tcW w:w="2466" w:type="dxa"/>
            <w:vAlign w:val="center"/>
          </w:tcPr>
          <w:p>
            <w:pPr>
              <w:pStyle w:val="25"/>
            </w:pPr>
            <w:r>
              <w:t>100百分比</w:t>
            </w:r>
          </w:p>
        </w:tc>
        <w:tc>
          <w:tcPr>
            <w:tcW w:w="2466" w:type="dxa"/>
            <w:vAlign w:val="center"/>
          </w:tcPr>
          <w:p>
            <w:pPr>
              <w:pStyle w:val="25"/>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补助发放</w:t>
            </w:r>
          </w:p>
        </w:tc>
        <w:tc>
          <w:tcPr>
            <w:tcW w:w="2466" w:type="dxa"/>
            <w:vAlign w:val="center"/>
          </w:tcPr>
          <w:p>
            <w:pPr>
              <w:pStyle w:val="25"/>
            </w:pPr>
            <w:r>
              <w:t>补助发放及时性</w:t>
            </w:r>
          </w:p>
        </w:tc>
        <w:tc>
          <w:tcPr>
            <w:tcW w:w="2466" w:type="dxa"/>
            <w:vAlign w:val="center"/>
          </w:tcPr>
          <w:p>
            <w:pPr>
              <w:pStyle w:val="25"/>
            </w:pPr>
            <w:r>
              <w:t>≥90百分比</w:t>
            </w:r>
          </w:p>
        </w:tc>
        <w:tc>
          <w:tcPr>
            <w:tcW w:w="2466" w:type="dxa"/>
            <w:vAlign w:val="center"/>
          </w:tcPr>
          <w:p>
            <w:pPr>
              <w:pStyle w:val="25"/>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人均补助标准</w:t>
            </w:r>
          </w:p>
        </w:tc>
        <w:tc>
          <w:tcPr>
            <w:tcW w:w="2466" w:type="dxa"/>
            <w:vAlign w:val="center"/>
          </w:tcPr>
          <w:p>
            <w:pPr>
              <w:pStyle w:val="25"/>
            </w:pPr>
            <w:r>
              <w:t>人均补助标准</w:t>
            </w:r>
          </w:p>
        </w:tc>
        <w:tc>
          <w:tcPr>
            <w:tcW w:w="2466" w:type="dxa"/>
            <w:vAlign w:val="center"/>
          </w:tcPr>
          <w:p>
            <w:pPr>
              <w:pStyle w:val="25"/>
            </w:pPr>
            <w:r>
              <w:t>≥1000元</w:t>
            </w:r>
          </w:p>
        </w:tc>
        <w:tc>
          <w:tcPr>
            <w:tcW w:w="2466" w:type="dxa"/>
            <w:vAlign w:val="center"/>
          </w:tcPr>
          <w:p>
            <w:pPr>
              <w:pStyle w:val="25"/>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受补助人群生活水平提高程度</w:t>
            </w:r>
          </w:p>
        </w:tc>
        <w:tc>
          <w:tcPr>
            <w:tcW w:w="2466" w:type="dxa"/>
            <w:vAlign w:val="center"/>
          </w:tcPr>
          <w:p>
            <w:pPr>
              <w:pStyle w:val="25"/>
            </w:pPr>
            <w:r>
              <w:t>受补助人群生活水平提高程度</w:t>
            </w:r>
          </w:p>
        </w:tc>
        <w:tc>
          <w:tcPr>
            <w:tcW w:w="2466" w:type="dxa"/>
            <w:vAlign w:val="center"/>
          </w:tcPr>
          <w:p>
            <w:pPr>
              <w:pStyle w:val="25"/>
            </w:pPr>
            <w:r>
              <w:t>≥10百分比</w:t>
            </w:r>
          </w:p>
        </w:tc>
        <w:tc>
          <w:tcPr>
            <w:tcW w:w="2466" w:type="dxa"/>
            <w:vAlign w:val="center"/>
          </w:tcPr>
          <w:p>
            <w:pPr>
              <w:pStyle w:val="25"/>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补助对象满意度</w:t>
            </w:r>
          </w:p>
        </w:tc>
        <w:tc>
          <w:tcPr>
            <w:tcW w:w="2466" w:type="dxa"/>
            <w:vAlign w:val="center"/>
          </w:tcPr>
          <w:p>
            <w:pPr>
              <w:pStyle w:val="25"/>
            </w:pPr>
            <w:r>
              <w:t>补助对象满意度</w:t>
            </w:r>
          </w:p>
        </w:tc>
        <w:tc>
          <w:tcPr>
            <w:tcW w:w="2466" w:type="dxa"/>
            <w:vAlign w:val="center"/>
          </w:tcPr>
          <w:p>
            <w:pPr>
              <w:pStyle w:val="25"/>
            </w:pPr>
            <w:r>
              <w:t>100百分比</w:t>
            </w:r>
          </w:p>
        </w:tc>
        <w:tc>
          <w:tcPr>
            <w:tcW w:w="2466" w:type="dxa"/>
            <w:vAlign w:val="center"/>
          </w:tcPr>
          <w:p>
            <w:pPr>
              <w:pStyle w:val="25"/>
            </w:pPr>
            <w:r>
              <w:t>调查问卷</w:t>
            </w:r>
          </w:p>
        </w:tc>
      </w:tr>
    </w:tbl>
    <w:p>
      <w:pPr>
        <w:pStyle w:val="23"/>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5" w:name="_Toc8689"/>
      <w:r>
        <w:rPr>
          <w:rFonts w:ascii="黑体" w:hAnsi="黑体" w:eastAsia="黑体" w:cs="黑体"/>
          <w:color w:val="000000"/>
          <w:sz w:val="32"/>
        </w:rPr>
        <w:t>六、政府采购预算情况</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2022年，石家庄市藁城区总工会安排政府采购预算0.00万元。具体内容见下表。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711石家庄市藁城区总工会</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2846"/>
      <w:r>
        <w:rPr>
          <w:rFonts w:ascii="黑体" w:hAnsi="黑体" w:eastAsia="黑体" w:cs="黑体"/>
          <w:color w:val="000000"/>
          <w:sz w:val="32"/>
        </w:rPr>
        <w:t>七、国有资产信息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711石家庄市藁城区总工会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1"/>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15082"/>
      <w:r>
        <w:rPr>
          <w:rFonts w:ascii="黑体" w:hAnsi="黑体" w:eastAsia="黑体" w:cs="黑体"/>
          <w:color w:val="000000"/>
          <w:sz w:val="32"/>
        </w:rPr>
        <w:t>八、名词解释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8" w:name="_Toc13510"/>
      <w:r>
        <w:rPr>
          <w:rFonts w:ascii="黑体" w:hAnsi="黑体" w:eastAsia="黑体" w:cs="黑体"/>
          <w:color w:val="000000"/>
          <w:sz w:val="32"/>
        </w:rPr>
        <w:t>九、其他需要说明的事项</w:t>
      </w:r>
      <w:bookmarkEnd w:id="18"/>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88D9F1"/>
    <w:multiLevelType w:val="singleLevel"/>
    <w:tmpl w:val="9688D9F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Y5MjI0YmNkMzI0N2JhZjRmZTgwMGE5NDg2ZDNiZTEifQ=="/>
  </w:docVars>
  <w:rsids>
    <w:rsidRoot w:val="00000000"/>
    <w:rsid w:val="034B4BE6"/>
    <w:rsid w:val="05AB7BBE"/>
    <w:rsid w:val="05C3315A"/>
    <w:rsid w:val="08256EE2"/>
    <w:rsid w:val="0CEC2F96"/>
    <w:rsid w:val="16526560"/>
    <w:rsid w:val="174F484D"/>
    <w:rsid w:val="1A5F2FF9"/>
    <w:rsid w:val="1F467E2B"/>
    <w:rsid w:val="2BDB26FC"/>
    <w:rsid w:val="34B1049E"/>
    <w:rsid w:val="386D5023"/>
    <w:rsid w:val="38DF4750"/>
    <w:rsid w:val="3CA408E8"/>
    <w:rsid w:val="40442B0E"/>
    <w:rsid w:val="41A76EB0"/>
    <w:rsid w:val="441833B2"/>
    <w:rsid w:val="47D227AD"/>
    <w:rsid w:val="4C651E42"/>
    <w:rsid w:val="4C6F2CC0"/>
    <w:rsid w:val="534A3B3F"/>
    <w:rsid w:val="5E5D0BCB"/>
    <w:rsid w:val="689A2A1B"/>
    <w:rsid w:val="6E5378F4"/>
    <w:rsid w:val="6F5A4CB2"/>
    <w:rsid w:val="714E0847"/>
    <w:rsid w:val="73397A01"/>
    <w:rsid w:val="78485FF0"/>
    <w:rsid w:val="78B611AB"/>
    <w:rsid w:val="7B295154"/>
    <w:rsid w:val="7B2A40D3"/>
    <w:rsid w:val="7C8B29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ebd8c403-5e6f-494f-ad6c-8f0e4a743311"/>
    <w:qFormat/>
    <w:uiPriority w:val="0"/>
    <w:rPr>
      <w:rFonts w:ascii="Times New Roman" w:hAnsi="Times New Roman" w:eastAsia="Times New Roman" w:cs="Times New Roman"/>
      <w:sz w:val="24"/>
      <w:szCs w:val="24"/>
      <w:lang w:val="en-US" w:eastAsia="uk-UA" w:bidi="ar-SA"/>
    </w:rPr>
  </w:style>
  <w:style w:type="paragraph" w:customStyle="1" w:styleId="24">
    <w:name w:val="单元格样式1_f2d59e8c-4344-456a-86bd-c939b99ac25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63b3daef-51c3-4515-a4ce-f76e946088a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f7d7a091-09ee-408f-bf09-ca2d466d977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2023-09-06T02:46:46Z</dcterms:created>
  <dc:creator>86138</dc:creator>
  <cp:lastModifiedBy>古灵精怪</cp:lastModifiedBy>
  <dcterms:modified xsi:type="dcterms:W3CDTF">2023-09-06T02:53:37Z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6B64C3DADA9E465689ABA19D91F815D4_12</vt:lpwstr>
  </property>
</Properties>
</file>