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rFonts w:hint="eastAsia" w:ascii="黑体" w:hAnsi="黑体" w:eastAsia="黑体" w:cs="黑体"/>
          <w:b w:val="0"/>
          <w:bCs w:val="0"/>
          <w:sz w:val="44"/>
          <w:szCs w:val="44"/>
        </w:rPr>
      </w:pPr>
      <w:r>
        <w:rPr>
          <w:rFonts w:hint="eastAsia" w:ascii="黑体" w:hAnsi="黑体" w:eastAsia="黑体" w:cs="黑体"/>
          <w:b w:val="0"/>
          <w:bCs w:val="0"/>
          <w:sz w:val="44"/>
          <w:szCs w:val="44"/>
        </w:rPr>
        <w:t>中国共产党石家庄市藁城区委员会政法委员会</w:t>
      </w:r>
    </w:p>
    <w:p>
      <w:pPr>
        <w:spacing w:before="0" w:after="0" w:line="240" w:lineRule="auto"/>
        <w:ind w:firstLine="0"/>
        <w:jc w:val="center"/>
        <w:outlineLvl w:val="0"/>
        <w:rPr>
          <w:rFonts w:hint="eastAsia" w:ascii="黑体" w:hAnsi="黑体" w:eastAsia="黑体" w:cs="黑体"/>
          <w:sz w:val="32"/>
          <w:szCs w:val="32"/>
        </w:rPr>
      </w:pPr>
      <w:r>
        <w:rPr>
          <w:rFonts w:hint="eastAsia" w:ascii="黑体" w:hAnsi="黑体" w:eastAsia="黑体" w:cs="黑体"/>
          <w:b w:val="0"/>
          <w:bCs w:val="0"/>
          <w:color w:val="000000"/>
          <w:sz w:val="44"/>
          <w:szCs w:val="44"/>
        </w:rPr>
        <w:t>2022年</w:t>
      </w:r>
      <w:r>
        <w:rPr>
          <w:rFonts w:hint="eastAsia" w:ascii="黑体" w:hAnsi="黑体" w:eastAsia="黑体" w:cs="黑体"/>
          <w:b w:val="0"/>
          <w:bCs w:val="0"/>
          <w:color w:val="000000"/>
          <w:sz w:val="44"/>
          <w:szCs w:val="44"/>
          <w:lang w:eastAsia="zh-CN"/>
        </w:rPr>
        <w:t>度</w:t>
      </w:r>
      <w:r>
        <w:rPr>
          <w:rFonts w:hint="eastAsia" w:ascii="黑体" w:hAnsi="黑体" w:eastAsia="黑体" w:cs="黑体"/>
          <w:b w:val="0"/>
          <w:bCs w:val="0"/>
          <w:color w:val="000000"/>
          <w:sz w:val="44"/>
          <w:szCs w:val="44"/>
        </w:rPr>
        <w:t>部门预算公开</w:t>
      </w:r>
    </w:p>
    <w:p>
      <w:pPr>
        <w:spacing w:before="0" w:after="0" w:line="240" w:lineRule="auto"/>
        <w:ind w:firstLine="0"/>
        <w:jc w:val="center"/>
        <w:outlineLvl w:val="9"/>
      </w:pPr>
      <w:r>
        <w:rPr>
          <w:rFonts w:ascii="黑体" w:hAnsi="黑体" w:eastAsia="黑体" w:cs="黑体"/>
          <w:b/>
          <w:color w:val="000000"/>
          <w:sz w:val="30"/>
        </w:rPr>
        <w:t xml:space="preserve"> </w:t>
      </w:r>
      <w:bookmarkStart w:id="18" w:name="_GoBack"/>
      <w:bookmarkEnd w:id="18"/>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rPr>
          <w:sz w:val="28"/>
          <w:szCs w:val="28"/>
        </w:rPr>
        <w:fldChar w:fldCharType="begin"/>
      </w:r>
      <w:r>
        <w:rPr>
          <w:sz w:val="28"/>
          <w:szCs w:val="28"/>
        </w:rPr>
        <w:instrText xml:space="preserve">TOC \o "2-2" \h \z \u</w:instrText>
      </w:r>
      <w:r>
        <w:rPr>
          <w:sz w:val="28"/>
          <w:szCs w:val="28"/>
        </w:rPr>
        <w:fldChar w:fldCharType="separate"/>
      </w:r>
      <w:r>
        <w:rPr>
          <w:szCs w:val="28"/>
        </w:rPr>
        <w:fldChar w:fldCharType="begin"/>
      </w:r>
      <w:r>
        <w:rPr>
          <w:szCs w:val="28"/>
        </w:rPr>
        <w:instrText xml:space="preserve"> HYPERLINK \l _Toc24217 </w:instrText>
      </w:r>
      <w:r>
        <w:rPr>
          <w:szCs w:val="28"/>
        </w:rP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_Toc24217 \h </w:instrText>
      </w:r>
      <w:r>
        <w:fldChar w:fldCharType="separate"/>
      </w:r>
      <w:r>
        <w:t>2</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_Toc12001 </w:instrText>
      </w:r>
      <w:r>
        <w:rPr>
          <w:szCs w:val="28"/>
        </w:rP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_Toc12001 \h </w:instrText>
      </w:r>
      <w:r>
        <w:fldChar w:fldCharType="separate"/>
      </w:r>
      <w:r>
        <w:t>6</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_Toc9726 </w:instrText>
      </w:r>
      <w:r>
        <w:rPr>
          <w:szCs w:val="28"/>
        </w:rPr>
        <w:fldChar w:fldCharType="separate"/>
      </w:r>
      <w:r>
        <w:rPr>
          <w:rFonts w:ascii="方正小标宋_GBK" w:hAnsi="方正小标宋_GBK" w:eastAsia="方正小标宋_GBK" w:cs="方正小标宋_GBK"/>
        </w:rPr>
        <w:t>部门预算支出总表</w:t>
      </w:r>
      <w:r>
        <w:tab/>
      </w:r>
      <w:r>
        <w:fldChar w:fldCharType="begin"/>
      </w:r>
      <w:r>
        <w:instrText xml:space="preserve"> PAGEREF _Toc9726 \h </w:instrText>
      </w:r>
      <w:r>
        <w:fldChar w:fldCharType="separate"/>
      </w:r>
      <w:r>
        <w:t>7</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_Toc9340 </w:instrText>
      </w:r>
      <w:r>
        <w:rPr>
          <w:szCs w:val="28"/>
        </w:rP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_Toc9340 \h </w:instrText>
      </w:r>
      <w:r>
        <w:fldChar w:fldCharType="separate"/>
      </w:r>
      <w:r>
        <w:t>8</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_Toc27248 </w:instrText>
      </w:r>
      <w:r>
        <w:rPr>
          <w:szCs w:val="28"/>
        </w:rP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_Toc27248 \h </w:instrText>
      </w:r>
      <w:r>
        <w:fldChar w:fldCharType="separate"/>
      </w:r>
      <w:r>
        <w:t>14</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_Toc19838 </w:instrText>
      </w:r>
      <w:r>
        <w:rPr>
          <w:szCs w:val="28"/>
        </w:rP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_Toc19838 \h </w:instrText>
      </w:r>
      <w:r>
        <w:fldChar w:fldCharType="separate"/>
      </w:r>
      <w:r>
        <w:t>15</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_Toc23045 </w:instrText>
      </w:r>
      <w:r>
        <w:rPr>
          <w:szCs w:val="28"/>
        </w:rP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_Toc23045 \h </w:instrText>
      </w:r>
      <w:r>
        <w:fldChar w:fldCharType="separate"/>
      </w:r>
      <w:r>
        <w:t>17</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_Toc22029 </w:instrText>
      </w:r>
      <w:r>
        <w:rPr>
          <w:szCs w:val="28"/>
        </w:rP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_Toc22029 \h </w:instrText>
      </w:r>
      <w:r>
        <w:fldChar w:fldCharType="separate"/>
      </w:r>
      <w:r>
        <w:t>18</w:t>
      </w:r>
      <w:r>
        <w:fldChar w:fldCharType="end"/>
      </w:r>
      <w:r>
        <w:rPr>
          <w:szCs w:val="28"/>
        </w:rPr>
        <w:fldChar w:fldCharType="end"/>
      </w:r>
    </w:p>
    <w:p>
      <w:pPr>
        <w:pStyle w:val="4"/>
        <w:tabs>
          <w:tab w:val="right" w:leader="dot" w:pos="14800"/>
        </w:tabs>
      </w:pPr>
      <w:r>
        <w:rPr>
          <w:szCs w:val="28"/>
        </w:rPr>
        <w:fldChar w:fldCharType="begin"/>
      </w:r>
      <w:r>
        <w:rPr>
          <w:szCs w:val="28"/>
        </w:rPr>
        <w:instrText xml:space="preserve"> HYPERLINK \l _Toc29964 </w:instrText>
      </w:r>
      <w:r>
        <w:rPr>
          <w:szCs w:val="28"/>
        </w:rP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_Toc29964 \h </w:instrText>
      </w:r>
      <w:r>
        <w:fldChar w:fldCharType="separate"/>
      </w:r>
      <w:r>
        <w:t>19</w:t>
      </w:r>
      <w:r>
        <w:fldChar w:fldCharType="end"/>
      </w:r>
      <w:r>
        <w:rPr>
          <w:szCs w:val="28"/>
        </w:rPr>
        <w:fldChar w:fldCharType="end"/>
      </w:r>
    </w:p>
    <w:p>
      <w:pPr>
        <w:rPr>
          <w:sz w:val="28"/>
          <w:szCs w:val="28"/>
        </w:rPr>
      </w:pPr>
      <w:r>
        <w:rPr>
          <w:szCs w:val="28"/>
        </w:rPr>
        <w:fldChar w:fldCharType="end"/>
      </w:r>
    </w:p>
    <w:p>
      <w:pPr>
        <w:spacing w:before="0" w:after="0" w:line="240" w:lineRule="auto"/>
        <w:ind w:firstLine="0"/>
        <w:jc w:val="left"/>
        <w:outlineLvl w:val="9"/>
        <w:rPr>
          <w:sz w:val="28"/>
          <w:szCs w:val="28"/>
        </w:rPr>
      </w:pPr>
      <w:r>
        <w:rPr>
          <w:rFonts w:ascii="方正楷体_GBK" w:hAnsi="方正楷体_GBK" w:eastAsia="方正楷体_GBK" w:cs="方正楷体_GBK"/>
          <w:b/>
          <w:color w:val="000000"/>
          <w:sz w:val="28"/>
          <w:szCs w:val="28"/>
        </w:rPr>
        <w:t>部门预算信息公开情况说明</w:t>
      </w:r>
    </w:p>
    <w:p>
      <w:pPr>
        <w:pStyle w:val="2"/>
        <w:tabs>
          <w:tab w:val="right" w:leader="dot" w:pos="14800"/>
        </w:tabs>
      </w:pPr>
      <w:r>
        <w:rPr>
          <w:sz w:val="28"/>
          <w:szCs w:val="28"/>
        </w:rPr>
        <w:fldChar w:fldCharType="begin"/>
      </w:r>
      <w:r>
        <w:rPr>
          <w:sz w:val="28"/>
          <w:szCs w:val="28"/>
        </w:rPr>
        <w:instrText xml:space="preserve">TOC \o "3-3" \h \z \u</w:instrText>
      </w:r>
      <w:r>
        <w:rPr>
          <w:sz w:val="28"/>
          <w:szCs w:val="28"/>
        </w:rPr>
        <w:fldChar w:fldCharType="separate"/>
      </w:r>
      <w:r>
        <w:rPr>
          <w:szCs w:val="28"/>
        </w:rPr>
        <w:fldChar w:fldCharType="begin"/>
      </w:r>
      <w:r>
        <w:rPr>
          <w:szCs w:val="28"/>
        </w:rPr>
        <w:instrText xml:space="preserve"> HYPERLINK \l _Toc29202 </w:instrText>
      </w:r>
      <w:r>
        <w:rPr>
          <w:szCs w:val="28"/>
        </w:rPr>
        <w:fldChar w:fldCharType="separate"/>
      </w:r>
      <w:r>
        <w:rPr>
          <w:rFonts w:ascii="黑体" w:hAnsi="黑体" w:eastAsia="黑体" w:cs="黑体"/>
        </w:rPr>
        <w:t>一、部门职责及机构设置情况</w:t>
      </w:r>
      <w:r>
        <w:tab/>
      </w:r>
      <w:r>
        <w:fldChar w:fldCharType="begin"/>
      </w:r>
      <w:r>
        <w:instrText xml:space="preserve"> PAGEREF _Toc29202 \h </w:instrText>
      </w:r>
      <w:r>
        <w:fldChar w:fldCharType="separate"/>
      </w:r>
      <w:r>
        <w:t>21</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_Toc32031 </w:instrText>
      </w:r>
      <w:r>
        <w:rPr>
          <w:szCs w:val="28"/>
        </w:rPr>
        <w:fldChar w:fldCharType="separate"/>
      </w:r>
      <w:r>
        <w:rPr>
          <w:rFonts w:ascii="黑体" w:hAnsi="黑体" w:eastAsia="黑体" w:cs="黑体"/>
        </w:rPr>
        <w:t>二、部门预算安排的总体情况</w:t>
      </w:r>
      <w:r>
        <w:tab/>
      </w:r>
      <w:r>
        <w:fldChar w:fldCharType="begin"/>
      </w:r>
      <w:r>
        <w:instrText xml:space="preserve"> PAGEREF _Toc32031 \h </w:instrText>
      </w:r>
      <w:r>
        <w:fldChar w:fldCharType="separate"/>
      </w:r>
      <w:r>
        <w:t>22</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_Toc1364 </w:instrText>
      </w:r>
      <w:r>
        <w:rPr>
          <w:szCs w:val="28"/>
        </w:rPr>
        <w:fldChar w:fldCharType="separate"/>
      </w:r>
      <w:r>
        <w:rPr>
          <w:rFonts w:hint="eastAsia" w:ascii="黑体" w:hAnsi="黑体" w:eastAsia="黑体" w:cs="黑体"/>
        </w:rPr>
        <w:t xml:space="preserve">三、 </w:t>
      </w:r>
      <w:r>
        <w:rPr>
          <w:rFonts w:ascii="黑体" w:hAnsi="黑体" w:eastAsia="黑体" w:cs="黑体"/>
        </w:rPr>
        <w:t>机关运行经费安排情况</w:t>
      </w:r>
      <w:r>
        <w:tab/>
      </w:r>
      <w:r>
        <w:fldChar w:fldCharType="begin"/>
      </w:r>
      <w:r>
        <w:instrText xml:space="preserve"> PAGEREF _Toc1364 \h </w:instrText>
      </w:r>
      <w:r>
        <w:fldChar w:fldCharType="separate"/>
      </w:r>
      <w:r>
        <w:t>23</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_Toc15377 </w:instrText>
      </w:r>
      <w:r>
        <w:rPr>
          <w:szCs w:val="28"/>
        </w:rP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_Toc15377 \h </w:instrText>
      </w:r>
      <w:r>
        <w:fldChar w:fldCharType="separate"/>
      </w:r>
      <w:r>
        <w:t>23</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_Toc1912 </w:instrText>
      </w:r>
      <w:r>
        <w:rPr>
          <w:szCs w:val="28"/>
        </w:rPr>
        <w:fldChar w:fldCharType="separate"/>
      </w:r>
      <w:r>
        <w:rPr>
          <w:rFonts w:ascii="黑体" w:hAnsi="黑体" w:eastAsia="黑体" w:cs="黑体"/>
        </w:rPr>
        <w:t>五、预算绩效信息</w:t>
      </w:r>
      <w:r>
        <w:tab/>
      </w:r>
      <w:r>
        <w:fldChar w:fldCharType="begin"/>
      </w:r>
      <w:r>
        <w:instrText xml:space="preserve"> PAGEREF _Toc1912 \h </w:instrText>
      </w:r>
      <w:r>
        <w:fldChar w:fldCharType="separate"/>
      </w:r>
      <w:r>
        <w:t>24</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_Toc32094 </w:instrText>
      </w:r>
      <w:r>
        <w:rPr>
          <w:szCs w:val="28"/>
        </w:rPr>
        <w:fldChar w:fldCharType="separate"/>
      </w:r>
      <w:r>
        <w:rPr>
          <w:rFonts w:ascii="黑体" w:hAnsi="黑体" w:eastAsia="黑体" w:cs="黑体"/>
        </w:rPr>
        <w:t>六、政府采购预算情况</w:t>
      </w:r>
      <w:r>
        <w:tab/>
      </w:r>
      <w:r>
        <w:fldChar w:fldCharType="begin"/>
      </w:r>
      <w:r>
        <w:instrText xml:space="preserve"> PAGEREF _Toc32094 \h </w:instrText>
      </w:r>
      <w:r>
        <w:fldChar w:fldCharType="separate"/>
      </w:r>
      <w:r>
        <w:t>44</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_Toc24208 </w:instrText>
      </w:r>
      <w:r>
        <w:rPr>
          <w:szCs w:val="28"/>
        </w:rPr>
        <w:fldChar w:fldCharType="separate"/>
      </w:r>
      <w:r>
        <w:rPr>
          <w:rFonts w:ascii="黑体" w:hAnsi="黑体" w:eastAsia="黑体" w:cs="黑体"/>
        </w:rPr>
        <w:t>七、国有资产信息</w:t>
      </w:r>
      <w:r>
        <w:tab/>
      </w:r>
      <w:r>
        <w:fldChar w:fldCharType="begin"/>
      </w:r>
      <w:r>
        <w:instrText xml:space="preserve"> PAGEREF _Toc24208 \h </w:instrText>
      </w:r>
      <w:r>
        <w:fldChar w:fldCharType="separate"/>
      </w:r>
      <w:r>
        <w:t>47</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_Toc20668 </w:instrText>
      </w:r>
      <w:r>
        <w:rPr>
          <w:szCs w:val="28"/>
        </w:rPr>
        <w:fldChar w:fldCharType="separate"/>
      </w:r>
      <w:r>
        <w:rPr>
          <w:rFonts w:ascii="黑体" w:hAnsi="黑体" w:eastAsia="黑体" w:cs="黑体"/>
        </w:rPr>
        <w:t>八、名词解释</w:t>
      </w:r>
      <w:r>
        <w:tab/>
      </w:r>
      <w:r>
        <w:fldChar w:fldCharType="begin"/>
      </w:r>
      <w:r>
        <w:instrText xml:space="preserve"> PAGEREF _Toc20668 \h </w:instrText>
      </w:r>
      <w:r>
        <w:fldChar w:fldCharType="separate"/>
      </w:r>
      <w:r>
        <w:t>48</w:t>
      </w:r>
      <w:r>
        <w:fldChar w:fldCharType="end"/>
      </w:r>
      <w:r>
        <w:rPr>
          <w:szCs w:val="28"/>
        </w:rPr>
        <w:fldChar w:fldCharType="end"/>
      </w:r>
    </w:p>
    <w:p>
      <w:pPr>
        <w:pStyle w:val="2"/>
        <w:tabs>
          <w:tab w:val="right" w:leader="dot" w:pos="14800"/>
        </w:tabs>
      </w:pPr>
      <w:r>
        <w:rPr>
          <w:szCs w:val="28"/>
        </w:rPr>
        <w:fldChar w:fldCharType="begin"/>
      </w:r>
      <w:r>
        <w:rPr>
          <w:szCs w:val="28"/>
        </w:rPr>
        <w:instrText xml:space="preserve"> HYPERLINK \l _Toc23971 </w:instrText>
      </w:r>
      <w:r>
        <w:rPr>
          <w:szCs w:val="28"/>
        </w:rPr>
        <w:fldChar w:fldCharType="separate"/>
      </w:r>
      <w:r>
        <w:rPr>
          <w:rFonts w:ascii="黑体" w:hAnsi="黑体" w:eastAsia="黑体" w:cs="黑体"/>
        </w:rPr>
        <w:t>九、其他需要说明的事项</w:t>
      </w:r>
      <w:r>
        <w:tab/>
      </w:r>
      <w:r>
        <w:fldChar w:fldCharType="begin"/>
      </w:r>
      <w:r>
        <w:instrText xml:space="preserve"> PAGEREF _Toc23971 \h </w:instrText>
      </w:r>
      <w:r>
        <w:fldChar w:fldCharType="separate"/>
      </w:r>
      <w:r>
        <w:t>48</w:t>
      </w:r>
      <w:r>
        <w:fldChar w:fldCharType="end"/>
      </w:r>
      <w:r>
        <w:rPr>
          <w:szCs w:val="28"/>
        </w:rPr>
        <w:fldChar w:fldCharType="end"/>
      </w:r>
    </w:p>
    <w:p>
      <w:pPr>
        <w:rPr>
          <w:sz w:val="28"/>
          <w:szCs w:val="28"/>
        </w:rPr>
      </w:pPr>
      <w:r>
        <w:rPr>
          <w:szCs w:val="28"/>
        </w:rPr>
        <w:fldChar w:fldCharType="end"/>
      </w:r>
    </w:p>
    <w:p/>
    <w:p/>
    <w:p/>
    <w:p/>
    <w:p>
      <w:pPr>
        <w:spacing w:before="0" w:after="0" w:line="240" w:lineRule="auto"/>
        <w:ind w:firstLine="0"/>
        <w:jc w:val="center"/>
        <w:outlineLvl w:val="1"/>
      </w:pPr>
      <w:bookmarkStart w:id="0" w:name="_Toc24217"/>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971" w:type="dxa"/>
            <w:tcBorders>
              <w:top w:val="single" w:color="FFFFFF" w:sz="6" w:space="0"/>
              <w:left w:val="single" w:color="FFFFFF" w:sz="6" w:space="0"/>
              <w:right w:val="single" w:color="FFFFFF" w:sz="6" w:space="0"/>
            </w:tcBorders>
            <w:vAlign w:val="center"/>
          </w:tcPr>
          <w:p>
            <w:pPr>
              <w:pStyle w:val="8"/>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1014.91</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r>
              <w:t>1014.91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4"/>
            </w:pPr>
            <w:r>
              <w:t>本年收入合计</w:t>
            </w:r>
          </w:p>
        </w:tc>
        <w:tc>
          <w:tcPr>
            <w:tcW w:w="1971" w:type="dxa"/>
            <w:vAlign w:val="center"/>
          </w:tcPr>
          <w:p>
            <w:pPr>
              <w:pStyle w:val="15"/>
            </w:pPr>
            <w:r>
              <w:t>1014.91</w:t>
            </w:r>
          </w:p>
        </w:tc>
        <w:tc>
          <w:tcPr>
            <w:tcW w:w="1971" w:type="dxa"/>
            <w:vAlign w:val="center"/>
          </w:tcPr>
          <w:p>
            <w:pPr>
              <w:pStyle w:val="14"/>
            </w:pPr>
            <w:r>
              <w:t>本年支出合计</w:t>
            </w:r>
          </w:p>
        </w:tc>
        <w:tc>
          <w:tcPr>
            <w:tcW w:w="1971" w:type="dxa"/>
            <w:vAlign w:val="center"/>
          </w:tcPr>
          <w:p>
            <w:pPr>
              <w:pStyle w:val="15"/>
            </w:pPr>
            <w:r>
              <w:t>1014.91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4"/>
            </w:pPr>
            <w:r>
              <w:t>收入总计</w:t>
            </w:r>
          </w:p>
        </w:tc>
        <w:tc>
          <w:tcPr>
            <w:tcW w:w="1971" w:type="dxa"/>
            <w:vAlign w:val="center"/>
          </w:tcPr>
          <w:p>
            <w:pPr>
              <w:pStyle w:val="15"/>
            </w:pPr>
            <w:r>
              <w:t>1014.91</w:t>
            </w:r>
          </w:p>
        </w:tc>
        <w:tc>
          <w:tcPr>
            <w:tcW w:w="1971" w:type="dxa"/>
            <w:vAlign w:val="center"/>
          </w:tcPr>
          <w:p>
            <w:pPr>
              <w:pStyle w:val="14"/>
            </w:pPr>
            <w:r>
              <w:t>支出总计</w:t>
            </w:r>
          </w:p>
        </w:tc>
        <w:tc>
          <w:tcPr>
            <w:tcW w:w="1971" w:type="dxa"/>
            <w:vAlign w:val="center"/>
          </w:tcPr>
          <w:p>
            <w:pPr>
              <w:pStyle w:val="15"/>
            </w:pPr>
            <w:r>
              <w:t>1014.91</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2001"/>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1014.91</w:t>
            </w:r>
          </w:p>
        </w:tc>
        <w:tc>
          <w:tcPr>
            <w:tcW w:w="758" w:type="dxa"/>
            <w:vAlign w:val="center"/>
          </w:tcPr>
          <w:p>
            <w:pPr>
              <w:pStyle w:val="15"/>
            </w:pPr>
            <w:r>
              <w:t>1014.91</w:t>
            </w:r>
          </w:p>
        </w:tc>
        <w:tc>
          <w:tcPr>
            <w:tcW w:w="758" w:type="dxa"/>
            <w:vAlign w:val="center"/>
          </w:tcPr>
          <w:p>
            <w:pPr>
              <w:pStyle w:val="15"/>
            </w:pPr>
            <w:r>
              <w:t>1014.91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204</w:t>
            </w:r>
          </w:p>
        </w:tc>
        <w:tc>
          <w:tcPr>
            <w:tcW w:w="758" w:type="dxa"/>
            <w:vAlign w:val="center"/>
          </w:tcPr>
          <w:p>
            <w:pPr>
              <w:pStyle w:val="12"/>
            </w:pPr>
            <w:r>
              <w:t>公共安全支出</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20402</w:t>
            </w:r>
          </w:p>
        </w:tc>
        <w:tc>
          <w:tcPr>
            <w:tcW w:w="758" w:type="dxa"/>
            <w:vAlign w:val="center"/>
          </w:tcPr>
          <w:p>
            <w:pPr>
              <w:pStyle w:val="12"/>
            </w:pPr>
            <w:r>
              <w:t>公安</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2040299</w:t>
            </w:r>
          </w:p>
        </w:tc>
        <w:tc>
          <w:tcPr>
            <w:tcW w:w="758" w:type="dxa"/>
            <w:vAlign w:val="center"/>
          </w:tcPr>
          <w:p>
            <w:pPr>
              <w:pStyle w:val="12"/>
            </w:pPr>
            <w:r>
              <w:t>其他公安支出</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r>
              <w:t>1014.91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9726"/>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1014.91</w:t>
            </w:r>
          </w:p>
        </w:tc>
        <w:tc>
          <w:tcPr>
            <w:tcW w:w="1095" w:type="dxa"/>
            <w:vAlign w:val="center"/>
          </w:tcPr>
          <w:p>
            <w:pPr>
              <w:pStyle w:val="15"/>
            </w:pPr>
            <w:r>
              <w:t>567.77</w:t>
            </w:r>
          </w:p>
        </w:tc>
        <w:tc>
          <w:tcPr>
            <w:tcW w:w="1095" w:type="dxa"/>
            <w:vAlign w:val="center"/>
          </w:tcPr>
          <w:p>
            <w:pPr>
              <w:pStyle w:val="15"/>
            </w:pPr>
            <w:r>
              <w:t>447.14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204</w:t>
            </w:r>
          </w:p>
        </w:tc>
        <w:tc>
          <w:tcPr>
            <w:tcW w:w="1095" w:type="dxa"/>
            <w:vAlign w:val="center"/>
          </w:tcPr>
          <w:p>
            <w:pPr>
              <w:pStyle w:val="12"/>
            </w:pPr>
            <w:r>
              <w:t>公共安全支出</w:t>
            </w:r>
          </w:p>
        </w:tc>
        <w:tc>
          <w:tcPr>
            <w:tcW w:w="1095" w:type="dxa"/>
            <w:vAlign w:val="center"/>
          </w:tcPr>
          <w:p>
            <w:pPr>
              <w:pStyle w:val="13"/>
            </w:pPr>
            <w:r>
              <w:t>1014.91</w:t>
            </w:r>
          </w:p>
        </w:tc>
        <w:tc>
          <w:tcPr>
            <w:tcW w:w="1095" w:type="dxa"/>
            <w:vAlign w:val="center"/>
          </w:tcPr>
          <w:p>
            <w:pPr>
              <w:pStyle w:val="13"/>
            </w:pPr>
            <w:r>
              <w:t>567.77</w:t>
            </w:r>
          </w:p>
        </w:tc>
        <w:tc>
          <w:tcPr>
            <w:tcW w:w="1095" w:type="dxa"/>
            <w:vAlign w:val="center"/>
          </w:tcPr>
          <w:p>
            <w:pPr>
              <w:pStyle w:val="13"/>
            </w:pPr>
            <w:r>
              <w:t>447.14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20402</w:t>
            </w:r>
          </w:p>
        </w:tc>
        <w:tc>
          <w:tcPr>
            <w:tcW w:w="1095" w:type="dxa"/>
            <w:vAlign w:val="center"/>
          </w:tcPr>
          <w:p>
            <w:pPr>
              <w:pStyle w:val="12"/>
            </w:pPr>
            <w:r>
              <w:t>公安</w:t>
            </w:r>
          </w:p>
        </w:tc>
        <w:tc>
          <w:tcPr>
            <w:tcW w:w="1095" w:type="dxa"/>
            <w:vAlign w:val="center"/>
          </w:tcPr>
          <w:p>
            <w:pPr>
              <w:pStyle w:val="13"/>
            </w:pPr>
            <w:r>
              <w:t>1014.91</w:t>
            </w:r>
          </w:p>
        </w:tc>
        <w:tc>
          <w:tcPr>
            <w:tcW w:w="1095" w:type="dxa"/>
            <w:vAlign w:val="center"/>
          </w:tcPr>
          <w:p>
            <w:pPr>
              <w:pStyle w:val="13"/>
            </w:pPr>
            <w:r>
              <w:t>567.77</w:t>
            </w:r>
          </w:p>
        </w:tc>
        <w:tc>
          <w:tcPr>
            <w:tcW w:w="1095" w:type="dxa"/>
            <w:vAlign w:val="center"/>
          </w:tcPr>
          <w:p>
            <w:pPr>
              <w:pStyle w:val="13"/>
            </w:pPr>
            <w:r>
              <w:t>447.14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2040299</w:t>
            </w:r>
          </w:p>
        </w:tc>
        <w:tc>
          <w:tcPr>
            <w:tcW w:w="1095" w:type="dxa"/>
            <w:vAlign w:val="center"/>
          </w:tcPr>
          <w:p>
            <w:pPr>
              <w:pStyle w:val="12"/>
            </w:pPr>
            <w:r>
              <w:t>其他公安支出</w:t>
            </w:r>
          </w:p>
        </w:tc>
        <w:tc>
          <w:tcPr>
            <w:tcW w:w="1095" w:type="dxa"/>
            <w:vAlign w:val="center"/>
          </w:tcPr>
          <w:p>
            <w:pPr>
              <w:pStyle w:val="13"/>
            </w:pPr>
            <w:r>
              <w:t>1014.91</w:t>
            </w:r>
          </w:p>
        </w:tc>
        <w:tc>
          <w:tcPr>
            <w:tcW w:w="1095" w:type="dxa"/>
            <w:vAlign w:val="center"/>
          </w:tcPr>
          <w:p>
            <w:pPr>
              <w:pStyle w:val="13"/>
            </w:pPr>
            <w:r>
              <w:t>567.77</w:t>
            </w:r>
          </w:p>
        </w:tc>
        <w:tc>
          <w:tcPr>
            <w:tcW w:w="1095" w:type="dxa"/>
            <w:vAlign w:val="center"/>
          </w:tcPr>
          <w:p>
            <w:pPr>
              <w:pStyle w:val="13"/>
            </w:pPr>
            <w:r>
              <w:t>447.14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9340"/>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232" w:type="dxa"/>
            <w:tcBorders>
              <w:top w:val="single" w:color="FFFFFF" w:sz="6" w:space="0"/>
              <w:left w:val="single" w:color="FFFFFF" w:sz="6" w:space="0"/>
              <w:right w:val="single" w:color="FFFFFF" w:sz="6" w:space="0"/>
            </w:tcBorders>
            <w:vAlign w:val="center"/>
          </w:tcPr>
          <w:p>
            <w:pPr>
              <w:pStyle w:val="8"/>
            </w:pPr>
            <w:r>
              <w:t>预算</w:t>
            </w:r>
            <w:r>
              <w:rPr>
                <w:rFonts w:hint="eastAsia"/>
                <w:lang w:val="en-US" w:eastAsia="zh-CN"/>
              </w:rPr>
              <w:t>年</w:t>
            </w:r>
            <w:r>
              <w:t>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1014.91</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r>
              <w:t>1014.91</w:t>
            </w:r>
          </w:p>
        </w:tc>
        <w:tc>
          <w:tcPr>
            <w:tcW w:w="1232" w:type="dxa"/>
            <w:vAlign w:val="center"/>
          </w:tcPr>
          <w:p>
            <w:pPr>
              <w:pStyle w:val="13"/>
            </w:pPr>
            <w:r>
              <w:t>1014.91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4"/>
            </w:pPr>
            <w:r>
              <w:t>本年收入合计</w:t>
            </w:r>
          </w:p>
        </w:tc>
        <w:tc>
          <w:tcPr>
            <w:tcW w:w="1232" w:type="dxa"/>
            <w:vAlign w:val="center"/>
          </w:tcPr>
          <w:p>
            <w:pPr>
              <w:pStyle w:val="15"/>
            </w:pPr>
            <w:r>
              <w:t>1014.91</w:t>
            </w:r>
          </w:p>
        </w:tc>
        <w:tc>
          <w:tcPr>
            <w:tcW w:w="1232" w:type="dxa"/>
            <w:vAlign w:val="center"/>
          </w:tcPr>
          <w:p>
            <w:pPr>
              <w:pStyle w:val="14"/>
            </w:pPr>
            <w:r>
              <w:t>本年支出合计</w:t>
            </w:r>
          </w:p>
        </w:tc>
        <w:tc>
          <w:tcPr>
            <w:tcW w:w="1232" w:type="dxa"/>
            <w:vAlign w:val="center"/>
          </w:tcPr>
          <w:p>
            <w:pPr>
              <w:pStyle w:val="15"/>
            </w:pPr>
            <w:r>
              <w:t>1014.91</w:t>
            </w:r>
          </w:p>
        </w:tc>
        <w:tc>
          <w:tcPr>
            <w:tcW w:w="1232" w:type="dxa"/>
            <w:vAlign w:val="center"/>
          </w:tcPr>
          <w:p>
            <w:pPr>
              <w:pStyle w:val="15"/>
            </w:pPr>
            <w:r>
              <w:t>1014.91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4"/>
            </w:pPr>
            <w:r>
              <w:t>收入总计</w:t>
            </w:r>
          </w:p>
        </w:tc>
        <w:tc>
          <w:tcPr>
            <w:tcW w:w="1232" w:type="dxa"/>
            <w:vAlign w:val="center"/>
          </w:tcPr>
          <w:p>
            <w:pPr>
              <w:pStyle w:val="15"/>
            </w:pPr>
            <w:r>
              <w:t>1014.91</w:t>
            </w:r>
          </w:p>
        </w:tc>
        <w:tc>
          <w:tcPr>
            <w:tcW w:w="1232" w:type="dxa"/>
            <w:vAlign w:val="center"/>
          </w:tcPr>
          <w:p>
            <w:pPr>
              <w:pStyle w:val="14"/>
            </w:pPr>
            <w:r>
              <w:t>支出总计</w:t>
            </w:r>
          </w:p>
        </w:tc>
        <w:tc>
          <w:tcPr>
            <w:tcW w:w="1232" w:type="dxa"/>
            <w:vAlign w:val="center"/>
          </w:tcPr>
          <w:p>
            <w:pPr>
              <w:pStyle w:val="15"/>
            </w:pPr>
            <w:r>
              <w:t>1014.91</w:t>
            </w:r>
          </w:p>
        </w:tc>
        <w:tc>
          <w:tcPr>
            <w:tcW w:w="1232" w:type="dxa"/>
            <w:vAlign w:val="center"/>
          </w:tcPr>
          <w:p>
            <w:pPr>
              <w:pStyle w:val="15"/>
            </w:pPr>
            <w:r>
              <w:t>1014.91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7248"/>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1014.91</w:t>
            </w:r>
          </w:p>
        </w:tc>
        <w:tc>
          <w:tcPr>
            <w:tcW w:w="1643" w:type="dxa"/>
            <w:vAlign w:val="center"/>
          </w:tcPr>
          <w:p>
            <w:pPr>
              <w:pStyle w:val="15"/>
            </w:pPr>
            <w:r>
              <w:t>567.77</w:t>
            </w:r>
          </w:p>
        </w:tc>
        <w:tc>
          <w:tcPr>
            <w:tcW w:w="1643" w:type="dxa"/>
            <w:vAlign w:val="center"/>
          </w:tcPr>
          <w:p>
            <w:pPr>
              <w:pStyle w:val="15"/>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204</w:t>
            </w:r>
          </w:p>
        </w:tc>
        <w:tc>
          <w:tcPr>
            <w:tcW w:w="1643" w:type="dxa"/>
            <w:vAlign w:val="center"/>
          </w:tcPr>
          <w:p>
            <w:pPr>
              <w:pStyle w:val="12"/>
            </w:pPr>
            <w:r>
              <w:t>公共安全支出</w:t>
            </w:r>
          </w:p>
        </w:tc>
        <w:tc>
          <w:tcPr>
            <w:tcW w:w="1643" w:type="dxa"/>
            <w:vAlign w:val="center"/>
          </w:tcPr>
          <w:p>
            <w:pPr>
              <w:pStyle w:val="13"/>
            </w:pPr>
            <w:r>
              <w:t>1014.91</w:t>
            </w:r>
          </w:p>
        </w:tc>
        <w:tc>
          <w:tcPr>
            <w:tcW w:w="1643" w:type="dxa"/>
            <w:vAlign w:val="center"/>
          </w:tcPr>
          <w:p>
            <w:pPr>
              <w:pStyle w:val="13"/>
            </w:pPr>
            <w:r>
              <w:t>567.77</w:t>
            </w:r>
          </w:p>
        </w:tc>
        <w:tc>
          <w:tcPr>
            <w:tcW w:w="1643" w:type="dxa"/>
            <w:vAlign w:val="center"/>
          </w:tcPr>
          <w:p>
            <w:pPr>
              <w:pStyle w:val="13"/>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20402</w:t>
            </w:r>
          </w:p>
        </w:tc>
        <w:tc>
          <w:tcPr>
            <w:tcW w:w="1643" w:type="dxa"/>
            <w:vAlign w:val="center"/>
          </w:tcPr>
          <w:p>
            <w:pPr>
              <w:pStyle w:val="12"/>
            </w:pPr>
            <w:r>
              <w:t>公安</w:t>
            </w:r>
          </w:p>
        </w:tc>
        <w:tc>
          <w:tcPr>
            <w:tcW w:w="1643" w:type="dxa"/>
            <w:vAlign w:val="center"/>
          </w:tcPr>
          <w:p>
            <w:pPr>
              <w:pStyle w:val="13"/>
            </w:pPr>
            <w:r>
              <w:t>1014.91</w:t>
            </w:r>
          </w:p>
        </w:tc>
        <w:tc>
          <w:tcPr>
            <w:tcW w:w="1643" w:type="dxa"/>
            <w:vAlign w:val="center"/>
          </w:tcPr>
          <w:p>
            <w:pPr>
              <w:pStyle w:val="13"/>
            </w:pPr>
            <w:r>
              <w:t>567.77</w:t>
            </w:r>
          </w:p>
        </w:tc>
        <w:tc>
          <w:tcPr>
            <w:tcW w:w="1643" w:type="dxa"/>
            <w:vAlign w:val="center"/>
          </w:tcPr>
          <w:p>
            <w:pPr>
              <w:pStyle w:val="13"/>
            </w:pPr>
            <w:r>
              <w:t>447.14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2040299</w:t>
            </w:r>
          </w:p>
        </w:tc>
        <w:tc>
          <w:tcPr>
            <w:tcW w:w="1643" w:type="dxa"/>
            <w:vAlign w:val="center"/>
          </w:tcPr>
          <w:p>
            <w:pPr>
              <w:pStyle w:val="12"/>
            </w:pPr>
            <w:r>
              <w:t>其他公安支出</w:t>
            </w:r>
          </w:p>
        </w:tc>
        <w:tc>
          <w:tcPr>
            <w:tcW w:w="1643" w:type="dxa"/>
            <w:vAlign w:val="center"/>
          </w:tcPr>
          <w:p>
            <w:pPr>
              <w:pStyle w:val="13"/>
            </w:pPr>
            <w:r>
              <w:t>1014.91</w:t>
            </w:r>
          </w:p>
        </w:tc>
        <w:tc>
          <w:tcPr>
            <w:tcW w:w="1643" w:type="dxa"/>
            <w:vAlign w:val="center"/>
          </w:tcPr>
          <w:p>
            <w:pPr>
              <w:pStyle w:val="13"/>
            </w:pPr>
            <w:r>
              <w:t>567.77</w:t>
            </w:r>
          </w:p>
        </w:tc>
        <w:tc>
          <w:tcPr>
            <w:tcW w:w="1643" w:type="dxa"/>
            <w:vAlign w:val="center"/>
          </w:tcPr>
          <w:p>
            <w:pPr>
              <w:pStyle w:val="13"/>
            </w:pPr>
            <w:r>
              <w:t>447.14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19838"/>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567.77</w:t>
            </w:r>
          </w:p>
        </w:tc>
        <w:tc>
          <w:tcPr>
            <w:tcW w:w="1643" w:type="dxa"/>
            <w:vAlign w:val="center"/>
          </w:tcPr>
          <w:p>
            <w:pPr>
              <w:pStyle w:val="15"/>
            </w:pPr>
            <w:r>
              <w:t>523.12</w:t>
            </w:r>
          </w:p>
        </w:tc>
        <w:tc>
          <w:tcPr>
            <w:tcW w:w="1643" w:type="dxa"/>
            <w:vAlign w:val="center"/>
          </w:tcPr>
          <w:p>
            <w:pPr>
              <w:pStyle w:val="15"/>
            </w:pPr>
            <w:r>
              <w:t>44.65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523.12</w:t>
            </w:r>
          </w:p>
        </w:tc>
        <w:tc>
          <w:tcPr>
            <w:tcW w:w="1643" w:type="dxa"/>
            <w:vAlign w:val="center"/>
          </w:tcPr>
          <w:p>
            <w:pPr>
              <w:pStyle w:val="13"/>
            </w:pPr>
            <w:r>
              <w:t>523.12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110.86</w:t>
            </w:r>
          </w:p>
        </w:tc>
        <w:tc>
          <w:tcPr>
            <w:tcW w:w="1643" w:type="dxa"/>
            <w:vAlign w:val="center"/>
          </w:tcPr>
          <w:p>
            <w:pPr>
              <w:pStyle w:val="13"/>
            </w:pPr>
            <w:r>
              <w:t>110.86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217.79</w:t>
            </w:r>
          </w:p>
        </w:tc>
        <w:tc>
          <w:tcPr>
            <w:tcW w:w="1643" w:type="dxa"/>
            <w:vAlign w:val="center"/>
          </w:tcPr>
          <w:p>
            <w:pPr>
              <w:pStyle w:val="13"/>
            </w:pPr>
            <w:r>
              <w:t>217.79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7.74</w:t>
            </w:r>
          </w:p>
        </w:tc>
        <w:tc>
          <w:tcPr>
            <w:tcW w:w="1643" w:type="dxa"/>
            <w:vAlign w:val="center"/>
          </w:tcPr>
          <w:p>
            <w:pPr>
              <w:pStyle w:val="13"/>
            </w:pPr>
            <w:r>
              <w:t>7.74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17.30</w:t>
            </w:r>
          </w:p>
        </w:tc>
        <w:tc>
          <w:tcPr>
            <w:tcW w:w="1643" w:type="dxa"/>
            <w:vAlign w:val="center"/>
          </w:tcPr>
          <w:p>
            <w:pPr>
              <w:pStyle w:val="13"/>
            </w:pPr>
            <w:r>
              <w:t>17.30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47.50</w:t>
            </w:r>
          </w:p>
        </w:tc>
        <w:tc>
          <w:tcPr>
            <w:tcW w:w="1643" w:type="dxa"/>
            <w:vAlign w:val="center"/>
          </w:tcPr>
          <w:p>
            <w:pPr>
              <w:pStyle w:val="13"/>
            </w:pPr>
            <w:r>
              <w:t>47.50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24.94</w:t>
            </w:r>
          </w:p>
        </w:tc>
        <w:tc>
          <w:tcPr>
            <w:tcW w:w="1643" w:type="dxa"/>
            <w:vAlign w:val="center"/>
          </w:tcPr>
          <w:p>
            <w:pPr>
              <w:pStyle w:val="13"/>
            </w:pPr>
            <w:r>
              <w:t>24.94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19.30</w:t>
            </w:r>
          </w:p>
        </w:tc>
        <w:tc>
          <w:tcPr>
            <w:tcW w:w="1643" w:type="dxa"/>
            <w:vAlign w:val="center"/>
          </w:tcPr>
          <w:p>
            <w:pPr>
              <w:pStyle w:val="13"/>
            </w:pPr>
            <w:r>
              <w:t>19.30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38.36</w:t>
            </w:r>
          </w:p>
        </w:tc>
        <w:tc>
          <w:tcPr>
            <w:tcW w:w="1643" w:type="dxa"/>
            <w:vAlign w:val="center"/>
          </w:tcPr>
          <w:p>
            <w:pPr>
              <w:pStyle w:val="13"/>
            </w:pPr>
            <w:r>
              <w:t>38.36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39.35</w:t>
            </w:r>
          </w:p>
        </w:tc>
        <w:tc>
          <w:tcPr>
            <w:tcW w:w="1643" w:type="dxa"/>
            <w:vAlign w:val="center"/>
          </w:tcPr>
          <w:p>
            <w:pPr>
              <w:pStyle w:val="13"/>
            </w:pPr>
            <w:r>
              <w:t>39.35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44.65</w:t>
            </w:r>
          </w:p>
        </w:tc>
        <w:tc>
          <w:tcPr>
            <w:tcW w:w="1643" w:type="dxa"/>
            <w:vAlign w:val="center"/>
          </w:tcPr>
          <w:p>
            <w:pPr>
              <w:pStyle w:val="13"/>
            </w:pPr>
          </w:p>
        </w:tc>
        <w:tc>
          <w:tcPr>
            <w:tcW w:w="1643" w:type="dxa"/>
            <w:vAlign w:val="center"/>
          </w:tcPr>
          <w:p>
            <w:pPr>
              <w:pStyle w:val="13"/>
            </w:pPr>
            <w:r>
              <w:t>44.65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8.70</w:t>
            </w:r>
          </w:p>
        </w:tc>
        <w:tc>
          <w:tcPr>
            <w:tcW w:w="1643" w:type="dxa"/>
            <w:vAlign w:val="center"/>
          </w:tcPr>
          <w:p>
            <w:pPr>
              <w:pStyle w:val="13"/>
            </w:pPr>
          </w:p>
        </w:tc>
        <w:tc>
          <w:tcPr>
            <w:tcW w:w="1643" w:type="dxa"/>
            <w:vAlign w:val="center"/>
          </w:tcPr>
          <w:p>
            <w:pPr>
              <w:pStyle w:val="13"/>
            </w:pPr>
            <w:r>
              <w:t>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12.32</w:t>
            </w:r>
          </w:p>
        </w:tc>
        <w:tc>
          <w:tcPr>
            <w:tcW w:w="1643" w:type="dxa"/>
            <w:vAlign w:val="center"/>
          </w:tcPr>
          <w:p>
            <w:pPr>
              <w:pStyle w:val="13"/>
            </w:pPr>
          </w:p>
        </w:tc>
        <w:tc>
          <w:tcPr>
            <w:tcW w:w="1643" w:type="dxa"/>
            <w:vAlign w:val="center"/>
          </w:tcPr>
          <w:p>
            <w:pPr>
              <w:pStyle w:val="13"/>
            </w:pPr>
            <w:r>
              <w:t>12.32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2.44</w:t>
            </w:r>
          </w:p>
        </w:tc>
        <w:tc>
          <w:tcPr>
            <w:tcW w:w="1643" w:type="dxa"/>
            <w:vAlign w:val="center"/>
          </w:tcPr>
          <w:p>
            <w:pPr>
              <w:pStyle w:val="13"/>
            </w:pPr>
          </w:p>
        </w:tc>
        <w:tc>
          <w:tcPr>
            <w:tcW w:w="1643" w:type="dxa"/>
            <w:vAlign w:val="center"/>
          </w:tcPr>
          <w:p>
            <w:pPr>
              <w:pStyle w:val="13"/>
            </w:pPr>
            <w:r>
              <w:t>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2.77</w:t>
            </w:r>
          </w:p>
        </w:tc>
        <w:tc>
          <w:tcPr>
            <w:tcW w:w="1643" w:type="dxa"/>
            <w:vAlign w:val="center"/>
          </w:tcPr>
          <w:p>
            <w:pPr>
              <w:pStyle w:val="13"/>
            </w:pPr>
          </w:p>
        </w:tc>
        <w:tc>
          <w:tcPr>
            <w:tcW w:w="1643" w:type="dxa"/>
            <w:vAlign w:val="center"/>
          </w:tcPr>
          <w:p>
            <w:pPr>
              <w:pStyle w:val="13"/>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15.36</w:t>
            </w:r>
          </w:p>
        </w:tc>
        <w:tc>
          <w:tcPr>
            <w:tcW w:w="1643" w:type="dxa"/>
            <w:vAlign w:val="center"/>
          </w:tcPr>
          <w:p>
            <w:pPr>
              <w:pStyle w:val="13"/>
            </w:pPr>
          </w:p>
        </w:tc>
        <w:tc>
          <w:tcPr>
            <w:tcW w:w="1643" w:type="dxa"/>
            <w:vAlign w:val="center"/>
          </w:tcPr>
          <w:p>
            <w:pPr>
              <w:pStyle w:val="13"/>
            </w:pPr>
            <w:r>
              <w:t>15.36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0.85</w:t>
            </w:r>
          </w:p>
        </w:tc>
        <w:tc>
          <w:tcPr>
            <w:tcW w:w="1643" w:type="dxa"/>
            <w:vAlign w:val="center"/>
          </w:tcPr>
          <w:p>
            <w:pPr>
              <w:pStyle w:val="13"/>
            </w:pPr>
          </w:p>
        </w:tc>
        <w:tc>
          <w:tcPr>
            <w:tcW w:w="1643" w:type="dxa"/>
            <w:vAlign w:val="center"/>
          </w:tcPr>
          <w:p>
            <w:pPr>
              <w:pStyle w:val="13"/>
            </w:pPr>
            <w:r>
              <w:t>0.85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23045"/>
      <w:r>
        <w:rPr>
          <w:rFonts w:ascii="方正小标宋_GBK" w:hAnsi="方正小标宋_GBK" w:eastAsia="方正小标宋_GBK" w:cs="方正小标宋_GBK"/>
          <w:color w:val="000000"/>
          <w:sz w:val="36"/>
        </w:rPr>
        <w:t>部门预算政府基金预算财政拨款支出表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2029"/>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9964"/>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rPr>
                <w:rFonts w:hint="eastAsia" w:eastAsia="方正小标宋_GBK"/>
                <w:lang w:eastAsia="zh-CN"/>
              </w:rPr>
            </w:pPr>
            <w:r>
              <w:t>216中国共产党石家庄市藁城区委员会政法委员会</w:t>
            </w:r>
          </w:p>
        </w:tc>
        <w:tc>
          <w:tcPr>
            <w:tcW w:w="1643"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1</w:t>
            </w:r>
          </w:p>
        </w:tc>
        <w:tc>
          <w:tcPr>
            <w:tcW w:w="1643" w:type="dxa"/>
            <w:vAlign w:val="center"/>
          </w:tcPr>
          <w:p>
            <w:pPr>
              <w:pStyle w:val="14"/>
            </w:pPr>
            <w:r>
              <w:t>合计</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rPr>
                <w:rFonts w:hint="default" w:eastAsia="方正书宋_GBK"/>
                <w:lang w:val="en-US" w:eastAsia="zh-CN"/>
              </w:rPr>
            </w:pPr>
            <w:r>
              <w:rPr>
                <w:rFonts w:hint="eastAsia"/>
                <w:lang w:val="en-US" w:eastAsia="zh-CN"/>
              </w:rPr>
              <w:t>2.20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2</w:t>
            </w:r>
          </w:p>
        </w:tc>
        <w:tc>
          <w:tcPr>
            <w:tcW w:w="1643" w:type="dxa"/>
            <w:vAlign w:val="center"/>
          </w:tcPr>
          <w:p>
            <w:pPr>
              <w:pStyle w:val="12"/>
            </w:pPr>
            <w:r>
              <w:t>“三公”经费小计</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3</w:t>
            </w:r>
          </w:p>
        </w:tc>
        <w:tc>
          <w:tcPr>
            <w:tcW w:w="1643" w:type="dxa"/>
            <w:vAlign w:val="center"/>
          </w:tcPr>
          <w:p>
            <w:pPr>
              <w:pStyle w:val="12"/>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4</w:t>
            </w:r>
          </w:p>
        </w:tc>
        <w:tc>
          <w:tcPr>
            <w:tcW w:w="1643" w:type="dxa"/>
            <w:vAlign w:val="center"/>
          </w:tcPr>
          <w:p>
            <w:pPr>
              <w:pStyle w:val="12"/>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5</w:t>
            </w:r>
          </w:p>
        </w:tc>
        <w:tc>
          <w:tcPr>
            <w:tcW w:w="1643" w:type="dxa"/>
            <w:vAlign w:val="center"/>
          </w:tcPr>
          <w:p>
            <w:pPr>
              <w:pStyle w:val="12"/>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6</w:t>
            </w:r>
          </w:p>
        </w:tc>
        <w:tc>
          <w:tcPr>
            <w:tcW w:w="1643" w:type="dxa"/>
            <w:vAlign w:val="center"/>
          </w:tcPr>
          <w:p>
            <w:pPr>
              <w:pStyle w:val="12"/>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rPr>
                <w:rFonts w:hint="default" w:eastAsia="方正书宋_GBK"/>
                <w:lang w:val="en-US" w:eastAsia="zh-CN"/>
              </w:rPr>
            </w:pPr>
            <w:r>
              <w:rPr>
                <w:rFonts w:hint="eastAsia"/>
                <w:lang w:val="en-US" w:eastAsia="zh-CN"/>
              </w:rP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7</w:t>
            </w:r>
          </w:p>
        </w:tc>
        <w:tc>
          <w:tcPr>
            <w:tcW w:w="1643" w:type="dxa"/>
            <w:vAlign w:val="center"/>
          </w:tcPr>
          <w:p>
            <w:pPr>
              <w:pStyle w:val="12"/>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8</w:t>
            </w:r>
          </w:p>
        </w:tc>
        <w:tc>
          <w:tcPr>
            <w:tcW w:w="1643" w:type="dxa"/>
            <w:vAlign w:val="center"/>
          </w:tcPr>
          <w:p>
            <w:pPr>
              <w:pStyle w:val="12"/>
            </w:pPr>
            <w:r>
              <w:t xml:space="preserve">          公务用车运行维护费</w:t>
            </w:r>
          </w:p>
        </w:tc>
        <w:tc>
          <w:tcPr>
            <w:tcW w:w="1643" w:type="dxa"/>
            <w:vAlign w:val="center"/>
          </w:tcPr>
          <w:p>
            <w:pPr>
              <w:pStyle w:val="13"/>
            </w:pPr>
            <w:r>
              <w:t>2.20</w:t>
            </w:r>
          </w:p>
        </w:tc>
        <w:tc>
          <w:tcPr>
            <w:tcW w:w="1643" w:type="dxa"/>
            <w:vAlign w:val="center"/>
          </w:tcPr>
          <w:p>
            <w:pPr>
              <w:pStyle w:val="13"/>
            </w:pPr>
            <w:r>
              <w:t>2.20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1"/>
            </w:pPr>
            <w:r>
              <w:t>9</w:t>
            </w:r>
          </w:p>
        </w:tc>
        <w:tc>
          <w:tcPr>
            <w:tcW w:w="1643" w:type="dxa"/>
            <w:vAlign w:val="center"/>
          </w:tcPr>
          <w:p>
            <w:pPr>
              <w:pStyle w:val="12"/>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中国共产党石家庄市藁城区委员会政法委员会2022年部门预算信息公开情况说明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中国共产党石家庄市藁城区委员会政法委员会</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按照《预算法》、《地方预决算公开操作规程》和《关于进一步推进预算公开工作的实施意见》规定，现将中国共产党石家庄市藁城区委员会政法委员会2022年部门预算公开如下：</w:t>
      </w:r>
    </w:p>
    <w:p>
      <w:pPr>
        <w:spacing w:before="10" w:after="10" w:line="360" w:lineRule="auto"/>
        <w:ind w:firstLine="640"/>
        <w:jc w:val="left"/>
        <w:outlineLvl w:val="2"/>
      </w:pPr>
      <w:bookmarkStart w:id="9" w:name="_Toc29202"/>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藁城区委政法委的主要职责是：</w:t>
      </w:r>
    </w:p>
    <w:p>
      <w:pPr>
        <w:pStyle w:val="17"/>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pPr>
        <w:pStyle w:val="17"/>
      </w:pPr>
      <w:r>
        <w:t>（二）对全区政法工作研究提出全局性部署，推进平安藁城和法治藁城建设，加强过硬队伍建设，深化智能化建设，坚决维护国家政治安全、确保社会大局稳定、促进社会公平正义、保障人民安居乐业。</w:t>
      </w:r>
    </w:p>
    <w:p>
      <w:pPr>
        <w:pStyle w:val="17"/>
      </w:pPr>
      <w:r>
        <w:t>（三）了解掌握和分析研判政法工作情况动态，分析社会稳定形势，创新完善多部门参与的综治维稳工作机制，协调推动预防、化解影响稳定的社会矛盾和风险，协调应对和处置重大突发事件。</w:t>
      </w:r>
    </w:p>
    <w:p>
      <w:pPr>
        <w:pStyle w:val="17"/>
      </w:pPr>
      <w:r>
        <w:t>（四）加强对政法工作的督查，统筹协调社会治安综合治理、维护社会稳定、反邪教有关法律法规政策的实施工作。</w:t>
      </w:r>
    </w:p>
    <w:p>
      <w:pPr>
        <w:pStyle w:val="17"/>
      </w:pPr>
      <w:r>
        <w:t>（五）组织开展政法领域的调查研究，研究拟订政法工作的重大措施，及时向区委提出建议。</w:t>
      </w:r>
    </w:p>
    <w:p>
      <w:pPr>
        <w:pStyle w:val="17"/>
      </w:pPr>
      <w:r>
        <w:t>（六）掌握分析政法舆情动态，指导协调政法单位媒体网络宣传工作，指导政法单位做好涉及政法工作的重大宣传工作。</w:t>
      </w:r>
    </w:p>
    <w:p>
      <w:pPr>
        <w:pStyle w:val="17"/>
      </w:pPr>
      <w:r>
        <w:t>（七）监督和支持政法单位依法行使职权，指导和协调政法单位密切配合，研究和协调重大、疑难案件，指导政法单位涉法涉诉信访工作，推进严格执法、公正司法。</w:t>
      </w:r>
    </w:p>
    <w:p>
      <w:pPr>
        <w:pStyle w:val="17"/>
      </w:pPr>
      <w:r>
        <w:t>（八）组织研究政法改革中带有方向性、倾向性和普遍性的重大问题，深化政法改革，联系区委全面依法治区委员会办公室。</w:t>
      </w:r>
    </w:p>
    <w:p>
      <w:pPr>
        <w:pStyle w:val="17"/>
      </w:pPr>
      <w:r>
        <w:t>（九）指导推动政法系统党的建设和政法队伍建设，协调和指导全区见义勇为工作。</w:t>
      </w:r>
    </w:p>
    <w:p>
      <w:pPr>
        <w:pStyle w:val="17"/>
      </w:pPr>
      <w:r>
        <w:t>（十）统筹推动金区政法系统信息化工作，指导政法智能化建</w:t>
      </w:r>
      <w:r>
        <w:rPr>
          <w:rFonts w:hint="eastAsia"/>
          <w:lang w:val="en-US" w:eastAsia="zh-CN"/>
        </w:rPr>
        <w:t>设</w:t>
      </w:r>
      <w:r>
        <w:t>。</w:t>
      </w:r>
    </w:p>
    <w:p>
      <w:pPr>
        <w:pStyle w:val="17"/>
      </w:pPr>
      <w:r>
        <w:t>（十一）完成市委政法委员会、区委交办的其他任务。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2"/>
            </w:pPr>
            <w:r>
              <w:t>中国共产党石家庄市藁城区委员会政法委员会</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3203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省</w:t>
      </w:r>
      <w:r>
        <w:rPr>
          <w:rFonts w:ascii="Times New Roman" w:hAnsi="Times New Roman" w:eastAsia="方正仿宋_GBK" w:cs="Times New Roman"/>
          <w:color w:val="000000"/>
          <w:sz w:val="28"/>
        </w:rPr>
        <w:t>部门预算的编制实行综合预算管理，即全部收入和支出都反映在预算中。中国共产党石家庄市藁城区委员会政法委员会机关及所属事业单位的收支包含在部门预算中。</w:t>
      </w:r>
    </w:p>
    <w:p>
      <w:pPr>
        <w:numPr>
          <w:ilvl w:val="0"/>
          <w:numId w:val="1"/>
        </w:numPr>
        <w:spacing w:line="460" w:lineRule="exact"/>
        <w:ind w:firstLine="640"/>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收入说明</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反映本部门当年全部收入。2022年预算收入</w:t>
      </w:r>
      <w:r>
        <w:rPr>
          <w:rFonts w:hint="eastAsia" w:ascii="Times New Roman" w:hAnsi="Times New Roman" w:eastAsia="方正仿宋_GBK" w:cs="Times New Roman"/>
          <w:sz w:val="28"/>
          <w:szCs w:val="24"/>
          <w:lang w:val="en-US" w:eastAsia="zh-CN" w:bidi="ar-SA"/>
        </w:rPr>
        <w:t>1014.91</w:t>
      </w:r>
      <w:r>
        <w:rPr>
          <w:rFonts w:hint="eastAsia" w:ascii="Times New Roman" w:hAnsi="Times New Roman" w:eastAsia="方正仿宋_GBK" w:cs="Times New Roman"/>
          <w:sz w:val="28"/>
          <w:szCs w:val="24"/>
          <w:lang w:val="en-US" w:eastAsia="uk-UA" w:bidi="ar-SA"/>
        </w:rPr>
        <w:t>万元，其中：一般公共预算收入1</w:t>
      </w:r>
      <w:r>
        <w:rPr>
          <w:rFonts w:hint="eastAsia" w:ascii="Times New Roman" w:hAnsi="Times New Roman" w:eastAsia="方正仿宋_GBK" w:cs="Times New Roman"/>
          <w:sz w:val="28"/>
          <w:szCs w:val="24"/>
          <w:lang w:val="en-US" w:eastAsia="zh-CN" w:bidi="ar-SA"/>
        </w:rPr>
        <w:t>014.91</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w:t>
      </w:r>
      <w:r>
        <w:rPr>
          <w:rFonts w:ascii="Times New Roman" w:hAnsi="Times New Roman" w:eastAsia="方正仿宋_GBK" w:cs="Times New Roman"/>
          <w:sz w:val="28"/>
          <w:szCs w:val="24"/>
          <w:lang w:val="en-US" w:eastAsia="uk-UA" w:bidi="ar-SA"/>
        </w:rPr>
        <w:t>支出说明</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收支预算总表支出栏、基本支出表、项目支出表按经济分类和支出功能分类科目编制，反映本部门预算中支出预算的总体情况。2022年部门支出预算为</w:t>
      </w:r>
      <w:r>
        <w:rPr>
          <w:rFonts w:hint="eastAsia" w:ascii="Times New Roman" w:hAnsi="Times New Roman" w:eastAsia="方正仿宋_GBK" w:cs="Times New Roman"/>
          <w:sz w:val="28"/>
          <w:szCs w:val="24"/>
          <w:lang w:val="en-US" w:eastAsia="zh-CN" w:bidi="ar-SA"/>
        </w:rPr>
        <w:t>1014.91</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567.77</w:t>
      </w:r>
      <w:r>
        <w:rPr>
          <w:rFonts w:hint="eastAsia" w:ascii="Times New Roman" w:hAnsi="Times New Roman" w:eastAsia="方正仿宋_GBK" w:cs="Times New Roman"/>
          <w:sz w:val="28"/>
          <w:szCs w:val="24"/>
          <w:lang w:val="en-US" w:eastAsia="uk-UA" w:bidi="ar-SA"/>
        </w:rPr>
        <w:t>万元，包括人员经费</w:t>
      </w:r>
      <w:r>
        <w:rPr>
          <w:rFonts w:hint="eastAsia" w:ascii="Times New Roman" w:hAnsi="Times New Roman" w:eastAsia="方正仿宋_GBK" w:cs="Times New Roman"/>
          <w:sz w:val="28"/>
          <w:szCs w:val="24"/>
          <w:lang w:val="en-US" w:eastAsia="zh-CN" w:bidi="ar-SA"/>
        </w:rPr>
        <w:t>523.12</w:t>
      </w:r>
      <w:r>
        <w:rPr>
          <w:rFonts w:hint="eastAsia" w:ascii="Times New Roman" w:hAnsi="Times New Roman" w:eastAsia="方正仿宋_GBK" w:cs="Times New Roman"/>
          <w:sz w:val="28"/>
          <w:szCs w:val="24"/>
          <w:lang w:val="en-US" w:eastAsia="uk-UA" w:bidi="ar-SA"/>
        </w:rPr>
        <w:t>万元和日常公用经费</w:t>
      </w:r>
      <w:r>
        <w:rPr>
          <w:rFonts w:hint="eastAsia" w:ascii="Times New Roman" w:hAnsi="Times New Roman" w:eastAsia="方正仿宋_GBK" w:cs="Times New Roman"/>
          <w:sz w:val="28"/>
          <w:szCs w:val="24"/>
          <w:lang w:val="en-US" w:eastAsia="zh-CN" w:bidi="ar-SA"/>
        </w:rPr>
        <w:t>44.65</w:t>
      </w:r>
      <w:r>
        <w:rPr>
          <w:rFonts w:hint="eastAsia" w:ascii="Times New Roman" w:hAnsi="Times New Roman" w:eastAsia="方正仿宋_GBK" w:cs="Times New Roman"/>
          <w:sz w:val="28"/>
          <w:szCs w:val="24"/>
          <w:lang w:val="en-US" w:eastAsia="uk-UA" w:bidi="ar-SA"/>
        </w:rPr>
        <w:t>万元；项目支出</w:t>
      </w:r>
      <w:r>
        <w:rPr>
          <w:rFonts w:hint="eastAsia" w:ascii="Times New Roman" w:hAnsi="Times New Roman" w:eastAsia="方正仿宋_GBK" w:cs="Times New Roman"/>
          <w:sz w:val="28"/>
          <w:szCs w:val="24"/>
          <w:lang w:val="en-US" w:eastAsia="zh-CN" w:bidi="ar-SA"/>
        </w:rPr>
        <w:t>447.14</w:t>
      </w:r>
      <w:r>
        <w:rPr>
          <w:rFonts w:hint="eastAsia" w:ascii="Times New Roman" w:hAnsi="Times New Roman" w:eastAsia="方正仿宋_GBK" w:cs="Times New Roman"/>
          <w:sz w:val="28"/>
          <w:szCs w:val="24"/>
          <w:lang w:val="en-US" w:eastAsia="uk-UA" w:bidi="ar-SA"/>
        </w:rPr>
        <w:t>万元，主要</w:t>
      </w:r>
      <w:r>
        <w:rPr>
          <w:rFonts w:hint="eastAsia" w:ascii="Times New Roman" w:hAnsi="Times New Roman" w:eastAsia="方正仿宋_GBK" w:cs="Times New Roman"/>
          <w:sz w:val="28"/>
          <w:szCs w:val="24"/>
          <w:lang w:val="en-US" w:eastAsia="zh-CN" w:bidi="ar-SA"/>
        </w:rPr>
        <w:t>为涉法涉诉专项资金20万元，社会矛盾纠纷多元化解中心项目建设130万元，调解服务经费31万元，精神障碍患者监护人责任保险36.81万元，严重精神障碍患者监护人以奖代补21.12万元，网格员手机APP服务费50.92万元，两会期间铁路护路雇佣人员补助13万元，政法四级网维保费50万元，综治经费24.3万元</w:t>
      </w:r>
      <w:r>
        <w:rPr>
          <w:rFonts w:hint="eastAsia" w:ascii="Times New Roman" w:hAnsi="Times New Roman" w:eastAsia="方正仿宋_GBK" w:cs="Times New Roman"/>
          <w:sz w:val="28"/>
          <w:szCs w:val="24"/>
          <w:lang w:val="en-US" w:eastAsia="uk-UA" w:bidi="ar-SA"/>
        </w:rPr>
        <w:t>；其他支出0万元。</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w:t>
      </w:r>
      <w:r>
        <w:rPr>
          <w:rFonts w:ascii="Times New Roman" w:hAnsi="Times New Roman" w:eastAsia="方正仿宋_GBK" w:cs="Times New Roman"/>
          <w:sz w:val="28"/>
          <w:szCs w:val="24"/>
          <w:lang w:val="en-US" w:eastAsia="uk-UA" w:bidi="ar-SA"/>
        </w:rPr>
        <w:t>比上年增减情况</w:t>
      </w:r>
    </w:p>
    <w:p>
      <w:pPr>
        <w:spacing w:line="460" w:lineRule="exact"/>
        <w:ind w:firstLine="64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2022年部门预算收支安排</w:t>
      </w:r>
      <w:r>
        <w:rPr>
          <w:rFonts w:hint="eastAsia" w:ascii="Times New Roman" w:hAnsi="Times New Roman" w:eastAsia="方正仿宋_GBK" w:cs="Times New Roman"/>
          <w:sz w:val="28"/>
          <w:szCs w:val="24"/>
          <w:lang w:val="en-US" w:eastAsia="zh-CN" w:bidi="ar-SA"/>
        </w:rPr>
        <w:t>1014.91</w:t>
      </w:r>
      <w:r>
        <w:rPr>
          <w:rFonts w:hint="eastAsia" w:ascii="Times New Roman" w:hAnsi="Times New Roman" w:eastAsia="方正仿宋_GBK" w:cs="Times New Roman"/>
          <w:sz w:val="28"/>
          <w:szCs w:val="24"/>
          <w:lang w:val="en-US" w:eastAsia="uk-UA" w:bidi="ar-SA"/>
        </w:rPr>
        <w:t>万元，较2021年增加</w:t>
      </w:r>
      <w:r>
        <w:rPr>
          <w:rFonts w:hint="eastAsia" w:ascii="Times New Roman" w:hAnsi="Times New Roman" w:eastAsia="方正仿宋_GBK" w:cs="Times New Roman"/>
          <w:sz w:val="28"/>
          <w:szCs w:val="24"/>
          <w:lang w:val="en-US" w:eastAsia="zh-CN" w:bidi="ar-SA"/>
        </w:rPr>
        <w:t>201.29</w:t>
      </w:r>
      <w:r>
        <w:rPr>
          <w:rFonts w:hint="eastAsia" w:ascii="Times New Roman" w:hAnsi="Times New Roman" w:eastAsia="方正仿宋_GBK" w:cs="Times New Roman"/>
          <w:sz w:val="28"/>
          <w:szCs w:val="24"/>
          <w:lang w:val="en-US" w:eastAsia="uk-UA" w:bidi="ar-SA"/>
        </w:rPr>
        <w:t>万元，其中：基本支出</w:t>
      </w:r>
      <w:r>
        <w:rPr>
          <w:rFonts w:hint="eastAsia" w:ascii="Times New Roman" w:hAnsi="Times New Roman" w:eastAsia="方正仿宋_GBK" w:cs="Times New Roman"/>
          <w:sz w:val="28"/>
          <w:szCs w:val="24"/>
          <w:lang w:val="en-US" w:eastAsia="zh-CN" w:bidi="ar-SA"/>
        </w:rPr>
        <w:t>增加108.09</w:t>
      </w:r>
      <w:r>
        <w:rPr>
          <w:rFonts w:hint="eastAsia" w:ascii="Times New Roman" w:hAnsi="Times New Roman" w:eastAsia="方正仿宋_GBK" w:cs="Times New Roman"/>
          <w:sz w:val="28"/>
          <w:szCs w:val="24"/>
          <w:lang w:val="en-US" w:eastAsia="uk-UA" w:bidi="ar-SA"/>
        </w:rPr>
        <w:t>万元，主要是人员</w:t>
      </w:r>
      <w:r>
        <w:rPr>
          <w:rFonts w:hint="eastAsia" w:ascii="Times New Roman" w:hAnsi="Times New Roman" w:eastAsia="方正仿宋_GBK" w:cs="Times New Roman"/>
          <w:sz w:val="28"/>
          <w:szCs w:val="24"/>
          <w:lang w:val="en-US" w:eastAsia="zh-CN" w:bidi="ar-SA"/>
        </w:rPr>
        <w:t>增加，加上工资标准提高</w:t>
      </w:r>
      <w:r>
        <w:rPr>
          <w:rFonts w:hint="eastAsia" w:ascii="Times New Roman" w:hAnsi="Times New Roman" w:eastAsia="方正仿宋_GBK" w:cs="Times New Roman"/>
          <w:sz w:val="28"/>
          <w:szCs w:val="24"/>
          <w:lang w:val="en-US" w:eastAsia="uk-UA" w:bidi="ar-SA"/>
        </w:rPr>
        <w:t>，相应</w:t>
      </w:r>
      <w:r>
        <w:rPr>
          <w:rFonts w:hint="eastAsia" w:ascii="Times New Roman" w:hAnsi="Times New Roman" w:eastAsia="方正仿宋_GBK" w:cs="Times New Roman"/>
          <w:sz w:val="28"/>
          <w:szCs w:val="24"/>
          <w:lang w:val="en-US" w:eastAsia="zh-CN" w:bidi="ar-SA"/>
        </w:rPr>
        <w:t>增加</w:t>
      </w:r>
      <w:r>
        <w:rPr>
          <w:rFonts w:hint="eastAsia" w:ascii="Times New Roman" w:hAnsi="Times New Roman" w:eastAsia="方正仿宋_GBK" w:cs="Times New Roman"/>
          <w:sz w:val="28"/>
          <w:szCs w:val="24"/>
          <w:lang w:val="en-US" w:eastAsia="uk-UA" w:bidi="ar-SA"/>
        </w:rPr>
        <w:t>人员经费和日常公用经费；项目支出增加</w:t>
      </w:r>
      <w:r>
        <w:rPr>
          <w:rFonts w:hint="eastAsia" w:ascii="Times New Roman" w:hAnsi="Times New Roman" w:eastAsia="方正仿宋_GBK" w:cs="Times New Roman"/>
          <w:sz w:val="28"/>
          <w:szCs w:val="24"/>
          <w:lang w:val="en-US" w:eastAsia="zh-CN" w:bidi="ar-SA"/>
        </w:rPr>
        <w:t>93.2</w:t>
      </w:r>
      <w:r>
        <w:rPr>
          <w:rFonts w:hint="eastAsia" w:ascii="Times New Roman" w:hAnsi="Times New Roman" w:eastAsia="方正仿宋_GBK" w:cs="Times New Roman"/>
          <w:sz w:val="28"/>
          <w:szCs w:val="24"/>
          <w:lang w:val="en-US" w:eastAsia="uk-UA" w:bidi="ar-SA"/>
        </w:rPr>
        <w:t>万元，主要是增加</w:t>
      </w:r>
      <w:r>
        <w:rPr>
          <w:rFonts w:hint="eastAsia" w:ascii="Times New Roman" w:hAnsi="Times New Roman" w:eastAsia="方正仿宋_GBK" w:cs="Times New Roman"/>
          <w:sz w:val="28"/>
          <w:szCs w:val="24"/>
          <w:lang w:val="en-US" w:eastAsia="zh-CN" w:bidi="ar-SA"/>
        </w:rPr>
        <w:t>政法四级网维保费50万元、调解服务经费增加了31万元</w:t>
      </w:r>
      <w:r>
        <w:rPr>
          <w:rFonts w:hint="eastAsia" w:ascii="Times New Roman" w:hAnsi="Times New Roman" w:eastAsia="方正仿宋_GBK" w:cs="Times New Roman"/>
          <w:sz w:val="28"/>
          <w:szCs w:val="24"/>
          <w:lang w:val="en-US" w:eastAsia="uk-UA" w:bidi="ar-SA"/>
        </w:rPr>
        <w:t>；其他支出无增减变化。</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1" w:name="_Toc1364"/>
      <w:r>
        <w:rPr>
          <w:rFonts w:ascii="黑体" w:hAnsi="黑体" w:eastAsia="黑体" w:cs="黑体"/>
          <w:color w:val="000000"/>
          <w:sz w:val="32"/>
        </w:rPr>
        <w:t>机关运行经费安排情况</w:t>
      </w:r>
      <w:bookmarkEnd w:id="11"/>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2022年，我部门机关运行经费共计安排</w:t>
      </w:r>
      <w:r>
        <w:rPr>
          <w:rFonts w:hint="eastAsia" w:ascii="Times New Roman" w:hAnsi="Times New Roman" w:eastAsia="方正仿宋_GBK" w:cs="Times New Roman"/>
          <w:sz w:val="28"/>
          <w:szCs w:val="24"/>
          <w:lang w:val="en-US" w:eastAsia="zh-CN" w:bidi="ar-SA"/>
        </w:rPr>
        <w:t>44.65</w:t>
      </w:r>
      <w:r>
        <w:rPr>
          <w:rFonts w:hint="eastAsia" w:ascii="Times New Roman" w:hAnsi="Times New Roman" w:eastAsia="方正仿宋_GBK" w:cs="Times New Roman"/>
          <w:sz w:val="28"/>
          <w:szCs w:val="24"/>
          <w:lang w:val="en-US" w:eastAsia="uk-UA" w:bidi="ar-SA"/>
        </w:rPr>
        <w:t>万元，主要用于保证机关正常运转的办公及印刷费、邮电费、差旅费、会议费、福利费、专用材料及一般设备购置费、办公用房水电费、办公用房取暖费、日常维修费、办公楼物业管理费、公务车运行维护费等支出。</w:t>
      </w:r>
    </w:p>
    <w:p>
      <w:pPr>
        <w:numPr>
          <w:ilvl w:val="0"/>
          <w:numId w:val="2"/>
        </w:numPr>
        <w:spacing w:before="10" w:after="10" w:line="360" w:lineRule="auto"/>
        <w:ind w:left="0" w:leftChars="0" w:firstLine="640" w:firstLineChars="0"/>
        <w:jc w:val="left"/>
        <w:outlineLvl w:val="2"/>
        <w:rPr>
          <w:rFonts w:ascii="黑体" w:hAnsi="黑体" w:eastAsia="黑体" w:cs="黑体"/>
          <w:color w:val="000000"/>
          <w:sz w:val="32"/>
        </w:rPr>
      </w:pPr>
      <w:bookmarkStart w:id="12" w:name="_Toc15377"/>
      <w:r>
        <w:rPr>
          <w:rFonts w:ascii="黑体" w:hAnsi="黑体" w:eastAsia="黑体" w:cs="黑体"/>
          <w:color w:val="000000"/>
          <w:sz w:val="32"/>
        </w:rPr>
        <w:t>财政拨款“三公”经费预算情况及增减变化原因</w:t>
      </w:r>
      <w:bookmarkEnd w:id="12"/>
    </w:p>
    <w:p>
      <w:pPr>
        <w:spacing w:line="460" w:lineRule="exact"/>
        <w:ind w:firstLine="640"/>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w:t>
      </w:r>
      <w:r>
        <w:rPr>
          <w:rFonts w:hint="eastAsia" w:eastAsia="方正仿宋_GBK" w:cs="Times New Roman"/>
          <w:sz w:val="28"/>
          <w:szCs w:val="24"/>
          <w:lang w:val="en-US" w:eastAsia="zh-CN" w:bidi="ar-SA"/>
        </w:rPr>
        <w:t>本</w:t>
      </w:r>
      <w:r>
        <w:rPr>
          <w:rFonts w:hint="eastAsia" w:ascii="Times New Roman" w:hAnsi="Times New Roman" w:eastAsia="方正仿宋_GBK" w:cs="Times New Roman"/>
          <w:sz w:val="28"/>
          <w:szCs w:val="24"/>
          <w:lang w:val="en-US" w:eastAsia="uk-UA" w:bidi="ar-SA"/>
        </w:rPr>
        <w:t>部门财政拨款“三公”经费预算安排</w:t>
      </w:r>
      <w:r>
        <w:rPr>
          <w:rFonts w:hint="eastAsia" w:ascii="Times New Roman" w:hAnsi="Times New Roman" w:eastAsia="方正仿宋_GBK" w:cs="Times New Roman"/>
          <w:sz w:val="28"/>
          <w:szCs w:val="24"/>
          <w:lang w:val="en-US" w:eastAsia="zh-CN" w:bidi="ar-SA"/>
        </w:rPr>
        <w:t>2.20</w:t>
      </w:r>
      <w:r>
        <w:rPr>
          <w:rFonts w:hint="eastAsia" w:ascii="Times New Roman" w:hAnsi="Times New Roman" w:eastAsia="方正仿宋_GBK" w:cs="Times New Roman"/>
          <w:sz w:val="28"/>
          <w:szCs w:val="24"/>
          <w:lang w:val="en-US" w:eastAsia="uk-UA" w:bidi="ar-SA"/>
        </w:rPr>
        <w:t>万元，其中：因公出国（境）费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万元；公务用车购置及运维费</w:t>
      </w:r>
      <w:r>
        <w:rPr>
          <w:rFonts w:hint="eastAsia" w:ascii="Times New Roman" w:hAnsi="Times New Roman" w:eastAsia="方正仿宋_GBK" w:cs="Times New Roman"/>
          <w:sz w:val="28"/>
          <w:szCs w:val="24"/>
          <w:lang w:val="en-US" w:eastAsia="zh-CN" w:bidi="ar-SA"/>
        </w:rPr>
        <w:t>2.20</w:t>
      </w:r>
      <w:r>
        <w:rPr>
          <w:rFonts w:hint="eastAsia" w:ascii="Times New Roman" w:hAnsi="Times New Roman" w:eastAsia="方正仿宋_GBK" w:cs="Times New Roman"/>
          <w:sz w:val="28"/>
          <w:szCs w:val="24"/>
          <w:lang w:val="en-US" w:eastAsia="uk-UA" w:bidi="ar-SA"/>
        </w:rPr>
        <w:t>万元（其中：公务用车购置费0万元，公务用车运行维护费</w:t>
      </w:r>
      <w:r>
        <w:rPr>
          <w:rFonts w:hint="eastAsia" w:ascii="Times New Roman" w:hAnsi="Times New Roman" w:eastAsia="方正仿宋_GBK" w:cs="Times New Roman"/>
          <w:sz w:val="28"/>
          <w:szCs w:val="24"/>
          <w:lang w:val="en-US" w:eastAsia="zh-CN" w:bidi="ar-SA"/>
        </w:rPr>
        <w:t>2.20</w:t>
      </w:r>
      <w:r>
        <w:rPr>
          <w:rFonts w:hint="eastAsia" w:ascii="Times New Roman" w:hAnsi="Times New Roman" w:eastAsia="方正仿宋_GBK" w:cs="Times New Roman"/>
          <w:sz w:val="28"/>
          <w:szCs w:val="24"/>
          <w:lang w:val="en-US" w:eastAsia="uk-UA" w:bidi="ar-SA"/>
        </w:rPr>
        <w:t>万元)；公务接待费</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与2021年相比，</w:t>
      </w:r>
      <w:r>
        <w:rPr>
          <w:rFonts w:hint="eastAsia" w:ascii="Times New Roman" w:hAnsi="Times New Roman" w:eastAsia="方正仿宋_GBK" w:cs="Times New Roman"/>
          <w:sz w:val="28"/>
          <w:szCs w:val="24"/>
          <w:lang w:val="en-US" w:eastAsia="uk-UA" w:bidi="ar-SA"/>
        </w:rPr>
        <w:t>“三公”经费与上年持平，无增减变化。</w:t>
      </w:r>
    </w:p>
    <w:p>
      <w:pPr>
        <w:spacing w:before="10" w:after="10" w:line="360" w:lineRule="auto"/>
        <w:ind w:firstLine="640"/>
        <w:jc w:val="left"/>
        <w:outlineLvl w:val="2"/>
      </w:pPr>
      <w:bookmarkStart w:id="13" w:name="_Toc1912"/>
      <w:r>
        <w:rPr>
          <w:rFonts w:ascii="黑体" w:hAnsi="黑体" w:eastAsia="黑体" w:cs="黑体"/>
          <w:color w:val="000000"/>
          <w:sz w:val="32"/>
        </w:rPr>
        <w:t>五、预算绩效信息</w:t>
      </w:r>
      <w:bookmarkEnd w:id="13"/>
    </w:p>
    <w:p>
      <w:pPr>
        <w:spacing w:before="0" w:after="0" w:line="240" w:lineRule="auto"/>
        <w:ind w:firstLine="640"/>
        <w:jc w:val="left"/>
        <w:outlineLvl w:val="9"/>
        <w:rPr>
          <w:b w:val="0"/>
          <w:bCs/>
        </w:rPr>
      </w:pPr>
      <w:r>
        <w:rPr>
          <w:rFonts w:ascii="方正楷体_GBK" w:hAnsi="方正楷体_GBK" w:eastAsia="方正楷体_GBK" w:cs="方正楷体_GBK"/>
          <w:b w:val="0"/>
          <w:bCs/>
          <w:color w:val="000000"/>
          <w:sz w:val="28"/>
          <w:szCs w:val="28"/>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18"/>
      </w:pPr>
      <w:r>
        <w:t>一、总体绩效目标：深入贯彻习近平新时代中国特色社会主义思想和党的十九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群众反映强烈的严重违法违纪案件，确保全区社会大局持续稳定。不断提高人民群众的获得感、幸福感、安全感。</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19"/>
      </w:pPr>
      <w:r>
        <w:t>二、分项绩效目标</w:t>
      </w:r>
    </w:p>
    <w:p>
      <w:pPr>
        <w:pStyle w:val="19"/>
      </w:pPr>
      <w:r>
        <w:t>（一）</w:t>
      </w:r>
      <w:r>
        <w:tab/>
      </w:r>
      <w:r>
        <w:t>组织、协调、指导、检查全区社会管理综合治理工作，推动各项工作落实。社会治安突出问题得以解决，社会矛盾纠纷得以排查和调处，社会治安形势好转。</w:t>
      </w:r>
    </w:p>
    <w:p>
      <w:pPr>
        <w:pStyle w:val="19"/>
      </w:pPr>
      <w:r>
        <w:t>绩效目标：创新社会治理、建设更高水平平安藁城，打牢综治工作根基，提升建设成效，更好发挥首都政治护城河作用。</w:t>
      </w:r>
    </w:p>
    <w:p>
      <w:pPr>
        <w:pStyle w:val="19"/>
      </w:pPr>
      <w:r>
        <w:t>绩效指标：1、推进重点项目1个；见义勇为表彰率100%；人民调解案件500件以上，立体化社会治安防控体系覆盖率90%以上；全市城乡网格化管理覆盖率90%以上。2、通过政府采购，完成高标准区社会矛盾化解多元调解中心建设，工程完工率100%；同时安排31万元调解服务经费，保障区社会矛盾化解多元调解中心正常转运。3、为全区3681名精神病监护人按照100元/人标准购买责任保险；为全区88名重症严重精神障碍患者监护人按照2400元/人标准实施“以奖代补”；保障人民生命、财产安全，有效对冲社会风险。公众安全感指数达到90%以上。4、两会等重要时间节点完成铁路护路任务一次以上，确保0次涉路事件的发生。</w:t>
      </w:r>
    </w:p>
    <w:p>
      <w:pPr>
        <w:pStyle w:val="19"/>
      </w:pPr>
      <w:r>
        <w:t>（二）指导、协调和督导有关单位、区直政法各部门和各乡镇区排查、化解影响社会稳定的重大隐患、群体性事件和突发事件。</w:t>
      </w:r>
    </w:p>
    <w:p>
      <w:pPr>
        <w:pStyle w:val="19"/>
      </w:pPr>
      <w:r>
        <w:t>绩效目标：主要是用于两会期间及重大安保期间的特情，信息收集，为平安藁城创建提供后勤保障。发挥好首都政治护城河的作用。保障老百姓安居乐业。为我区经济发展保驾护航。</w:t>
      </w:r>
    </w:p>
    <w:p>
      <w:pPr>
        <w:pStyle w:val="19"/>
      </w:pPr>
      <w:r>
        <w:t>绩效指标：协调督导事项化解率90%以上；重大安保任务完成率90%以上；涉稳舆情处置率90%以上；重大活动突发事件发生率20%以下。</w:t>
      </w:r>
    </w:p>
    <w:p>
      <w:pPr>
        <w:pStyle w:val="19"/>
      </w:pPr>
      <w:r>
        <w:t>（三）加大司法救助，体现司法人文关怀</w:t>
      </w:r>
    </w:p>
    <w:p>
      <w:pPr>
        <w:pStyle w:val="19"/>
      </w:pPr>
      <w:r>
        <w:t>绩效目标：解决符合条件的特定案件当事人生活面临的急迫困难。彰显党和政府的民生关怀，促进社会和谐稳定。</w:t>
      </w:r>
    </w:p>
    <w:p>
      <w:pPr>
        <w:pStyle w:val="19"/>
      </w:pPr>
      <w:r>
        <w:t>绩效指标：每年救助人数不少于10起；资金发放及时率90%以上，息诉罢访率达到90%以上；信访积案化解率90%以上。</w:t>
      </w:r>
    </w:p>
    <w:p>
      <w:pPr>
        <w:pStyle w:val="19"/>
      </w:pPr>
      <w:r>
        <w:t>（四）深入开展扫黑除恶专项斗争</w:t>
      </w:r>
    </w:p>
    <w:p>
      <w:pPr>
        <w:pStyle w:val="19"/>
      </w:pPr>
      <w:r>
        <w:t>绩效目标：通过更全面，更深入的扫除黑恶势力，从源头打击犯罪，夯实党的执政根基，巩固党的执政基础，加强基层政权建设，维护国家长治久安。</w:t>
      </w:r>
    </w:p>
    <w:p>
      <w:pPr>
        <w:pStyle w:val="19"/>
      </w:pPr>
      <w:r>
        <w:t>绩效指标：创建无黑村28个，组织宣传活动2次；重大活动突发事件发生率20%以下。</w:t>
      </w:r>
    </w:p>
    <w:p>
      <w:pPr>
        <w:pStyle w:val="19"/>
      </w:pPr>
      <w:r>
        <w:t>（五）了解掌握各部门动态，协调督促各部门工作，负责政法网光纤租赁和综治中心正常运行管理。保障政法各部门和各内设处室各项工作运转紧张有序、正规高效运行。提高政法工作保障能力,提升综治中心实战化应用水平。</w:t>
      </w:r>
    </w:p>
    <w:p>
      <w:pPr>
        <w:pStyle w:val="19"/>
      </w:pPr>
      <w:r>
        <w:t>绩效目标：1政法网纵向连接省市区乡镇四级网络正常运营。横向维护公安，检察院、法院和司法系统信息共享受；2.综治中心电费得以保障，机器及时得到维护，机器正常运转。</w:t>
      </w:r>
    </w:p>
    <w:p>
      <w:pPr>
        <w:pStyle w:val="19"/>
      </w:pPr>
      <w:r>
        <w:t>绩效指标：保障政法网正常运行，坚持每天维护一次，异常处理能力90%以上，系统故障率10%以下，使用户满意率达到90%以上。综合事务保障率90%以上。</w:t>
      </w:r>
    </w:p>
    <w:p>
      <w:pPr>
        <w:pStyle w:val="19"/>
      </w:pPr>
      <w:r>
        <w:t>（六）统筹推动政法系统信息化工作，指导政法智能化建设。</w:t>
      </w:r>
    </w:p>
    <w:p>
      <w:pPr>
        <w:pStyle w:val="19"/>
      </w:pPr>
      <w:r>
        <w:t>绩效目标：通过购买网格员手机服务费、四级网及雪亮工程维保费，保障网络高效畅通。创新社会治理、建设更高水平平安藁城，打牢综治工作根基，更好发挥首都政治护城河作用。</w:t>
      </w:r>
    </w:p>
    <w:p>
      <w:pPr>
        <w:pStyle w:val="19"/>
      </w:pPr>
      <w:r>
        <w:t>绩效指标：1.政府采购率100%，系统响应速率90%以上，设计功能实现率达到90%以上，综合利用率90%以上。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0"/>
      </w:pPr>
      <w:r>
        <w:t>藁城区委政法委工作保障措施</w:t>
      </w:r>
    </w:p>
    <w:p>
      <w:pPr>
        <w:pStyle w:val="20"/>
      </w:pPr>
      <w:r>
        <w:t xml:space="preserve">1、完善制度建设    </w:t>
      </w:r>
    </w:p>
    <w:p>
      <w:pPr>
        <w:pStyle w:val="20"/>
      </w:pPr>
      <w:r>
        <w:rPr>
          <w:rFonts w:hint="eastAsia"/>
          <w:lang w:val="en-US" w:eastAsia="zh-CN"/>
        </w:rPr>
        <w:t>建</w:t>
      </w:r>
      <w:r>
        <w:t>立健全有效可行的财务制度，加强预算绩效的管理和监督，进一步加强预算资金管理办法的细化，提高预算资金的使用率，引入内部审计和监督机制，从而为全年预算绩效目标的实现奠定制度基础。</w:t>
      </w:r>
    </w:p>
    <w:p>
      <w:pPr>
        <w:pStyle w:val="20"/>
      </w:pPr>
      <w:r>
        <w:t xml:space="preserve">2、加强支出管理    </w:t>
      </w:r>
    </w:p>
    <w:p>
      <w:pPr>
        <w:pStyle w:val="20"/>
      </w:pPr>
      <w:r>
        <w:t>严格执行《预算法》，优化支出结构，坚决履行政府采购手续，提前着手启动各项目的实施，严格原始凭证管理监督，及时快速支付项目资金，按规定报送用款计划及时支付，确保各季度支出进度达标。</w:t>
      </w:r>
    </w:p>
    <w:p>
      <w:pPr>
        <w:pStyle w:val="20"/>
      </w:pPr>
      <w:r>
        <w:t xml:space="preserve">3、加强绩效运行监控    </w:t>
      </w:r>
    </w:p>
    <w:p>
      <w:pPr>
        <w:pStyle w:val="20"/>
      </w:pPr>
      <w:r>
        <w:t>每个预算项目的实施都要进行绩效评估，同进还要邀请内部监督人员实时跟踪和监查；发现问题及时解决，确保绩效目标如期保质实现。</w:t>
      </w:r>
    </w:p>
    <w:p>
      <w:pPr>
        <w:pStyle w:val="20"/>
      </w:pPr>
      <w:r>
        <w:t xml:space="preserve">4、做好绩效自评    </w:t>
      </w:r>
    </w:p>
    <w:p>
      <w:pPr>
        <w:pStyle w:val="20"/>
      </w:pPr>
      <w:r>
        <w:rPr>
          <w:rFonts w:hint="eastAsia"/>
          <w:lang w:val="en-US" w:eastAsia="zh-CN"/>
        </w:rPr>
        <w:t>建</w:t>
      </w:r>
      <w:r>
        <w:t>立健全绩效评价工作领导小组，按上级要求开展上年度部门预算绩效自评和重点评价工作，对评价中发现的问题及时整改，调整优化支出结构，提高财政资金使用效益。</w:t>
      </w:r>
    </w:p>
    <w:p>
      <w:pPr>
        <w:pStyle w:val="20"/>
      </w:pPr>
      <w:r>
        <w:t xml:space="preserve">5、规范财务资产管理   </w:t>
      </w:r>
    </w:p>
    <w:p>
      <w:pPr>
        <w:pStyle w:val="20"/>
      </w:pPr>
      <w:r>
        <w:t>完善财务管理制度，严格审批程序，加强固定资产登记、使用和报废处置管理，做到支出合理，物尽其用。</w:t>
      </w:r>
    </w:p>
    <w:p>
      <w:pPr>
        <w:pStyle w:val="20"/>
      </w:pPr>
      <w:r>
        <w:t xml:space="preserve">6、加强内部监督    </w:t>
      </w:r>
    </w:p>
    <w:p>
      <w:pPr>
        <w:pStyle w:val="20"/>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0"/>
      </w:pPr>
      <w:r>
        <w:t xml:space="preserve">7、加强宣传培训调研   </w:t>
      </w:r>
    </w:p>
    <w:p>
      <w:pPr>
        <w:pStyle w:val="20"/>
      </w:pPr>
      <w:r>
        <w:t>加强人员培训，提高本部门职工业务素质；加强调研，提出优化财政资金配置、提高资金使用效益的意见；加大宣传力度，强化预算绩效管理意识，促进预算绩效管理水平进一步提升。</w:t>
      </w:r>
    </w:p>
    <w:p>
      <w:pPr>
        <w:spacing w:before="0" w:after="0" w:line="240" w:lineRule="auto"/>
        <w:jc w:val="left"/>
        <w:outlineLvl w:val="9"/>
      </w:pPr>
    </w:p>
    <w:p>
      <w:pPr>
        <w:pStyle w:val="21"/>
        <w:spacing w:before="0" w:after="0" w:line="240" w:lineRule="auto"/>
        <w:ind w:firstLine="240" w:firstLineChars="100"/>
        <w:jc w:val="left"/>
        <w:outlineLvl w:val="9"/>
        <w:rPr>
          <w:b w:val="0"/>
          <w:bCs/>
          <w:sz w:val="24"/>
          <w:szCs w:val="24"/>
        </w:rPr>
      </w:pPr>
      <w:r>
        <w:rPr>
          <w:rFonts w:ascii="方正楷体_GBK" w:hAnsi="方正楷体_GBK" w:eastAsia="方正楷体_GBK" w:cs="方正楷体_GBK"/>
          <w:b w:val="0"/>
          <w:bCs/>
          <w:color w:val="000000"/>
          <w:sz w:val="24"/>
          <w:szCs w:val="24"/>
        </w:rPr>
        <w:t>第</w:t>
      </w:r>
      <w:r>
        <w:rPr>
          <w:rFonts w:hint="eastAsia" w:ascii="方正楷体_GBK" w:hAnsi="方正楷体_GBK" w:eastAsia="方正楷体_GBK" w:cs="方正楷体_GBK"/>
          <w:b w:val="0"/>
          <w:bCs/>
          <w:color w:val="000000"/>
          <w:sz w:val="24"/>
          <w:szCs w:val="24"/>
          <w:lang w:val="en-US" w:eastAsia="zh-CN"/>
        </w:rPr>
        <w:t>二</w:t>
      </w:r>
      <w:r>
        <w:rPr>
          <w:rFonts w:ascii="方正楷体_GBK" w:hAnsi="方正楷体_GBK" w:eastAsia="方正楷体_GBK" w:cs="方正楷体_GBK"/>
          <w:b w:val="0"/>
          <w:bCs/>
          <w:color w:val="000000"/>
          <w:sz w:val="24"/>
          <w:szCs w:val="24"/>
        </w:rPr>
        <w:t>部分  预算项目绩效目标</w:t>
      </w:r>
    </w:p>
    <w:p>
      <w:pPr>
        <w:pStyle w:val="21"/>
        <w:spacing w:before="0" w:after="0"/>
        <w:ind w:firstLine="560"/>
        <w:jc w:val="left"/>
        <w:outlineLvl w:val="9"/>
      </w:pPr>
      <w:r>
        <w:rPr>
          <w:rFonts w:ascii="方正仿宋_GBK" w:hAnsi="方正仿宋_GBK" w:eastAsia="方正仿宋_GBK" w:cs="方正仿宋_GBK"/>
          <w:b w:val="0"/>
          <w:bCs/>
          <w:color w:val="000000"/>
          <w:sz w:val="28"/>
        </w:rPr>
        <w:t>1、“雪亮工程”维护费绩效目标表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1.目标内容1因天气等自然灾害及电线老化自然损耗等原因发生故障时，得到正常维修保障，改善机器使用寿命进行的环境维护。</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设备稳定运行时长</w:t>
            </w:r>
          </w:p>
        </w:tc>
        <w:tc>
          <w:tcPr>
            <w:tcW w:w="2466" w:type="dxa"/>
            <w:vAlign w:val="center"/>
          </w:tcPr>
          <w:p>
            <w:pPr>
              <w:pStyle w:val="23"/>
            </w:pPr>
            <w:r>
              <w:t>全年网络设备稳定运行的累计时间</w:t>
            </w:r>
          </w:p>
        </w:tc>
        <w:tc>
          <w:tcPr>
            <w:tcW w:w="2466" w:type="dxa"/>
            <w:vAlign w:val="center"/>
          </w:tcPr>
          <w:p>
            <w:pPr>
              <w:pStyle w:val="23"/>
            </w:pPr>
            <w:r>
              <w:t>8760小时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机构正常转动保障率</w:t>
            </w:r>
          </w:p>
        </w:tc>
        <w:tc>
          <w:tcPr>
            <w:tcW w:w="2466" w:type="dxa"/>
            <w:vAlign w:val="center"/>
          </w:tcPr>
          <w:p>
            <w:pPr>
              <w:pStyle w:val="23"/>
            </w:pPr>
            <w:r>
              <w:t>保障办公场所机器设备正常运转，延长机器使用寿命。</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故障恢复时间</w:t>
            </w:r>
          </w:p>
        </w:tc>
        <w:tc>
          <w:tcPr>
            <w:tcW w:w="2466" w:type="dxa"/>
            <w:vAlign w:val="center"/>
          </w:tcPr>
          <w:p>
            <w:pPr>
              <w:pStyle w:val="23"/>
            </w:pPr>
            <w:r>
              <w:t>全年网络故障恢复累计用时</w:t>
            </w:r>
          </w:p>
        </w:tc>
        <w:tc>
          <w:tcPr>
            <w:tcW w:w="2466" w:type="dxa"/>
            <w:vAlign w:val="center"/>
          </w:tcPr>
          <w:p>
            <w:pPr>
              <w:pStyle w:val="23"/>
            </w:pPr>
            <w:r>
              <w:t>≤12小时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项目成本</w:t>
            </w:r>
          </w:p>
        </w:tc>
        <w:tc>
          <w:tcPr>
            <w:tcW w:w="2466" w:type="dxa"/>
            <w:vAlign w:val="center"/>
          </w:tcPr>
          <w:p>
            <w:pPr>
              <w:pStyle w:val="23"/>
            </w:pPr>
            <w:r>
              <w:t>项目成本预算控制数</w:t>
            </w:r>
          </w:p>
        </w:tc>
        <w:tc>
          <w:tcPr>
            <w:tcW w:w="2466" w:type="dxa"/>
            <w:vAlign w:val="center"/>
          </w:tcPr>
          <w:p>
            <w:pPr>
              <w:pStyle w:val="23"/>
            </w:pPr>
            <w:r>
              <w:t>≤7.52万元</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保障政法各部门业务应用</w:t>
            </w:r>
          </w:p>
        </w:tc>
        <w:tc>
          <w:tcPr>
            <w:tcW w:w="2466" w:type="dxa"/>
            <w:vAlign w:val="center"/>
          </w:tcPr>
          <w:p>
            <w:pPr>
              <w:pStyle w:val="23"/>
            </w:pPr>
            <w:r>
              <w:t>依托政法三级网，保障政法各单位政法网应用系统网络安全稳定。</w:t>
            </w:r>
          </w:p>
        </w:tc>
        <w:tc>
          <w:tcPr>
            <w:tcW w:w="2466" w:type="dxa"/>
            <w:vAlign w:val="center"/>
          </w:tcPr>
          <w:p>
            <w:pPr>
              <w:pStyle w:val="23"/>
            </w:pPr>
            <w:r>
              <w:t>网络运行顺畅，数据传输及时准确。</w:t>
            </w:r>
          </w:p>
        </w:tc>
        <w:tc>
          <w:tcPr>
            <w:tcW w:w="2466" w:type="dxa"/>
            <w:vAlign w:val="center"/>
          </w:tcPr>
          <w:p>
            <w:pPr>
              <w:pStyle w:val="23"/>
            </w:pPr>
            <w:r>
              <w:t>冀政法字【2015】12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服务对象满意度</w:t>
            </w:r>
          </w:p>
        </w:tc>
        <w:tc>
          <w:tcPr>
            <w:tcW w:w="2466" w:type="dxa"/>
            <w:vAlign w:val="center"/>
          </w:tcPr>
          <w:p>
            <w:pPr>
              <w:pStyle w:val="23"/>
            </w:pPr>
            <w:r>
              <w:t>使用部门对维保部门提供服务的满意度</w:t>
            </w:r>
          </w:p>
        </w:tc>
        <w:tc>
          <w:tcPr>
            <w:tcW w:w="2466" w:type="dxa"/>
            <w:vAlign w:val="center"/>
          </w:tcPr>
          <w:p>
            <w:pPr>
              <w:pStyle w:val="23"/>
            </w:pPr>
            <w:r>
              <w:t>≥90%</w:t>
            </w:r>
          </w:p>
        </w:tc>
        <w:tc>
          <w:tcPr>
            <w:tcW w:w="2466" w:type="dxa"/>
            <w:vAlign w:val="center"/>
          </w:tcPr>
          <w:p>
            <w:pPr>
              <w:pStyle w:val="23"/>
            </w:pPr>
            <w:r>
              <w:t>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2、调解服务经费绩效目标表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1.目标内容1化解疑难矛盾纠纷，力争把矛盾化解在基层。夯实基层基础，坚持源头治理。</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调解案件数</w:t>
            </w:r>
          </w:p>
        </w:tc>
        <w:tc>
          <w:tcPr>
            <w:tcW w:w="2466" w:type="dxa"/>
            <w:vAlign w:val="center"/>
          </w:tcPr>
          <w:p>
            <w:pPr>
              <w:pStyle w:val="23"/>
            </w:pPr>
            <w:r>
              <w:t>人民调解案件数量</w:t>
            </w:r>
          </w:p>
        </w:tc>
        <w:tc>
          <w:tcPr>
            <w:tcW w:w="2466" w:type="dxa"/>
            <w:vAlign w:val="center"/>
          </w:tcPr>
          <w:p>
            <w:pPr>
              <w:pStyle w:val="23"/>
            </w:pPr>
            <w:r>
              <w:t>≥500件</w:t>
            </w:r>
          </w:p>
        </w:tc>
        <w:tc>
          <w:tcPr>
            <w:tcW w:w="2466" w:type="dxa"/>
            <w:vAlign w:val="center"/>
          </w:tcPr>
          <w:p>
            <w:pPr>
              <w:pStyle w:val="23"/>
            </w:pPr>
            <w:r>
              <w:t>历年统计数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民事案件调解撤诉率(%)</w:t>
            </w:r>
          </w:p>
        </w:tc>
        <w:tc>
          <w:tcPr>
            <w:tcW w:w="2466" w:type="dxa"/>
            <w:vAlign w:val="center"/>
          </w:tcPr>
          <w:p>
            <w:pPr>
              <w:pStyle w:val="23"/>
            </w:pPr>
            <w:r>
              <w:t>调解案件办结率（%）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调解案件办结率（%）</w:t>
            </w:r>
          </w:p>
        </w:tc>
        <w:tc>
          <w:tcPr>
            <w:tcW w:w="2466" w:type="dxa"/>
            <w:vAlign w:val="center"/>
          </w:tcPr>
          <w:p>
            <w:pPr>
              <w:pStyle w:val="23"/>
            </w:pPr>
            <w:r>
              <w:t>办结案件数量占调解案件总数的比率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严控成本，合理使用年初预算。</w:t>
            </w:r>
          </w:p>
        </w:tc>
        <w:tc>
          <w:tcPr>
            <w:tcW w:w="2466" w:type="dxa"/>
            <w:vAlign w:val="center"/>
          </w:tcPr>
          <w:p>
            <w:pPr>
              <w:pStyle w:val="23"/>
            </w:pPr>
            <w:r>
              <w:t>≤31万元</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重大活动突发事件发生率(%)</w:t>
            </w:r>
          </w:p>
        </w:tc>
        <w:tc>
          <w:tcPr>
            <w:tcW w:w="2466" w:type="dxa"/>
            <w:vAlign w:val="center"/>
          </w:tcPr>
          <w:p>
            <w:pPr>
              <w:pStyle w:val="23"/>
            </w:pPr>
            <w:r>
              <w:t>发生突发事件的重大活动数量占全部重大活动的比率（反</w:t>
            </w:r>
          </w:p>
          <w:p>
            <w:pPr>
              <w:pStyle w:val="23"/>
            </w:pPr>
            <w:r>
              <w:t>向指标）</w:t>
            </w:r>
          </w:p>
        </w:tc>
        <w:tc>
          <w:tcPr>
            <w:tcW w:w="2466" w:type="dxa"/>
            <w:vAlign w:val="center"/>
          </w:tcPr>
          <w:p>
            <w:pPr>
              <w:pStyle w:val="23"/>
            </w:pPr>
            <w:r>
              <w:t>≤5%</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接待群众的满意率</w:t>
            </w:r>
          </w:p>
        </w:tc>
        <w:tc>
          <w:tcPr>
            <w:tcW w:w="2466" w:type="dxa"/>
            <w:vAlign w:val="center"/>
          </w:tcPr>
          <w:p>
            <w:pPr>
              <w:pStyle w:val="23"/>
            </w:pPr>
            <w:r>
              <w:t>受访群众对调解人员工作的满意率</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3、两会期间铁路护路雇佣人员补助绩效目标表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1.目标内容1保障铁路安全运营。通过宣传教育，形成人人参与社会平安藁城建设的浓厚氛围</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全年护路任务次数</w:t>
            </w:r>
          </w:p>
        </w:tc>
        <w:tc>
          <w:tcPr>
            <w:tcW w:w="2466" w:type="dxa"/>
            <w:vAlign w:val="center"/>
          </w:tcPr>
          <w:p>
            <w:pPr>
              <w:pStyle w:val="23"/>
            </w:pPr>
            <w:r>
              <w:t>每年两会及重大安保护路次数</w:t>
            </w:r>
          </w:p>
        </w:tc>
        <w:tc>
          <w:tcPr>
            <w:tcW w:w="2466" w:type="dxa"/>
            <w:vAlign w:val="center"/>
          </w:tcPr>
          <w:p>
            <w:pPr>
              <w:pStyle w:val="23"/>
            </w:pPr>
            <w:r>
              <w:t>≥1次</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涉路事案件发生个数</w:t>
            </w:r>
          </w:p>
        </w:tc>
        <w:tc>
          <w:tcPr>
            <w:tcW w:w="2466" w:type="dxa"/>
            <w:vAlign w:val="center"/>
          </w:tcPr>
          <w:p>
            <w:pPr>
              <w:pStyle w:val="23"/>
            </w:pPr>
            <w:r>
              <w:t>铁路畅通情况</w:t>
            </w:r>
          </w:p>
        </w:tc>
        <w:tc>
          <w:tcPr>
            <w:tcW w:w="2466" w:type="dxa"/>
            <w:vAlign w:val="center"/>
          </w:tcPr>
          <w:p>
            <w:pPr>
              <w:pStyle w:val="23"/>
            </w:pPr>
            <w:r>
              <w:t>&lt;1个</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完成时间节点</w:t>
            </w:r>
          </w:p>
        </w:tc>
        <w:tc>
          <w:tcPr>
            <w:tcW w:w="2466" w:type="dxa"/>
            <w:vAlign w:val="center"/>
          </w:tcPr>
          <w:p>
            <w:pPr>
              <w:pStyle w:val="23"/>
            </w:pPr>
            <w:r>
              <w:t>两会及重大安保时期过后完成资金支付</w:t>
            </w:r>
          </w:p>
        </w:tc>
        <w:tc>
          <w:tcPr>
            <w:tcW w:w="2466" w:type="dxa"/>
            <w:vAlign w:val="center"/>
          </w:tcPr>
          <w:p>
            <w:pPr>
              <w:pStyle w:val="23"/>
            </w:pPr>
            <w:r>
              <w:t>两会及重大安保结束后完成</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全区每天网点补助款</w:t>
            </w:r>
          </w:p>
        </w:tc>
        <w:tc>
          <w:tcPr>
            <w:tcW w:w="2466" w:type="dxa"/>
            <w:vAlign w:val="center"/>
          </w:tcPr>
          <w:p>
            <w:pPr>
              <w:pStyle w:val="23"/>
            </w:pPr>
            <w:r>
              <w:t>全区共设49个网点，每个网点4人，每人30元标准补贴</w:t>
            </w:r>
          </w:p>
        </w:tc>
        <w:tc>
          <w:tcPr>
            <w:tcW w:w="2466" w:type="dxa"/>
            <w:vAlign w:val="center"/>
          </w:tcPr>
          <w:p>
            <w:pPr>
              <w:pStyle w:val="23"/>
            </w:pPr>
            <w:r>
              <w:t>≥5880元</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铁路护路突发事件发生率(%)</w:t>
            </w:r>
          </w:p>
        </w:tc>
        <w:tc>
          <w:tcPr>
            <w:tcW w:w="2466" w:type="dxa"/>
            <w:vAlign w:val="center"/>
          </w:tcPr>
          <w:p>
            <w:pPr>
              <w:pStyle w:val="23"/>
            </w:pPr>
            <w:r>
              <w:t>铁路护路发生突发事件的重大活动数量占全部重大活动的比率（反向指标）</w:t>
            </w:r>
          </w:p>
        </w:tc>
        <w:tc>
          <w:tcPr>
            <w:tcW w:w="2466" w:type="dxa"/>
            <w:vAlign w:val="center"/>
          </w:tcPr>
          <w:p>
            <w:pPr>
              <w:pStyle w:val="23"/>
            </w:pPr>
            <w:r>
              <w:t>≤20%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铁路沿线老百姓满意率</w:t>
            </w:r>
          </w:p>
        </w:tc>
        <w:tc>
          <w:tcPr>
            <w:tcW w:w="2466" w:type="dxa"/>
            <w:vAlign w:val="center"/>
          </w:tcPr>
          <w:p>
            <w:pPr>
              <w:pStyle w:val="23"/>
            </w:pPr>
            <w:r>
              <w:t>沿线老百姓对铁路安全满意度</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4、扫黑除恶工作经费绩效目标表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1.目标内容1通过更全面，更深入的扫除黑恶势力，从源头打击犯罪，夯实党的执政根基，巩固党的执政基础，加强基层政权建设，维护国家长治久安。</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无黑村创建数量</w:t>
            </w:r>
          </w:p>
        </w:tc>
        <w:tc>
          <w:tcPr>
            <w:tcW w:w="2466" w:type="dxa"/>
            <w:vAlign w:val="center"/>
          </w:tcPr>
          <w:p>
            <w:pPr>
              <w:pStyle w:val="23"/>
            </w:pPr>
            <w:r>
              <w:t>无黑示范村数量</w:t>
            </w:r>
          </w:p>
        </w:tc>
        <w:tc>
          <w:tcPr>
            <w:tcW w:w="2466" w:type="dxa"/>
            <w:vAlign w:val="center"/>
          </w:tcPr>
          <w:p>
            <w:pPr>
              <w:pStyle w:val="23"/>
            </w:pPr>
            <w:r>
              <w:t>≥28个</w:t>
            </w:r>
          </w:p>
        </w:tc>
        <w:tc>
          <w:tcPr>
            <w:tcW w:w="2466" w:type="dxa"/>
            <w:vAlign w:val="center"/>
          </w:tcPr>
          <w:p>
            <w:pPr>
              <w:pStyle w:val="23"/>
            </w:pPr>
            <w:r>
              <w:t>中发[2018]3 号冀发[2018]5 号</w:t>
            </w:r>
          </w:p>
          <w:p>
            <w:pPr>
              <w:pStyle w:val="23"/>
            </w:pPr>
            <w:r>
              <w:t>石发[2018]4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组织宣传活动次数（次）</w:t>
            </w:r>
          </w:p>
        </w:tc>
        <w:tc>
          <w:tcPr>
            <w:tcW w:w="2466" w:type="dxa"/>
            <w:vAlign w:val="center"/>
          </w:tcPr>
          <w:p>
            <w:pPr>
              <w:pStyle w:val="23"/>
            </w:pPr>
            <w:r>
              <w:t>组织宣传活动次数</w:t>
            </w:r>
          </w:p>
        </w:tc>
        <w:tc>
          <w:tcPr>
            <w:tcW w:w="2466" w:type="dxa"/>
            <w:vAlign w:val="center"/>
          </w:tcPr>
          <w:p>
            <w:pPr>
              <w:pStyle w:val="23"/>
            </w:pPr>
            <w:r>
              <w:t>≥2次</w:t>
            </w:r>
          </w:p>
        </w:tc>
        <w:tc>
          <w:tcPr>
            <w:tcW w:w="2466" w:type="dxa"/>
            <w:vAlign w:val="center"/>
          </w:tcPr>
          <w:p>
            <w:pPr>
              <w:pStyle w:val="23"/>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完成支付进度月份</w:t>
            </w:r>
          </w:p>
        </w:tc>
        <w:tc>
          <w:tcPr>
            <w:tcW w:w="2466" w:type="dxa"/>
            <w:vAlign w:val="center"/>
          </w:tcPr>
          <w:p>
            <w:pPr>
              <w:pStyle w:val="23"/>
            </w:pPr>
            <w:r>
              <w:t>保障全年工作完成，又要完成支出进度</w:t>
            </w:r>
          </w:p>
        </w:tc>
        <w:tc>
          <w:tcPr>
            <w:tcW w:w="2466" w:type="dxa"/>
            <w:vAlign w:val="center"/>
          </w:tcPr>
          <w:p>
            <w:pPr>
              <w:pStyle w:val="23"/>
            </w:pPr>
            <w:r>
              <w:t>≥10月份</w:t>
            </w:r>
          </w:p>
        </w:tc>
        <w:tc>
          <w:tcPr>
            <w:tcW w:w="2466" w:type="dxa"/>
            <w:vAlign w:val="center"/>
          </w:tcPr>
          <w:p>
            <w:pPr>
              <w:pStyle w:val="23"/>
            </w:pPr>
            <w:r>
              <w:t>保障全年工作完成，又要完成支出进度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办案经费</w:t>
            </w:r>
          </w:p>
        </w:tc>
        <w:tc>
          <w:tcPr>
            <w:tcW w:w="2466" w:type="dxa"/>
            <w:vAlign w:val="center"/>
          </w:tcPr>
          <w:p>
            <w:pPr>
              <w:pStyle w:val="23"/>
            </w:pPr>
            <w:r>
              <w:t>财政落实保障申请资金</w:t>
            </w:r>
          </w:p>
        </w:tc>
        <w:tc>
          <w:tcPr>
            <w:tcW w:w="2466" w:type="dxa"/>
            <w:vAlign w:val="center"/>
          </w:tcPr>
          <w:p>
            <w:pPr>
              <w:pStyle w:val="23"/>
            </w:pPr>
            <w:r>
              <w:t>17万元</w:t>
            </w:r>
          </w:p>
        </w:tc>
        <w:tc>
          <w:tcPr>
            <w:tcW w:w="2466" w:type="dxa"/>
            <w:vAlign w:val="center"/>
          </w:tcPr>
          <w:p>
            <w:pPr>
              <w:pStyle w:val="23"/>
            </w:pPr>
            <w:r>
              <w:t>中发[2018]3 号；冀发[2018]5 号；石发[2018]4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重大活动突发事件发生率(%)</w:t>
            </w:r>
          </w:p>
        </w:tc>
        <w:tc>
          <w:tcPr>
            <w:tcW w:w="2466" w:type="dxa"/>
            <w:vAlign w:val="center"/>
          </w:tcPr>
          <w:p>
            <w:pPr>
              <w:pStyle w:val="23"/>
            </w:pPr>
            <w:r>
              <w:t>发生突发事件的重大活动数量占全部重大活动的比率（反向指标）</w:t>
            </w:r>
          </w:p>
        </w:tc>
        <w:tc>
          <w:tcPr>
            <w:tcW w:w="2466" w:type="dxa"/>
            <w:vAlign w:val="center"/>
          </w:tcPr>
          <w:p>
            <w:pPr>
              <w:pStyle w:val="23"/>
            </w:pPr>
            <w:r>
              <w:t>≤20%</w:t>
            </w:r>
          </w:p>
        </w:tc>
        <w:tc>
          <w:tcPr>
            <w:tcW w:w="2466" w:type="dxa"/>
            <w:vAlign w:val="center"/>
          </w:tcPr>
          <w:p>
            <w:pPr>
              <w:pStyle w:val="23"/>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突发事件处理群众满意度（%）</w:t>
            </w:r>
          </w:p>
        </w:tc>
        <w:tc>
          <w:tcPr>
            <w:tcW w:w="2466" w:type="dxa"/>
            <w:vAlign w:val="center"/>
          </w:tcPr>
          <w:p>
            <w:pPr>
              <w:pStyle w:val="23"/>
            </w:pPr>
            <w:r>
              <w:t>通过抽查问卷的方式，调查部分群众对突发事件处理的满意度</w:t>
            </w:r>
          </w:p>
        </w:tc>
        <w:tc>
          <w:tcPr>
            <w:tcW w:w="2466" w:type="dxa"/>
            <w:vAlign w:val="center"/>
          </w:tcPr>
          <w:p>
            <w:pPr>
              <w:pStyle w:val="23"/>
            </w:pPr>
            <w:r>
              <w:t>≥90%</w:t>
            </w:r>
          </w:p>
        </w:tc>
        <w:tc>
          <w:tcPr>
            <w:tcW w:w="2466" w:type="dxa"/>
            <w:vAlign w:val="center"/>
          </w:tcPr>
          <w:p>
            <w:pPr>
              <w:pStyle w:val="23"/>
            </w:pPr>
            <w:r>
              <w:t>本单位工作安排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5、涉法涉诉专项资金绩效目标表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1.目标内容1解决符合条件的特定案件当事人生活面临的急迫困难。彰显党和政府的民生关怀，消除信访隐患，促进社会和谐稳定。</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救助人数</w:t>
            </w:r>
          </w:p>
        </w:tc>
        <w:tc>
          <w:tcPr>
            <w:tcW w:w="2466" w:type="dxa"/>
            <w:vAlign w:val="center"/>
          </w:tcPr>
          <w:p>
            <w:pPr>
              <w:pStyle w:val="23"/>
            </w:pPr>
            <w:r>
              <w:t>每年司法救助人数</w:t>
            </w:r>
          </w:p>
        </w:tc>
        <w:tc>
          <w:tcPr>
            <w:tcW w:w="2466" w:type="dxa"/>
            <w:vAlign w:val="center"/>
          </w:tcPr>
          <w:p>
            <w:pPr>
              <w:pStyle w:val="23"/>
            </w:pPr>
            <w:r>
              <w:t>≥10人</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信访案件化解率</w:t>
            </w:r>
          </w:p>
        </w:tc>
        <w:tc>
          <w:tcPr>
            <w:tcW w:w="2466" w:type="dxa"/>
            <w:vAlign w:val="center"/>
          </w:tcPr>
          <w:p>
            <w:pPr>
              <w:pStyle w:val="23"/>
            </w:pPr>
            <w:r>
              <w:t>通过救助，促进信访积案得以化解，确保信访人息诉罢访。</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救助资金及时发放</w:t>
            </w:r>
          </w:p>
        </w:tc>
        <w:tc>
          <w:tcPr>
            <w:tcW w:w="2466" w:type="dxa"/>
            <w:vAlign w:val="center"/>
          </w:tcPr>
          <w:p>
            <w:pPr>
              <w:pStyle w:val="23"/>
            </w:pPr>
            <w:r>
              <w:t>救助资金财政拨付后及时拨付政法各单位</w:t>
            </w:r>
          </w:p>
        </w:tc>
        <w:tc>
          <w:tcPr>
            <w:tcW w:w="2466" w:type="dxa"/>
            <w:vAlign w:val="center"/>
          </w:tcPr>
          <w:p>
            <w:pPr>
              <w:pStyle w:val="23"/>
            </w:pPr>
            <w:r>
              <w:t>≥3月</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项目成本控制预算数</w:t>
            </w:r>
          </w:p>
        </w:tc>
        <w:tc>
          <w:tcPr>
            <w:tcW w:w="2466" w:type="dxa"/>
            <w:vAlign w:val="center"/>
          </w:tcPr>
          <w:p>
            <w:pPr>
              <w:pStyle w:val="23"/>
            </w:pPr>
            <w:r>
              <w:t>≤30万元</w:t>
            </w:r>
          </w:p>
        </w:tc>
        <w:tc>
          <w:tcPr>
            <w:tcW w:w="2466" w:type="dxa"/>
            <w:vAlign w:val="center"/>
          </w:tcPr>
          <w:p>
            <w:pPr>
              <w:pStyle w:val="2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救助人员息诉罢访率</w:t>
            </w:r>
          </w:p>
        </w:tc>
        <w:tc>
          <w:tcPr>
            <w:tcW w:w="2466" w:type="dxa"/>
            <w:vAlign w:val="center"/>
          </w:tcPr>
          <w:p>
            <w:pPr>
              <w:pStyle w:val="23"/>
            </w:pPr>
            <w:r>
              <w:t>争取通过司法救助，救助人员做到息诉罢访，维护社会稳定，二是体现党对困难群体的关怀。</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救助人员满意度</w:t>
            </w:r>
          </w:p>
        </w:tc>
        <w:tc>
          <w:tcPr>
            <w:tcW w:w="2466" w:type="dxa"/>
            <w:vAlign w:val="center"/>
          </w:tcPr>
          <w:p>
            <w:pPr>
              <w:pStyle w:val="23"/>
            </w:pPr>
            <w:r>
              <w:t>满意人数占调查人数的比例</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6、维稳工作经费绩效目标表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1.目标内容1发挥好首都政治护城河的作用。保障老百姓安居乐业。为我区经济发展保驾护航。</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社会治安稳定形势分析研判次数</w:t>
            </w:r>
          </w:p>
        </w:tc>
        <w:tc>
          <w:tcPr>
            <w:tcW w:w="2466" w:type="dxa"/>
            <w:vAlign w:val="center"/>
          </w:tcPr>
          <w:p>
            <w:pPr>
              <w:pStyle w:val="23"/>
            </w:pPr>
            <w:r>
              <w:t>每季度召开社会治安稳定形势分析研判</w:t>
            </w:r>
          </w:p>
        </w:tc>
        <w:tc>
          <w:tcPr>
            <w:tcW w:w="2466" w:type="dxa"/>
            <w:vAlign w:val="center"/>
          </w:tcPr>
          <w:p>
            <w:pPr>
              <w:pStyle w:val="23"/>
            </w:pPr>
            <w:r>
              <w:t>4次</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重大安保任务完成率(%)</w:t>
            </w:r>
          </w:p>
        </w:tc>
        <w:tc>
          <w:tcPr>
            <w:tcW w:w="2466" w:type="dxa"/>
            <w:vAlign w:val="center"/>
          </w:tcPr>
          <w:p>
            <w:pPr>
              <w:pStyle w:val="23"/>
            </w:pPr>
            <w:r>
              <w:t>完成的安保任务占任务总数的比率</w:t>
            </w:r>
          </w:p>
        </w:tc>
        <w:tc>
          <w:tcPr>
            <w:tcW w:w="2466" w:type="dxa"/>
            <w:vAlign w:val="center"/>
          </w:tcPr>
          <w:p>
            <w:pPr>
              <w:pStyle w:val="23"/>
            </w:pPr>
            <w:r>
              <w:t>≥90%</w:t>
            </w:r>
          </w:p>
        </w:tc>
        <w:tc>
          <w:tcPr>
            <w:tcW w:w="2466" w:type="dxa"/>
            <w:vAlign w:val="center"/>
          </w:tcPr>
          <w:p>
            <w:pPr>
              <w:pStyle w:val="23"/>
            </w:pPr>
            <w:r>
              <w:t>石发〔2001〕21 号、石办字</w:t>
            </w:r>
          </w:p>
          <w:p>
            <w:pPr>
              <w:pStyle w:val="23"/>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涉稳舆情处置率(%)</w:t>
            </w:r>
          </w:p>
        </w:tc>
        <w:tc>
          <w:tcPr>
            <w:tcW w:w="2466" w:type="dxa"/>
            <w:vAlign w:val="center"/>
          </w:tcPr>
          <w:p>
            <w:pPr>
              <w:pStyle w:val="23"/>
            </w:pPr>
            <w:r>
              <w:t>处置的涉稳舆情数占涉稳网络舆情总数的比率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年落实维稳经费</w:t>
            </w:r>
          </w:p>
        </w:tc>
        <w:tc>
          <w:tcPr>
            <w:tcW w:w="2466" w:type="dxa"/>
            <w:vAlign w:val="center"/>
          </w:tcPr>
          <w:p>
            <w:pPr>
              <w:pStyle w:val="23"/>
            </w:pPr>
            <w:r>
              <w:t>县区级按照10-20万元标准落实</w:t>
            </w:r>
          </w:p>
        </w:tc>
        <w:tc>
          <w:tcPr>
            <w:tcW w:w="2466" w:type="dxa"/>
            <w:vAlign w:val="center"/>
          </w:tcPr>
          <w:p>
            <w:pPr>
              <w:pStyle w:val="23"/>
            </w:pPr>
            <w:r>
              <w:t>10万元/年</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重大活动突发事件发生率(%)</w:t>
            </w:r>
          </w:p>
        </w:tc>
        <w:tc>
          <w:tcPr>
            <w:tcW w:w="2466" w:type="dxa"/>
            <w:vAlign w:val="center"/>
          </w:tcPr>
          <w:p>
            <w:pPr>
              <w:pStyle w:val="23"/>
            </w:pPr>
            <w:r>
              <w:t>发生突发事件的重大活动数量占全部重大活动的比率（反向指标）</w:t>
            </w:r>
          </w:p>
        </w:tc>
        <w:tc>
          <w:tcPr>
            <w:tcW w:w="2466" w:type="dxa"/>
            <w:vAlign w:val="center"/>
          </w:tcPr>
          <w:p>
            <w:pPr>
              <w:pStyle w:val="23"/>
            </w:pPr>
            <w:r>
              <w:t>≤5%</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w:t>
            </w:r>
          </w:p>
        </w:tc>
        <w:tc>
          <w:tcPr>
            <w:tcW w:w="2466" w:type="dxa"/>
            <w:vAlign w:val="center"/>
          </w:tcPr>
          <w:p>
            <w:pPr>
              <w:pStyle w:val="23"/>
            </w:pPr>
            <w:r>
              <w:t>通过抽查问卷的方式，调查部分群众对突发事件处理的满意度</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7、政法四级网维保费绩效目标表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1.目标内容1因天气等自然灾害及电线老化自然损耗等原因发生故障时，得到正常维修保障，改善机器使用寿命进行的环境维护。</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设备稳定运行时长</w:t>
            </w:r>
          </w:p>
        </w:tc>
        <w:tc>
          <w:tcPr>
            <w:tcW w:w="2466" w:type="dxa"/>
            <w:vAlign w:val="center"/>
          </w:tcPr>
          <w:p>
            <w:pPr>
              <w:pStyle w:val="23"/>
            </w:pPr>
            <w:r>
              <w:t>全年网络设备稳定运行的累计时间</w:t>
            </w:r>
          </w:p>
        </w:tc>
        <w:tc>
          <w:tcPr>
            <w:tcW w:w="2466" w:type="dxa"/>
            <w:vAlign w:val="center"/>
          </w:tcPr>
          <w:p>
            <w:pPr>
              <w:pStyle w:val="23"/>
            </w:pPr>
            <w:r>
              <w:t>8760小时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机构正常转动保障率</w:t>
            </w:r>
          </w:p>
        </w:tc>
        <w:tc>
          <w:tcPr>
            <w:tcW w:w="2466" w:type="dxa"/>
            <w:vAlign w:val="center"/>
          </w:tcPr>
          <w:p>
            <w:pPr>
              <w:pStyle w:val="23"/>
            </w:pPr>
            <w:r>
              <w:t>保障办公场所机器设备正常运转，延长机器使用寿命。</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故障恢复时间</w:t>
            </w:r>
          </w:p>
        </w:tc>
        <w:tc>
          <w:tcPr>
            <w:tcW w:w="2466" w:type="dxa"/>
            <w:vAlign w:val="center"/>
          </w:tcPr>
          <w:p>
            <w:pPr>
              <w:pStyle w:val="23"/>
            </w:pPr>
            <w:r>
              <w:t>全年网络故障恢复累计用时</w:t>
            </w:r>
          </w:p>
        </w:tc>
        <w:tc>
          <w:tcPr>
            <w:tcW w:w="2466" w:type="dxa"/>
            <w:vAlign w:val="center"/>
          </w:tcPr>
          <w:p>
            <w:pPr>
              <w:pStyle w:val="23"/>
            </w:pPr>
            <w:r>
              <w:t>≤12小时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项目成本控制预算数</w:t>
            </w:r>
          </w:p>
        </w:tc>
        <w:tc>
          <w:tcPr>
            <w:tcW w:w="2466" w:type="dxa"/>
            <w:vAlign w:val="center"/>
          </w:tcPr>
          <w:p>
            <w:pPr>
              <w:pStyle w:val="23"/>
            </w:pPr>
            <w:r>
              <w:t>≤238.38万元</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保障政法各部门业务应用</w:t>
            </w:r>
          </w:p>
        </w:tc>
        <w:tc>
          <w:tcPr>
            <w:tcW w:w="2466" w:type="dxa"/>
            <w:vAlign w:val="center"/>
          </w:tcPr>
          <w:p>
            <w:pPr>
              <w:pStyle w:val="23"/>
            </w:pPr>
            <w:r>
              <w:t>依托政法三级网，保障政法各单位政法网应用系统网络安全稳定。</w:t>
            </w:r>
          </w:p>
        </w:tc>
        <w:tc>
          <w:tcPr>
            <w:tcW w:w="2466" w:type="dxa"/>
            <w:vAlign w:val="center"/>
          </w:tcPr>
          <w:p>
            <w:pPr>
              <w:pStyle w:val="23"/>
            </w:pPr>
            <w:r>
              <w:t>网络运行顺畅，数据传输及时准确。</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服务对象满意度</w:t>
            </w:r>
          </w:p>
        </w:tc>
        <w:tc>
          <w:tcPr>
            <w:tcW w:w="2466" w:type="dxa"/>
            <w:vAlign w:val="center"/>
          </w:tcPr>
          <w:p>
            <w:pPr>
              <w:pStyle w:val="23"/>
            </w:pPr>
            <w:r>
              <w:t>使用部门对维保部门提供服务的满意度</w:t>
            </w:r>
          </w:p>
        </w:tc>
        <w:tc>
          <w:tcPr>
            <w:tcW w:w="2466" w:type="dxa"/>
            <w:vAlign w:val="center"/>
          </w:tcPr>
          <w:p>
            <w:pPr>
              <w:pStyle w:val="23"/>
            </w:pPr>
            <w:r>
              <w:t>≥90%</w:t>
            </w:r>
          </w:p>
        </w:tc>
        <w:tc>
          <w:tcPr>
            <w:tcW w:w="2466" w:type="dxa"/>
            <w:vAlign w:val="center"/>
          </w:tcPr>
          <w:p>
            <w:pPr>
              <w:pStyle w:val="23"/>
            </w:pPr>
            <w:r>
              <w:t>工作安排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jc w:val="left"/>
        <w:outlineLvl w:val="9"/>
        <w:rPr>
          <w:rFonts w:ascii="方正仿宋_GBK" w:hAnsi="方正仿宋_GBK" w:eastAsia="方正仿宋_GBK" w:cs="方正仿宋_GBK"/>
          <w:b/>
          <w:color w:val="000000"/>
          <w:sz w:val="28"/>
        </w:rPr>
      </w:pPr>
    </w:p>
    <w:p>
      <w:pPr>
        <w:pStyle w:val="21"/>
        <w:spacing w:before="0" w:after="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8、政法网运行维护经费绩效目标表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1.目标内容1保障机器正常运转及减少机器损耗，延长机器使用寿命。</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四级网及接入网节点</w:t>
            </w:r>
          </w:p>
        </w:tc>
        <w:tc>
          <w:tcPr>
            <w:tcW w:w="2466" w:type="dxa"/>
            <w:vAlign w:val="center"/>
          </w:tcPr>
          <w:p>
            <w:pPr>
              <w:pStyle w:val="23"/>
            </w:pPr>
            <w:r>
              <w:t>三级网及接入网以节点为单位计算，目前全区共计70个节点</w:t>
            </w:r>
          </w:p>
        </w:tc>
        <w:tc>
          <w:tcPr>
            <w:tcW w:w="2466" w:type="dxa"/>
            <w:vAlign w:val="center"/>
          </w:tcPr>
          <w:p>
            <w:pPr>
              <w:pStyle w:val="23"/>
            </w:pPr>
            <w:r>
              <w:t>70个</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系统故障率</w:t>
            </w:r>
          </w:p>
        </w:tc>
        <w:tc>
          <w:tcPr>
            <w:tcW w:w="2466" w:type="dxa"/>
            <w:vAlign w:val="center"/>
          </w:tcPr>
          <w:p>
            <w:pPr>
              <w:pStyle w:val="23"/>
            </w:pPr>
            <w:r>
              <w:t>系统故障率=系统出故障时间/总运行时间*100%</w:t>
            </w:r>
          </w:p>
        </w:tc>
        <w:tc>
          <w:tcPr>
            <w:tcW w:w="2466" w:type="dxa"/>
            <w:vAlign w:val="center"/>
          </w:tcPr>
          <w:p>
            <w:pPr>
              <w:pStyle w:val="23"/>
            </w:pPr>
            <w:r>
              <w:t>≤10%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资金支付时间</w:t>
            </w:r>
          </w:p>
        </w:tc>
        <w:tc>
          <w:tcPr>
            <w:tcW w:w="2466" w:type="dxa"/>
            <w:vAlign w:val="center"/>
          </w:tcPr>
          <w:p>
            <w:pPr>
              <w:pStyle w:val="23"/>
            </w:pPr>
            <w:r>
              <w:t>以往惯例，每年运行正常12月份支付租赁费，为保证支出进度，修订合同，上半年支付一次，下半年支付一次。</w:t>
            </w:r>
          </w:p>
        </w:tc>
        <w:tc>
          <w:tcPr>
            <w:tcW w:w="2466" w:type="dxa"/>
            <w:vAlign w:val="center"/>
          </w:tcPr>
          <w:p>
            <w:pPr>
              <w:pStyle w:val="23"/>
            </w:pPr>
            <w:r>
              <w:t>≤11月</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严控成本，合理使用预算资金</w:t>
            </w:r>
          </w:p>
        </w:tc>
        <w:tc>
          <w:tcPr>
            <w:tcW w:w="2466" w:type="dxa"/>
            <w:vAlign w:val="center"/>
          </w:tcPr>
          <w:p>
            <w:pPr>
              <w:pStyle w:val="23"/>
            </w:pPr>
            <w:r>
              <w:t>成本控制在年初预算范围内</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保障政法网节点网络联通率</w:t>
            </w:r>
          </w:p>
        </w:tc>
        <w:tc>
          <w:tcPr>
            <w:tcW w:w="2466" w:type="dxa"/>
            <w:vAlign w:val="center"/>
          </w:tcPr>
          <w:p>
            <w:pPr>
              <w:pStyle w:val="23"/>
            </w:pPr>
            <w:r>
              <w:t>依托政法三级网，保障政法各单位政法网络稳定和联通</w:t>
            </w:r>
          </w:p>
        </w:tc>
        <w:tc>
          <w:tcPr>
            <w:tcW w:w="2466" w:type="dxa"/>
            <w:vAlign w:val="center"/>
          </w:tcPr>
          <w:p>
            <w:pPr>
              <w:pStyle w:val="23"/>
            </w:pPr>
            <w:r>
              <w:t>＝100%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用户使用满意度（%）</w:t>
            </w:r>
          </w:p>
        </w:tc>
        <w:tc>
          <w:tcPr>
            <w:tcW w:w="2466" w:type="dxa"/>
            <w:vAlign w:val="center"/>
          </w:tcPr>
          <w:p>
            <w:pPr>
              <w:pStyle w:val="23"/>
            </w:pPr>
            <w:r>
              <w:t>政法各单位对政法三级网使用情况的满意度</w:t>
            </w:r>
          </w:p>
        </w:tc>
        <w:tc>
          <w:tcPr>
            <w:tcW w:w="2466" w:type="dxa"/>
            <w:vAlign w:val="center"/>
          </w:tcPr>
          <w:p>
            <w:pPr>
              <w:pStyle w:val="23"/>
            </w:pPr>
            <w:r>
              <w:t>≥90%</w:t>
            </w:r>
          </w:p>
        </w:tc>
        <w:tc>
          <w:tcPr>
            <w:tcW w:w="2466" w:type="dxa"/>
            <w:vAlign w:val="center"/>
          </w:tcPr>
          <w:p>
            <w:pPr>
              <w:pStyle w:val="23"/>
            </w:pPr>
            <w:r>
              <w:t>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9、专职铁路护路队员工资绩效目标表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1.目标内容1：通过资金保障，调动铁路护路队员工作积极性。工作更有干劲。并且综合素质得到更全面的提升。</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补助个人（家庭）数量（人/户）</w:t>
            </w:r>
          </w:p>
        </w:tc>
        <w:tc>
          <w:tcPr>
            <w:tcW w:w="2466" w:type="dxa"/>
            <w:vAlign w:val="center"/>
          </w:tcPr>
          <w:p>
            <w:pPr>
              <w:pStyle w:val="23"/>
            </w:pPr>
            <w:r>
              <w:t>补助的人数</w:t>
            </w:r>
          </w:p>
        </w:tc>
        <w:tc>
          <w:tcPr>
            <w:tcW w:w="2466" w:type="dxa"/>
            <w:vAlign w:val="center"/>
          </w:tcPr>
          <w:p>
            <w:pPr>
              <w:pStyle w:val="23"/>
            </w:pPr>
            <w:r>
              <w:t>1人</w:t>
            </w:r>
          </w:p>
        </w:tc>
        <w:tc>
          <w:tcPr>
            <w:tcW w:w="2466" w:type="dxa"/>
            <w:vAlign w:val="center"/>
          </w:tcPr>
          <w:p>
            <w:pPr>
              <w:pStyle w:val="2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境内铁路安全畅通，无涉路事案件发生</w:t>
            </w:r>
          </w:p>
        </w:tc>
        <w:tc>
          <w:tcPr>
            <w:tcW w:w="2466" w:type="dxa"/>
            <w:vAlign w:val="center"/>
          </w:tcPr>
          <w:p>
            <w:pPr>
              <w:pStyle w:val="23"/>
            </w:pPr>
            <w:r>
              <w:t>铁路畅通，无事故发生</w:t>
            </w:r>
          </w:p>
        </w:tc>
        <w:tc>
          <w:tcPr>
            <w:tcW w:w="2466" w:type="dxa"/>
            <w:vAlign w:val="center"/>
          </w:tcPr>
          <w:p>
            <w:pPr>
              <w:pStyle w:val="23"/>
            </w:pPr>
            <w:r>
              <w:t>&lt;1次</w:t>
            </w:r>
          </w:p>
        </w:tc>
        <w:tc>
          <w:tcPr>
            <w:tcW w:w="2466" w:type="dxa"/>
            <w:vAlign w:val="center"/>
          </w:tcPr>
          <w:p>
            <w:pPr>
              <w:pStyle w:val="2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工资及时、保障率(%)</w:t>
            </w:r>
          </w:p>
        </w:tc>
        <w:tc>
          <w:tcPr>
            <w:tcW w:w="2466" w:type="dxa"/>
            <w:vAlign w:val="center"/>
          </w:tcPr>
          <w:p>
            <w:pPr>
              <w:pStyle w:val="23"/>
            </w:pPr>
            <w:r>
              <w:t>每月25日前按时将工资、社保拨付劳务派遣公司</w:t>
            </w:r>
          </w:p>
        </w:tc>
        <w:tc>
          <w:tcPr>
            <w:tcW w:w="2466" w:type="dxa"/>
            <w:vAlign w:val="center"/>
          </w:tcPr>
          <w:p>
            <w:pPr>
              <w:pStyle w:val="23"/>
            </w:pPr>
            <w:r>
              <w:t>≤25日</w:t>
            </w:r>
          </w:p>
        </w:tc>
        <w:tc>
          <w:tcPr>
            <w:tcW w:w="2466" w:type="dxa"/>
            <w:vAlign w:val="center"/>
          </w:tcPr>
          <w:p>
            <w:pPr>
              <w:pStyle w:val="2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护路队员年工资</w:t>
            </w:r>
          </w:p>
        </w:tc>
        <w:tc>
          <w:tcPr>
            <w:tcW w:w="2466" w:type="dxa"/>
            <w:vAlign w:val="center"/>
          </w:tcPr>
          <w:p>
            <w:pPr>
              <w:pStyle w:val="23"/>
            </w:pPr>
            <w:r>
              <w:t>年支付护路队员工资</w:t>
            </w:r>
          </w:p>
        </w:tc>
        <w:tc>
          <w:tcPr>
            <w:tcW w:w="2466" w:type="dxa"/>
            <w:vAlign w:val="center"/>
          </w:tcPr>
          <w:p>
            <w:pPr>
              <w:pStyle w:val="23"/>
            </w:pPr>
            <w:r>
              <w:t>2.34万元/年/人</w:t>
            </w:r>
          </w:p>
        </w:tc>
        <w:tc>
          <w:tcPr>
            <w:tcW w:w="2466" w:type="dxa"/>
            <w:vAlign w:val="center"/>
          </w:tcPr>
          <w:p>
            <w:pPr>
              <w:pStyle w:val="23"/>
            </w:pPr>
            <w:r>
              <w:t>根据预算申请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护路机构完善、规范、工作运行良好</w:t>
            </w:r>
          </w:p>
        </w:tc>
        <w:tc>
          <w:tcPr>
            <w:tcW w:w="2466" w:type="dxa"/>
            <w:vAlign w:val="center"/>
          </w:tcPr>
          <w:p>
            <w:pPr>
              <w:pStyle w:val="23"/>
            </w:pPr>
            <w:r>
              <w:t>铁路护路联防队员保障；铁路畅通情况</w:t>
            </w:r>
          </w:p>
        </w:tc>
        <w:tc>
          <w:tcPr>
            <w:tcW w:w="2466" w:type="dxa"/>
            <w:vAlign w:val="center"/>
          </w:tcPr>
          <w:p>
            <w:pPr>
              <w:pStyle w:val="23"/>
            </w:pPr>
            <w:r>
              <w:t>1个</w:t>
            </w:r>
          </w:p>
        </w:tc>
        <w:tc>
          <w:tcPr>
            <w:tcW w:w="2466" w:type="dxa"/>
            <w:vAlign w:val="center"/>
          </w:tcPr>
          <w:p>
            <w:pPr>
              <w:pStyle w:val="2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可持续影响指标</w:t>
            </w:r>
          </w:p>
        </w:tc>
        <w:tc>
          <w:tcPr>
            <w:tcW w:w="2466" w:type="dxa"/>
            <w:vAlign w:val="center"/>
          </w:tcPr>
          <w:p>
            <w:pPr>
              <w:pStyle w:val="23"/>
            </w:pPr>
            <w:r>
              <w:t>高铁（含新建）护路工作覆盖率</w:t>
            </w:r>
          </w:p>
        </w:tc>
        <w:tc>
          <w:tcPr>
            <w:tcW w:w="2466" w:type="dxa"/>
            <w:vAlign w:val="center"/>
          </w:tcPr>
          <w:p>
            <w:pPr>
              <w:pStyle w:val="23"/>
            </w:pPr>
            <w:r>
              <w:t>开展护路工作与高铁总数比值</w:t>
            </w:r>
          </w:p>
        </w:tc>
        <w:tc>
          <w:tcPr>
            <w:tcW w:w="2466" w:type="dxa"/>
            <w:vAlign w:val="center"/>
          </w:tcPr>
          <w:p>
            <w:pPr>
              <w:pStyle w:val="23"/>
            </w:pPr>
            <w:r>
              <w:t>100%</w:t>
            </w:r>
          </w:p>
        </w:tc>
        <w:tc>
          <w:tcPr>
            <w:tcW w:w="2466" w:type="dxa"/>
            <w:vAlign w:val="center"/>
          </w:tcPr>
          <w:p>
            <w:pPr>
              <w:pStyle w:val="23"/>
            </w:pPr>
            <w:r>
              <w:t>年初工作目标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护路队员满意度</w:t>
            </w:r>
          </w:p>
        </w:tc>
        <w:tc>
          <w:tcPr>
            <w:tcW w:w="2466" w:type="dxa"/>
            <w:vAlign w:val="center"/>
          </w:tcPr>
          <w:p>
            <w:pPr>
              <w:pStyle w:val="23"/>
            </w:pPr>
            <w:r>
              <w:t>护路队员对工资的标准的满意度</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10、综治工作经费绩效目标表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1.目标内容1创新社会治理、建设更高水平平安藁城，打牢综治工作根基，提升建设成效，更好发挥维护首都稳定的政治护城河作用。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推进重点项目个数（个）</w:t>
            </w:r>
          </w:p>
        </w:tc>
        <w:tc>
          <w:tcPr>
            <w:tcW w:w="2466" w:type="dxa"/>
            <w:vAlign w:val="center"/>
          </w:tcPr>
          <w:p>
            <w:pPr>
              <w:pStyle w:val="23"/>
            </w:pPr>
            <w:r>
              <w:t>推进综治工作重点项目个数</w:t>
            </w:r>
          </w:p>
        </w:tc>
        <w:tc>
          <w:tcPr>
            <w:tcW w:w="2466" w:type="dxa"/>
            <w:vAlign w:val="center"/>
          </w:tcPr>
          <w:p>
            <w:pPr>
              <w:pStyle w:val="23"/>
            </w:pPr>
            <w:r>
              <w:t>≥1个</w:t>
            </w:r>
          </w:p>
        </w:tc>
        <w:tc>
          <w:tcPr>
            <w:tcW w:w="2466" w:type="dxa"/>
            <w:vAlign w:val="center"/>
          </w:tcPr>
          <w:p>
            <w:pPr>
              <w:pStyle w:val="23"/>
            </w:pPr>
            <w:r>
              <w:t>石发〔2001〕21 号、石办字</w:t>
            </w:r>
          </w:p>
          <w:p>
            <w:pPr>
              <w:pStyle w:val="23"/>
            </w:pPr>
            <w:r>
              <w:t>〔2009〕1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全市城乡网格化管理覆盖率（%）</w:t>
            </w:r>
          </w:p>
        </w:tc>
        <w:tc>
          <w:tcPr>
            <w:tcW w:w="2466" w:type="dxa"/>
            <w:vAlign w:val="center"/>
          </w:tcPr>
          <w:p>
            <w:pPr>
              <w:pStyle w:val="23"/>
            </w:pPr>
            <w:r>
              <w:t>网格化管理数与覆盖个数比率</w:t>
            </w:r>
          </w:p>
        </w:tc>
        <w:tc>
          <w:tcPr>
            <w:tcW w:w="2466" w:type="dxa"/>
            <w:vAlign w:val="center"/>
          </w:tcPr>
          <w:p>
            <w:pPr>
              <w:pStyle w:val="23"/>
            </w:pPr>
            <w:r>
              <w:t>≥90%</w:t>
            </w:r>
          </w:p>
        </w:tc>
        <w:tc>
          <w:tcPr>
            <w:tcW w:w="2466" w:type="dxa"/>
            <w:vAlign w:val="center"/>
          </w:tcPr>
          <w:p>
            <w:pPr>
              <w:pStyle w:val="23"/>
            </w:pPr>
            <w:r>
              <w:t>石发〔2001〕21 号、石办字</w:t>
            </w:r>
          </w:p>
          <w:p>
            <w:pPr>
              <w:pStyle w:val="23"/>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经费落实时间</w:t>
            </w:r>
          </w:p>
        </w:tc>
        <w:tc>
          <w:tcPr>
            <w:tcW w:w="2466" w:type="dxa"/>
            <w:vAlign w:val="center"/>
          </w:tcPr>
          <w:p>
            <w:pPr>
              <w:pStyle w:val="23"/>
            </w:pPr>
            <w:r>
              <w:t>保障全年综治工作正常运行，按照时间节点完成资金支付进度。</w:t>
            </w:r>
          </w:p>
        </w:tc>
        <w:tc>
          <w:tcPr>
            <w:tcW w:w="2466" w:type="dxa"/>
            <w:vAlign w:val="center"/>
          </w:tcPr>
          <w:p>
            <w:pPr>
              <w:pStyle w:val="23"/>
            </w:pPr>
            <w:r>
              <w:t>≤12月</w:t>
            </w:r>
          </w:p>
        </w:tc>
        <w:tc>
          <w:tcPr>
            <w:tcW w:w="2466" w:type="dxa"/>
            <w:vAlign w:val="center"/>
          </w:tcPr>
          <w:p>
            <w:pPr>
              <w:pStyle w:val="23"/>
            </w:pPr>
            <w:r>
              <w:t>工作实际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全区人均综治经费标准</w:t>
            </w:r>
          </w:p>
        </w:tc>
        <w:tc>
          <w:tcPr>
            <w:tcW w:w="2466" w:type="dxa"/>
            <w:vAlign w:val="center"/>
          </w:tcPr>
          <w:p>
            <w:pPr>
              <w:pStyle w:val="23"/>
            </w:pPr>
            <w:r>
              <w:t>全区按照80万人口，每人按照0.3元标准核算综治经费</w:t>
            </w:r>
          </w:p>
        </w:tc>
        <w:tc>
          <w:tcPr>
            <w:tcW w:w="2466" w:type="dxa"/>
            <w:vAlign w:val="center"/>
          </w:tcPr>
          <w:p>
            <w:pPr>
              <w:pStyle w:val="23"/>
            </w:pPr>
            <w:r>
              <w:t>＝0.3元</w:t>
            </w:r>
          </w:p>
        </w:tc>
        <w:tc>
          <w:tcPr>
            <w:tcW w:w="2466" w:type="dxa"/>
            <w:vAlign w:val="center"/>
          </w:tcPr>
          <w:p>
            <w:pPr>
              <w:pStyle w:val="23"/>
            </w:pPr>
            <w:r>
              <w:t>石发〔2001〕21 号、石办字</w:t>
            </w:r>
          </w:p>
          <w:p>
            <w:pPr>
              <w:pStyle w:val="23"/>
            </w:pPr>
            <w:r>
              <w:t>〔2009〕2 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重大活动突发事件发生率(%)</w:t>
            </w:r>
          </w:p>
        </w:tc>
        <w:tc>
          <w:tcPr>
            <w:tcW w:w="2466" w:type="dxa"/>
            <w:vAlign w:val="center"/>
          </w:tcPr>
          <w:p>
            <w:pPr>
              <w:pStyle w:val="23"/>
            </w:pPr>
            <w:r>
              <w:t>发生突发事件的重大活动数量占全部重大活动的比率（反</w:t>
            </w:r>
          </w:p>
          <w:p>
            <w:pPr>
              <w:pStyle w:val="23"/>
            </w:pPr>
            <w:r>
              <w:t>向指标）</w:t>
            </w:r>
          </w:p>
        </w:tc>
        <w:tc>
          <w:tcPr>
            <w:tcW w:w="2466" w:type="dxa"/>
            <w:vAlign w:val="center"/>
          </w:tcPr>
          <w:p>
            <w:pPr>
              <w:pStyle w:val="23"/>
            </w:pPr>
            <w:r>
              <w:t>≤5%</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突发事件处理群众满意度（%）</w:t>
            </w:r>
          </w:p>
        </w:tc>
        <w:tc>
          <w:tcPr>
            <w:tcW w:w="2466" w:type="dxa"/>
            <w:vAlign w:val="center"/>
          </w:tcPr>
          <w:p>
            <w:pPr>
              <w:pStyle w:val="23"/>
            </w:pPr>
            <w:r>
              <w:t>通过抽查问卷的方式，调查部分群众对突发事件处理的满意度</w:t>
            </w:r>
          </w:p>
        </w:tc>
        <w:tc>
          <w:tcPr>
            <w:tcW w:w="2466" w:type="dxa"/>
            <w:vAlign w:val="center"/>
          </w:tcPr>
          <w:p>
            <w:pPr>
              <w:pStyle w:val="23"/>
            </w:pPr>
            <w:r>
              <w:t>≥90%</w:t>
            </w:r>
          </w:p>
        </w:tc>
        <w:tc>
          <w:tcPr>
            <w:tcW w:w="2466" w:type="dxa"/>
            <w:vAlign w:val="center"/>
          </w:tcPr>
          <w:p>
            <w:pPr>
              <w:pStyle w:val="23"/>
            </w:pPr>
            <w:r>
              <w:t>石发〔2001〕21 号、石办字</w:t>
            </w:r>
          </w:p>
          <w:p>
            <w:pPr>
              <w:pStyle w:val="23"/>
            </w:pPr>
            <w:r>
              <w:t>〔2009〕2 号</w:t>
            </w:r>
          </w:p>
        </w:tc>
      </w:tr>
    </w:tbl>
    <w:p>
      <w:pPr>
        <w:pStyle w:val="21"/>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11、综治中心运行费绩效目标表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1.目标内容1通过电费保障，保障机器正常运转及减少机器损耗，延长机器使用寿命。</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设备稳定运行时长</w:t>
            </w:r>
          </w:p>
        </w:tc>
        <w:tc>
          <w:tcPr>
            <w:tcW w:w="2466" w:type="dxa"/>
            <w:vAlign w:val="center"/>
          </w:tcPr>
          <w:p>
            <w:pPr>
              <w:pStyle w:val="23"/>
            </w:pPr>
            <w:r>
              <w:t>全年网络设备稳定运行的累计时间</w:t>
            </w:r>
          </w:p>
        </w:tc>
        <w:tc>
          <w:tcPr>
            <w:tcW w:w="2466" w:type="dxa"/>
            <w:vAlign w:val="center"/>
          </w:tcPr>
          <w:p>
            <w:pPr>
              <w:pStyle w:val="23"/>
            </w:pPr>
            <w:r>
              <w:t>8760小时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机构正常转动保障率</w:t>
            </w:r>
          </w:p>
        </w:tc>
        <w:tc>
          <w:tcPr>
            <w:tcW w:w="2466" w:type="dxa"/>
            <w:vAlign w:val="center"/>
          </w:tcPr>
          <w:p>
            <w:pPr>
              <w:pStyle w:val="23"/>
            </w:pPr>
            <w:r>
              <w:t>保障办公场所机器设备正常运转，延长机器使用寿命。</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故障恢复时间</w:t>
            </w:r>
          </w:p>
        </w:tc>
        <w:tc>
          <w:tcPr>
            <w:tcW w:w="2466" w:type="dxa"/>
            <w:vAlign w:val="center"/>
          </w:tcPr>
          <w:p>
            <w:pPr>
              <w:pStyle w:val="23"/>
            </w:pPr>
            <w:r>
              <w:t>全年网络故障恢复累计用时</w:t>
            </w:r>
          </w:p>
        </w:tc>
        <w:tc>
          <w:tcPr>
            <w:tcW w:w="2466" w:type="dxa"/>
            <w:vAlign w:val="center"/>
          </w:tcPr>
          <w:p>
            <w:pPr>
              <w:pStyle w:val="23"/>
            </w:pPr>
            <w:r>
              <w:t>≤12小时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运行保障经费</w:t>
            </w:r>
          </w:p>
        </w:tc>
        <w:tc>
          <w:tcPr>
            <w:tcW w:w="2466" w:type="dxa"/>
            <w:vAlign w:val="center"/>
          </w:tcPr>
          <w:p>
            <w:pPr>
              <w:pStyle w:val="23"/>
            </w:pPr>
            <w:r>
              <w:t>保障全年电费及机器正常运转的维护费落实情况</w:t>
            </w:r>
          </w:p>
        </w:tc>
        <w:tc>
          <w:tcPr>
            <w:tcW w:w="2466" w:type="dxa"/>
            <w:vAlign w:val="center"/>
          </w:tcPr>
          <w:p>
            <w:pPr>
              <w:pStyle w:val="23"/>
            </w:pPr>
            <w:r>
              <w:t>9.9每年运行成本不超过9.9万元</w:t>
            </w:r>
          </w:p>
        </w:tc>
        <w:tc>
          <w:tcPr>
            <w:tcW w:w="2466" w:type="dxa"/>
            <w:vAlign w:val="center"/>
          </w:tcPr>
          <w:p>
            <w:pPr>
              <w:pStyle w:val="23"/>
            </w:pPr>
            <w:r>
              <w:t>预算编制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保障政法各部门业务应用</w:t>
            </w:r>
          </w:p>
        </w:tc>
        <w:tc>
          <w:tcPr>
            <w:tcW w:w="2466" w:type="dxa"/>
            <w:vAlign w:val="center"/>
          </w:tcPr>
          <w:p>
            <w:pPr>
              <w:pStyle w:val="23"/>
            </w:pPr>
            <w:r>
              <w:t>依托政法三级网，保障政法各单位政法网应用系统网络安全稳定</w:t>
            </w:r>
          </w:p>
        </w:tc>
        <w:tc>
          <w:tcPr>
            <w:tcW w:w="2466" w:type="dxa"/>
            <w:vAlign w:val="center"/>
          </w:tcPr>
          <w:p>
            <w:pPr>
              <w:pStyle w:val="23"/>
            </w:pPr>
            <w:r>
              <w:t>网络运行顺畅，数据传输及时</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服务对象满意度</w:t>
            </w:r>
          </w:p>
        </w:tc>
        <w:tc>
          <w:tcPr>
            <w:tcW w:w="2466" w:type="dxa"/>
            <w:vAlign w:val="center"/>
          </w:tcPr>
          <w:p>
            <w:pPr>
              <w:pStyle w:val="23"/>
            </w:pPr>
            <w:r>
              <w:t>网络中心人员对正常运转满意度</w:t>
            </w:r>
          </w:p>
        </w:tc>
        <w:tc>
          <w:tcPr>
            <w:tcW w:w="2466" w:type="dxa"/>
            <w:vAlign w:val="center"/>
          </w:tcPr>
          <w:p>
            <w:pPr>
              <w:pStyle w:val="23"/>
            </w:pPr>
            <w:r>
              <w:t>≥90%</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12、打击处置“全能神”邪教组织专项经费绩效目标表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1.目标内容1加大重大区域重点人员底数摸排，加大打击力度，提升老百姓公众安全感指数。保障经费落实，领导小组正常转动。</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护城河工程任务完成率（%）</w:t>
            </w:r>
          </w:p>
        </w:tc>
        <w:tc>
          <w:tcPr>
            <w:tcW w:w="2466" w:type="dxa"/>
            <w:vAlign w:val="center"/>
          </w:tcPr>
          <w:p>
            <w:pPr>
              <w:pStyle w:val="23"/>
            </w:pPr>
            <w:r>
              <w:t>完成的安保任务占任务总数 的比率</w:t>
            </w:r>
          </w:p>
        </w:tc>
        <w:tc>
          <w:tcPr>
            <w:tcW w:w="2466" w:type="dxa"/>
            <w:vAlign w:val="center"/>
          </w:tcPr>
          <w:p>
            <w:pPr>
              <w:pStyle w:val="23"/>
            </w:pPr>
            <w:r>
              <w:t>≥90%</w:t>
            </w:r>
          </w:p>
        </w:tc>
        <w:tc>
          <w:tcPr>
            <w:tcW w:w="2466" w:type="dxa"/>
            <w:vAlign w:val="center"/>
          </w:tcPr>
          <w:p>
            <w:pPr>
              <w:pStyle w:val="23"/>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建立工作领导小组个数</w:t>
            </w:r>
          </w:p>
        </w:tc>
        <w:tc>
          <w:tcPr>
            <w:tcW w:w="2466" w:type="dxa"/>
            <w:vAlign w:val="center"/>
          </w:tcPr>
          <w:p>
            <w:pPr>
              <w:pStyle w:val="23"/>
            </w:pPr>
            <w:r>
              <w:t>为确保工作正常开展，从公安、司法抽调专人建立领导小组一个</w:t>
            </w:r>
          </w:p>
        </w:tc>
        <w:tc>
          <w:tcPr>
            <w:tcW w:w="2466" w:type="dxa"/>
            <w:vAlign w:val="center"/>
          </w:tcPr>
          <w:p>
            <w:pPr>
              <w:pStyle w:val="23"/>
            </w:pPr>
            <w:r>
              <w:t>＝1个</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资金支出比例完成月份</w:t>
            </w:r>
          </w:p>
        </w:tc>
        <w:tc>
          <w:tcPr>
            <w:tcW w:w="2466" w:type="dxa"/>
            <w:vAlign w:val="center"/>
          </w:tcPr>
          <w:p>
            <w:pPr>
              <w:pStyle w:val="23"/>
            </w:pPr>
            <w:r>
              <w:t>既保证全年工作的正常开展，同时又要跟上支出进度。</w:t>
            </w:r>
          </w:p>
        </w:tc>
        <w:tc>
          <w:tcPr>
            <w:tcW w:w="2466" w:type="dxa"/>
            <w:vAlign w:val="center"/>
          </w:tcPr>
          <w:p>
            <w:pPr>
              <w:pStyle w:val="23"/>
            </w:pPr>
            <w:r>
              <w:t>≥11月</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年资金落实金额</w:t>
            </w:r>
          </w:p>
        </w:tc>
        <w:tc>
          <w:tcPr>
            <w:tcW w:w="2466" w:type="dxa"/>
            <w:vAlign w:val="center"/>
          </w:tcPr>
          <w:p>
            <w:pPr>
              <w:pStyle w:val="23"/>
            </w:pPr>
            <w:r>
              <w:t>为保证反邪教工作正常开展，年落实资金数量</w:t>
            </w:r>
          </w:p>
        </w:tc>
        <w:tc>
          <w:tcPr>
            <w:tcW w:w="2466" w:type="dxa"/>
            <w:vAlign w:val="center"/>
          </w:tcPr>
          <w:p>
            <w:pPr>
              <w:pStyle w:val="23"/>
            </w:pPr>
            <w:r>
              <w:t>≤5万元</w:t>
            </w:r>
          </w:p>
        </w:tc>
        <w:tc>
          <w:tcPr>
            <w:tcW w:w="2466" w:type="dxa"/>
            <w:vAlign w:val="center"/>
          </w:tcPr>
          <w:p>
            <w:pPr>
              <w:pStyle w:val="2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公众安全感指数</w:t>
            </w:r>
          </w:p>
        </w:tc>
        <w:tc>
          <w:tcPr>
            <w:tcW w:w="2466" w:type="dxa"/>
            <w:vAlign w:val="center"/>
          </w:tcPr>
          <w:p>
            <w:pPr>
              <w:pStyle w:val="23"/>
            </w:pPr>
            <w:r>
              <w:t>对治安管理满意的人数占调查总人数的比率</w:t>
            </w:r>
          </w:p>
        </w:tc>
        <w:tc>
          <w:tcPr>
            <w:tcW w:w="2466" w:type="dxa"/>
            <w:vAlign w:val="center"/>
          </w:tcPr>
          <w:p>
            <w:pPr>
              <w:pStyle w:val="23"/>
            </w:pPr>
            <w:r>
              <w:t>≥90%</w:t>
            </w:r>
          </w:p>
        </w:tc>
        <w:tc>
          <w:tcPr>
            <w:tcW w:w="2466" w:type="dxa"/>
            <w:vAlign w:val="center"/>
          </w:tcPr>
          <w:p>
            <w:pPr>
              <w:pStyle w:val="2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群众满意度指标</w:t>
            </w:r>
          </w:p>
        </w:tc>
        <w:tc>
          <w:tcPr>
            <w:tcW w:w="2466" w:type="dxa"/>
            <w:vAlign w:val="center"/>
          </w:tcPr>
          <w:p>
            <w:pPr>
              <w:pStyle w:val="23"/>
            </w:pPr>
            <w:r>
              <w:t>群众满意度</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13、精神障碍患者监护人责任保险绩效目标表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1.目标内容1有效对冲社会风险，减轻受害人及被害人家庭经济负担</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2020年筛查精神病人数</w:t>
            </w:r>
          </w:p>
        </w:tc>
        <w:tc>
          <w:tcPr>
            <w:tcW w:w="2466" w:type="dxa"/>
            <w:vAlign w:val="center"/>
          </w:tcPr>
          <w:p>
            <w:pPr>
              <w:pStyle w:val="23"/>
            </w:pPr>
            <w:r>
              <w:t>结合卫生、公安、民政等相关部门筛查核对全区严重精神障碍患者底数</w:t>
            </w:r>
          </w:p>
        </w:tc>
        <w:tc>
          <w:tcPr>
            <w:tcW w:w="2466" w:type="dxa"/>
            <w:vAlign w:val="center"/>
          </w:tcPr>
          <w:p>
            <w:pPr>
              <w:pStyle w:val="23"/>
            </w:pPr>
            <w:r>
              <w:t>3681人</w:t>
            </w:r>
          </w:p>
        </w:tc>
        <w:tc>
          <w:tcPr>
            <w:tcW w:w="2466" w:type="dxa"/>
            <w:vAlign w:val="center"/>
          </w:tcPr>
          <w:p>
            <w:pPr>
              <w:pStyle w:val="23"/>
            </w:pPr>
            <w:r>
              <w:t>按照去年筛查人数进行预算申请；实际支出按照2021年新核定数额。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保险公司赔付案件办结率</w:t>
            </w:r>
          </w:p>
        </w:tc>
        <w:tc>
          <w:tcPr>
            <w:tcW w:w="2466" w:type="dxa"/>
            <w:vAlign w:val="center"/>
          </w:tcPr>
          <w:p>
            <w:pPr>
              <w:pStyle w:val="23"/>
            </w:pPr>
            <w:r>
              <w:t>精神病出现肇事肇祸后，保险公司及时按照合同约定进行赔付</w:t>
            </w:r>
          </w:p>
        </w:tc>
        <w:tc>
          <w:tcPr>
            <w:tcW w:w="2466" w:type="dxa"/>
            <w:vAlign w:val="center"/>
          </w:tcPr>
          <w:p>
            <w:pPr>
              <w:pStyle w:val="23"/>
            </w:pPr>
            <w:r>
              <w:t>≥95%</w:t>
            </w:r>
          </w:p>
        </w:tc>
        <w:tc>
          <w:tcPr>
            <w:tcW w:w="2466" w:type="dxa"/>
            <w:vAlign w:val="center"/>
          </w:tcPr>
          <w:p>
            <w:pPr>
              <w:pStyle w:val="23"/>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完成资金支付比例的时间</w:t>
            </w:r>
          </w:p>
        </w:tc>
        <w:tc>
          <w:tcPr>
            <w:tcW w:w="2466" w:type="dxa"/>
            <w:vAlign w:val="center"/>
          </w:tcPr>
          <w:p>
            <w:pPr>
              <w:pStyle w:val="23"/>
            </w:pPr>
            <w:r>
              <w:t>合同6月份到期，重新签订新合同，支付合同金额</w:t>
            </w:r>
          </w:p>
        </w:tc>
        <w:tc>
          <w:tcPr>
            <w:tcW w:w="2466" w:type="dxa"/>
            <w:vAlign w:val="center"/>
          </w:tcPr>
          <w:p>
            <w:pPr>
              <w:pStyle w:val="23"/>
            </w:pPr>
            <w:r>
              <w:t>≥6月份</w:t>
            </w:r>
          </w:p>
        </w:tc>
        <w:tc>
          <w:tcPr>
            <w:tcW w:w="2466" w:type="dxa"/>
            <w:vAlign w:val="center"/>
          </w:tcPr>
          <w:p>
            <w:pPr>
              <w:pStyle w:val="2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精神障碍患者监护人责任保险额</w:t>
            </w:r>
          </w:p>
        </w:tc>
        <w:tc>
          <w:tcPr>
            <w:tcW w:w="2466" w:type="dxa"/>
            <w:vAlign w:val="center"/>
          </w:tcPr>
          <w:p>
            <w:pPr>
              <w:pStyle w:val="23"/>
            </w:pPr>
            <w:r>
              <w:t>为全区精神障碍患者监护人入责任保险的金额</w:t>
            </w:r>
          </w:p>
        </w:tc>
        <w:tc>
          <w:tcPr>
            <w:tcW w:w="2466" w:type="dxa"/>
            <w:vAlign w:val="center"/>
          </w:tcPr>
          <w:p>
            <w:pPr>
              <w:pStyle w:val="23"/>
            </w:pPr>
            <w:r>
              <w:t>100给每个精神病监护人按照100元标准入保险</w:t>
            </w:r>
          </w:p>
        </w:tc>
        <w:tc>
          <w:tcPr>
            <w:tcW w:w="2466" w:type="dxa"/>
            <w:vAlign w:val="center"/>
          </w:tcPr>
          <w:p>
            <w:pPr>
              <w:pStyle w:val="23"/>
            </w:pPr>
            <w:r>
              <w:t>冀综治办[2016]4号，石综治办[2016]15号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公众安全感指数(%)</w:t>
            </w:r>
          </w:p>
        </w:tc>
        <w:tc>
          <w:tcPr>
            <w:tcW w:w="2466" w:type="dxa"/>
            <w:vAlign w:val="center"/>
          </w:tcPr>
          <w:p>
            <w:pPr>
              <w:pStyle w:val="23"/>
            </w:pPr>
            <w:r>
              <w:t>对治安管理满意的人数査调查总人数的比率</w:t>
            </w:r>
          </w:p>
        </w:tc>
        <w:tc>
          <w:tcPr>
            <w:tcW w:w="2466" w:type="dxa"/>
            <w:vAlign w:val="center"/>
          </w:tcPr>
          <w:p>
            <w:pPr>
              <w:pStyle w:val="23"/>
            </w:pPr>
            <w:r>
              <w:t>≥90%</w:t>
            </w:r>
          </w:p>
        </w:tc>
        <w:tc>
          <w:tcPr>
            <w:tcW w:w="2466" w:type="dxa"/>
            <w:vAlign w:val="center"/>
          </w:tcPr>
          <w:p>
            <w:pPr>
              <w:pStyle w:val="23"/>
            </w:pPr>
            <w:r>
              <w:t>本单位工作安排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服务对象满意度</w:t>
            </w:r>
          </w:p>
        </w:tc>
        <w:tc>
          <w:tcPr>
            <w:tcW w:w="2466" w:type="dxa"/>
            <w:vAlign w:val="center"/>
          </w:tcPr>
          <w:p>
            <w:pPr>
              <w:pStyle w:val="23"/>
            </w:pPr>
            <w:r>
              <w:t>满意人数占总调查人数的比例</w:t>
            </w:r>
          </w:p>
        </w:tc>
        <w:tc>
          <w:tcPr>
            <w:tcW w:w="2466" w:type="dxa"/>
            <w:vAlign w:val="center"/>
          </w:tcPr>
          <w:p>
            <w:pPr>
              <w:pStyle w:val="23"/>
            </w:pPr>
            <w:r>
              <w:t>≥90%</w:t>
            </w:r>
          </w:p>
        </w:tc>
        <w:tc>
          <w:tcPr>
            <w:tcW w:w="2466" w:type="dxa"/>
            <w:vAlign w:val="center"/>
          </w:tcPr>
          <w:p>
            <w:pPr>
              <w:pStyle w:val="23"/>
            </w:pPr>
            <w:r>
              <w:t>本单位工作安排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14、社会矛盾纠纷多元化解中心项目建设绩效目标表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1.目标内容1实现处理群众反映事项“最多跑一地、最好跑一次”</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改造办公场所面积</w:t>
            </w:r>
          </w:p>
        </w:tc>
        <w:tc>
          <w:tcPr>
            <w:tcW w:w="2466" w:type="dxa"/>
            <w:vAlign w:val="center"/>
          </w:tcPr>
          <w:p>
            <w:pPr>
              <w:pStyle w:val="23"/>
            </w:pPr>
            <w:r>
              <w:t>改造办公场所面积</w:t>
            </w:r>
          </w:p>
        </w:tc>
        <w:tc>
          <w:tcPr>
            <w:tcW w:w="2466" w:type="dxa"/>
            <w:vAlign w:val="center"/>
          </w:tcPr>
          <w:p>
            <w:pPr>
              <w:pStyle w:val="23"/>
            </w:pPr>
            <w:r>
              <w:t>≥2986平方米</w:t>
            </w:r>
          </w:p>
        </w:tc>
        <w:tc>
          <w:tcPr>
            <w:tcW w:w="2466" w:type="dxa"/>
            <w:vAlign w:val="center"/>
          </w:tcPr>
          <w:p>
            <w:pPr>
              <w:pStyle w:val="2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改造、维修的校舍建设项目验收合格完成率</w:t>
            </w:r>
          </w:p>
        </w:tc>
        <w:tc>
          <w:tcPr>
            <w:tcW w:w="2466" w:type="dxa"/>
            <w:vAlign w:val="center"/>
          </w:tcPr>
          <w:p>
            <w:pPr>
              <w:pStyle w:val="23"/>
            </w:pPr>
            <w:r>
              <w:t>改造、维修的校舍建设项目验收合格完成率完成率</w:t>
            </w:r>
          </w:p>
        </w:tc>
        <w:tc>
          <w:tcPr>
            <w:tcW w:w="2466" w:type="dxa"/>
            <w:vAlign w:val="center"/>
          </w:tcPr>
          <w:p>
            <w:pPr>
              <w:pStyle w:val="23"/>
            </w:pPr>
            <w:r>
              <w:t>100%</w:t>
            </w:r>
          </w:p>
        </w:tc>
        <w:tc>
          <w:tcPr>
            <w:tcW w:w="2466" w:type="dxa"/>
            <w:vAlign w:val="center"/>
          </w:tcPr>
          <w:p>
            <w:pPr>
              <w:pStyle w:val="23"/>
            </w:pPr>
            <w:r>
              <w:t>施工合同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工程完成及时率</w:t>
            </w:r>
          </w:p>
        </w:tc>
        <w:tc>
          <w:tcPr>
            <w:tcW w:w="2466" w:type="dxa"/>
            <w:vAlign w:val="center"/>
          </w:tcPr>
          <w:p>
            <w:pPr>
              <w:pStyle w:val="23"/>
            </w:pPr>
            <w:r>
              <w:t>工程完成及时情况</w:t>
            </w:r>
          </w:p>
        </w:tc>
        <w:tc>
          <w:tcPr>
            <w:tcW w:w="2466" w:type="dxa"/>
            <w:vAlign w:val="center"/>
          </w:tcPr>
          <w:p>
            <w:pPr>
              <w:pStyle w:val="23"/>
            </w:pPr>
            <w:r>
              <w:t>100%</w:t>
            </w:r>
          </w:p>
        </w:tc>
        <w:tc>
          <w:tcPr>
            <w:tcW w:w="2466" w:type="dxa"/>
            <w:vAlign w:val="center"/>
          </w:tcPr>
          <w:p>
            <w:pPr>
              <w:pStyle w:val="23"/>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严控成本，合理使用预算资金.</w:t>
            </w:r>
          </w:p>
        </w:tc>
        <w:tc>
          <w:tcPr>
            <w:tcW w:w="2466" w:type="dxa"/>
            <w:vAlign w:val="center"/>
          </w:tcPr>
          <w:p>
            <w:pPr>
              <w:pStyle w:val="23"/>
            </w:pPr>
            <w:r>
              <w:t>≤130万元</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化解社会矛盾纠纷和社会案事件个数</w:t>
            </w:r>
          </w:p>
        </w:tc>
        <w:tc>
          <w:tcPr>
            <w:tcW w:w="2466" w:type="dxa"/>
            <w:vAlign w:val="center"/>
          </w:tcPr>
          <w:p>
            <w:pPr>
              <w:pStyle w:val="23"/>
            </w:pPr>
            <w:r>
              <w:t>化解社会矛盾纠纷和社会案事件个数</w:t>
            </w:r>
          </w:p>
        </w:tc>
        <w:tc>
          <w:tcPr>
            <w:tcW w:w="2466" w:type="dxa"/>
            <w:vAlign w:val="center"/>
          </w:tcPr>
          <w:p>
            <w:pPr>
              <w:pStyle w:val="23"/>
            </w:pPr>
            <w:r>
              <w:t>≥1件</w:t>
            </w:r>
          </w:p>
        </w:tc>
        <w:tc>
          <w:tcPr>
            <w:tcW w:w="2466" w:type="dxa"/>
            <w:vAlign w:val="center"/>
          </w:tcPr>
          <w:p>
            <w:pPr>
              <w:pStyle w:val="23"/>
            </w:pPr>
            <w:r>
              <w:t>工作记录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群众满意度</w:t>
            </w:r>
          </w:p>
        </w:tc>
        <w:tc>
          <w:tcPr>
            <w:tcW w:w="2466" w:type="dxa"/>
            <w:vAlign w:val="center"/>
          </w:tcPr>
          <w:p>
            <w:pPr>
              <w:pStyle w:val="23"/>
            </w:pPr>
            <w:r>
              <w:t>群众满意度</w:t>
            </w:r>
          </w:p>
        </w:tc>
        <w:tc>
          <w:tcPr>
            <w:tcW w:w="2466" w:type="dxa"/>
            <w:vAlign w:val="center"/>
          </w:tcPr>
          <w:p>
            <w:pPr>
              <w:pStyle w:val="23"/>
            </w:pPr>
            <w:r>
              <w:t>≥90%</w:t>
            </w:r>
          </w:p>
        </w:tc>
        <w:tc>
          <w:tcPr>
            <w:tcW w:w="2466" w:type="dxa"/>
            <w:vAlign w:val="center"/>
          </w:tcPr>
          <w:p>
            <w:pPr>
              <w:pStyle w:val="23"/>
            </w:pPr>
            <w:r>
              <w:t>调查问卷</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b w:val="0"/>
          <w:bCs/>
        </w:rPr>
      </w:pPr>
      <w:r>
        <w:rPr>
          <w:rFonts w:ascii="方正仿宋_GBK" w:hAnsi="方正仿宋_GBK" w:eastAsia="方正仿宋_GBK" w:cs="方正仿宋_GBK"/>
          <w:b w:val="0"/>
          <w:bCs/>
          <w:color w:val="000000"/>
          <w:sz w:val="28"/>
        </w:rPr>
        <w:t>15、网格员手机APP服务费绩效目标表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1.目标内容1加强和创新社会治安综合治理、推进网格化服务管理工作，进一步筑牢平安藁城建设基础，</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网格员数量</w:t>
            </w:r>
          </w:p>
        </w:tc>
        <w:tc>
          <w:tcPr>
            <w:tcW w:w="2466" w:type="dxa"/>
            <w:vAlign w:val="center"/>
          </w:tcPr>
          <w:p>
            <w:pPr>
              <w:pStyle w:val="23"/>
            </w:pPr>
            <w:r>
              <w:t>全区落实综治网格员人数</w:t>
            </w:r>
          </w:p>
        </w:tc>
        <w:tc>
          <w:tcPr>
            <w:tcW w:w="2466" w:type="dxa"/>
            <w:vAlign w:val="center"/>
          </w:tcPr>
          <w:p>
            <w:pPr>
              <w:pStyle w:val="23"/>
            </w:pPr>
            <w:r>
              <w:t>≥816人</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业务处理及时性(％)</w:t>
            </w:r>
          </w:p>
        </w:tc>
        <w:tc>
          <w:tcPr>
            <w:tcW w:w="2466" w:type="dxa"/>
            <w:vAlign w:val="center"/>
          </w:tcPr>
          <w:p>
            <w:pPr>
              <w:pStyle w:val="23"/>
            </w:pPr>
            <w:r>
              <w:t>及时处理业务数占总处理数的比率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完成资金支付时间</w:t>
            </w:r>
          </w:p>
        </w:tc>
        <w:tc>
          <w:tcPr>
            <w:tcW w:w="2466" w:type="dxa"/>
            <w:vAlign w:val="center"/>
          </w:tcPr>
          <w:p>
            <w:pPr>
              <w:pStyle w:val="23"/>
            </w:pPr>
            <w:r>
              <w:t>按照合同规定的时间节点完成资金支付</w:t>
            </w:r>
          </w:p>
        </w:tc>
        <w:tc>
          <w:tcPr>
            <w:tcW w:w="2466" w:type="dxa"/>
            <w:vAlign w:val="center"/>
          </w:tcPr>
          <w:p>
            <w:pPr>
              <w:pStyle w:val="23"/>
            </w:pPr>
            <w:r>
              <w:t>≥6月份</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项目总成本</w:t>
            </w:r>
          </w:p>
        </w:tc>
        <w:tc>
          <w:tcPr>
            <w:tcW w:w="2466" w:type="dxa"/>
            <w:vAlign w:val="center"/>
          </w:tcPr>
          <w:p>
            <w:pPr>
              <w:pStyle w:val="23"/>
            </w:pPr>
            <w:r>
              <w:t>严控成本，合理使用预算资金。</w:t>
            </w:r>
          </w:p>
        </w:tc>
        <w:tc>
          <w:tcPr>
            <w:tcW w:w="2466" w:type="dxa"/>
            <w:vAlign w:val="center"/>
          </w:tcPr>
          <w:p>
            <w:pPr>
              <w:pStyle w:val="23"/>
            </w:pPr>
            <w:r>
              <w:t>52元/月</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可持续影响指标</w:t>
            </w:r>
          </w:p>
        </w:tc>
        <w:tc>
          <w:tcPr>
            <w:tcW w:w="2466" w:type="dxa"/>
            <w:vAlign w:val="center"/>
          </w:tcPr>
          <w:p>
            <w:pPr>
              <w:pStyle w:val="23"/>
            </w:pPr>
            <w:r>
              <w:t>系统响应速率(％)</w:t>
            </w:r>
          </w:p>
        </w:tc>
        <w:tc>
          <w:tcPr>
            <w:tcW w:w="2466" w:type="dxa"/>
            <w:vAlign w:val="center"/>
          </w:tcPr>
          <w:p>
            <w:pPr>
              <w:pStyle w:val="23"/>
            </w:pPr>
            <w:r>
              <w:t>系统高峰时段平均响应时间与合理的响应时间的比率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用户使用满意度（%）</w:t>
            </w:r>
          </w:p>
        </w:tc>
        <w:tc>
          <w:tcPr>
            <w:tcW w:w="2466" w:type="dxa"/>
            <w:vAlign w:val="center"/>
          </w:tcPr>
          <w:p>
            <w:pPr>
              <w:pStyle w:val="23"/>
            </w:pPr>
            <w:r>
              <w:t>调查中用户反馈满意和较满意的数量占调查用户总数量的比率</w:t>
            </w:r>
          </w:p>
        </w:tc>
        <w:tc>
          <w:tcPr>
            <w:tcW w:w="2466" w:type="dxa"/>
            <w:vAlign w:val="center"/>
          </w:tcPr>
          <w:p>
            <w:pPr>
              <w:pStyle w:val="23"/>
            </w:pPr>
            <w:r>
              <w:t>≥90</w:t>
            </w:r>
          </w:p>
        </w:tc>
        <w:tc>
          <w:tcPr>
            <w:tcW w:w="2466" w:type="dxa"/>
            <w:vAlign w:val="center"/>
          </w:tcPr>
          <w:p>
            <w:pPr>
              <w:pStyle w:val="23"/>
            </w:pPr>
            <w:r>
              <w:t>年度工作计划</w:t>
            </w:r>
          </w:p>
        </w:tc>
      </w:tr>
    </w:tbl>
    <w:p>
      <w:pPr>
        <w:pStyle w:val="21"/>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rPr>
          <w:rFonts w:ascii="方正仿宋_GBK" w:hAnsi="方正仿宋_GBK" w:eastAsia="方正仿宋_GBK" w:cs="方正仿宋_GBK"/>
          <w:b/>
          <w:color w:val="000000"/>
          <w:sz w:val="28"/>
        </w:rPr>
      </w:pPr>
    </w:p>
    <w:p>
      <w:pPr>
        <w:pStyle w:val="21"/>
        <w:spacing w:before="0" w:after="0"/>
        <w:ind w:firstLine="560"/>
        <w:jc w:val="left"/>
        <w:outlineLvl w:val="9"/>
      </w:pPr>
      <w:r>
        <w:rPr>
          <w:rFonts w:ascii="方正仿宋_GBK" w:hAnsi="方正仿宋_GBK" w:eastAsia="方正仿宋_GBK" w:cs="方正仿宋_GBK"/>
          <w:b w:val="0"/>
          <w:bCs/>
          <w:color w:val="000000"/>
          <w:sz w:val="28"/>
        </w:rPr>
        <w:t>16、严重精神障碍患者监护人以奖代补绩效目标表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2"/>
            </w:pPr>
            <w:r>
              <w:t>绩效目标</w:t>
            </w:r>
          </w:p>
        </w:tc>
        <w:tc>
          <w:tcPr>
            <w:tcW w:w="7399" w:type="dxa"/>
            <w:tcBorders>
              <w:bottom w:val="single" w:color="FFFFFF" w:sz="6" w:space="0"/>
            </w:tcBorders>
            <w:vAlign w:val="center"/>
          </w:tcPr>
          <w:p>
            <w:pPr>
              <w:pStyle w:val="23"/>
            </w:pPr>
            <w:r>
              <w:t>1.目标内容1引导监护人更好履行好监护责任，有效对冲社会风险。</w:t>
            </w:r>
          </w:p>
        </w:tc>
      </w:tr>
    </w:tbl>
    <w:p>
      <w:pPr>
        <w:pStyle w:val="21"/>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2"/>
            </w:pPr>
            <w:r>
              <w:t>一级指标</w:t>
            </w:r>
          </w:p>
        </w:tc>
        <w:tc>
          <w:tcPr>
            <w:tcW w:w="2466" w:type="dxa"/>
            <w:vAlign w:val="center"/>
          </w:tcPr>
          <w:p>
            <w:pPr>
              <w:pStyle w:val="22"/>
            </w:pPr>
            <w:r>
              <w:t>二级指标</w:t>
            </w:r>
          </w:p>
        </w:tc>
        <w:tc>
          <w:tcPr>
            <w:tcW w:w="2466" w:type="dxa"/>
            <w:vAlign w:val="center"/>
          </w:tcPr>
          <w:p>
            <w:pPr>
              <w:pStyle w:val="22"/>
            </w:pPr>
            <w:r>
              <w:t>三级指标</w:t>
            </w:r>
          </w:p>
        </w:tc>
        <w:tc>
          <w:tcPr>
            <w:tcW w:w="2466" w:type="dxa"/>
            <w:vAlign w:val="center"/>
          </w:tcPr>
          <w:p>
            <w:pPr>
              <w:pStyle w:val="22"/>
            </w:pPr>
            <w:r>
              <w:t>绩效指标描述</w:t>
            </w:r>
          </w:p>
        </w:tc>
        <w:tc>
          <w:tcPr>
            <w:tcW w:w="2466" w:type="dxa"/>
            <w:vAlign w:val="center"/>
          </w:tcPr>
          <w:p>
            <w:pPr>
              <w:pStyle w:val="22"/>
            </w:pPr>
            <w:r>
              <w:t>指标值</w:t>
            </w:r>
          </w:p>
        </w:tc>
        <w:tc>
          <w:tcPr>
            <w:tcW w:w="2466" w:type="dxa"/>
            <w:vAlign w:val="center"/>
          </w:tcPr>
          <w:p>
            <w:pPr>
              <w:pStyle w:val="2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4"/>
            </w:pPr>
            <w:r>
              <w:t>产出指标</w:t>
            </w:r>
          </w:p>
        </w:tc>
        <w:tc>
          <w:tcPr>
            <w:tcW w:w="2466" w:type="dxa"/>
            <w:vAlign w:val="center"/>
          </w:tcPr>
          <w:p>
            <w:pPr>
              <w:pStyle w:val="23"/>
            </w:pPr>
            <w:r>
              <w:t>数量指标</w:t>
            </w:r>
          </w:p>
        </w:tc>
        <w:tc>
          <w:tcPr>
            <w:tcW w:w="2466" w:type="dxa"/>
            <w:vAlign w:val="center"/>
          </w:tcPr>
          <w:p>
            <w:pPr>
              <w:pStyle w:val="23"/>
            </w:pPr>
            <w:r>
              <w:t>列预算参考2020年全区严重精神障碍患者人数</w:t>
            </w:r>
          </w:p>
        </w:tc>
        <w:tc>
          <w:tcPr>
            <w:tcW w:w="2466" w:type="dxa"/>
            <w:vAlign w:val="center"/>
          </w:tcPr>
          <w:p>
            <w:pPr>
              <w:pStyle w:val="23"/>
            </w:pPr>
            <w:r>
              <w:t>经过卫计局、公安、民政等几家单位联合认定2020年我区严重精神障碍患者共计88名</w:t>
            </w:r>
          </w:p>
        </w:tc>
        <w:tc>
          <w:tcPr>
            <w:tcW w:w="2466" w:type="dxa"/>
            <w:vAlign w:val="center"/>
          </w:tcPr>
          <w:p>
            <w:pPr>
              <w:pStyle w:val="23"/>
            </w:pPr>
            <w:r>
              <w:t>88人</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质量指标</w:t>
            </w:r>
          </w:p>
        </w:tc>
        <w:tc>
          <w:tcPr>
            <w:tcW w:w="2466" w:type="dxa"/>
            <w:vAlign w:val="center"/>
          </w:tcPr>
          <w:p>
            <w:pPr>
              <w:pStyle w:val="23"/>
            </w:pPr>
            <w:r>
              <w:t>帮扶覆盖率(%)</w:t>
            </w:r>
          </w:p>
        </w:tc>
        <w:tc>
          <w:tcPr>
            <w:tcW w:w="2466" w:type="dxa"/>
            <w:vAlign w:val="center"/>
          </w:tcPr>
          <w:p>
            <w:pPr>
              <w:pStyle w:val="23"/>
            </w:pPr>
            <w:r>
              <w:t>帮扶人次占总人次的比率</w:t>
            </w:r>
          </w:p>
        </w:tc>
        <w:tc>
          <w:tcPr>
            <w:tcW w:w="2466" w:type="dxa"/>
            <w:vAlign w:val="center"/>
          </w:tcPr>
          <w:p>
            <w:pPr>
              <w:pStyle w:val="23"/>
            </w:pPr>
            <w:r>
              <w:t>≥95%</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成本指标</w:t>
            </w:r>
          </w:p>
        </w:tc>
        <w:tc>
          <w:tcPr>
            <w:tcW w:w="2466" w:type="dxa"/>
            <w:vAlign w:val="center"/>
          </w:tcPr>
          <w:p>
            <w:pPr>
              <w:pStyle w:val="23"/>
            </w:pPr>
            <w:r>
              <w:t>监护人年奖补标准</w:t>
            </w:r>
          </w:p>
        </w:tc>
        <w:tc>
          <w:tcPr>
            <w:tcW w:w="2466" w:type="dxa"/>
            <w:vAlign w:val="center"/>
          </w:tcPr>
          <w:p>
            <w:pPr>
              <w:pStyle w:val="23"/>
            </w:pPr>
            <w:r>
              <w:t>对严重精神障碍患者的监护人给予补贴，使其更好履行监护责任。</w:t>
            </w:r>
          </w:p>
        </w:tc>
        <w:tc>
          <w:tcPr>
            <w:tcW w:w="2466" w:type="dxa"/>
            <w:vAlign w:val="center"/>
          </w:tcPr>
          <w:p>
            <w:pPr>
              <w:pStyle w:val="23"/>
            </w:pPr>
            <w:r>
              <w:t>＝2400元/年</w:t>
            </w:r>
          </w:p>
        </w:tc>
        <w:tc>
          <w:tcPr>
            <w:tcW w:w="2466" w:type="dxa"/>
            <w:vAlign w:val="center"/>
          </w:tcPr>
          <w:p>
            <w:pPr>
              <w:pStyle w:val="23"/>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1"/>
            </w:pPr>
          </w:p>
        </w:tc>
        <w:tc>
          <w:tcPr>
            <w:tcW w:w="2466" w:type="dxa"/>
            <w:vAlign w:val="center"/>
          </w:tcPr>
          <w:p>
            <w:pPr>
              <w:pStyle w:val="23"/>
            </w:pPr>
            <w:r>
              <w:t>时效指标</w:t>
            </w:r>
          </w:p>
        </w:tc>
        <w:tc>
          <w:tcPr>
            <w:tcW w:w="2466" w:type="dxa"/>
            <w:vAlign w:val="center"/>
          </w:tcPr>
          <w:p>
            <w:pPr>
              <w:pStyle w:val="23"/>
            </w:pPr>
            <w:r>
              <w:t>完成资金支付时间</w:t>
            </w:r>
          </w:p>
        </w:tc>
        <w:tc>
          <w:tcPr>
            <w:tcW w:w="2466" w:type="dxa"/>
            <w:vAlign w:val="center"/>
          </w:tcPr>
          <w:p>
            <w:pPr>
              <w:pStyle w:val="23"/>
            </w:pPr>
            <w:r>
              <w:t>每个季度终了，按照考核结果进行资金拨付</w:t>
            </w:r>
          </w:p>
        </w:tc>
        <w:tc>
          <w:tcPr>
            <w:tcW w:w="2466" w:type="dxa"/>
            <w:vAlign w:val="center"/>
          </w:tcPr>
          <w:p>
            <w:pPr>
              <w:pStyle w:val="23"/>
            </w:pPr>
            <w:r>
              <w:t>≥10月</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效益指标</w:t>
            </w:r>
          </w:p>
        </w:tc>
        <w:tc>
          <w:tcPr>
            <w:tcW w:w="2466" w:type="dxa"/>
            <w:vAlign w:val="center"/>
          </w:tcPr>
          <w:p>
            <w:pPr>
              <w:pStyle w:val="23"/>
            </w:pPr>
            <w:r>
              <w:t>社会效益指标</w:t>
            </w:r>
          </w:p>
        </w:tc>
        <w:tc>
          <w:tcPr>
            <w:tcW w:w="2466" w:type="dxa"/>
            <w:vAlign w:val="center"/>
          </w:tcPr>
          <w:p>
            <w:pPr>
              <w:pStyle w:val="23"/>
            </w:pPr>
            <w:r>
              <w:t>治安、刑事案件下降率（%）</w:t>
            </w:r>
          </w:p>
        </w:tc>
        <w:tc>
          <w:tcPr>
            <w:tcW w:w="2466" w:type="dxa"/>
            <w:vAlign w:val="center"/>
          </w:tcPr>
          <w:p>
            <w:pPr>
              <w:pStyle w:val="23"/>
            </w:pPr>
            <w:r>
              <w:t>治安、刑事案件数量同期下降的比率</w:t>
            </w:r>
          </w:p>
        </w:tc>
        <w:tc>
          <w:tcPr>
            <w:tcW w:w="2466" w:type="dxa"/>
            <w:vAlign w:val="center"/>
          </w:tcPr>
          <w:p>
            <w:pPr>
              <w:pStyle w:val="23"/>
            </w:pPr>
            <w:r>
              <w:t>≥90%</w:t>
            </w:r>
          </w:p>
        </w:tc>
        <w:tc>
          <w:tcPr>
            <w:tcW w:w="2466" w:type="dxa"/>
            <w:vAlign w:val="center"/>
          </w:tcPr>
          <w:p>
            <w:pPr>
              <w:pStyle w:val="2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4"/>
            </w:pPr>
            <w:r>
              <w:t>满意度指标</w:t>
            </w:r>
          </w:p>
        </w:tc>
        <w:tc>
          <w:tcPr>
            <w:tcW w:w="2466" w:type="dxa"/>
            <w:vAlign w:val="center"/>
          </w:tcPr>
          <w:p>
            <w:pPr>
              <w:pStyle w:val="23"/>
            </w:pPr>
            <w:r>
              <w:t>服务对象满意度指标</w:t>
            </w:r>
          </w:p>
        </w:tc>
        <w:tc>
          <w:tcPr>
            <w:tcW w:w="2466" w:type="dxa"/>
            <w:vAlign w:val="center"/>
          </w:tcPr>
          <w:p>
            <w:pPr>
              <w:pStyle w:val="23"/>
            </w:pPr>
            <w:r>
              <w:t>帮扶群众满意度</w:t>
            </w:r>
          </w:p>
        </w:tc>
        <w:tc>
          <w:tcPr>
            <w:tcW w:w="2466" w:type="dxa"/>
            <w:vAlign w:val="center"/>
          </w:tcPr>
          <w:p>
            <w:pPr>
              <w:pStyle w:val="23"/>
            </w:pPr>
            <w:r>
              <w:t>满意人群占总调查人数的比率</w:t>
            </w:r>
          </w:p>
        </w:tc>
        <w:tc>
          <w:tcPr>
            <w:tcW w:w="2466" w:type="dxa"/>
            <w:vAlign w:val="center"/>
          </w:tcPr>
          <w:p>
            <w:pPr>
              <w:pStyle w:val="23"/>
            </w:pPr>
            <w:r>
              <w:t>≥90%</w:t>
            </w:r>
          </w:p>
        </w:tc>
        <w:tc>
          <w:tcPr>
            <w:tcW w:w="2466" w:type="dxa"/>
            <w:vAlign w:val="center"/>
          </w:tcPr>
          <w:p>
            <w:pPr>
              <w:pStyle w:val="23"/>
            </w:pPr>
            <w:r>
              <w:t>调查问卷</w:t>
            </w:r>
          </w:p>
        </w:tc>
      </w:tr>
    </w:tbl>
    <w:p>
      <w:pPr>
        <w:pStyle w:val="21"/>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32094"/>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2022年，中国共产党石家庄市藁城区委员会政法委员会安排政府采购预算143.02万元。具体内容见下表。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216中国共产党石家庄市藁城区委员会政法委员会</w:t>
            </w:r>
          </w:p>
        </w:tc>
        <w:tc>
          <w:tcPr>
            <w:tcW w:w="831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合  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143.02</w:t>
            </w:r>
          </w:p>
        </w:tc>
        <w:tc>
          <w:tcPr>
            <w:tcW w:w="924" w:type="dxa"/>
            <w:vAlign w:val="center"/>
          </w:tcPr>
          <w:p>
            <w:pPr>
              <w:pStyle w:val="15"/>
            </w:pPr>
            <w:r>
              <w:t>143.02</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中国共产党石家庄市藁城区委员会政法委员会本级小计</w:t>
            </w: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4"/>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143.02</w:t>
            </w:r>
          </w:p>
        </w:tc>
        <w:tc>
          <w:tcPr>
            <w:tcW w:w="924" w:type="dxa"/>
            <w:vAlign w:val="center"/>
          </w:tcPr>
          <w:p>
            <w:pPr>
              <w:pStyle w:val="15"/>
            </w:pPr>
            <w:r>
              <w:t>143.02</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5.29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44.65</w:t>
            </w:r>
          </w:p>
        </w:tc>
        <w:tc>
          <w:tcPr>
            <w:tcW w:w="924" w:type="dxa"/>
            <w:vAlign w:val="center"/>
          </w:tcPr>
          <w:p>
            <w:pPr>
              <w:pStyle w:val="12"/>
            </w:pPr>
            <w:r>
              <w:t>车辆维修和保养服务</w:t>
            </w:r>
          </w:p>
        </w:tc>
        <w:tc>
          <w:tcPr>
            <w:tcW w:w="924" w:type="dxa"/>
            <w:vAlign w:val="center"/>
          </w:tcPr>
          <w:p>
            <w:pPr>
              <w:pStyle w:val="12"/>
            </w:pPr>
            <w:r>
              <w:t>C050301</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1.14</w:t>
            </w:r>
          </w:p>
        </w:tc>
        <w:tc>
          <w:tcPr>
            <w:tcW w:w="924" w:type="dxa"/>
            <w:vAlign w:val="center"/>
          </w:tcPr>
          <w:p>
            <w:pPr>
              <w:pStyle w:val="13"/>
            </w:pPr>
            <w:r>
              <w:t>1.14</w:t>
            </w:r>
          </w:p>
        </w:tc>
        <w:tc>
          <w:tcPr>
            <w:tcW w:w="924" w:type="dxa"/>
            <w:vAlign w:val="center"/>
          </w:tcPr>
          <w:p>
            <w:pPr>
              <w:pStyle w:val="13"/>
            </w:pPr>
            <w:r>
              <w:t>1.14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44.65</w:t>
            </w:r>
          </w:p>
        </w:tc>
        <w:tc>
          <w:tcPr>
            <w:tcW w:w="924" w:type="dxa"/>
            <w:vAlign w:val="center"/>
          </w:tcPr>
          <w:p>
            <w:pPr>
              <w:pStyle w:val="12"/>
            </w:pPr>
            <w:r>
              <w:t>车辆加油服务</w:t>
            </w:r>
          </w:p>
        </w:tc>
        <w:tc>
          <w:tcPr>
            <w:tcW w:w="924" w:type="dxa"/>
            <w:vAlign w:val="center"/>
          </w:tcPr>
          <w:p>
            <w:pPr>
              <w:pStyle w:val="12"/>
            </w:pPr>
            <w:r>
              <w:t>C050302</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0.80</w:t>
            </w:r>
          </w:p>
        </w:tc>
        <w:tc>
          <w:tcPr>
            <w:tcW w:w="924" w:type="dxa"/>
            <w:vAlign w:val="center"/>
          </w:tcPr>
          <w:p>
            <w:pPr>
              <w:pStyle w:val="13"/>
            </w:pPr>
            <w:r>
              <w:t>0.80</w:t>
            </w:r>
          </w:p>
        </w:tc>
        <w:tc>
          <w:tcPr>
            <w:tcW w:w="924" w:type="dxa"/>
            <w:vAlign w:val="center"/>
          </w:tcPr>
          <w:p>
            <w:pPr>
              <w:pStyle w:val="13"/>
            </w:pPr>
            <w:r>
              <w:t>0.80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2022年日常公用经费</w:t>
            </w:r>
          </w:p>
        </w:tc>
        <w:tc>
          <w:tcPr>
            <w:tcW w:w="924" w:type="dxa"/>
            <w:vAlign w:val="center"/>
          </w:tcPr>
          <w:p>
            <w:pPr>
              <w:pStyle w:val="13"/>
            </w:pPr>
            <w:r>
              <w:t>44.65</w:t>
            </w:r>
          </w:p>
        </w:tc>
        <w:tc>
          <w:tcPr>
            <w:tcW w:w="924" w:type="dxa"/>
            <w:vAlign w:val="center"/>
          </w:tcPr>
          <w:p>
            <w:pPr>
              <w:pStyle w:val="12"/>
            </w:pPr>
            <w:r>
              <w:t>机动车保险服务</w:t>
            </w:r>
          </w:p>
        </w:tc>
        <w:tc>
          <w:tcPr>
            <w:tcW w:w="924" w:type="dxa"/>
            <w:vAlign w:val="center"/>
          </w:tcPr>
          <w:p>
            <w:pPr>
              <w:pStyle w:val="12"/>
            </w:pPr>
            <w:r>
              <w:t>C15040201</w:t>
            </w:r>
          </w:p>
        </w:tc>
        <w:tc>
          <w:tcPr>
            <w:tcW w:w="924" w:type="dxa"/>
            <w:vAlign w:val="center"/>
          </w:tcPr>
          <w:p>
            <w:pPr>
              <w:pStyle w:val="11"/>
            </w:pPr>
            <w:r>
              <w:t>万元</w:t>
            </w:r>
          </w:p>
        </w:tc>
        <w:tc>
          <w:tcPr>
            <w:tcW w:w="924" w:type="dxa"/>
            <w:vAlign w:val="center"/>
          </w:tcPr>
          <w:p>
            <w:pPr>
              <w:pStyle w:val="13"/>
            </w:pPr>
            <w:r>
              <w:t>1</w:t>
            </w:r>
          </w:p>
        </w:tc>
        <w:tc>
          <w:tcPr>
            <w:tcW w:w="924" w:type="dxa"/>
            <w:vAlign w:val="center"/>
          </w:tcPr>
          <w:p>
            <w:pPr>
              <w:pStyle w:val="13"/>
            </w:pPr>
            <w:r>
              <w:t>0.26</w:t>
            </w:r>
          </w:p>
        </w:tc>
        <w:tc>
          <w:tcPr>
            <w:tcW w:w="924" w:type="dxa"/>
            <w:vAlign w:val="center"/>
          </w:tcPr>
          <w:p>
            <w:pPr>
              <w:pStyle w:val="13"/>
            </w:pPr>
            <w:r>
              <w:t>0.26</w:t>
            </w:r>
          </w:p>
        </w:tc>
        <w:tc>
          <w:tcPr>
            <w:tcW w:w="924" w:type="dxa"/>
            <w:vAlign w:val="center"/>
          </w:tcPr>
          <w:p>
            <w:pPr>
              <w:pStyle w:val="13"/>
            </w:pPr>
            <w:r>
              <w:t>0.26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政法四级网维保费</w:t>
            </w:r>
          </w:p>
        </w:tc>
        <w:tc>
          <w:tcPr>
            <w:tcW w:w="924" w:type="dxa"/>
            <w:vAlign w:val="center"/>
          </w:tcPr>
          <w:p>
            <w:pPr>
              <w:pStyle w:val="13"/>
            </w:pPr>
            <w:r>
              <w:t>50.00</w:t>
            </w:r>
          </w:p>
        </w:tc>
        <w:tc>
          <w:tcPr>
            <w:tcW w:w="924" w:type="dxa"/>
            <w:vAlign w:val="center"/>
          </w:tcPr>
          <w:p>
            <w:pPr>
              <w:pStyle w:val="12"/>
            </w:pPr>
            <w:r>
              <w:t>硬件运维服务</w:t>
            </w:r>
          </w:p>
        </w:tc>
        <w:tc>
          <w:tcPr>
            <w:tcW w:w="924" w:type="dxa"/>
            <w:vAlign w:val="center"/>
          </w:tcPr>
          <w:p>
            <w:pPr>
              <w:pStyle w:val="12"/>
            </w:pPr>
            <w:r>
              <w:t>C020602</w:t>
            </w:r>
          </w:p>
        </w:tc>
        <w:tc>
          <w:tcPr>
            <w:tcW w:w="924" w:type="dxa"/>
            <w:vAlign w:val="center"/>
          </w:tcPr>
          <w:p>
            <w:pPr>
              <w:pStyle w:val="11"/>
            </w:pPr>
            <w:r>
              <w:t>套</w:t>
            </w:r>
          </w:p>
        </w:tc>
        <w:tc>
          <w:tcPr>
            <w:tcW w:w="924" w:type="dxa"/>
            <w:vAlign w:val="center"/>
          </w:tcPr>
          <w:p>
            <w:pPr>
              <w:pStyle w:val="13"/>
            </w:pPr>
            <w:r>
              <w:t>1</w:t>
            </w:r>
          </w:p>
        </w:tc>
        <w:tc>
          <w:tcPr>
            <w:tcW w:w="924" w:type="dxa"/>
            <w:vAlign w:val="center"/>
          </w:tcPr>
          <w:p>
            <w:pPr>
              <w:pStyle w:val="13"/>
            </w:pPr>
            <w:r>
              <w:t>50.00</w:t>
            </w:r>
          </w:p>
        </w:tc>
        <w:tc>
          <w:tcPr>
            <w:tcW w:w="924" w:type="dxa"/>
            <w:vAlign w:val="center"/>
          </w:tcPr>
          <w:p>
            <w:pPr>
              <w:pStyle w:val="13"/>
            </w:pPr>
            <w:r>
              <w:t>50.00</w:t>
            </w:r>
          </w:p>
        </w:tc>
        <w:tc>
          <w:tcPr>
            <w:tcW w:w="924" w:type="dxa"/>
            <w:vAlign w:val="center"/>
          </w:tcPr>
          <w:p>
            <w:pPr>
              <w:pStyle w:val="13"/>
            </w:pPr>
            <w:r>
              <w:t>50.00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综治工作经费</w:t>
            </w:r>
          </w:p>
        </w:tc>
        <w:tc>
          <w:tcPr>
            <w:tcW w:w="924" w:type="dxa"/>
            <w:vAlign w:val="center"/>
          </w:tcPr>
          <w:p>
            <w:pPr>
              <w:pStyle w:val="13"/>
            </w:pPr>
            <w:r>
              <w:t>24.30</w:t>
            </w:r>
          </w:p>
        </w:tc>
        <w:tc>
          <w:tcPr>
            <w:tcW w:w="924" w:type="dxa"/>
            <w:vAlign w:val="center"/>
          </w:tcPr>
          <w:p>
            <w:pPr>
              <w:pStyle w:val="12"/>
            </w:pPr>
            <w:r>
              <w:t>台式计算机</w:t>
            </w:r>
          </w:p>
        </w:tc>
        <w:tc>
          <w:tcPr>
            <w:tcW w:w="924" w:type="dxa"/>
            <w:vAlign w:val="center"/>
          </w:tcPr>
          <w:p>
            <w:pPr>
              <w:pStyle w:val="12"/>
            </w:pPr>
            <w:r>
              <w:t>A02010104</w:t>
            </w:r>
          </w:p>
        </w:tc>
        <w:tc>
          <w:tcPr>
            <w:tcW w:w="924" w:type="dxa"/>
            <w:vAlign w:val="center"/>
          </w:tcPr>
          <w:p>
            <w:pPr>
              <w:pStyle w:val="11"/>
            </w:pPr>
            <w:r>
              <w:t>台</w:t>
            </w:r>
          </w:p>
        </w:tc>
        <w:tc>
          <w:tcPr>
            <w:tcW w:w="924" w:type="dxa"/>
            <w:vAlign w:val="center"/>
          </w:tcPr>
          <w:p>
            <w:pPr>
              <w:pStyle w:val="13"/>
            </w:pPr>
            <w:r>
              <w:t>5</w:t>
            </w:r>
          </w:p>
        </w:tc>
        <w:tc>
          <w:tcPr>
            <w:tcW w:w="924" w:type="dxa"/>
            <w:vAlign w:val="center"/>
          </w:tcPr>
          <w:p>
            <w:pPr>
              <w:pStyle w:val="13"/>
            </w:pPr>
            <w:r>
              <w:t>0.45</w:t>
            </w:r>
          </w:p>
        </w:tc>
        <w:tc>
          <w:tcPr>
            <w:tcW w:w="924" w:type="dxa"/>
            <w:vAlign w:val="center"/>
          </w:tcPr>
          <w:p>
            <w:pPr>
              <w:pStyle w:val="13"/>
            </w:pPr>
            <w:r>
              <w:t>2.25</w:t>
            </w:r>
          </w:p>
        </w:tc>
        <w:tc>
          <w:tcPr>
            <w:tcW w:w="924" w:type="dxa"/>
            <w:vAlign w:val="center"/>
          </w:tcPr>
          <w:p>
            <w:pPr>
              <w:pStyle w:val="13"/>
            </w:pPr>
            <w:r>
              <w:t>2.25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综治工作经费</w:t>
            </w:r>
          </w:p>
        </w:tc>
        <w:tc>
          <w:tcPr>
            <w:tcW w:w="924" w:type="dxa"/>
            <w:vAlign w:val="center"/>
          </w:tcPr>
          <w:p>
            <w:pPr>
              <w:pStyle w:val="13"/>
            </w:pPr>
            <w:r>
              <w:t>24.30</w:t>
            </w:r>
          </w:p>
        </w:tc>
        <w:tc>
          <w:tcPr>
            <w:tcW w:w="924" w:type="dxa"/>
            <w:vAlign w:val="center"/>
          </w:tcPr>
          <w:p>
            <w:pPr>
              <w:pStyle w:val="12"/>
            </w:pPr>
            <w:r>
              <w:t>激光打印机</w:t>
            </w:r>
          </w:p>
        </w:tc>
        <w:tc>
          <w:tcPr>
            <w:tcW w:w="924" w:type="dxa"/>
            <w:vAlign w:val="center"/>
          </w:tcPr>
          <w:p>
            <w:pPr>
              <w:pStyle w:val="12"/>
            </w:pPr>
            <w:r>
              <w:t>A0201060102</w:t>
            </w:r>
          </w:p>
        </w:tc>
        <w:tc>
          <w:tcPr>
            <w:tcW w:w="924" w:type="dxa"/>
            <w:vAlign w:val="center"/>
          </w:tcPr>
          <w:p>
            <w:pPr>
              <w:pStyle w:val="11"/>
            </w:pPr>
            <w:r>
              <w:t>台</w:t>
            </w:r>
          </w:p>
        </w:tc>
        <w:tc>
          <w:tcPr>
            <w:tcW w:w="924" w:type="dxa"/>
            <w:vAlign w:val="center"/>
          </w:tcPr>
          <w:p>
            <w:pPr>
              <w:pStyle w:val="13"/>
            </w:pPr>
            <w:r>
              <w:t>4</w:t>
            </w:r>
          </w:p>
        </w:tc>
        <w:tc>
          <w:tcPr>
            <w:tcW w:w="924" w:type="dxa"/>
            <w:vAlign w:val="center"/>
          </w:tcPr>
          <w:p>
            <w:pPr>
              <w:pStyle w:val="13"/>
            </w:pPr>
            <w:r>
              <w:t>0.15</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综治工作经费</w:t>
            </w:r>
          </w:p>
        </w:tc>
        <w:tc>
          <w:tcPr>
            <w:tcW w:w="924" w:type="dxa"/>
            <w:vAlign w:val="center"/>
          </w:tcPr>
          <w:p>
            <w:pPr>
              <w:pStyle w:val="13"/>
            </w:pPr>
            <w:r>
              <w:t>24.30</w:t>
            </w:r>
          </w:p>
        </w:tc>
        <w:tc>
          <w:tcPr>
            <w:tcW w:w="924" w:type="dxa"/>
            <w:vAlign w:val="center"/>
          </w:tcPr>
          <w:p>
            <w:pPr>
              <w:pStyle w:val="12"/>
            </w:pPr>
            <w:r>
              <w:t>碎纸机</w:t>
            </w:r>
          </w:p>
        </w:tc>
        <w:tc>
          <w:tcPr>
            <w:tcW w:w="924" w:type="dxa"/>
            <w:vAlign w:val="center"/>
          </w:tcPr>
          <w:p>
            <w:pPr>
              <w:pStyle w:val="12"/>
            </w:pPr>
            <w:r>
              <w:t>A02021101</w:t>
            </w:r>
          </w:p>
        </w:tc>
        <w:tc>
          <w:tcPr>
            <w:tcW w:w="924" w:type="dxa"/>
            <w:vAlign w:val="center"/>
          </w:tcPr>
          <w:p>
            <w:pPr>
              <w:pStyle w:val="11"/>
            </w:pPr>
            <w:r>
              <w:t>台</w:t>
            </w:r>
          </w:p>
        </w:tc>
        <w:tc>
          <w:tcPr>
            <w:tcW w:w="924" w:type="dxa"/>
            <w:vAlign w:val="center"/>
          </w:tcPr>
          <w:p>
            <w:pPr>
              <w:pStyle w:val="13"/>
            </w:pPr>
            <w:r>
              <w:t>3</w:t>
            </w:r>
          </w:p>
        </w:tc>
        <w:tc>
          <w:tcPr>
            <w:tcW w:w="924" w:type="dxa"/>
            <w:vAlign w:val="center"/>
          </w:tcPr>
          <w:p>
            <w:pPr>
              <w:pStyle w:val="13"/>
            </w:pPr>
            <w:r>
              <w:t>0.08</w:t>
            </w:r>
          </w:p>
        </w:tc>
        <w:tc>
          <w:tcPr>
            <w:tcW w:w="924" w:type="dxa"/>
            <w:vAlign w:val="center"/>
          </w:tcPr>
          <w:p>
            <w:pPr>
              <w:pStyle w:val="13"/>
            </w:pPr>
            <w:r>
              <w:t>0.24</w:t>
            </w:r>
          </w:p>
        </w:tc>
        <w:tc>
          <w:tcPr>
            <w:tcW w:w="924" w:type="dxa"/>
            <w:vAlign w:val="center"/>
          </w:tcPr>
          <w:p>
            <w:pPr>
              <w:pStyle w:val="13"/>
            </w:pPr>
            <w:r>
              <w:t>0.24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精神障碍患者监护人责任保险</w:t>
            </w:r>
          </w:p>
        </w:tc>
        <w:tc>
          <w:tcPr>
            <w:tcW w:w="924" w:type="dxa"/>
            <w:vAlign w:val="center"/>
          </w:tcPr>
          <w:p>
            <w:pPr>
              <w:pStyle w:val="13"/>
            </w:pPr>
            <w:r>
              <w:t>36.81</w:t>
            </w:r>
          </w:p>
        </w:tc>
        <w:tc>
          <w:tcPr>
            <w:tcW w:w="924" w:type="dxa"/>
            <w:vAlign w:val="center"/>
          </w:tcPr>
          <w:p>
            <w:pPr>
              <w:pStyle w:val="12"/>
            </w:pPr>
            <w:r>
              <w:t>其他保险服务</w:t>
            </w:r>
          </w:p>
        </w:tc>
        <w:tc>
          <w:tcPr>
            <w:tcW w:w="924" w:type="dxa"/>
            <w:vAlign w:val="center"/>
          </w:tcPr>
          <w:p>
            <w:pPr>
              <w:pStyle w:val="12"/>
            </w:pPr>
            <w:r>
              <w:t>C150499</w:t>
            </w:r>
          </w:p>
        </w:tc>
        <w:tc>
          <w:tcPr>
            <w:tcW w:w="924" w:type="dxa"/>
            <w:vAlign w:val="center"/>
          </w:tcPr>
          <w:p>
            <w:pPr>
              <w:pStyle w:val="11"/>
            </w:pPr>
            <w:r>
              <w:t>人</w:t>
            </w:r>
          </w:p>
        </w:tc>
        <w:tc>
          <w:tcPr>
            <w:tcW w:w="924" w:type="dxa"/>
            <w:vAlign w:val="center"/>
          </w:tcPr>
          <w:p>
            <w:pPr>
              <w:pStyle w:val="13"/>
            </w:pPr>
            <w:r>
              <w:t>3681</w:t>
            </w:r>
          </w:p>
        </w:tc>
        <w:tc>
          <w:tcPr>
            <w:tcW w:w="924" w:type="dxa"/>
            <w:vAlign w:val="center"/>
          </w:tcPr>
          <w:p>
            <w:pPr>
              <w:pStyle w:val="13"/>
            </w:pPr>
            <w:r>
              <w:t>0.01</w:t>
            </w:r>
          </w:p>
        </w:tc>
        <w:tc>
          <w:tcPr>
            <w:tcW w:w="924" w:type="dxa"/>
            <w:vAlign w:val="center"/>
          </w:tcPr>
          <w:p>
            <w:pPr>
              <w:pStyle w:val="13"/>
            </w:pPr>
            <w:r>
              <w:t>36.81</w:t>
            </w:r>
          </w:p>
        </w:tc>
        <w:tc>
          <w:tcPr>
            <w:tcW w:w="924" w:type="dxa"/>
            <w:vAlign w:val="center"/>
          </w:tcPr>
          <w:p>
            <w:pPr>
              <w:pStyle w:val="13"/>
            </w:pPr>
            <w:r>
              <w:t>36.81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2"/>
            </w:pPr>
            <w:r>
              <w:t>网格员手机APP服务费</w:t>
            </w:r>
          </w:p>
        </w:tc>
        <w:tc>
          <w:tcPr>
            <w:tcW w:w="924" w:type="dxa"/>
            <w:vAlign w:val="center"/>
          </w:tcPr>
          <w:p>
            <w:pPr>
              <w:pStyle w:val="13"/>
            </w:pPr>
            <w:r>
              <w:t>50.92</w:t>
            </w:r>
          </w:p>
        </w:tc>
        <w:tc>
          <w:tcPr>
            <w:tcW w:w="924" w:type="dxa"/>
            <w:vAlign w:val="center"/>
          </w:tcPr>
          <w:p>
            <w:pPr>
              <w:pStyle w:val="12"/>
            </w:pPr>
            <w:r>
              <w:t>基础电信服务</w:t>
            </w:r>
          </w:p>
        </w:tc>
        <w:tc>
          <w:tcPr>
            <w:tcW w:w="924" w:type="dxa"/>
            <w:vAlign w:val="center"/>
          </w:tcPr>
          <w:p>
            <w:pPr>
              <w:pStyle w:val="12"/>
            </w:pPr>
            <w:r>
              <w:t>C030101</w:t>
            </w:r>
          </w:p>
        </w:tc>
        <w:tc>
          <w:tcPr>
            <w:tcW w:w="924" w:type="dxa"/>
            <w:vAlign w:val="center"/>
          </w:tcPr>
          <w:p>
            <w:pPr>
              <w:pStyle w:val="11"/>
            </w:pPr>
            <w:r>
              <w:t>套</w:t>
            </w:r>
          </w:p>
        </w:tc>
        <w:tc>
          <w:tcPr>
            <w:tcW w:w="924" w:type="dxa"/>
            <w:vAlign w:val="center"/>
          </w:tcPr>
          <w:p>
            <w:pPr>
              <w:pStyle w:val="13"/>
            </w:pPr>
            <w:r>
              <w:t>1</w:t>
            </w:r>
          </w:p>
        </w:tc>
        <w:tc>
          <w:tcPr>
            <w:tcW w:w="924" w:type="dxa"/>
            <w:vAlign w:val="center"/>
          </w:tcPr>
          <w:p>
            <w:pPr>
              <w:pStyle w:val="13"/>
            </w:pPr>
            <w:r>
              <w:t>50.92</w:t>
            </w:r>
          </w:p>
        </w:tc>
        <w:tc>
          <w:tcPr>
            <w:tcW w:w="924" w:type="dxa"/>
            <w:vAlign w:val="center"/>
          </w:tcPr>
          <w:p>
            <w:pPr>
              <w:pStyle w:val="13"/>
            </w:pPr>
            <w:r>
              <w:t>50.92</w:t>
            </w:r>
          </w:p>
        </w:tc>
        <w:tc>
          <w:tcPr>
            <w:tcW w:w="924" w:type="dxa"/>
            <w:vAlign w:val="center"/>
          </w:tcPr>
          <w:p>
            <w:pPr>
              <w:pStyle w:val="13"/>
            </w:pPr>
            <w:r>
              <w:t>50.92</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bookmarkStart w:id="15" w:name="_Toc24208"/>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r>
        <w:rPr>
          <w:rFonts w:ascii="Times New Roman" w:hAnsi="Times New Roman" w:eastAsia="方正仿宋_GBK" w:cs="Times New Roman"/>
          <w:b w:val="0"/>
          <w:color w:val="000000"/>
          <w:sz w:val="28"/>
        </w:rPr>
        <w:t>中国共产党石家庄市藁城区委员会政法委员会本级上年末固定资产金额为37</w:t>
      </w:r>
      <w:r>
        <w:rPr>
          <w:rFonts w:hint="eastAsia" w:eastAsia="方正仿宋_GBK" w:cs="Times New Roman"/>
          <w:b w:val="0"/>
          <w:color w:val="000000"/>
          <w:sz w:val="28"/>
          <w:lang w:val="en-US" w:eastAsia="zh-CN"/>
        </w:rPr>
        <w:t>91</w:t>
      </w:r>
      <w:r>
        <w:rPr>
          <w:rFonts w:ascii="Times New Roman" w:hAnsi="Times New Roman" w:eastAsia="方正仿宋_GBK" w:cs="Times New Roman"/>
          <w:b w:val="0"/>
          <w:color w:val="000000"/>
          <w:sz w:val="28"/>
        </w:rPr>
        <w:t>.3</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68.63</w:t>
      </w:r>
      <w:r>
        <w:rPr>
          <w:rFonts w:ascii="Times New Roman" w:hAnsi="Times New Roman" w:eastAsia="方正仿宋_GBK" w:cs="Times New Roman"/>
          <w:b w:val="0"/>
          <w:color w:val="000000"/>
          <w:sz w:val="28"/>
        </w:rPr>
        <w:t>万元，</w:t>
      </w:r>
      <w:r>
        <w:rPr>
          <w:rFonts w:hint="eastAsia" w:eastAsia="方正仿宋_GBK" w:cs="Times New Roman"/>
          <w:b w:val="0"/>
          <w:color w:val="000000"/>
          <w:sz w:val="28"/>
          <w:lang w:val="en-US" w:eastAsia="zh-CN"/>
        </w:rPr>
        <w:t>其中政府采购集中目录里的电脑、打印机、粉碎机共计3.09万元已经按照</w:t>
      </w:r>
      <w:r>
        <w:rPr>
          <w:rFonts w:ascii="Times New Roman" w:hAnsi="Times New Roman" w:eastAsia="方正仿宋_GBK" w:cs="Times New Roman"/>
          <w:b w:val="0"/>
          <w:color w:val="000000"/>
          <w:sz w:val="28"/>
        </w:rPr>
        <w:t>要求列入政府采购预算，详见政府采购预算表。</w:t>
      </w:r>
      <w:r>
        <w:rPr>
          <w:rFonts w:hint="eastAsia" w:eastAsia="方正仿宋_GBK" w:cs="Times New Roman"/>
          <w:b w:val="0"/>
          <w:color w:val="000000"/>
          <w:sz w:val="28"/>
          <w:lang w:val="en-US" w:eastAsia="zh-CN"/>
        </w:rPr>
        <w:t>未列入集中采购目录中的电视、</w:t>
      </w:r>
      <w:r>
        <w:rPr>
          <w:rFonts w:hint="eastAsia" w:ascii="Times New Roman" w:hAnsi="Times New Roman" w:eastAsia="方正仿宋_GBK" w:cs="Times New Roman"/>
          <w:b w:val="0"/>
          <w:color w:val="000000"/>
          <w:sz w:val="28"/>
          <w:lang w:val="en-US" w:eastAsia="zh-CN"/>
        </w:rPr>
        <w:t>空调共计3.8万元</w:t>
      </w:r>
      <w:r>
        <w:rPr>
          <w:rFonts w:hint="eastAsia" w:ascii="Times New Roman" w:hAnsi="Times New Roman" w:eastAsia="方正仿宋_GBK" w:cs="Times New Roman"/>
          <w:b w:val="0"/>
          <w:color w:val="000000"/>
          <w:sz w:val="28"/>
          <w:lang w:val="uk-UA"/>
        </w:rPr>
        <w:t>因未达到政府采购限额，故未列入政府采购预算</w:t>
      </w:r>
      <w:r>
        <w:rPr>
          <w:rFonts w:hint="eastAsia" w:eastAsia="方正仿宋_GBK" w:cs="Times New Roman"/>
          <w:b w:val="0"/>
          <w:color w:val="000000"/>
          <w:sz w:val="28"/>
          <w:lang w:val="en-US" w:eastAsia="zh-CN"/>
        </w:rPr>
        <w:t>；另</w:t>
      </w:r>
      <w:r>
        <w:rPr>
          <w:rFonts w:hint="eastAsia" w:ascii="Times New Roman" w:hAnsi="Times New Roman" w:eastAsia="方正仿宋_GBK" w:cs="Times New Roman"/>
          <w:b w:val="0"/>
          <w:color w:val="000000"/>
          <w:sz w:val="28"/>
          <w:lang w:val="en-US" w:eastAsia="zh-CN"/>
        </w:rPr>
        <w:t>我委</w:t>
      </w:r>
      <w:r>
        <w:rPr>
          <w:rFonts w:ascii="Times New Roman" w:hAnsi="Times New Roman" w:eastAsia="方正仿宋_GBK" w:cs="Times New Roman"/>
          <w:b w:val="0"/>
          <w:color w:val="000000"/>
          <w:sz w:val="28"/>
        </w:rPr>
        <w:t>社会矛盾纠纷多元化解中心项目建设</w:t>
      </w:r>
      <w:r>
        <w:rPr>
          <w:rFonts w:hint="eastAsia" w:eastAsia="方正仿宋_GBK" w:cs="Times New Roman"/>
          <w:b w:val="0"/>
          <w:color w:val="000000"/>
          <w:sz w:val="28"/>
          <w:lang w:val="en-US" w:eastAsia="zh-CN"/>
        </w:rPr>
        <w:t>2022年安排预算资金130万元含61.74万元固定资产，2021年已做了政府集中采购（代建中心承建），2022年预算只填写资产配置表而没有再做采购。特此说明。</w:t>
      </w:r>
    </w:p>
    <w:p>
      <w:pPr>
        <w:spacing w:before="0" w:after="0" w:line="500" w:lineRule="exact"/>
        <w:ind w:firstLine="560"/>
        <w:jc w:val="left"/>
        <w:outlineLvl w:val="9"/>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216中国共产党石家庄市藁城区委员会政法委员会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rPr>
                <w:rFonts w:hint="default" w:eastAsia="方正书宋_GBK"/>
                <w:lang w:val="en-US" w:eastAsia="zh-CN"/>
              </w:rPr>
            </w:pPr>
            <w:r>
              <w:rPr>
                <w:rFonts w:hint="eastAsia"/>
                <w:lang w:val="en-US" w:eastAsia="zh-CN"/>
              </w:rPr>
              <w:t>147</w:t>
            </w:r>
          </w:p>
        </w:tc>
        <w:tc>
          <w:tcPr>
            <w:tcW w:w="4933" w:type="dxa"/>
            <w:vAlign w:val="center"/>
          </w:tcPr>
          <w:p>
            <w:pPr>
              <w:pStyle w:val="13"/>
              <w:ind w:firstLine="0" w:firstLineChars="0"/>
            </w:pPr>
            <w:r>
              <w:rPr>
                <w:rFonts w:hint="eastAsia"/>
                <w:lang w:val="en-US" w:eastAsia="zh-CN"/>
              </w:rPr>
              <w:t>3791.31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r>
              <w:t>1</w:t>
            </w:r>
          </w:p>
        </w:tc>
        <w:tc>
          <w:tcPr>
            <w:tcW w:w="4933" w:type="dxa"/>
            <w:vAlign w:val="center"/>
          </w:tcPr>
          <w:p>
            <w:pPr>
              <w:pStyle w:val="13"/>
              <w:ind w:firstLine="0" w:firstLineChars="0"/>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rPr>
                <w:rFonts w:hint="eastAsia" w:eastAsia="方正书宋_GBK"/>
                <w:lang w:eastAsia="zh-CN"/>
              </w:rPr>
            </w:pPr>
            <w:r>
              <w:rPr>
                <w:rFonts w:hint="eastAsia"/>
                <w:lang w:val="en-US" w:eastAsia="zh-CN"/>
              </w:rPr>
              <w:t>4</w:t>
            </w:r>
          </w:p>
        </w:tc>
        <w:tc>
          <w:tcPr>
            <w:tcW w:w="4933" w:type="dxa"/>
            <w:vAlign w:val="center"/>
          </w:tcPr>
          <w:p>
            <w:pPr>
              <w:pStyle w:val="13"/>
              <w:ind w:firstLine="0" w:firstLineChars="0"/>
            </w:pPr>
            <w:r>
              <w:t>3650.55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r>
              <w:t>142</w:t>
            </w:r>
          </w:p>
        </w:tc>
        <w:tc>
          <w:tcPr>
            <w:tcW w:w="4933" w:type="dxa"/>
            <w:vAlign w:val="center"/>
          </w:tcPr>
          <w:p>
            <w:pPr>
              <w:pStyle w:val="13"/>
              <w:ind w:firstLine="0" w:firstLineChars="0"/>
            </w:pPr>
            <w:r>
              <w:rPr>
                <w:rFonts w:hint="eastAsia"/>
                <w:lang w:val="en-US" w:eastAsia="zh-CN"/>
              </w:rPr>
              <w:t>136.76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bookmarkStart w:id="16" w:name="_Toc20668"/>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县级</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3971"/>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B463031"/>
    <w:multiLevelType w:val="singleLevel"/>
    <w:tmpl w:val="8B463031"/>
    <w:lvl w:ilvl="0" w:tentative="0">
      <w:start w:val="1"/>
      <w:numFmt w:val="decimal"/>
      <w:suff w:val="nothing"/>
      <w:lvlText w:val="%1、"/>
      <w:lvlJc w:val="left"/>
    </w:lvl>
  </w:abstractNum>
  <w:abstractNum w:abstractNumId="1">
    <w:nsid w:val="5D0A2A3D"/>
    <w:multiLevelType w:val="singleLevel"/>
    <w:tmpl w:val="5D0A2A3D"/>
    <w:lvl w:ilvl="0" w:tentative="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mZTNkZjM0ZmIzNDI2OWQwMmEwZGMzMTA5Yjc2ZGEifQ=="/>
  </w:docVars>
  <w:rsids>
    <w:rsidRoot w:val="00000000"/>
    <w:rsid w:val="17A821AF"/>
    <w:rsid w:val="2BA62F37"/>
    <w:rsid w:val="303F6DB7"/>
    <w:rsid w:val="33B35F23"/>
    <w:rsid w:val="383513E6"/>
    <w:rsid w:val="405515ED"/>
    <w:rsid w:val="55466226"/>
    <w:rsid w:val="7A6A66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Normal_e9c7474c-f73e-42e8-8b53-d127830c6c7b"/>
    <w:qFormat/>
    <w:uiPriority w:val="0"/>
    <w:rPr>
      <w:rFonts w:ascii="Times New Roman" w:hAnsi="Times New Roman" w:eastAsia="Times New Roman" w:cstheme="minorBidi"/>
      <w:sz w:val="24"/>
      <w:szCs w:val="24"/>
      <w:lang w:val="en-US" w:eastAsia="uk-UA" w:bidi="ar-SA"/>
    </w:rPr>
  </w:style>
  <w:style w:type="paragraph" w:customStyle="1" w:styleId="22">
    <w:name w:val="单元格样式1_b07ba732-0253-47d3-b7b7-0dabbc91e77b"/>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3">
    <w:name w:val="单元格样式2_57985b41-e103-4deb-ba5b-5550cd359328"/>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4">
    <w:name w:val="单元格样式3_7db2d547-64cd-4163-bdd6-a4a26d190e6c"/>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2023-09-05T08:40:00Z</dcterms:created>
  <dc:creator>Administrator</dc:creator>
  <cp:lastModifiedBy>Administrator</cp:lastModifiedBy>
  <dcterms:modified xsi:type="dcterms:W3CDTF">2023-09-06T01:16:04Z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2C76A357D195476EA0D85DE7771C525D_12</vt:lpwstr>
  </property>
</Properties>
</file>