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46</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一、中国共产党石家庄市藁城区委员会组织部本级收支预算</w:t>
      </w:r>
      <w:r>
        <w:tab/>
      </w:r>
      <w:r>
        <w:fldChar w:fldCharType="begin"/>
      </w:r>
      <w:r>
        <w:instrText xml:space="preserve">PAGEREF _Toc_4_4_0000000019 \h</w:instrText>
      </w:r>
      <w:r>
        <w:fldChar w:fldCharType="separate"/>
      </w:r>
      <w:r>
        <w:t>49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8612.46</w:t>
            </w:r>
          </w:p>
        </w:tc>
        <w:tc>
          <w:tcPr>
            <w:tcW w:w="1971" w:type="dxa"/>
            <w:vAlign w:val="center"/>
          </w:tcPr>
          <w:p>
            <w:pPr>
              <w:pStyle w:val="14"/>
            </w:pPr>
            <w:r>
              <w:t>一、一般公共服务支出</w:t>
            </w:r>
          </w:p>
        </w:tc>
        <w:tc>
          <w:tcPr>
            <w:tcW w:w="1971" w:type="dxa"/>
            <w:vAlign w:val="center"/>
          </w:tcPr>
          <w:p>
            <w:pPr>
              <w:pStyle w:val="13"/>
            </w:pPr>
            <w:r>
              <w:t>2172.42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r>
              <w:t>6158.93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8612.46</w:t>
            </w:r>
          </w:p>
        </w:tc>
        <w:tc>
          <w:tcPr>
            <w:tcW w:w="1971" w:type="dxa"/>
            <w:vAlign w:val="center"/>
          </w:tcPr>
          <w:p>
            <w:pPr>
              <w:pStyle w:val="16"/>
            </w:pPr>
            <w:r>
              <w:t>本年支出合计</w:t>
            </w:r>
          </w:p>
        </w:tc>
        <w:tc>
          <w:tcPr>
            <w:tcW w:w="1971" w:type="dxa"/>
            <w:vAlign w:val="center"/>
          </w:tcPr>
          <w:p>
            <w:pPr>
              <w:pStyle w:val="17"/>
            </w:pPr>
            <w:r>
              <w:t>8713.74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r>
              <w:t>101.29</w:t>
            </w: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8713.74</w:t>
            </w:r>
          </w:p>
        </w:tc>
        <w:tc>
          <w:tcPr>
            <w:tcW w:w="1971" w:type="dxa"/>
            <w:vAlign w:val="center"/>
          </w:tcPr>
          <w:p>
            <w:pPr>
              <w:pStyle w:val="16"/>
            </w:pPr>
            <w:r>
              <w:t>支出总计</w:t>
            </w:r>
          </w:p>
        </w:tc>
        <w:tc>
          <w:tcPr>
            <w:tcW w:w="1971" w:type="dxa"/>
            <w:vAlign w:val="center"/>
          </w:tcPr>
          <w:p>
            <w:pPr>
              <w:pStyle w:val="17"/>
            </w:pPr>
            <w:r>
              <w:t>8713.74</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8713.74</w:t>
            </w:r>
          </w:p>
        </w:tc>
        <w:tc>
          <w:tcPr>
            <w:tcW w:w="758" w:type="dxa"/>
            <w:vAlign w:val="center"/>
          </w:tcPr>
          <w:p>
            <w:pPr>
              <w:pStyle w:val="17"/>
            </w:pPr>
            <w:r>
              <w:t>8612.46</w:t>
            </w:r>
          </w:p>
        </w:tc>
        <w:tc>
          <w:tcPr>
            <w:tcW w:w="758" w:type="dxa"/>
            <w:vAlign w:val="center"/>
          </w:tcPr>
          <w:p>
            <w:pPr>
              <w:pStyle w:val="17"/>
            </w:pPr>
            <w:r>
              <w:t>8612.46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101.29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2172.42</w:t>
            </w:r>
          </w:p>
        </w:tc>
        <w:tc>
          <w:tcPr>
            <w:tcW w:w="758" w:type="dxa"/>
            <w:vAlign w:val="center"/>
          </w:tcPr>
          <w:p>
            <w:pPr>
              <w:pStyle w:val="13"/>
            </w:pPr>
            <w:r>
              <w:t>2172.42</w:t>
            </w:r>
          </w:p>
        </w:tc>
        <w:tc>
          <w:tcPr>
            <w:tcW w:w="758" w:type="dxa"/>
            <w:vAlign w:val="center"/>
          </w:tcPr>
          <w:p>
            <w:pPr>
              <w:pStyle w:val="13"/>
            </w:pPr>
            <w:r>
              <w:t>2172.42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20132</w:t>
            </w:r>
          </w:p>
        </w:tc>
        <w:tc>
          <w:tcPr>
            <w:tcW w:w="758" w:type="dxa"/>
            <w:vAlign w:val="center"/>
          </w:tcPr>
          <w:p>
            <w:pPr>
              <w:pStyle w:val="14"/>
            </w:pPr>
            <w:r>
              <w:t>组织事务</w:t>
            </w:r>
          </w:p>
        </w:tc>
        <w:tc>
          <w:tcPr>
            <w:tcW w:w="758" w:type="dxa"/>
            <w:vAlign w:val="center"/>
          </w:tcPr>
          <w:p>
            <w:pPr>
              <w:pStyle w:val="13"/>
            </w:pPr>
            <w:r>
              <w:t>2172.42</w:t>
            </w:r>
          </w:p>
        </w:tc>
        <w:tc>
          <w:tcPr>
            <w:tcW w:w="758" w:type="dxa"/>
            <w:vAlign w:val="center"/>
          </w:tcPr>
          <w:p>
            <w:pPr>
              <w:pStyle w:val="13"/>
            </w:pPr>
            <w:r>
              <w:t>2172.42</w:t>
            </w:r>
          </w:p>
        </w:tc>
        <w:tc>
          <w:tcPr>
            <w:tcW w:w="758" w:type="dxa"/>
            <w:vAlign w:val="center"/>
          </w:tcPr>
          <w:p>
            <w:pPr>
              <w:pStyle w:val="13"/>
            </w:pPr>
            <w:r>
              <w:t>2172.42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2013201</w:t>
            </w:r>
          </w:p>
        </w:tc>
        <w:tc>
          <w:tcPr>
            <w:tcW w:w="758" w:type="dxa"/>
            <w:vAlign w:val="center"/>
          </w:tcPr>
          <w:p>
            <w:pPr>
              <w:pStyle w:val="14"/>
            </w:pPr>
            <w:r>
              <w:t>行政运行</w:t>
            </w:r>
          </w:p>
        </w:tc>
        <w:tc>
          <w:tcPr>
            <w:tcW w:w="758" w:type="dxa"/>
            <w:vAlign w:val="center"/>
          </w:tcPr>
          <w:p>
            <w:pPr>
              <w:pStyle w:val="13"/>
            </w:pPr>
            <w:r>
              <w:t>976.12</w:t>
            </w:r>
          </w:p>
        </w:tc>
        <w:tc>
          <w:tcPr>
            <w:tcW w:w="758" w:type="dxa"/>
            <w:vAlign w:val="center"/>
          </w:tcPr>
          <w:p>
            <w:pPr>
              <w:pStyle w:val="13"/>
            </w:pPr>
            <w:r>
              <w:t>976.12</w:t>
            </w:r>
          </w:p>
        </w:tc>
        <w:tc>
          <w:tcPr>
            <w:tcW w:w="758" w:type="dxa"/>
            <w:vAlign w:val="center"/>
          </w:tcPr>
          <w:p>
            <w:pPr>
              <w:pStyle w:val="13"/>
            </w:pPr>
            <w:r>
              <w:t>976.12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2013202</w:t>
            </w:r>
          </w:p>
        </w:tc>
        <w:tc>
          <w:tcPr>
            <w:tcW w:w="758" w:type="dxa"/>
            <w:vAlign w:val="center"/>
          </w:tcPr>
          <w:p>
            <w:pPr>
              <w:pStyle w:val="14"/>
            </w:pPr>
            <w:r>
              <w:t>一般行政管理事务</w:t>
            </w:r>
          </w:p>
        </w:tc>
        <w:tc>
          <w:tcPr>
            <w:tcW w:w="758" w:type="dxa"/>
            <w:vAlign w:val="center"/>
          </w:tcPr>
          <w:p>
            <w:pPr>
              <w:pStyle w:val="13"/>
            </w:pPr>
            <w:r>
              <w:t>16.91</w:t>
            </w:r>
          </w:p>
        </w:tc>
        <w:tc>
          <w:tcPr>
            <w:tcW w:w="758" w:type="dxa"/>
            <w:vAlign w:val="center"/>
          </w:tcPr>
          <w:p>
            <w:pPr>
              <w:pStyle w:val="13"/>
            </w:pPr>
            <w:r>
              <w:t>16.91</w:t>
            </w:r>
          </w:p>
        </w:tc>
        <w:tc>
          <w:tcPr>
            <w:tcW w:w="758" w:type="dxa"/>
            <w:vAlign w:val="center"/>
          </w:tcPr>
          <w:p>
            <w:pPr>
              <w:pStyle w:val="13"/>
            </w:pPr>
            <w:r>
              <w:t>16.91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2013203</w:t>
            </w:r>
          </w:p>
        </w:tc>
        <w:tc>
          <w:tcPr>
            <w:tcW w:w="758" w:type="dxa"/>
            <w:vAlign w:val="center"/>
          </w:tcPr>
          <w:p>
            <w:pPr>
              <w:pStyle w:val="14"/>
            </w:pPr>
            <w:r>
              <w:t>机关服务</w:t>
            </w:r>
          </w:p>
        </w:tc>
        <w:tc>
          <w:tcPr>
            <w:tcW w:w="758" w:type="dxa"/>
            <w:vAlign w:val="center"/>
          </w:tcPr>
          <w:p>
            <w:pPr>
              <w:pStyle w:val="13"/>
            </w:pPr>
            <w:r>
              <w:t>11.40</w:t>
            </w:r>
          </w:p>
        </w:tc>
        <w:tc>
          <w:tcPr>
            <w:tcW w:w="758" w:type="dxa"/>
            <w:vAlign w:val="center"/>
          </w:tcPr>
          <w:p>
            <w:pPr>
              <w:pStyle w:val="13"/>
            </w:pPr>
            <w:r>
              <w:t>11.40</w:t>
            </w:r>
          </w:p>
        </w:tc>
        <w:tc>
          <w:tcPr>
            <w:tcW w:w="758" w:type="dxa"/>
            <w:vAlign w:val="center"/>
          </w:tcPr>
          <w:p>
            <w:pPr>
              <w:pStyle w:val="13"/>
            </w:pPr>
            <w:r>
              <w:t>11.40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2013204</w:t>
            </w:r>
          </w:p>
        </w:tc>
        <w:tc>
          <w:tcPr>
            <w:tcW w:w="758" w:type="dxa"/>
            <w:vAlign w:val="center"/>
          </w:tcPr>
          <w:p>
            <w:pPr>
              <w:pStyle w:val="14"/>
            </w:pPr>
            <w:r>
              <w:t>公务员事务</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2013299</w:t>
            </w:r>
          </w:p>
        </w:tc>
        <w:tc>
          <w:tcPr>
            <w:tcW w:w="758" w:type="dxa"/>
            <w:vAlign w:val="center"/>
          </w:tcPr>
          <w:p>
            <w:pPr>
              <w:pStyle w:val="14"/>
            </w:pPr>
            <w:r>
              <w:t>其他组织事务支出</w:t>
            </w:r>
          </w:p>
        </w:tc>
        <w:tc>
          <w:tcPr>
            <w:tcW w:w="758" w:type="dxa"/>
            <w:vAlign w:val="center"/>
          </w:tcPr>
          <w:p>
            <w:pPr>
              <w:pStyle w:val="13"/>
            </w:pPr>
            <w:r>
              <w:t>1150.99</w:t>
            </w:r>
          </w:p>
        </w:tc>
        <w:tc>
          <w:tcPr>
            <w:tcW w:w="758" w:type="dxa"/>
            <w:vAlign w:val="center"/>
          </w:tcPr>
          <w:p>
            <w:pPr>
              <w:pStyle w:val="13"/>
            </w:pPr>
            <w:r>
              <w:t>1150.99</w:t>
            </w:r>
          </w:p>
        </w:tc>
        <w:tc>
          <w:tcPr>
            <w:tcW w:w="758" w:type="dxa"/>
            <w:vAlign w:val="center"/>
          </w:tcPr>
          <w:p>
            <w:pPr>
              <w:pStyle w:val="13"/>
            </w:pPr>
            <w:r>
              <w:t>1150.99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22.40</w:t>
            </w:r>
          </w:p>
        </w:tc>
        <w:tc>
          <w:tcPr>
            <w:tcW w:w="758" w:type="dxa"/>
            <w:vAlign w:val="center"/>
          </w:tcPr>
          <w:p>
            <w:pPr>
              <w:pStyle w:val="13"/>
            </w:pPr>
            <w:r>
              <w:t>11.35</w:t>
            </w:r>
          </w:p>
        </w:tc>
        <w:tc>
          <w:tcPr>
            <w:tcW w:w="758" w:type="dxa"/>
            <w:vAlign w:val="center"/>
          </w:tcPr>
          <w:p>
            <w:pPr>
              <w:pStyle w:val="13"/>
            </w:pPr>
            <w:r>
              <w:t>11.35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22.40</w:t>
            </w:r>
          </w:p>
        </w:tc>
        <w:tc>
          <w:tcPr>
            <w:tcW w:w="758" w:type="dxa"/>
            <w:vAlign w:val="center"/>
          </w:tcPr>
          <w:p>
            <w:pPr>
              <w:pStyle w:val="13"/>
            </w:pPr>
            <w:r>
              <w:t>11.35</w:t>
            </w:r>
          </w:p>
        </w:tc>
        <w:tc>
          <w:tcPr>
            <w:tcW w:w="758" w:type="dxa"/>
            <w:vAlign w:val="center"/>
          </w:tcPr>
          <w:p>
            <w:pPr>
              <w:pStyle w:val="13"/>
            </w:pPr>
            <w:r>
              <w:t>11.35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2080899</w:t>
            </w:r>
          </w:p>
        </w:tc>
        <w:tc>
          <w:tcPr>
            <w:tcW w:w="758" w:type="dxa"/>
            <w:vAlign w:val="center"/>
          </w:tcPr>
          <w:p>
            <w:pPr>
              <w:pStyle w:val="14"/>
            </w:pPr>
            <w:r>
              <w:t>其他优抚支出</w:t>
            </w:r>
          </w:p>
        </w:tc>
        <w:tc>
          <w:tcPr>
            <w:tcW w:w="758" w:type="dxa"/>
            <w:vAlign w:val="center"/>
          </w:tcPr>
          <w:p>
            <w:pPr>
              <w:pStyle w:val="13"/>
            </w:pPr>
            <w:r>
              <w:t>22.40</w:t>
            </w:r>
          </w:p>
        </w:tc>
        <w:tc>
          <w:tcPr>
            <w:tcW w:w="758" w:type="dxa"/>
            <w:vAlign w:val="center"/>
          </w:tcPr>
          <w:p>
            <w:pPr>
              <w:pStyle w:val="13"/>
            </w:pPr>
            <w:r>
              <w:t>11.35</w:t>
            </w:r>
          </w:p>
        </w:tc>
        <w:tc>
          <w:tcPr>
            <w:tcW w:w="758" w:type="dxa"/>
            <w:vAlign w:val="center"/>
          </w:tcPr>
          <w:p>
            <w:pPr>
              <w:pStyle w:val="13"/>
            </w:pPr>
            <w:r>
              <w:t>11.35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21299</w:t>
            </w:r>
          </w:p>
        </w:tc>
        <w:tc>
          <w:tcPr>
            <w:tcW w:w="758" w:type="dxa"/>
            <w:vAlign w:val="center"/>
          </w:tcPr>
          <w:p>
            <w:pPr>
              <w:pStyle w:val="14"/>
            </w:pPr>
            <w:r>
              <w:t>其他城乡社区支出</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2129999</w:t>
            </w:r>
          </w:p>
        </w:tc>
        <w:tc>
          <w:tcPr>
            <w:tcW w:w="758" w:type="dxa"/>
            <w:vAlign w:val="center"/>
          </w:tcPr>
          <w:p>
            <w:pPr>
              <w:pStyle w:val="14"/>
            </w:pPr>
            <w:r>
              <w:t>其他城乡社区支出</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6158.93</w:t>
            </w:r>
          </w:p>
        </w:tc>
        <w:tc>
          <w:tcPr>
            <w:tcW w:w="758" w:type="dxa"/>
            <w:vAlign w:val="center"/>
          </w:tcPr>
          <w:p>
            <w:pPr>
              <w:pStyle w:val="13"/>
            </w:pPr>
            <w:r>
              <w:t>6068.69</w:t>
            </w:r>
          </w:p>
        </w:tc>
        <w:tc>
          <w:tcPr>
            <w:tcW w:w="758" w:type="dxa"/>
            <w:vAlign w:val="center"/>
          </w:tcPr>
          <w:p>
            <w:pPr>
              <w:pStyle w:val="13"/>
            </w:pPr>
            <w:r>
              <w:t>6068.69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240.23</w:t>
            </w:r>
          </w:p>
        </w:tc>
        <w:tc>
          <w:tcPr>
            <w:tcW w:w="758" w:type="dxa"/>
            <w:vAlign w:val="center"/>
          </w:tcPr>
          <w:p>
            <w:pPr>
              <w:pStyle w:val="13"/>
            </w:pPr>
            <w:r>
              <w:t>149.99</w:t>
            </w:r>
          </w:p>
        </w:tc>
        <w:tc>
          <w:tcPr>
            <w:tcW w:w="758" w:type="dxa"/>
            <w:vAlign w:val="center"/>
          </w:tcPr>
          <w:p>
            <w:pPr>
              <w:pStyle w:val="13"/>
            </w:pPr>
            <w:r>
              <w:t>149.99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2130152</w:t>
            </w:r>
          </w:p>
        </w:tc>
        <w:tc>
          <w:tcPr>
            <w:tcW w:w="758" w:type="dxa"/>
            <w:vAlign w:val="center"/>
          </w:tcPr>
          <w:p>
            <w:pPr>
              <w:pStyle w:val="14"/>
            </w:pPr>
            <w:r>
              <w:t>对高校毕业生到基层任职补助</w:t>
            </w:r>
          </w:p>
        </w:tc>
        <w:tc>
          <w:tcPr>
            <w:tcW w:w="758" w:type="dxa"/>
            <w:vAlign w:val="center"/>
          </w:tcPr>
          <w:p>
            <w:pPr>
              <w:pStyle w:val="13"/>
            </w:pPr>
            <w:r>
              <w:t>240.23</w:t>
            </w:r>
          </w:p>
        </w:tc>
        <w:tc>
          <w:tcPr>
            <w:tcW w:w="758" w:type="dxa"/>
            <w:vAlign w:val="center"/>
          </w:tcPr>
          <w:p>
            <w:pPr>
              <w:pStyle w:val="13"/>
            </w:pPr>
            <w:r>
              <w:t>149.99</w:t>
            </w:r>
          </w:p>
        </w:tc>
        <w:tc>
          <w:tcPr>
            <w:tcW w:w="758" w:type="dxa"/>
            <w:vAlign w:val="center"/>
          </w:tcPr>
          <w:p>
            <w:pPr>
              <w:pStyle w:val="13"/>
            </w:pPr>
            <w:r>
              <w:t>149.99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5918.70</w:t>
            </w:r>
          </w:p>
        </w:tc>
        <w:tc>
          <w:tcPr>
            <w:tcW w:w="758" w:type="dxa"/>
            <w:vAlign w:val="center"/>
          </w:tcPr>
          <w:p>
            <w:pPr>
              <w:pStyle w:val="13"/>
            </w:pPr>
            <w:r>
              <w:t>5918.70</w:t>
            </w:r>
          </w:p>
        </w:tc>
        <w:tc>
          <w:tcPr>
            <w:tcW w:w="758" w:type="dxa"/>
            <w:vAlign w:val="center"/>
          </w:tcPr>
          <w:p>
            <w:pPr>
              <w:pStyle w:val="13"/>
            </w:pPr>
            <w:r>
              <w:t>5918.70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5918.70</w:t>
            </w:r>
          </w:p>
        </w:tc>
        <w:tc>
          <w:tcPr>
            <w:tcW w:w="758" w:type="dxa"/>
            <w:vAlign w:val="center"/>
          </w:tcPr>
          <w:p>
            <w:pPr>
              <w:pStyle w:val="13"/>
            </w:pPr>
            <w:r>
              <w:t>5918.70</w:t>
            </w:r>
          </w:p>
        </w:tc>
        <w:tc>
          <w:tcPr>
            <w:tcW w:w="758" w:type="dxa"/>
            <w:vAlign w:val="center"/>
          </w:tcPr>
          <w:p>
            <w:pPr>
              <w:pStyle w:val="13"/>
            </w:pPr>
            <w:r>
              <w:t>5918.70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8713.74</w:t>
            </w:r>
          </w:p>
        </w:tc>
        <w:tc>
          <w:tcPr>
            <w:tcW w:w="1095" w:type="dxa"/>
            <w:vAlign w:val="center"/>
          </w:tcPr>
          <w:p>
            <w:pPr>
              <w:pStyle w:val="17"/>
            </w:pPr>
            <w:r>
              <w:t>976.12</w:t>
            </w:r>
          </w:p>
        </w:tc>
        <w:tc>
          <w:tcPr>
            <w:tcW w:w="1095" w:type="dxa"/>
            <w:vAlign w:val="center"/>
          </w:tcPr>
          <w:p>
            <w:pPr>
              <w:pStyle w:val="17"/>
            </w:pPr>
            <w:r>
              <w:t>7737.63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2172.42</w:t>
            </w:r>
          </w:p>
        </w:tc>
        <w:tc>
          <w:tcPr>
            <w:tcW w:w="1095" w:type="dxa"/>
            <w:vAlign w:val="center"/>
          </w:tcPr>
          <w:p>
            <w:pPr>
              <w:pStyle w:val="13"/>
            </w:pPr>
            <w:r>
              <w:t>976.12</w:t>
            </w:r>
          </w:p>
        </w:tc>
        <w:tc>
          <w:tcPr>
            <w:tcW w:w="1095" w:type="dxa"/>
            <w:vAlign w:val="center"/>
          </w:tcPr>
          <w:p>
            <w:pPr>
              <w:pStyle w:val="13"/>
            </w:pPr>
            <w:r>
              <w:t>1196.30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20132</w:t>
            </w:r>
          </w:p>
        </w:tc>
        <w:tc>
          <w:tcPr>
            <w:tcW w:w="1095" w:type="dxa"/>
            <w:vAlign w:val="center"/>
          </w:tcPr>
          <w:p>
            <w:pPr>
              <w:pStyle w:val="14"/>
            </w:pPr>
            <w:r>
              <w:t>组织事务</w:t>
            </w:r>
          </w:p>
        </w:tc>
        <w:tc>
          <w:tcPr>
            <w:tcW w:w="1095" w:type="dxa"/>
            <w:vAlign w:val="center"/>
          </w:tcPr>
          <w:p>
            <w:pPr>
              <w:pStyle w:val="13"/>
            </w:pPr>
            <w:r>
              <w:t>2172.42</w:t>
            </w:r>
          </w:p>
        </w:tc>
        <w:tc>
          <w:tcPr>
            <w:tcW w:w="1095" w:type="dxa"/>
            <w:vAlign w:val="center"/>
          </w:tcPr>
          <w:p>
            <w:pPr>
              <w:pStyle w:val="13"/>
            </w:pPr>
            <w:r>
              <w:t>976.12</w:t>
            </w:r>
          </w:p>
        </w:tc>
        <w:tc>
          <w:tcPr>
            <w:tcW w:w="1095" w:type="dxa"/>
            <w:vAlign w:val="center"/>
          </w:tcPr>
          <w:p>
            <w:pPr>
              <w:pStyle w:val="13"/>
            </w:pPr>
            <w:r>
              <w:t>1196.30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2013201</w:t>
            </w:r>
          </w:p>
        </w:tc>
        <w:tc>
          <w:tcPr>
            <w:tcW w:w="1095" w:type="dxa"/>
            <w:vAlign w:val="center"/>
          </w:tcPr>
          <w:p>
            <w:pPr>
              <w:pStyle w:val="14"/>
            </w:pPr>
            <w:r>
              <w:t>行政运行</w:t>
            </w:r>
          </w:p>
        </w:tc>
        <w:tc>
          <w:tcPr>
            <w:tcW w:w="1095" w:type="dxa"/>
            <w:vAlign w:val="center"/>
          </w:tcPr>
          <w:p>
            <w:pPr>
              <w:pStyle w:val="13"/>
            </w:pPr>
            <w:r>
              <w:t>976.12</w:t>
            </w:r>
          </w:p>
        </w:tc>
        <w:tc>
          <w:tcPr>
            <w:tcW w:w="1095" w:type="dxa"/>
            <w:vAlign w:val="center"/>
          </w:tcPr>
          <w:p>
            <w:pPr>
              <w:pStyle w:val="13"/>
            </w:pPr>
            <w:r>
              <w:t>976.12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2013202</w:t>
            </w:r>
          </w:p>
        </w:tc>
        <w:tc>
          <w:tcPr>
            <w:tcW w:w="1095" w:type="dxa"/>
            <w:vAlign w:val="center"/>
          </w:tcPr>
          <w:p>
            <w:pPr>
              <w:pStyle w:val="14"/>
            </w:pPr>
            <w:r>
              <w:t>一般行政管理事务</w:t>
            </w:r>
          </w:p>
        </w:tc>
        <w:tc>
          <w:tcPr>
            <w:tcW w:w="1095" w:type="dxa"/>
            <w:vAlign w:val="center"/>
          </w:tcPr>
          <w:p>
            <w:pPr>
              <w:pStyle w:val="13"/>
            </w:pPr>
            <w:r>
              <w:t>16.91</w:t>
            </w:r>
          </w:p>
        </w:tc>
        <w:tc>
          <w:tcPr>
            <w:tcW w:w="1095" w:type="dxa"/>
            <w:vAlign w:val="center"/>
          </w:tcPr>
          <w:p>
            <w:pPr>
              <w:pStyle w:val="13"/>
            </w:pPr>
          </w:p>
        </w:tc>
        <w:tc>
          <w:tcPr>
            <w:tcW w:w="1095" w:type="dxa"/>
            <w:vAlign w:val="center"/>
          </w:tcPr>
          <w:p>
            <w:pPr>
              <w:pStyle w:val="13"/>
            </w:pPr>
            <w:r>
              <w:t>16.91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2013203</w:t>
            </w:r>
          </w:p>
        </w:tc>
        <w:tc>
          <w:tcPr>
            <w:tcW w:w="1095" w:type="dxa"/>
            <w:vAlign w:val="center"/>
          </w:tcPr>
          <w:p>
            <w:pPr>
              <w:pStyle w:val="14"/>
            </w:pPr>
            <w:r>
              <w:t>机关服务</w:t>
            </w:r>
          </w:p>
        </w:tc>
        <w:tc>
          <w:tcPr>
            <w:tcW w:w="1095" w:type="dxa"/>
            <w:vAlign w:val="center"/>
          </w:tcPr>
          <w:p>
            <w:pPr>
              <w:pStyle w:val="13"/>
            </w:pPr>
            <w:r>
              <w:t>11.40</w:t>
            </w:r>
          </w:p>
        </w:tc>
        <w:tc>
          <w:tcPr>
            <w:tcW w:w="1095" w:type="dxa"/>
            <w:vAlign w:val="center"/>
          </w:tcPr>
          <w:p>
            <w:pPr>
              <w:pStyle w:val="13"/>
            </w:pPr>
          </w:p>
        </w:tc>
        <w:tc>
          <w:tcPr>
            <w:tcW w:w="1095" w:type="dxa"/>
            <w:vAlign w:val="center"/>
          </w:tcPr>
          <w:p>
            <w:pPr>
              <w:pStyle w:val="13"/>
            </w:pPr>
            <w:r>
              <w:t>11.40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2013204</w:t>
            </w:r>
          </w:p>
        </w:tc>
        <w:tc>
          <w:tcPr>
            <w:tcW w:w="1095" w:type="dxa"/>
            <w:vAlign w:val="center"/>
          </w:tcPr>
          <w:p>
            <w:pPr>
              <w:pStyle w:val="14"/>
            </w:pPr>
            <w:r>
              <w:t>公务员事务</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2013299</w:t>
            </w:r>
          </w:p>
        </w:tc>
        <w:tc>
          <w:tcPr>
            <w:tcW w:w="1095" w:type="dxa"/>
            <w:vAlign w:val="center"/>
          </w:tcPr>
          <w:p>
            <w:pPr>
              <w:pStyle w:val="14"/>
            </w:pPr>
            <w:r>
              <w:t>其他组织事务支出</w:t>
            </w:r>
          </w:p>
        </w:tc>
        <w:tc>
          <w:tcPr>
            <w:tcW w:w="1095" w:type="dxa"/>
            <w:vAlign w:val="center"/>
          </w:tcPr>
          <w:p>
            <w:pPr>
              <w:pStyle w:val="13"/>
            </w:pPr>
            <w:r>
              <w:t>1150.99</w:t>
            </w:r>
          </w:p>
        </w:tc>
        <w:tc>
          <w:tcPr>
            <w:tcW w:w="1095" w:type="dxa"/>
            <w:vAlign w:val="center"/>
          </w:tcPr>
          <w:p>
            <w:pPr>
              <w:pStyle w:val="13"/>
            </w:pPr>
          </w:p>
        </w:tc>
        <w:tc>
          <w:tcPr>
            <w:tcW w:w="1095" w:type="dxa"/>
            <w:vAlign w:val="center"/>
          </w:tcPr>
          <w:p>
            <w:pPr>
              <w:pStyle w:val="13"/>
            </w:pPr>
            <w:r>
              <w:t>1150.99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2080899</w:t>
            </w:r>
          </w:p>
        </w:tc>
        <w:tc>
          <w:tcPr>
            <w:tcW w:w="1095" w:type="dxa"/>
            <w:vAlign w:val="center"/>
          </w:tcPr>
          <w:p>
            <w:pPr>
              <w:pStyle w:val="14"/>
            </w:pPr>
            <w:r>
              <w:t>其他优抚支出</w:t>
            </w: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21299</w:t>
            </w:r>
          </w:p>
        </w:tc>
        <w:tc>
          <w:tcPr>
            <w:tcW w:w="1095" w:type="dxa"/>
            <w:vAlign w:val="center"/>
          </w:tcPr>
          <w:p>
            <w:pPr>
              <w:pStyle w:val="14"/>
            </w:pPr>
            <w:r>
              <w:t>其他城乡社区支出</w:t>
            </w: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2129999</w:t>
            </w:r>
          </w:p>
        </w:tc>
        <w:tc>
          <w:tcPr>
            <w:tcW w:w="1095" w:type="dxa"/>
            <w:vAlign w:val="center"/>
          </w:tcPr>
          <w:p>
            <w:pPr>
              <w:pStyle w:val="14"/>
            </w:pPr>
            <w:r>
              <w:t>其他城乡社区支出</w:t>
            </w: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6158.93</w:t>
            </w:r>
          </w:p>
        </w:tc>
        <w:tc>
          <w:tcPr>
            <w:tcW w:w="1095" w:type="dxa"/>
            <w:vAlign w:val="center"/>
          </w:tcPr>
          <w:p>
            <w:pPr>
              <w:pStyle w:val="13"/>
            </w:pPr>
          </w:p>
        </w:tc>
        <w:tc>
          <w:tcPr>
            <w:tcW w:w="1095" w:type="dxa"/>
            <w:vAlign w:val="center"/>
          </w:tcPr>
          <w:p>
            <w:pPr>
              <w:pStyle w:val="13"/>
            </w:pPr>
            <w:r>
              <w:t>6158.93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240.23</w:t>
            </w:r>
          </w:p>
        </w:tc>
        <w:tc>
          <w:tcPr>
            <w:tcW w:w="1095" w:type="dxa"/>
            <w:vAlign w:val="center"/>
          </w:tcPr>
          <w:p>
            <w:pPr>
              <w:pStyle w:val="13"/>
            </w:pPr>
          </w:p>
        </w:tc>
        <w:tc>
          <w:tcPr>
            <w:tcW w:w="1095" w:type="dxa"/>
            <w:vAlign w:val="center"/>
          </w:tcPr>
          <w:p>
            <w:pPr>
              <w:pStyle w:val="13"/>
            </w:pPr>
            <w:r>
              <w:t>240.23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2130152</w:t>
            </w:r>
          </w:p>
        </w:tc>
        <w:tc>
          <w:tcPr>
            <w:tcW w:w="1095" w:type="dxa"/>
            <w:vAlign w:val="center"/>
          </w:tcPr>
          <w:p>
            <w:pPr>
              <w:pStyle w:val="14"/>
            </w:pPr>
            <w:r>
              <w:t>对高校毕业生到基层任职补助</w:t>
            </w:r>
          </w:p>
        </w:tc>
        <w:tc>
          <w:tcPr>
            <w:tcW w:w="1095" w:type="dxa"/>
            <w:vAlign w:val="center"/>
          </w:tcPr>
          <w:p>
            <w:pPr>
              <w:pStyle w:val="13"/>
            </w:pPr>
            <w:r>
              <w:t>240.23</w:t>
            </w:r>
          </w:p>
        </w:tc>
        <w:tc>
          <w:tcPr>
            <w:tcW w:w="1095" w:type="dxa"/>
            <w:vAlign w:val="center"/>
          </w:tcPr>
          <w:p>
            <w:pPr>
              <w:pStyle w:val="13"/>
            </w:pPr>
          </w:p>
        </w:tc>
        <w:tc>
          <w:tcPr>
            <w:tcW w:w="1095" w:type="dxa"/>
            <w:vAlign w:val="center"/>
          </w:tcPr>
          <w:p>
            <w:pPr>
              <w:pStyle w:val="13"/>
            </w:pPr>
            <w:r>
              <w:t>240.23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5918.70</w:t>
            </w:r>
          </w:p>
        </w:tc>
        <w:tc>
          <w:tcPr>
            <w:tcW w:w="1095" w:type="dxa"/>
            <w:vAlign w:val="center"/>
          </w:tcPr>
          <w:p>
            <w:pPr>
              <w:pStyle w:val="13"/>
            </w:pPr>
          </w:p>
        </w:tc>
        <w:tc>
          <w:tcPr>
            <w:tcW w:w="1095" w:type="dxa"/>
            <w:vAlign w:val="center"/>
          </w:tcPr>
          <w:p>
            <w:pPr>
              <w:pStyle w:val="13"/>
            </w:pPr>
            <w:r>
              <w:t>5918.70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5918.70</w:t>
            </w:r>
          </w:p>
        </w:tc>
        <w:tc>
          <w:tcPr>
            <w:tcW w:w="1095" w:type="dxa"/>
            <w:vAlign w:val="center"/>
          </w:tcPr>
          <w:p>
            <w:pPr>
              <w:pStyle w:val="13"/>
            </w:pPr>
          </w:p>
        </w:tc>
        <w:tc>
          <w:tcPr>
            <w:tcW w:w="1095" w:type="dxa"/>
            <w:vAlign w:val="center"/>
          </w:tcPr>
          <w:p>
            <w:pPr>
              <w:pStyle w:val="13"/>
            </w:pPr>
            <w:r>
              <w:t>5918.70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8612.46</w:t>
            </w:r>
          </w:p>
        </w:tc>
        <w:tc>
          <w:tcPr>
            <w:tcW w:w="1232" w:type="dxa"/>
            <w:vAlign w:val="center"/>
          </w:tcPr>
          <w:p>
            <w:pPr>
              <w:pStyle w:val="14"/>
            </w:pPr>
            <w:r>
              <w:t>一、一般公共服务支出</w:t>
            </w:r>
          </w:p>
        </w:tc>
        <w:tc>
          <w:tcPr>
            <w:tcW w:w="1232" w:type="dxa"/>
            <w:vAlign w:val="center"/>
          </w:tcPr>
          <w:p>
            <w:pPr>
              <w:pStyle w:val="13"/>
            </w:pPr>
            <w:r>
              <w:t>2172.42</w:t>
            </w:r>
          </w:p>
        </w:tc>
        <w:tc>
          <w:tcPr>
            <w:tcW w:w="1232" w:type="dxa"/>
            <w:vAlign w:val="center"/>
          </w:tcPr>
          <w:p>
            <w:pPr>
              <w:pStyle w:val="13"/>
            </w:pPr>
            <w:r>
              <w:t>2172.42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22.40</w:t>
            </w:r>
          </w:p>
        </w:tc>
        <w:tc>
          <w:tcPr>
            <w:tcW w:w="1232" w:type="dxa"/>
            <w:vAlign w:val="center"/>
          </w:tcPr>
          <w:p>
            <w:pPr>
              <w:pStyle w:val="13"/>
            </w:pPr>
            <w:r>
              <w:t>22.40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360.00</w:t>
            </w:r>
          </w:p>
        </w:tc>
        <w:tc>
          <w:tcPr>
            <w:tcW w:w="1232" w:type="dxa"/>
            <w:vAlign w:val="center"/>
          </w:tcPr>
          <w:p>
            <w:pPr>
              <w:pStyle w:val="13"/>
            </w:pPr>
            <w:r>
              <w:t>360.00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6158.93</w:t>
            </w:r>
          </w:p>
        </w:tc>
        <w:tc>
          <w:tcPr>
            <w:tcW w:w="1232" w:type="dxa"/>
            <w:vAlign w:val="center"/>
          </w:tcPr>
          <w:p>
            <w:pPr>
              <w:pStyle w:val="13"/>
            </w:pPr>
            <w:r>
              <w:t>6158.93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8612.46</w:t>
            </w:r>
          </w:p>
        </w:tc>
        <w:tc>
          <w:tcPr>
            <w:tcW w:w="1232" w:type="dxa"/>
            <w:vAlign w:val="center"/>
          </w:tcPr>
          <w:p>
            <w:pPr>
              <w:pStyle w:val="16"/>
            </w:pPr>
            <w:r>
              <w:t>本年支出合计</w:t>
            </w:r>
          </w:p>
        </w:tc>
        <w:tc>
          <w:tcPr>
            <w:tcW w:w="1232" w:type="dxa"/>
            <w:vAlign w:val="center"/>
          </w:tcPr>
          <w:p>
            <w:pPr>
              <w:pStyle w:val="17"/>
            </w:pPr>
            <w:r>
              <w:t>8713.74</w:t>
            </w:r>
          </w:p>
        </w:tc>
        <w:tc>
          <w:tcPr>
            <w:tcW w:w="1232" w:type="dxa"/>
            <w:vAlign w:val="center"/>
          </w:tcPr>
          <w:p>
            <w:pPr>
              <w:pStyle w:val="17"/>
            </w:pPr>
            <w:r>
              <w:t>8713.74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101.29</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101.29</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8713.74</w:t>
            </w:r>
          </w:p>
        </w:tc>
        <w:tc>
          <w:tcPr>
            <w:tcW w:w="1232" w:type="dxa"/>
            <w:vAlign w:val="center"/>
          </w:tcPr>
          <w:p>
            <w:pPr>
              <w:pStyle w:val="16"/>
            </w:pPr>
            <w:r>
              <w:t>支出总计</w:t>
            </w:r>
          </w:p>
        </w:tc>
        <w:tc>
          <w:tcPr>
            <w:tcW w:w="1232" w:type="dxa"/>
            <w:vAlign w:val="center"/>
          </w:tcPr>
          <w:p>
            <w:pPr>
              <w:pStyle w:val="17"/>
            </w:pPr>
            <w:r>
              <w:t>8713.74</w:t>
            </w:r>
          </w:p>
        </w:tc>
        <w:tc>
          <w:tcPr>
            <w:tcW w:w="1232" w:type="dxa"/>
            <w:vAlign w:val="center"/>
          </w:tcPr>
          <w:p>
            <w:pPr>
              <w:pStyle w:val="17"/>
            </w:pPr>
            <w:r>
              <w:t>8713.74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8713.74</w:t>
            </w:r>
          </w:p>
        </w:tc>
        <w:tc>
          <w:tcPr>
            <w:tcW w:w="1643" w:type="dxa"/>
            <w:vAlign w:val="center"/>
          </w:tcPr>
          <w:p>
            <w:pPr>
              <w:pStyle w:val="17"/>
            </w:pPr>
            <w:r>
              <w:t>976.12</w:t>
            </w:r>
          </w:p>
        </w:tc>
        <w:tc>
          <w:tcPr>
            <w:tcW w:w="1643" w:type="dxa"/>
            <w:vAlign w:val="center"/>
          </w:tcPr>
          <w:p>
            <w:pPr>
              <w:pStyle w:val="17"/>
            </w:pPr>
            <w:r>
              <w:t>7737.63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2172.42</w:t>
            </w:r>
          </w:p>
        </w:tc>
        <w:tc>
          <w:tcPr>
            <w:tcW w:w="1643" w:type="dxa"/>
            <w:vAlign w:val="center"/>
          </w:tcPr>
          <w:p>
            <w:pPr>
              <w:pStyle w:val="13"/>
            </w:pPr>
            <w:r>
              <w:t>976.12</w:t>
            </w:r>
          </w:p>
        </w:tc>
        <w:tc>
          <w:tcPr>
            <w:tcW w:w="1643" w:type="dxa"/>
            <w:vAlign w:val="center"/>
          </w:tcPr>
          <w:p>
            <w:pPr>
              <w:pStyle w:val="13"/>
            </w:pPr>
            <w:r>
              <w:t>1196.30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20132</w:t>
            </w:r>
          </w:p>
        </w:tc>
        <w:tc>
          <w:tcPr>
            <w:tcW w:w="1643" w:type="dxa"/>
            <w:vAlign w:val="center"/>
          </w:tcPr>
          <w:p>
            <w:pPr>
              <w:pStyle w:val="14"/>
            </w:pPr>
            <w:r>
              <w:t>组织事务</w:t>
            </w:r>
          </w:p>
        </w:tc>
        <w:tc>
          <w:tcPr>
            <w:tcW w:w="1643" w:type="dxa"/>
            <w:vAlign w:val="center"/>
          </w:tcPr>
          <w:p>
            <w:pPr>
              <w:pStyle w:val="13"/>
            </w:pPr>
            <w:r>
              <w:t>2172.42</w:t>
            </w:r>
          </w:p>
        </w:tc>
        <w:tc>
          <w:tcPr>
            <w:tcW w:w="1643" w:type="dxa"/>
            <w:vAlign w:val="center"/>
          </w:tcPr>
          <w:p>
            <w:pPr>
              <w:pStyle w:val="13"/>
            </w:pPr>
            <w:r>
              <w:t>976.12</w:t>
            </w:r>
          </w:p>
        </w:tc>
        <w:tc>
          <w:tcPr>
            <w:tcW w:w="1643" w:type="dxa"/>
            <w:vAlign w:val="center"/>
          </w:tcPr>
          <w:p>
            <w:pPr>
              <w:pStyle w:val="13"/>
            </w:pPr>
            <w:r>
              <w:t>1196.30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2013201</w:t>
            </w:r>
          </w:p>
        </w:tc>
        <w:tc>
          <w:tcPr>
            <w:tcW w:w="1643" w:type="dxa"/>
            <w:vAlign w:val="center"/>
          </w:tcPr>
          <w:p>
            <w:pPr>
              <w:pStyle w:val="14"/>
            </w:pPr>
            <w:r>
              <w:t>行政运行</w:t>
            </w:r>
          </w:p>
        </w:tc>
        <w:tc>
          <w:tcPr>
            <w:tcW w:w="1643" w:type="dxa"/>
            <w:vAlign w:val="center"/>
          </w:tcPr>
          <w:p>
            <w:pPr>
              <w:pStyle w:val="13"/>
            </w:pPr>
            <w:r>
              <w:t>976.12</w:t>
            </w:r>
          </w:p>
        </w:tc>
        <w:tc>
          <w:tcPr>
            <w:tcW w:w="1643" w:type="dxa"/>
            <w:vAlign w:val="center"/>
          </w:tcPr>
          <w:p>
            <w:pPr>
              <w:pStyle w:val="13"/>
            </w:pPr>
            <w:r>
              <w:t>976.12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2013202</w:t>
            </w:r>
          </w:p>
        </w:tc>
        <w:tc>
          <w:tcPr>
            <w:tcW w:w="1643" w:type="dxa"/>
            <w:vAlign w:val="center"/>
          </w:tcPr>
          <w:p>
            <w:pPr>
              <w:pStyle w:val="14"/>
            </w:pPr>
            <w:r>
              <w:t>一般行政管理事务</w:t>
            </w:r>
          </w:p>
        </w:tc>
        <w:tc>
          <w:tcPr>
            <w:tcW w:w="1643" w:type="dxa"/>
            <w:vAlign w:val="center"/>
          </w:tcPr>
          <w:p>
            <w:pPr>
              <w:pStyle w:val="13"/>
            </w:pPr>
            <w:r>
              <w:t>16.91</w:t>
            </w:r>
          </w:p>
        </w:tc>
        <w:tc>
          <w:tcPr>
            <w:tcW w:w="1643" w:type="dxa"/>
            <w:vAlign w:val="center"/>
          </w:tcPr>
          <w:p>
            <w:pPr>
              <w:pStyle w:val="13"/>
            </w:pPr>
          </w:p>
        </w:tc>
        <w:tc>
          <w:tcPr>
            <w:tcW w:w="1643" w:type="dxa"/>
            <w:vAlign w:val="center"/>
          </w:tcPr>
          <w:p>
            <w:pPr>
              <w:pStyle w:val="13"/>
            </w:pPr>
            <w:r>
              <w:t>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2013203</w:t>
            </w:r>
          </w:p>
        </w:tc>
        <w:tc>
          <w:tcPr>
            <w:tcW w:w="1643" w:type="dxa"/>
            <w:vAlign w:val="center"/>
          </w:tcPr>
          <w:p>
            <w:pPr>
              <w:pStyle w:val="14"/>
            </w:pPr>
            <w:r>
              <w:t>机关服务</w:t>
            </w:r>
          </w:p>
        </w:tc>
        <w:tc>
          <w:tcPr>
            <w:tcW w:w="1643" w:type="dxa"/>
            <w:vAlign w:val="center"/>
          </w:tcPr>
          <w:p>
            <w:pPr>
              <w:pStyle w:val="13"/>
            </w:pPr>
            <w:r>
              <w:t>11.40</w:t>
            </w:r>
          </w:p>
        </w:tc>
        <w:tc>
          <w:tcPr>
            <w:tcW w:w="1643" w:type="dxa"/>
            <w:vAlign w:val="center"/>
          </w:tcPr>
          <w:p>
            <w:pPr>
              <w:pStyle w:val="13"/>
            </w:pPr>
          </w:p>
        </w:tc>
        <w:tc>
          <w:tcPr>
            <w:tcW w:w="1643" w:type="dxa"/>
            <w:vAlign w:val="center"/>
          </w:tcPr>
          <w:p>
            <w:pPr>
              <w:pStyle w:val="13"/>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2013204</w:t>
            </w:r>
          </w:p>
        </w:tc>
        <w:tc>
          <w:tcPr>
            <w:tcW w:w="1643" w:type="dxa"/>
            <w:vAlign w:val="center"/>
          </w:tcPr>
          <w:p>
            <w:pPr>
              <w:pStyle w:val="14"/>
            </w:pPr>
            <w:r>
              <w:t>公务员事务</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2013299</w:t>
            </w:r>
          </w:p>
        </w:tc>
        <w:tc>
          <w:tcPr>
            <w:tcW w:w="1643" w:type="dxa"/>
            <w:vAlign w:val="center"/>
          </w:tcPr>
          <w:p>
            <w:pPr>
              <w:pStyle w:val="14"/>
            </w:pPr>
            <w:r>
              <w:t>其他组织事务支出</w:t>
            </w:r>
          </w:p>
        </w:tc>
        <w:tc>
          <w:tcPr>
            <w:tcW w:w="1643" w:type="dxa"/>
            <w:vAlign w:val="center"/>
          </w:tcPr>
          <w:p>
            <w:pPr>
              <w:pStyle w:val="13"/>
            </w:pPr>
            <w:r>
              <w:t>1150.99</w:t>
            </w:r>
          </w:p>
        </w:tc>
        <w:tc>
          <w:tcPr>
            <w:tcW w:w="1643" w:type="dxa"/>
            <w:vAlign w:val="center"/>
          </w:tcPr>
          <w:p>
            <w:pPr>
              <w:pStyle w:val="13"/>
            </w:pPr>
          </w:p>
        </w:tc>
        <w:tc>
          <w:tcPr>
            <w:tcW w:w="1643" w:type="dxa"/>
            <w:vAlign w:val="center"/>
          </w:tcPr>
          <w:p>
            <w:pPr>
              <w:pStyle w:val="13"/>
            </w:pPr>
            <w:r>
              <w:t>1150.99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22.40</w:t>
            </w:r>
          </w:p>
        </w:tc>
        <w:tc>
          <w:tcPr>
            <w:tcW w:w="1643" w:type="dxa"/>
            <w:vAlign w:val="center"/>
          </w:tcPr>
          <w:p>
            <w:pPr>
              <w:pStyle w:val="13"/>
            </w:pPr>
          </w:p>
        </w:tc>
        <w:tc>
          <w:tcPr>
            <w:tcW w:w="1643" w:type="dxa"/>
            <w:vAlign w:val="center"/>
          </w:tcPr>
          <w:p>
            <w:pPr>
              <w:pStyle w:val="13"/>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22.40</w:t>
            </w:r>
          </w:p>
        </w:tc>
        <w:tc>
          <w:tcPr>
            <w:tcW w:w="1643" w:type="dxa"/>
            <w:vAlign w:val="center"/>
          </w:tcPr>
          <w:p>
            <w:pPr>
              <w:pStyle w:val="13"/>
            </w:pPr>
          </w:p>
        </w:tc>
        <w:tc>
          <w:tcPr>
            <w:tcW w:w="1643" w:type="dxa"/>
            <w:vAlign w:val="center"/>
          </w:tcPr>
          <w:p>
            <w:pPr>
              <w:pStyle w:val="13"/>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2080899</w:t>
            </w:r>
          </w:p>
        </w:tc>
        <w:tc>
          <w:tcPr>
            <w:tcW w:w="1643" w:type="dxa"/>
            <w:vAlign w:val="center"/>
          </w:tcPr>
          <w:p>
            <w:pPr>
              <w:pStyle w:val="14"/>
            </w:pPr>
            <w:r>
              <w:t>其他优抚支出</w:t>
            </w:r>
          </w:p>
        </w:tc>
        <w:tc>
          <w:tcPr>
            <w:tcW w:w="1643" w:type="dxa"/>
            <w:vAlign w:val="center"/>
          </w:tcPr>
          <w:p>
            <w:pPr>
              <w:pStyle w:val="13"/>
            </w:pPr>
            <w:r>
              <w:t>22.40</w:t>
            </w:r>
          </w:p>
        </w:tc>
        <w:tc>
          <w:tcPr>
            <w:tcW w:w="1643" w:type="dxa"/>
            <w:vAlign w:val="center"/>
          </w:tcPr>
          <w:p>
            <w:pPr>
              <w:pStyle w:val="13"/>
            </w:pPr>
          </w:p>
        </w:tc>
        <w:tc>
          <w:tcPr>
            <w:tcW w:w="1643" w:type="dxa"/>
            <w:vAlign w:val="center"/>
          </w:tcPr>
          <w:p>
            <w:pPr>
              <w:pStyle w:val="13"/>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360.00</w:t>
            </w:r>
          </w:p>
        </w:tc>
        <w:tc>
          <w:tcPr>
            <w:tcW w:w="1643" w:type="dxa"/>
            <w:vAlign w:val="center"/>
          </w:tcPr>
          <w:p>
            <w:pPr>
              <w:pStyle w:val="13"/>
            </w:pPr>
          </w:p>
        </w:tc>
        <w:tc>
          <w:tcPr>
            <w:tcW w:w="1643"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21299</w:t>
            </w:r>
          </w:p>
        </w:tc>
        <w:tc>
          <w:tcPr>
            <w:tcW w:w="1643" w:type="dxa"/>
            <w:vAlign w:val="center"/>
          </w:tcPr>
          <w:p>
            <w:pPr>
              <w:pStyle w:val="14"/>
            </w:pPr>
            <w:r>
              <w:t>其他城乡社区支出</w:t>
            </w:r>
          </w:p>
        </w:tc>
        <w:tc>
          <w:tcPr>
            <w:tcW w:w="1643" w:type="dxa"/>
            <w:vAlign w:val="center"/>
          </w:tcPr>
          <w:p>
            <w:pPr>
              <w:pStyle w:val="13"/>
            </w:pPr>
            <w:r>
              <w:t>360.00</w:t>
            </w:r>
          </w:p>
        </w:tc>
        <w:tc>
          <w:tcPr>
            <w:tcW w:w="1643" w:type="dxa"/>
            <w:vAlign w:val="center"/>
          </w:tcPr>
          <w:p>
            <w:pPr>
              <w:pStyle w:val="13"/>
            </w:pPr>
          </w:p>
        </w:tc>
        <w:tc>
          <w:tcPr>
            <w:tcW w:w="1643"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2129999</w:t>
            </w:r>
          </w:p>
        </w:tc>
        <w:tc>
          <w:tcPr>
            <w:tcW w:w="1643" w:type="dxa"/>
            <w:vAlign w:val="center"/>
          </w:tcPr>
          <w:p>
            <w:pPr>
              <w:pStyle w:val="14"/>
            </w:pPr>
            <w:r>
              <w:t>其他城乡社区支出</w:t>
            </w:r>
          </w:p>
        </w:tc>
        <w:tc>
          <w:tcPr>
            <w:tcW w:w="1643" w:type="dxa"/>
            <w:vAlign w:val="center"/>
          </w:tcPr>
          <w:p>
            <w:pPr>
              <w:pStyle w:val="13"/>
            </w:pPr>
            <w:r>
              <w:t>360.00</w:t>
            </w:r>
          </w:p>
        </w:tc>
        <w:tc>
          <w:tcPr>
            <w:tcW w:w="1643" w:type="dxa"/>
            <w:vAlign w:val="center"/>
          </w:tcPr>
          <w:p>
            <w:pPr>
              <w:pStyle w:val="13"/>
            </w:pPr>
          </w:p>
        </w:tc>
        <w:tc>
          <w:tcPr>
            <w:tcW w:w="1643"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6158.93</w:t>
            </w:r>
          </w:p>
        </w:tc>
        <w:tc>
          <w:tcPr>
            <w:tcW w:w="1643" w:type="dxa"/>
            <w:vAlign w:val="center"/>
          </w:tcPr>
          <w:p>
            <w:pPr>
              <w:pStyle w:val="13"/>
            </w:pPr>
          </w:p>
        </w:tc>
        <w:tc>
          <w:tcPr>
            <w:tcW w:w="1643" w:type="dxa"/>
            <w:vAlign w:val="center"/>
          </w:tcPr>
          <w:p>
            <w:pPr>
              <w:pStyle w:val="13"/>
            </w:pPr>
            <w:r>
              <w:t>6158.93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240.23</w:t>
            </w:r>
          </w:p>
        </w:tc>
        <w:tc>
          <w:tcPr>
            <w:tcW w:w="1643" w:type="dxa"/>
            <w:vAlign w:val="center"/>
          </w:tcPr>
          <w:p>
            <w:pPr>
              <w:pStyle w:val="13"/>
            </w:pPr>
          </w:p>
        </w:tc>
        <w:tc>
          <w:tcPr>
            <w:tcW w:w="1643" w:type="dxa"/>
            <w:vAlign w:val="center"/>
          </w:tcPr>
          <w:p>
            <w:pPr>
              <w:pStyle w:val="13"/>
            </w:pPr>
            <w:r>
              <w:t>240.23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2130152</w:t>
            </w:r>
          </w:p>
        </w:tc>
        <w:tc>
          <w:tcPr>
            <w:tcW w:w="1643" w:type="dxa"/>
            <w:vAlign w:val="center"/>
          </w:tcPr>
          <w:p>
            <w:pPr>
              <w:pStyle w:val="14"/>
            </w:pPr>
            <w:r>
              <w:t>对高校毕业生到基层任职补助</w:t>
            </w:r>
          </w:p>
        </w:tc>
        <w:tc>
          <w:tcPr>
            <w:tcW w:w="1643" w:type="dxa"/>
            <w:vAlign w:val="center"/>
          </w:tcPr>
          <w:p>
            <w:pPr>
              <w:pStyle w:val="13"/>
            </w:pPr>
            <w:r>
              <w:t>240.23</w:t>
            </w:r>
          </w:p>
        </w:tc>
        <w:tc>
          <w:tcPr>
            <w:tcW w:w="1643" w:type="dxa"/>
            <w:vAlign w:val="center"/>
          </w:tcPr>
          <w:p>
            <w:pPr>
              <w:pStyle w:val="13"/>
            </w:pPr>
          </w:p>
        </w:tc>
        <w:tc>
          <w:tcPr>
            <w:tcW w:w="1643" w:type="dxa"/>
            <w:vAlign w:val="center"/>
          </w:tcPr>
          <w:p>
            <w:pPr>
              <w:pStyle w:val="13"/>
            </w:pPr>
            <w:r>
              <w:t>240.23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5918.70</w:t>
            </w:r>
          </w:p>
        </w:tc>
        <w:tc>
          <w:tcPr>
            <w:tcW w:w="1643" w:type="dxa"/>
            <w:vAlign w:val="center"/>
          </w:tcPr>
          <w:p>
            <w:pPr>
              <w:pStyle w:val="13"/>
            </w:pPr>
          </w:p>
        </w:tc>
        <w:tc>
          <w:tcPr>
            <w:tcW w:w="1643" w:type="dxa"/>
            <w:vAlign w:val="center"/>
          </w:tcPr>
          <w:p>
            <w:pPr>
              <w:pStyle w:val="13"/>
            </w:pPr>
            <w:r>
              <w:t>5918.70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5918.70</w:t>
            </w:r>
          </w:p>
        </w:tc>
        <w:tc>
          <w:tcPr>
            <w:tcW w:w="1643" w:type="dxa"/>
            <w:vAlign w:val="center"/>
          </w:tcPr>
          <w:p>
            <w:pPr>
              <w:pStyle w:val="13"/>
            </w:pPr>
          </w:p>
        </w:tc>
        <w:tc>
          <w:tcPr>
            <w:tcW w:w="1643" w:type="dxa"/>
            <w:vAlign w:val="center"/>
          </w:tcPr>
          <w:p>
            <w:pPr>
              <w:pStyle w:val="13"/>
            </w:pPr>
            <w:r>
              <w:t>5918.70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976.12</w:t>
            </w:r>
          </w:p>
        </w:tc>
        <w:tc>
          <w:tcPr>
            <w:tcW w:w="1643" w:type="dxa"/>
            <w:vAlign w:val="center"/>
          </w:tcPr>
          <w:p>
            <w:pPr>
              <w:pStyle w:val="17"/>
            </w:pPr>
            <w:r>
              <w:t>898.14</w:t>
            </w:r>
          </w:p>
        </w:tc>
        <w:tc>
          <w:tcPr>
            <w:tcW w:w="1643" w:type="dxa"/>
            <w:vAlign w:val="center"/>
          </w:tcPr>
          <w:p>
            <w:pPr>
              <w:pStyle w:val="17"/>
            </w:pPr>
            <w:r>
              <w:t>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896.76</w:t>
            </w:r>
          </w:p>
        </w:tc>
        <w:tc>
          <w:tcPr>
            <w:tcW w:w="1643" w:type="dxa"/>
            <w:vAlign w:val="center"/>
          </w:tcPr>
          <w:p>
            <w:pPr>
              <w:pStyle w:val="13"/>
            </w:pPr>
            <w:r>
              <w:t>896.76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216.72</w:t>
            </w:r>
          </w:p>
        </w:tc>
        <w:tc>
          <w:tcPr>
            <w:tcW w:w="1643" w:type="dxa"/>
            <w:vAlign w:val="center"/>
          </w:tcPr>
          <w:p>
            <w:pPr>
              <w:pStyle w:val="13"/>
            </w:pPr>
            <w:r>
              <w:t>216.72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337.04</w:t>
            </w:r>
          </w:p>
        </w:tc>
        <w:tc>
          <w:tcPr>
            <w:tcW w:w="1643" w:type="dxa"/>
            <w:vAlign w:val="center"/>
          </w:tcPr>
          <w:p>
            <w:pPr>
              <w:pStyle w:val="13"/>
            </w:pPr>
            <w:r>
              <w:t>337.04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14.27</w:t>
            </w:r>
          </w:p>
        </w:tc>
        <w:tc>
          <w:tcPr>
            <w:tcW w:w="1643" w:type="dxa"/>
            <w:vAlign w:val="center"/>
          </w:tcPr>
          <w:p>
            <w:pPr>
              <w:pStyle w:val="13"/>
            </w:pPr>
            <w:r>
              <w:t>14.27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43.17</w:t>
            </w:r>
          </w:p>
        </w:tc>
        <w:tc>
          <w:tcPr>
            <w:tcW w:w="1643" w:type="dxa"/>
            <w:vAlign w:val="center"/>
          </w:tcPr>
          <w:p>
            <w:pPr>
              <w:pStyle w:val="13"/>
            </w:pPr>
            <w:r>
              <w:t>43.17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70.65</w:t>
            </w:r>
          </w:p>
        </w:tc>
        <w:tc>
          <w:tcPr>
            <w:tcW w:w="1643" w:type="dxa"/>
            <w:vAlign w:val="center"/>
          </w:tcPr>
          <w:p>
            <w:pPr>
              <w:pStyle w:val="13"/>
            </w:pPr>
            <w:r>
              <w:t>70.65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58.72</w:t>
            </w:r>
          </w:p>
        </w:tc>
        <w:tc>
          <w:tcPr>
            <w:tcW w:w="1643" w:type="dxa"/>
            <w:vAlign w:val="center"/>
          </w:tcPr>
          <w:p>
            <w:pPr>
              <w:pStyle w:val="13"/>
            </w:pPr>
            <w:r>
              <w:t>58.72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28.70</w:t>
            </w:r>
          </w:p>
        </w:tc>
        <w:tc>
          <w:tcPr>
            <w:tcW w:w="1643" w:type="dxa"/>
            <w:vAlign w:val="center"/>
          </w:tcPr>
          <w:p>
            <w:pPr>
              <w:pStyle w:val="13"/>
            </w:pPr>
            <w:r>
              <w:t>28.70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68.90</w:t>
            </w:r>
          </w:p>
        </w:tc>
        <w:tc>
          <w:tcPr>
            <w:tcW w:w="1643" w:type="dxa"/>
            <w:vAlign w:val="center"/>
          </w:tcPr>
          <w:p>
            <w:pPr>
              <w:pStyle w:val="13"/>
            </w:pPr>
            <w:r>
              <w:t>68.90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58.59</w:t>
            </w:r>
          </w:p>
        </w:tc>
        <w:tc>
          <w:tcPr>
            <w:tcW w:w="1643" w:type="dxa"/>
            <w:vAlign w:val="center"/>
          </w:tcPr>
          <w:p>
            <w:pPr>
              <w:pStyle w:val="13"/>
            </w:pPr>
            <w:r>
              <w:t>58.59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77.98</w:t>
            </w:r>
          </w:p>
        </w:tc>
        <w:tc>
          <w:tcPr>
            <w:tcW w:w="1643" w:type="dxa"/>
            <w:vAlign w:val="center"/>
          </w:tcPr>
          <w:p>
            <w:pPr>
              <w:pStyle w:val="13"/>
            </w:pPr>
          </w:p>
        </w:tc>
        <w:tc>
          <w:tcPr>
            <w:tcW w:w="1643" w:type="dxa"/>
            <w:vAlign w:val="center"/>
          </w:tcPr>
          <w:p>
            <w:pPr>
              <w:pStyle w:val="13"/>
            </w:pPr>
            <w:r>
              <w:t>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17.70</w:t>
            </w:r>
          </w:p>
        </w:tc>
        <w:tc>
          <w:tcPr>
            <w:tcW w:w="1643" w:type="dxa"/>
            <w:vAlign w:val="center"/>
          </w:tcPr>
          <w:p>
            <w:pPr>
              <w:pStyle w:val="13"/>
            </w:pPr>
          </w:p>
        </w:tc>
        <w:tc>
          <w:tcPr>
            <w:tcW w:w="1643" w:type="dxa"/>
            <w:vAlign w:val="center"/>
          </w:tcPr>
          <w:p>
            <w:pPr>
              <w:pStyle w:val="13"/>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20.77</w:t>
            </w:r>
          </w:p>
        </w:tc>
        <w:tc>
          <w:tcPr>
            <w:tcW w:w="1643" w:type="dxa"/>
            <w:vAlign w:val="center"/>
          </w:tcPr>
          <w:p>
            <w:pPr>
              <w:pStyle w:val="13"/>
            </w:pPr>
          </w:p>
        </w:tc>
        <w:tc>
          <w:tcPr>
            <w:tcW w:w="1643" w:type="dxa"/>
            <w:vAlign w:val="center"/>
          </w:tcPr>
          <w:p>
            <w:pPr>
              <w:pStyle w:val="13"/>
            </w:pPr>
            <w:r>
              <w:t>20.77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4.73</w:t>
            </w:r>
          </w:p>
        </w:tc>
        <w:tc>
          <w:tcPr>
            <w:tcW w:w="1643" w:type="dxa"/>
            <w:vAlign w:val="center"/>
          </w:tcPr>
          <w:p>
            <w:pPr>
              <w:pStyle w:val="13"/>
            </w:pPr>
          </w:p>
        </w:tc>
        <w:tc>
          <w:tcPr>
            <w:tcW w:w="1643" w:type="dxa"/>
            <w:vAlign w:val="center"/>
          </w:tcPr>
          <w:p>
            <w:pPr>
              <w:pStyle w:val="13"/>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4.47</w:t>
            </w:r>
          </w:p>
        </w:tc>
        <w:tc>
          <w:tcPr>
            <w:tcW w:w="1643" w:type="dxa"/>
            <w:vAlign w:val="center"/>
          </w:tcPr>
          <w:p>
            <w:pPr>
              <w:pStyle w:val="13"/>
            </w:pPr>
          </w:p>
        </w:tc>
        <w:tc>
          <w:tcPr>
            <w:tcW w:w="1643" w:type="dxa"/>
            <w:vAlign w:val="center"/>
          </w:tcPr>
          <w:p>
            <w:pPr>
              <w:pStyle w:val="13"/>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24.96</w:t>
            </w:r>
          </w:p>
        </w:tc>
        <w:tc>
          <w:tcPr>
            <w:tcW w:w="1643" w:type="dxa"/>
            <w:vAlign w:val="center"/>
          </w:tcPr>
          <w:p>
            <w:pPr>
              <w:pStyle w:val="13"/>
            </w:pPr>
          </w:p>
        </w:tc>
        <w:tc>
          <w:tcPr>
            <w:tcW w:w="1643" w:type="dxa"/>
            <w:vAlign w:val="center"/>
          </w:tcPr>
          <w:p>
            <w:pPr>
              <w:pStyle w:val="13"/>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3.14</w:t>
            </w:r>
          </w:p>
        </w:tc>
        <w:tc>
          <w:tcPr>
            <w:tcW w:w="1643" w:type="dxa"/>
            <w:vAlign w:val="center"/>
          </w:tcPr>
          <w:p>
            <w:pPr>
              <w:pStyle w:val="13"/>
            </w:pPr>
          </w:p>
        </w:tc>
        <w:tc>
          <w:tcPr>
            <w:tcW w:w="1643"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1.38</w:t>
            </w:r>
          </w:p>
        </w:tc>
        <w:tc>
          <w:tcPr>
            <w:tcW w:w="1643" w:type="dxa"/>
            <w:vAlign w:val="center"/>
          </w:tcPr>
          <w:p>
            <w:pPr>
              <w:pStyle w:val="13"/>
            </w:pPr>
            <w:r>
              <w:t>1.38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1.38</w:t>
            </w:r>
          </w:p>
        </w:tc>
        <w:tc>
          <w:tcPr>
            <w:tcW w:w="1643" w:type="dxa"/>
            <w:vAlign w:val="center"/>
          </w:tcPr>
          <w:p>
            <w:pPr>
              <w:pStyle w:val="13"/>
            </w:pPr>
            <w:r>
              <w:t>1.38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2257" w:firstLineChars="10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2257" w:firstLineChars="10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lang w:val="en-US" w:eastAsia="zh-CN"/>
              </w:rPr>
            </w:pPr>
            <w:r>
              <w:rPr>
                <w:rFonts w:hint="eastAsia"/>
                <w:lang w:val="en-US" w:eastAsia="zh-CN"/>
              </w:rPr>
              <w:t>2.2</w:t>
            </w:r>
          </w:p>
        </w:tc>
        <w:tc>
          <w:tcPr>
            <w:tcW w:w="1643" w:type="dxa"/>
            <w:vAlign w:val="center"/>
          </w:tcPr>
          <w:p>
            <w:pPr>
              <w:pStyle w:val="17"/>
              <w:rPr>
                <w:rFonts w:hint="default"/>
                <w:lang w:val="en-US" w:eastAsia="zh-CN"/>
              </w:rPr>
            </w:pPr>
            <w:r>
              <w:rPr>
                <w:rFonts w:hint="eastAsia"/>
                <w:lang w:val="en-US" w:eastAsia="zh-CN"/>
              </w:rPr>
              <w:t>2.2</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lang w:eastAsia="zh-CN"/>
              </w:rPr>
            </w:pPr>
            <w:r>
              <w:rPr>
                <w:rFonts w:hint="eastAsia"/>
                <w:lang w:eastAsia="zh-CN"/>
              </w:rPr>
              <w:t>2.2</w:t>
            </w:r>
          </w:p>
        </w:tc>
        <w:tc>
          <w:tcPr>
            <w:tcW w:w="1643" w:type="dxa"/>
            <w:vAlign w:val="center"/>
          </w:tcPr>
          <w:p>
            <w:pPr>
              <w:pStyle w:val="13"/>
              <w:rPr>
                <w:lang w:eastAsia="zh-CN"/>
              </w:rPr>
            </w:pPr>
            <w:r>
              <w:rPr>
                <w:rFonts w:hint="eastAsia"/>
                <w:lang w:eastAsia="zh-CN"/>
              </w:rP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bookmarkStart w:id="19" w:name="_GoBack"/>
            <w:bookmarkEnd w:id="19"/>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中国共产党石家庄市藁城区委员会组织部2022年部门预算信息公开情况说明</w:t>
      </w:r>
    </w:p>
    <w:p>
      <w:pPr>
        <w:jc w:val="center"/>
      </w:pPr>
      <w:r>
        <w:rPr>
          <w:rFonts w:ascii="方正小标宋_GBK" w:hAnsi="方正小标宋_GBK" w:eastAsia="方正小标宋_GBK" w:cs="方正小标宋_GBK"/>
          <w:color w:val="000000"/>
          <w:sz w:val="44"/>
        </w:rPr>
        <w:t>中国共产党石家庄市藁城区委员会组织部2022年部门预算信息公开情况说明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按照《预算法》、《地方预决算公开操作规程》和《关于进一步推进预算公开工作的实施意见》规定，现将中国共产党石家庄市藁城区委员会组织部2022年部门预算公开如下：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根据《中国共产党石家庄市藁城区委员会组织部职能配置、内设机构和人员编制规定》，中国共产党石家庄市藁城区委员会组织部的主要职责是：</w:t>
      </w:r>
    </w:p>
    <w:p>
      <w:pPr>
        <w:pStyle w:val="19"/>
      </w:pPr>
      <w:r>
        <w:t>部门职责：</w:t>
      </w:r>
    </w:p>
    <w:p>
      <w:pPr>
        <w:pStyle w:val="19"/>
      </w:pPr>
      <w:r>
        <w:t>1、根据党的路线、方针、政策和上级的指示、决议，研究制定具体实施意见，并抓好落实。</w:t>
      </w:r>
    </w:p>
    <w:p>
      <w:pPr>
        <w:pStyle w:val="19"/>
      </w:pPr>
      <w:r>
        <w:t>2、检查督促区直部门党组（党委）和乡镇党委贯彻执行民主集中制，坚持集体领导和民主生活会制度情况，加强领导班子的思想作风建设，总结推广经验，提出改进意见。</w:t>
      </w:r>
    </w:p>
    <w:p>
      <w:pPr>
        <w:pStyle w:val="19"/>
      </w:pPr>
      <w:r>
        <w:t>3、贯彻执行党的干部路线和干部政策，按照改革的要求，搞好全区干部队伍的宏观管理、教育、培训、规划，抓好具体落实，提高干部队伍素质。</w:t>
      </w:r>
    </w:p>
    <w:p>
      <w:pPr>
        <w:pStyle w:val="19"/>
      </w:pPr>
      <w:r>
        <w:t>4、按照“四化”标准和德才兼备的原则，搞好乡科级领导班子和领导干部的调配、任免、管理和监督工作。搞好后备干部的选拔、培养和管理。</w:t>
      </w:r>
    </w:p>
    <w:p>
      <w:pPr>
        <w:pStyle w:val="19"/>
      </w:pPr>
      <w:r>
        <w:t>5、负责全区乡科级领导班子及成员的考核工作。</w:t>
      </w:r>
    </w:p>
    <w:p>
      <w:pPr>
        <w:pStyle w:val="19"/>
      </w:pPr>
      <w:r>
        <w:t>6、负责党的基层组织建设和党员队伍建设，搞好全区党员发展和教育管理，以及党费收缴、管理和使用工作。</w:t>
      </w:r>
    </w:p>
    <w:p>
      <w:pPr>
        <w:pStyle w:val="19"/>
      </w:pPr>
      <w:r>
        <w:t>7、认真做好全区人才管理工作，充分调动他们的积极性。</w:t>
      </w:r>
    </w:p>
    <w:p>
      <w:pPr>
        <w:pStyle w:val="19"/>
      </w:pPr>
      <w:r>
        <w:t>8、认真做好老干部管理工作。</w:t>
      </w:r>
    </w:p>
    <w:p>
      <w:pPr>
        <w:pStyle w:val="19"/>
      </w:pPr>
      <w:r>
        <w:t>9、负责组织史征编工作。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中国共产党石家庄市藁城区委员会组织部本级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line="500" w:lineRule="exact"/>
        <w:ind w:firstLine="640"/>
        <w:outlineLvl w:val="2"/>
      </w:pPr>
      <w:r>
        <w:rPr>
          <w:rFonts w:ascii="黑体" w:hAnsi="黑体" w:eastAsia="黑体" w:cs="黑体"/>
          <w:color w:val="000000"/>
          <w:sz w:val="32"/>
        </w:rPr>
        <w:t>二、部门预算安排的总体情况</w:t>
      </w:r>
      <w:bookmarkEnd w:id="10"/>
    </w:p>
    <w:p>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按照预算管理有关规定，目前我省部门预算的编制实行综合预算管理，即全部收入和支出都反映在预算中。中国共产党石家庄市藁城区委员会组织部机关及所属事业单位的收支包含在部门预算中。</w:t>
      </w:r>
    </w:p>
    <w:p>
      <w:pPr>
        <w:spacing w:line="500" w:lineRule="exact"/>
        <w:ind w:firstLine="640"/>
        <w:rPr>
          <w:rFonts w:eastAsia="方正仿宋_GBK" w:cs="Times New Roman"/>
          <w:color w:val="000000"/>
          <w:sz w:val="28"/>
        </w:rPr>
      </w:pPr>
      <w:r>
        <w:rPr>
          <w:rFonts w:hint="eastAsia" w:eastAsia="方正仿宋_GBK" w:cs="Times New Roman"/>
          <w:color w:val="000000"/>
          <w:sz w:val="28"/>
        </w:rPr>
        <w:t>1、</w:t>
      </w:r>
      <w:r>
        <w:rPr>
          <w:rFonts w:eastAsia="方正仿宋_GBK" w:cs="Times New Roman"/>
          <w:color w:val="000000"/>
          <w:sz w:val="28"/>
        </w:rPr>
        <w:t>收入说明</w:t>
      </w:r>
    </w:p>
    <w:p>
      <w:pPr>
        <w:spacing w:line="500" w:lineRule="exact"/>
        <w:ind w:firstLine="640"/>
        <w:rPr>
          <w:rFonts w:eastAsia="方正仿宋_GBK" w:cs="Times New Roman"/>
          <w:color w:val="000000"/>
          <w:sz w:val="28"/>
        </w:rPr>
      </w:pPr>
      <w:r>
        <w:rPr>
          <w:rFonts w:hint="eastAsia" w:eastAsia="方正仿宋_GBK" w:cs="Times New Roman"/>
          <w:color w:val="000000"/>
          <w:sz w:val="28"/>
        </w:rPr>
        <w:t>反映本部门当年全部收入。2022年预算收入8713.74万元，其中：一般公共预算收入8713.74万元，基金预算收入0万元，财政专户核拨收入0万元，其他来源收入0万元。</w:t>
      </w:r>
    </w:p>
    <w:p>
      <w:pPr>
        <w:spacing w:line="500" w:lineRule="exact"/>
        <w:ind w:firstLine="640"/>
        <w:rPr>
          <w:rFonts w:eastAsia="方正仿宋_GBK" w:cs="Times New Roman"/>
          <w:color w:val="000000"/>
          <w:sz w:val="28"/>
        </w:rPr>
      </w:pPr>
      <w:r>
        <w:rPr>
          <w:rFonts w:hint="eastAsia" w:eastAsia="方正仿宋_GBK" w:cs="Times New Roman"/>
          <w:color w:val="000000"/>
          <w:sz w:val="28"/>
        </w:rPr>
        <w:t>2、</w:t>
      </w:r>
      <w:r>
        <w:rPr>
          <w:rFonts w:eastAsia="方正仿宋_GBK" w:cs="Times New Roman"/>
          <w:color w:val="000000"/>
          <w:sz w:val="28"/>
        </w:rPr>
        <w:t>支出说明</w:t>
      </w:r>
    </w:p>
    <w:p>
      <w:pPr>
        <w:spacing w:line="500" w:lineRule="exact"/>
        <w:ind w:firstLine="640"/>
        <w:rPr>
          <w:rFonts w:eastAsia="方正仿宋_GBK" w:cs="Times New Roman"/>
          <w:color w:val="000000"/>
          <w:sz w:val="28"/>
        </w:rPr>
      </w:pPr>
      <w:r>
        <w:rPr>
          <w:rFonts w:hint="eastAsia" w:eastAsia="方正仿宋_GBK" w:cs="Times New Roman"/>
          <w:color w:val="000000"/>
          <w:sz w:val="28"/>
        </w:rPr>
        <w:t>收支预算总表支出栏、基本支出表、项目支出表按经济分类和支出功能分类科目编制，反映本部门预算中支出预算的总体情况。2022年部门支出预算为8713.74万元，其中基本支出976.12万元，包括人员经费898.14万元和日常公用经费77.98万元；项目支出7737.63万元，主要为</w:t>
      </w:r>
      <w:r>
        <w:rPr>
          <w:rFonts w:eastAsia="方正仿宋_GBK" w:cs="Times New Roman"/>
          <w:color w:val="000000"/>
          <w:sz w:val="28"/>
        </w:rPr>
        <w:t>一般公共服务支出1196.30</w:t>
      </w:r>
      <w:r>
        <w:rPr>
          <w:rFonts w:hint="eastAsia" w:eastAsia="方正仿宋_GBK" w:cs="Times New Roman"/>
          <w:color w:val="000000"/>
          <w:sz w:val="28"/>
        </w:rPr>
        <w:t>万元，</w:t>
      </w:r>
      <w:r>
        <w:rPr>
          <w:rFonts w:eastAsia="方正仿宋_GBK" w:cs="Times New Roman"/>
          <w:color w:val="000000"/>
          <w:sz w:val="28"/>
        </w:rPr>
        <w:t>社会保障和就业支出22.40</w:t>
      </w:r>
      <w:r>
        <w:rPr>
          <w:rFonts w:hint="eastAsia" w:eastAsia="方正仿宋_GBK" w:cs="Times New Roman"/>
          <w:color w:val="000000"/>
          <w:sz w:val="28"/>
        </w:rPr>
        <w:t>万元，</w:t>
      </w:r>
      <w:r>
        <w:rPr>
          <w:rFonts w:eastAsia="方正仿宋_GBK" w:cs="Times New Roman"/>
          <w:color w:val="000000"/>
          <w:sz w:val="28"/>
        </w:rPr>
        <w:t>城乡社区支出360.00</w:t>
      </w:r>
      <w:r>
        <w:rPr>
          <w:rFonts w:hint="eastAsia" w:eastAsia="方正仿宋_GBK" w:cs="Times New Roman"/>
          <w:color w:val="000000"/>
          <w:sz w:val="28"/>
        </w:rPr>
        <w:t>万元，</w:t>
      </w:r>
      <w:r>
        <w:rPr>
          <w:rFonts w:eastAsia="方正仿宋_GBK" w:cs="Times New Roman"/>
          <w:color w:val="000000"/>
          <w:sz w:val="28"/>
        </w:rPr>
        <w:t>农林水支出6158.93</w:t>
      </w:r>
      <w:r>
        <w:rPr>
          <w:rFonts w:hint="eastAsia" w:eastAsia="方正仿宋_GBK" w:cs="Times New Roman"/>
          <w:color w:val="000000"/>
          <w:sz w:val="28"/>
        </w:rPr>
        <w:t>万元，其他支出0万元。</w:t>
      </w:r>
    </w:p>
    <w:p>
      <w:pPr>
        <w:spacing w:line="500" w:lineRule="exact"/>
        <w:ind w:firstLine="640"/>
        <w:rPr>
          <w:rFonts w:eastAsia="方正仿宋_GBK" w:cs="Times New Roman"/>
          <w:color w:val="000000"/>
          <w:sz w:val="28"/>
        </w:rPr>
      </w:pPr>
      <w:r>
        <w:rPr>
          <w:rFonts w:hint="eastAsia" w:eastAsia="方正仿宋_GBK" w:cs="Times New Roman"/>
          <w:color w:val="000000"/>
          <w:sz w:val="28"/>
        </w:rPr>
        <w:t>3、</w:t>
      </w:r>
      <w:r>
        <w:rPr>
          <w:rFonts w:eastAsia="方正仿宋_GBK" w:cs="Times New Roman"/>
          <w:color w:val="000000"/>
          <w:sz w:val="28"/>
        </w:rPr>
        <w:t>比上年增减情况</w:t>
      </w:r>
    </w:p>
    <w:p>
      <w:pPr>
        <w:spacing w:line="500" w:lineRule="exact"/>
        <w:ind w:firstLine="640"/>
        <w:rPr>
          <w:rFonts w:eastAsia="方正仿宋_GBK" w:cs="Times New Roman"/>
          <w:color w:val="000000"/>
          <w:sz w:val="28"/>
        </w:rPr>
      </w:pPr>
      <w:r>
        <w:rPr>
          <w:rFonts w:hint="eastAsia" w:eastAsia="方正仿宋_GBK" w:cs="Times New Roman"/>
          <w:color w:val="000000"/>
          <w:sz w:val="28"/>
        </w:rPr>
        <w:t>2022年部门预算收支安排8713.74万元，较2021年增加1656.74万元，其中：基本支出增加89.15万元，主要是成立人才服务中心人员增加，相应增加人员经费和日常公用经费；项目支出增加1567.59万元，主要是增加 村干部绩效工资补贴，村级办公经费，党建工作专项经费，服务群众专项经费，党组织服务群众专项经费，社区工作经费；其他支出无增减变化。</w:t>
      </w:r>
    </w:p>
    <w:p>
      <w:pPr>
        <w:numPr>
          <w:ilvl w:val="0"/>
          <w:numId w:val="1"/>
        </w:numPr>
        <w:spacing w:line="500" w:lineRule="exact"/>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spacing w:line="500" w:lineRule="exact"/>
        <w:ind w:firstLine="640"/>
        <w:rPr>
          <w:rFonts w:eastAsia="方正仿宋_GBK" w:cs="Times New Roman"/>
          <w:color w:val="000000"/>
          <w:sz w:val="28"/>
        </w:rPr>
      </w:pPr>
      <w:r>
        <w:rPr>
          <w:rFonts w:hint="eastAsia" w:eastAsia="方正仿宋_GBK" w:cs="Times New Roman"/>
          <w:color w:val="000000"/>
          <w:sz w:val="28"/>
        </w:rPr>
        <w:t>2022年，我部门机关运行经费共计安排77.98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1"/>
        </w:numPr>
        <w:spacing w:line="500" w:lineRule="exact"/>
        <w:ind w:firstLine="640"/>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spacing w:line="500" w:lineRule="exact"/>
        <w:ind w:firstLine="640"/>
        <w:rPr>
          <w:rFonts w:hint="eastAsia" w:cs="Times New Roman" w:eastAsiaTheme="minorEastAsia"/>
          <w:color w:val="000000"/>
          <w:sz w:val="28"/>
          <w:lang w:eastAsia="zh-CN"/>
        </w:rPr>
      </w:pPr>
      <w:r>
        <w:rPr>
          <w:rFonts w:hint="eastAsia" w:eastAsia="方正仿宋_GBK" w:cs="Times New Roman"/>
          <w:color w:val="000000"/>
          <w:sz w:val="28"/>
        </w:rPr>
        <w:t>2022年，我部门财政拨款“三公”经费预算安排2.2万元，其中：因公出国（境）费0万元；公务用车购置及运维费2.2万元（其中：公务用车购置费0万元，公务用车运行维护费2.2万元)；公务接待费0万元。“三公”经费与上年持平，无增减变化。</w:t>
      </w:r>
    </w:p>
    <w:p>
      <w:pPr>
        <w:spacing w:line="500" w:lineRule="exact"/>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3"/>
      </w:pPr>
      <w:r>
        <w:t>总体绩效目标</w:t>
      </w:r>
    </w:p>
    <w:p>
      <w:pPr>
        <w:pStyle w:val="23"/>
      </w:pPr>
      <w:r>
        <w:t>以习近平新时代中国特色社会主义思想为指引，深入贯彻落实党的十九大和十九届六中全会精神，严格按照中央和省、市委安排部署，认真践行新时代党的组织路线，围绕贯彻新发展理念，坚持以组织体系建设为重点，全面提高党的建设质量，坚持正确用人导向，打造忠诚干净担当的高素质干部队伍，坚持实施人才强冀战略，凝聚爱国奉献的各方面优秀人才，强化责任担当、锐意改革创新、狠抓工作落实，为加快建设“一极四城”提供坚强组织保证。</w:t>
      </w:r>
    </w:p>
    <w:p>
      <w:pPr>
        <w:spacing w:line="500" w:lineRule="exact"/>
        <w:ind w:firstLine="560"/>
      </w:pPr>
      <w:r>
        <w:rPr>
          <w:rFonts w:eastAsia="方正仿宋_GBK" w:cs="Times New Roman"/>
          <w:color w:val="000000"/>
          <w:sz w:val="28"/>
        </w:rPr>
        <w:t>（二）分项绩效目标</w:t>
      </w:r>
    </w:p>
    <w:p>
      <w:pPr>
        <w:pStyle w:val="24"/>
      </w:pPr>
      <w:r>
        <w:t>（一）加强党员和党组织建设</w:t>
      </w:r>
    </w:p>
    <w:p>
      <w:pPr>
        <w:pStyle w:val="24"/>
      </w:pPr>
      <w:r>
        <w:t>绩效目标：落实区委党的建设（基层组织建设）工作领导小组各项工作任务；加强对全区党员队伍建设、组织员队伍建设的宏观指导，抓好全区党员发展、教育、管理工作，统筹推进各领域基层党建工作，全面增强基层党组织政治功能和组织力。</w:t>
      </w:r>
    </w:p>
    <w:p>
      <w:pPr>
        <w:pStyle w:val="24"/>
      </w:pPr>
      <w:r>
        <w:t>绩效指标：全面加强基层组织建设，深入推进基层党建“书记项目”，定期组织观摩拉练，全面提升村（社区）党群服务中心建设水平；足额保障，按时列支村级组织运转经费；更加精准、更加有效地开展农村（社区）基层干部培训，学员实际参训率和培训合格率达全年计划的90%以上；不断丰富现代远程教育手段和教学资源，全年完成远程教育课时量2000分钟以上；不断提升非公经济和社会组织党组织书记、党务工作者的能力素质，较好完成年度培训计划任务；加强对建国前入党的农村老党员和未享受离退休待遇的城镇老党员的关心和帮扶，按时按标准发放老党员生活补贴；认真做好党组织建设和党员管理各项综合性事务。</w:t>
      </w:r>
    </w:p>
    <w:p>
      <w:pPr>
        <w:pStyle w:val="24"/>
      </w:pPr>
      <w:r>
        <w:t>（二）加强干部队伍建设</w:t>
      </w:r>
    </w:p>
    <w:p>
      <w:pPr>
        <w:pStyle w:val="24"/>
      </w:pPr>
      <w:r>
        <w:t>绩效目标：加强对区乡领导班子和干部队伍建设的宏观管理。突出政治标准，完善选人用人机制，激励干部担当作为，做好干部培育、选拔、管理、使用工作，选优配强各级领导班子，激发干部队伍活力。坚持严格管理，强化干部监督工作；完善干部考核体系，做好区管领导班子、领导干部年度综合考核和区直单位、乡镇及开发区的绩效考核工作。加强党对公务员管理工作的集中统一领导，贯彻落实新修订的公务员法，推进公务员管理改革，做好公务员招录、调配以及工资福利审批等各项工作。</w:t>
      </w:r>
    </w:p>
    <w:p>
      <w:pPr>
        <w:pStyle w:val="24"/>
      </w:pPr>
      <w:r>
        <w:t>绩效指标：较好完成干部培育、选拔、管理以及考核、监督等全年工作任务，积极落实好各项政策待遇；认真做好公务员招录、工资福利审批和其他公务员管理综合性事务，做好选调生到村任职相关工作；较好完成干部教育培训和公务员素质提升培训年度计划任务，累计培训人数达计划人数的90%以上。</w:t>
      </w:r>
    </w:p>
    <w:p>
      <w:pPr>
        <w:pStyle w:val="24"/>
      </w:pPr>
      <w:r>
        <w:t>（三）加强人才工作及人才队伍建设</w:t>
      </w:r>
    </w:p>
    <w:p>
      <w:pPr>
        <w:pStyle w:val="24"/>
      </w:pPr>
      <w:r>
        <w:t>绩效目标：做好全区人才工作和人才队伍建设的牵头抓总、统筹协调和推进落实工作。推进重点领域和关键环节的人才发展体制机制改革，抓好重要人才政策的制定实施、重大人才工作项目的组织开展、重点人才的选拔服务等工作。</w:t>
      </w:r>
    </w:p>
    <w:p>
      <w:pPr>
        <w:pStyle w:val="24"/>
      </w:pPr>
      <w:r>
        <w:t>绩效指标：落实人才绿卡制度，做好房租补贴发放和其他服务工作；做好人才公寓建设管理和分配工作；开展“进百校”宣讲活动，宣传市、区两级人才政策；做好省、市人才及人才项目申报；做好区管拔尖人才津贴发放；研究制定人才新政，加强人才引进和服务，对为经济社会做出突出贡献的人才给予奖励。</w:t>
      </w:r>
    </w:p>
    <w:p>
      <w:pPr>
        <w:pStyle w:val="24"/>
      </w:pPr>
      <w:r>
        <w:t>（四）加强综合事务管理</w:t>
      </w:r>
    </w:p>
    <w:p>
      <w:pPr>
        <w:pStyle w:val="24"/>
      </w:pPr>
      <w:r>
        <w:t>绩效目标：认真做好部机关日常运转各项任务的安排和管理工作；做好老干部综合服务和保障工作；做好新闻网宣与舆情监控、处置工作和部机关信息化建设相关工作。</w:t>
      </w:r>
    </w:p>
    <w:p>
      <w:pPr>
        <w:pStyle w:val="24"/>
      </w:pPr>
      <w:r>
        <w:t>绩效指标：部机关日常运转和各类服务保障工作得到有效落实，无重大工作失误和安全事故；各类舆情监控到位、处置及时；大组工网等各类信息系统运行无障碍。</w:t>
      </w:r>
    </w:p>
    <w:p>
      <w:pPr>
        <w:spacing w:line="500" w:lineRule="exact"/>
        <w:ind w:firstLine="560"/>
      </w:pPr>
      <w:r>
        <w:rPr>
          <w:rFonts w:eastAsia="方正仿宋_GBK" w:cs="Times New Roman"/>
          <w:color w:val="000000"/>
          <w:sz w:val="28"/>
        </w:rPr>
        <w:t>（三）工作保障措施</w:t>
      </w:r>
    </w:p>
    <w:p>
      <w:pPr>
        <w:pStyle w:val="25"/>
      </w:pPr>
      <w:r>
        <w:t>1、健全规章制度。制定完善预算绩效管理制度，搭建绩效管理运行体系，科学制定绩效指标和目标，从源头上保障绩效管理的有效落实。制定资金使用和管理办法，确保资金支出有序进行，为实现全年预算绩效目标奠定基础。</w:t>
      </w:r>
    </w:p>
    <w:p>
      <w:pPr>
        <w:pStyle w:val="25"/>
      </w:pPr>
      <w:r>
        <w:t>2、加强财务管理。通过优化支出结构、编细编实预算、加快履行政府采购手续、及时支付资金、按规定及时下达资金等多种措施，确保支出进度达标。加强固定资产登记、使用和报废处置管理，做到支出合理，物尽其用严格执行财务报销制度，使财务管理更加规范化、程序化。</w:t>
      </w:r>
    </w:p>
    <w:p>
      <w:pPr>
        <w:pStyle w:val="25"/>
      </w:pPr>
      <w:r>
        <w:t>3、加大协调力度。加强单位内部处室之间协调联动，极大预算绩效工作宣传力度，提高对预算绩效管理的重视程度，切实增强单位职工绩效管理意识，促进预算绩效管理水平进一步提升。</w:t>
      </w:r>
    </w:p>
    <w:p>
      <w:pPr>
        <w:pStyle w:val="25"/>
      </w:pPr>
      <w:r>
        <w:t>4、强化绩效监控。按财政要求开展绩效运行监控，全程跟踪预算执行进度，对执行过程中发现的问题及时反馈，制定切实可行措施，保障绩效目标按期高质量完成。</w:t>
      </w:r>
    </w:p>
    <w:p>
      <w:pPr>
        <w:pStyle w:val="25"/>
      </w:pPr>
      <w:r>
        <w:t>5、完善监督制度。注重内部监督制度建设，对绩效运行情况、重大支出决策等重要经济事业事项的决策和执行进行督导，并配合做好审计、财政监督等外部监督工作，确保财政资金安全有效，最大限度发挥财政资金使用效益。</w:t>
      </w:r>
    </w:p>
    <w:p/>
    <w:p>
      <w:pPr>
        <w:pStyle w:val="26"/>
        <w:ind w:firstLine="640"/>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1、包干会议费绩效目标表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1.传达上级任务和区委中心工作。</w:t>
            </w:r>
          </w:p>
          <w:p>
            <w:pPr>
              <w:pStyle w:val="28"/>
            </w:pPr>
            <w:r>
              <w:t>2.推动组织各项工作有效落实。</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召开会议次数</w:t>
            </w:r>
          </w:p>
        </w:tc>
        <w:tc>
          <w:tcPr>
            <w:tcW w:w="2466" w:type="dxa"/>
            <w:vAlign w:val="center"/>
          </w:tcPr>
          <w:p>
            <w:pPr>
              <w:pStyle w:val="28"/>
            </w:pPr>
            <w:r>
              <w:t>为传达上级任务和区委中心工作需要召开会议数。</w:t>
            </w:r>
          </w:p>
        </w:tc>
        <w:tc>
          <w:tcPr>
            <w:tcW w:w="2466" w:type="dxa"/>
            <w:vAlign w:val="center"/>
          </w:tcPr>
          <w:p>
            <w:pPr>
              <w:pStyle w:val="28"/>
            </w:pPr>
            <w:r>
              <w:t>≥10次</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召开会议后工作落实率</w:t>
            </w:r>
          </w:p>
        </w:tc>
        <w:tc>
          <w:tcPr>
            <w:tcW w:w="2466" w:type="dxa"/>
            <w:vAlign w:val="center"/>
          </w:tcPr>
          <w:p>
            <w:pPr>
              <w:pStyle w:val="28"/>
            </w:pPr>
            <w:r>
              <w:t>召开会议后传达落实工作的效率。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按上级要求和区委通知召开。</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按照项目预算支付会议费用。</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更好的服务群众</w:t>
            </w:r>
          </w:p>
        </w:tc>
        <w:tc>
          <w:tcPr>
            <w:tcW w:w="2466" w:type="dxa"/>
            <w:vAlign w:val="center"/>
          </w:tcPr>
          <w:p>
            <w:pPr>
              <w:pStyle w:val="28"/>
            </w:pPr>
            <w:r>
              <w:t>通过传达落实上级任务和区委中心工作，更好的服务群众。</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参会人员满意率。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2、大组工网、干部档案信息管理系统运维费绩效目标表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1.保证大组网、干部档案信息管理系统安全运行。</w:t>
            </w:r>
          </w:p>
          <w:p>
            <w:pPr>
              <w:pStyle w:val="28"/>
            </w:pPr>
            <w:r>
              <w:t>2.提高系统操作人员业务素质和履职能力。</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系统数据安全运行天数</w:t>
            </w:r>
          </w:p>
        </w:tc>
        <w:tc>
          <w:tcPr>
            <w:tcW w:w="2466" w:type="dxa"/>
            <w:vAlign w:val="center"/>
          </w:tcPr>
          <w:p>
            <w:pPr>
              <w:pStyle w:val="28"/>
            </w:pPr>
            <w:r>
              <w:t>系统数据年安全运行天数。</w:t>
            </w:r>
          </w:p>
        </w:tc>
        <w:tc>
          <w:tcPr>
            <w:tcW w:w="2466" w:type="dxa"/>
            <w:vAlign w:val="center"/>
          </w:tcPr>
          <w:p>
            <w:pPr>
              <w:pStyle w:val="28"/>
            </w:pPr>
            <w:r>
              <w:t>≥350天</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系统设备安全运行率</w:t>
            </w:r>
          </w:p>
        </w:tc>
        <w:tc>
          <w:tcPr>
            <w:tcW w:w="2466" w:type="dxa"/>
            <w:vAlign w:val="center"/>
          </w:tcPr>
          <w:p>
            <w:pPr>
              <w:pStyle w:val="28"/>
            </w:pPr>
            <w:r>
              <w:t>系统设备年安全运行天数占比。</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按照合同约定及时支付系统运维费，进行业务培训。</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w:t>
            </w:r>
          </w:p>
        </w:tc>
        <w:tc>
          <w:tcPr>
            <w:tcW w:w="2466" w:type="dxa"/>
            <w:vAlign w:val="center"/>
          </w:tcPr>
          <w:p>
            <w:pPr>
              <w:pStyle w:val="28"/>
            </w:pPr>
            <w:r>
              <w:t>根据维护服务项目标准支付费用。</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资源、信息共享</w:t>
            </w:r>
          </w:p>
        </w:tc>
        <w:tc>
          <w:tcPr>
            <w:tcW w:w="2466" w:type="dxa"/>
            <w:vAlign w:val="center"/>
          </w:tcPr>
          <w:p>
            <w:pPr>
              <w:pStyle w:val="28"/>
            </w:pPr>
            <w:r>
              <w:t>对上级部门联网的使用率。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满意和较满意的受益对象占全部调研对象的比例。</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3、党员干部远程教育基层站点运行费绩效目标表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1.做好远程教育站点的维护管理。</w:t>
            </w:r>
          </w:p>
          <w:p>
            <w:pPr>
              <w:pStyle w:val="28"/>
            </w:pPr>
            <w:r>
              <w:t>2.提高农村党员干部的理论水平和致富能力。</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利用远教站点学习培训次数</w:t>
            </w:r>
          </w:p>
        </w:tc>
        <w:tc>
          <w:tcPr>
            <w:tcW w:w="2466" w:type="dxa"/>
            <w:vAlign w:val="center"/>
          </w:tcPr>
          <w:p>
            <w:pPr>
              <w:pStyle w:val="28"/>
            </w:pPr>
            <w:r>
              <w:t>每月利用远教站点学习培训不低于2次。</w:t>
            </w:r>
          </w:p>
        </w:tc>
        <w:tc>
          <w:tcPr>
            <w:tcW w:w="2466" w:type="dxa"/>
            <w:vAlign w:val="center"/>
          </w:tcPr>
          <w:p>
            <w:pPr>
              <w:pStyle w:val="28"/>
            </w:pPr>
            <w:r>
              <w:t>≥2个</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远程教育站点的利用率</w:t>
            </w:r>
          </w:p>
        </w:tc>
        <w:tc>
          <w:tcPr>
            <w:tcW w:w="2466" w:type="dxa"/>
            <w:vAlign w:val="center"/>
          </w:tcPr>
          <w:p>
            <w:pPr>
              <w:pStyle w:val="28"/>
            </w:pPr>
            <w:r>
              <w:t>实际参加远程教育学习站点占远程教育站点总数的比率。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各站点每月利用远程教育站点学习的及时程度。</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按照项目合同要求支付站点运行费。</w:t>
            </w:r>
          </w:p>
        </w:tc>
        <w:tc>
          <w:tcPr>
            <w:tcW w:w="2466" w:type="dxa"/>
            <w:vAlign w:val="center"/>
          </w:tcPr>
          <w:p>
            <w:pPr>
              <w:pStyle w:val="28"/>
            </w:pPr>
            <w:r>
              <w:t>100%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提高党员素质教育水平</w:t>
            </w:r>
          </w:p>
        </w:tc>
        <w:tc>
          <w:tcPr>
            <w:tcW w:w="2466" w:type="dxa"/>
            <w:vAlign w:val="center"/>
          </w:tcPr>
          <w:p>
            <w:pPr>
              <w:pStyle w:val="28"/>
            </w:pPr>
            <w:r>
              <w:t>切实提高对党员政治理论水平的教育程度。</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参加学习人员满意度。</w:t>
            </w:r>
          </w:p>
        </w:tc>
        <w:tc>
          <w:tcPr>
            <w:tcW w:w="2466" w:type="dxa"/>
            <w:vAlign w:val="center"/>
          </w:tcPr>
          <w:p>
            <w:pPr>
              <w:pStyle w:val="28"/>
            </w:pPr>
            <w:r>
              <w:t>≥80%</w:t>
            </w:r>
          </w:p>
        </w:tc>
        <w:tc>
          <w:tcPr>
            <w:tcW w:w="2466" w:type="dxa"/>
            <w:vAlign w:val="center"/>
          </w:tcPr>
          <w:p>
            <w:pPr>
              <w:pStyle w:val="28"/>
            </w:pPr>
            <w:r>
              <w:t>抽样调查</w:t>
            </w:r>
            <w:r>
              <w:tab/>
            </w:r>
          </w:p>
          <w:p>
            <w:pPr>
              <w:pStyle w:val="28"/>
            </w:pPr>
          </w:p>
        </w:tc>
      </w:tr>
    </w:tbl>
    <w:p>
      <w:pPr>
        <w:pStyle w:val="26"/>
      </w:pPr>
    </w:p>
    <w:p>
      <w:pPr>
        <w:pStyle w:val="26"/>
        <w:ind w:firstLine="560"/>
      </w:pPr>
      <w:r>
        <w:rPr>
          <w:rFonts w:ascii="方正仿宋_GBK" w:hAnsi="方正仿宋_GBK" w:eastAsia="方正仿宋_GBK" w:cs="方正仿宋_GBK"/>
          <w:b/>
          <w:color w:val="000000"/>
          <w:sz w:val="28"/>
        </w:rPr>
        <w:t>4、档案业务办公耗材资金绩效目标表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1.保证干部职工档案管理的规范化、科学化。</w:t>
            </w:r>
          </w:p>
          <w:p>
            <w:pPr>
              <w:pStyle w:val="28"/>
            </w:pPr>
            <w:r>
              <w:t>2.保证档案查借收转日常工作的顺利运行及档案信息更新。</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全区干部职工档案管理的规范率</w:t>
            </w:r>
          </w:p>
        </w:tc>
        <w:tc>
          <w:tcPr>
            <w:tcW w:w="2466" w:type="dxa"/>
            <w:vAlign w:val="center"/>
          </w:tcPr>
          <w:p>
            <w:pPr>
              <w:pStyle w:val="28"/>
            </w:pPr>
            <w:r>
              <w:t>全区19000余卷干部职工档案管理的规范率。</w:t>
            </w:r>
          </w:p>
        </w:tc>
        <w:tc>
          <w:tcPr>
            <w:tcW w:w="2466" w:type="dxa"/>
            <w:vAlign w:val="center"/>
          </w:tcPr>
          <w:p>
            <w:pPr>
              <w:pStyle w:val="28"/>
            </w:pPr>
            <w:r>
              <w:t>≥19000卷（张）</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档案管理规范化</w:t>
            </w:r>
          </w:p>
        </w:tc>
        <w:tc>
          <w:tcPr>
            <w:tcW w:w="2466" w:type="dxa"/>
            <w:vAlign w:val="center"/>
          </w:tcPr>
          <w:p>
            <w:pPr>
              <w:pStyle w:val="28"/>
            </w:pPr>
            <w:r>
              <w:t>档案管理规范化，档案内容完善率。</w:t>
            </w:r>
          </w:p>
        </w:tc>
        <w:tc>
          <w:tcPr>
            <w:tcW w:w="2466" w:type="dxa"/>
            <w:vAlign w:val="center"/>
          </w:tcPr>
          <w:p>
            <w:pPr>
              <w:pStyle w:val="28"/>
            </w:pPr>
            <w:r>
              <w:t>≥95%</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及时购置档案管理相关用品</w:t>
            </w:r>
          </w:p>
        </w:tc>
        <w:tc>
          <w:tcPr>
            <w:tcW w:w="2466" w:type="dxa"/>
            <w:vAlign w:val="center"/>
          </w:tcPr>
          <w:p>
            <w:pPr>
              <w:pStyle w:val="28"/>
            </w:pPr>
            <w:r>
              <w:t>及时购置档案盒、分类纸、档案袋等档案管理相关用品，进一步提高我区干部档案的规范化、科学化。</w:t>
            </w:r>
          </w:p>
        </w:tc>
        <w:tc>
          <w:tcPr>
            <w:tcW w:w="2466" w:type="dxa"/>
            <w:vAlign w:val="center"/>
          </w:tcPr>
          <w:p>
            <w:pPr>
              <w:pStyle w:val="28"/>
            </w:pPr>
            <w:r>
              <w:t>≤11月底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w:t>
            </w:r>
          </w:p>
        </w:tc>
        <w:tc>
          <w:tcPr>
            <w:tcW w:w="2466" w:type="dxa"/>
            <w:vAlign w:val="center"/>
          </w:tcPr>
          <w:p>
            <w:pPr>
              <w:pStyle w:val="28"/>
            </w:pPr>
            <w:r>
              <w:t>根据实际购置档案日常管理相关物品支付费用。</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新入职人员档案接收整理</w:t>
            </w:r>
          </w:p>
        </w:tc>
        <w:tc>
          <w:tcPr>
            <w:tcW w:w="2466" w:type="dxa"/>
            <w:vAlign w:val="center"/>
          </w:tcPr>
          <w:p>
            <w:pPr>
              <w:pStyle w:val="28"/>
            </w:pPr>
            <w:r>
              <w:t>及时完成新入职人员档案整理装订档案归档，进一步提高我区干部档案的规范化、科学化水平。</w:t>
            </w:r>
          </w:p>
        </w:tc>
        <w:tc>
          <w:tcPr>
            <w:tcW w:w="2466" w:type="dxa"/>
            <w:vAlign w:val="center"/>
          </w:tcPr>
          <w:p>
            <w:pPr>
              <w:pStyle w:val="28"/>
            </w:pPr>
            <w:r>
              <w:t>≥300卷</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各单位档案相关工作人员满意度。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5、副处级以上老干部春节期间慰问经费绩效目标表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1.体现区委、区政府对老干部的关爱，每年组织开展全区经济社会发展情况通报，及时向老干部通报有关情况。</w:t>
            </w:r>
          </w:p>
          <w:p>
            <w:pPr>
              <w:pStyle w:val="28"/>
            </w:pPr>
            <w:r>
              <w:t>2.结合传统节日开展走访慰问活动1-2次。</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副处级以上退休领导干部人数</w:t>
            </w:r>
          </w:p>
        </w:tc>
        <w:tc>
          <w:tcPr>
            <w:tcW w:w="2466" w:type="dxa"/>
            <w:vAlign w:val="center"/>
          </w:tcPr>
          <w:p>
            <w:pPr>
              <w:pStyle w:val="28"/>
            </w:pPr>
            <w:r>
              <w:t>2021年底副处级以上退休领导干部42人。</w:t>
            </w:r>
          </w:p>
        </w:tc>
        <w:tc>
          <w:tcPr>
            <w:tcW w:w="2466" w:type="dxa"/>
            <w:vAlign w:val="center"/>
          </w:tcPr>
          <w:p>
            <w:pPr>
              <w:pStyle w:val="28"/>
            </w:pPr>
            <w:r>
              <w:t>≥40人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开展情况通报、走访慰问</w:t>
            </w:r>
          </w:p>
        </w:tc>
        <w:tc>
          <w:tcPr>
            <w:tcW w:w="2466" w:type="dxa"/>
            <w:vAlign w:val="center"/>
          </w:tcPr>
          <w:p>
            <w:pPr>
              <w:pStyle w:val="28"/>
            </w:pPr>
            <w:r>
              <w:t>开展情况通报、传统节日开展走访慰问，为老领导送去组织上的关爱，引导他们为我区经济社会发展发挥积极作用。</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开展情况通报、结合传统节日走访慰问1-2次。</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年初预算</w:t>
            </w:r>
          </w:p>
        </w:tc>
        <w:tc>
          <w:tcPr>
            <w:tcW w:w="2466" w:type="dxa"/>
            <w:vAlign w:val="center"/>
          </w:tcPr>
          <w:p>
            <w:pPr>
              <w:pStyle w:val="28"/>
            </w:pPr>
            <w:r>
              <w:t>约724元/人。</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提高参政议政能力</w:t>
            </w:r>
          </w:p>
        </w:tc>
        <w:tc>
          <w:tcPr>
            <w:tcW w:w="2466" w:type="dxa"/>
            <w:vAlign w:val="center"/>
          </w:tcPr>
          <w:p>
            <w:pPr>
              <w:pStyle w:val="28"/>
            </w:pPr>
            <w:r>
              <w:t>通过开展情况通报、传统节日开展走访慰问提高了副处级以上退休领导干部参政议政的能力。</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42名副处级以上退休领导参政议政的满意程度。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6、干部教育培训费绩效目标表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1.按照省委组织部2018-2022培训规划要求对干部进行培训，以坚定理想信念为根本，全面增强执政本领。</w:t>
            </w:r>
          </w:p>
          <w:p>
            <w:pPr>
              <w:pStyle w:val="28"/>
            </w:pPr>
            <w:r>
              <w:t>2.提高政治能力、调查研究能力、科学决策能力、改革攻坚能力、应急处突能力、群众工作能力、抓落实能力。</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培训人数</w:t>
            </w:r>
          </w:p>
        </w:tc>
        <w:tc>
          <w:tcPr>
            <w:tcW w:w="2466" w:type="dxa"/>
            <w:vAlign w:val="center"/>
          </w:tcPr>
          <w:p>
            <w:pPr>
              <w:pStyle w:val="28"/>
            </w:pPr>
            <w:r>
              <w:t>计划培训乡科级干部、中青年干部、2021年招录四级联考录用公务员和党群系统事业单位公开招聘人员。</w:t>
            </w:r>
          </w:p>
        </w:tc>
        <w:tc>
          <w:tcPr>
            <w:tcW w:w="2466" w:type="dxa"/>
            <w:vAlign w:val="center"/>
          </w:tcPr>
          <w:p>
            <w:pPr>
              <w:pStyle w:val="28"/>
            </w:pPr>
            <w:r>
              <w:t>≥700人（次）</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干部素质能力得到提升</w:t>
            </w:r>
          </w:p>
        </w:tc>
        <w:tc>
          <w:tcPr>
            <w:tcW w:w="2466" w:type="dxa"/>
            <w:vAlign w:val="center"/>
          </w:tcPr>
          <w:p>
            <w:pPr>
              <w:pStyle w:val="28"/>
            </w:pPr>
            <w:r>
              <w:t>通过培训，参训干部理论政策水平和专业化能力得到提升比率。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聚焦中央省市会议精神，结合年初制定的工作要点，举办相应培训班次。</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按照每个培训项目的预算支付培训班次费用。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干部素质能力得到提升</w:t>
            </w:r>
          </w:p>
        </w:tc>
        <w:tc>
          <w:tcPr>
            <w:tcW w:w="2466" w:type="dxa"/>
            <w:vAlign w:val="center"/>
          </w:tcPr>
          <w:p>
            <w:pPr>
              <w:pStyle w:val="28"/>
            </w:pPr>
            <w:r>
              <w:t>通过培训，参训干部理论政策水平和专业化能力得到提升。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参训学员满意度</w:t>
            </w:r>
          </w:p>
        </w:tc>
        <w:tc>
          <w:tcPr>
            <w:tcW w:w="2466" w:type="dxa"/>
            <w:vAlign w:val="center"/>
          </w:tcPr>
          <w:p>
            <w:pPr>
              <w:pStyle w:val="28"/>
            </w:pPr>
            <w:r>
              <w:t>培训班参训学员平均满意度。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7、关工委工作经费绩效目标表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1.发挥离退休干部政治、威望、经验、时空优势和特殊作用。</w:t>
            </w:r>
          </w:p>
          <w:p>
            <w:pPr>
              <w:pStyle w:val="28"/>
            </w:pPr>
            <w:r>
              <w:t>2.培养青少年健康成长，实现老干部老有所为。</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爱国主义教育开展次数</w:t>
            </w:r>
          </w:p>
        </w:tc>
        <w:tc>
          <w:tcPr>
            <w:tcW w:w="2466" w:type="dxa"/>
            <w:vAlign w:val="center"/>
          </w:tcPr>
          <w:p>
            <w:pPr>
              <w:pStyle w:val="28"/>
            </w:pPr>
            <w:r>
              <w:t>结合学校教育对学生进行爱国主义教育，树立正确的世界观、人生观、价值观。</w:t>
            </w:r>
          </w:p>
        </w:tc>
        <w:tc>
          <w:tcPr>
            <w:tcW w:w="2466" w:type="dxa"/>
            <w:vAlign w:val="center"/>
          </w:tcPr>
          <w:p>
            <w:pPr>
              <w:pStyle w:val="28"/>
            </w:pPr>
            <w:r>
              <w:t>≥2次</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青少年能力素养得到提升率</w:t>
            </w:r>
          </w:p>
        </w:tc>
        <w:tc>
          <w:tcPr>
            <w:tcW w:w="2466" w:type="dxa"/>
            <w:vAlign w:val="center"/>
          </w:tcPr>
          <w:p>
            <w:pPr>
              <w:pStyle w:val="28"/>
            </w:pPr>
            <w:r>
              <w:t>通过开展爱国主义教育，受教育青少年各项能力素养得到全面提升。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根据上级关工委重点工作安排，开展爱国主义教育。</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按照项目预算支付各项费用。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青少年健康成长</w:t>
            </w:r>
          </w:p>
        </w:tc>
        <w:tc>
          <w:tcPr>
            <w:tcW w:w="2466" w:type="dxa"/>
            <w:vAlign w:val="center"/>
          </w:tcPr>
          <w:p>
            <w:pPr>
              <w:pStyle w:val="28"/>
            </w:pPr>
            <w:r>
              <w:t>培养全区青少年树立正确观念，成为品德、智力、体质等各方面优秀的人才。</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受教育青少年满意度。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8、建国前老党员生活补贴绩效目标表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1.落实好建国前入党的农村老党员和未享受离退休待遇的城镇老党员生活补贴发放。</w:t>
            </w:r>
          </w:p>
          <w:p>
            <w:pPr>
              <w:pStyle w:val="28"/>
            </w:pPr>
            <w:r>
              <w:t>2.让老党员安度晚年。</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老党员人数</w:t>
            </w:r>
          </w:p>
        </w:tc>
        <w:tc>
          <w:tcPr>
            <w:tcW w:w="2466" w:type="dxa"/>
            <w:vAlign w:val="center"/>
          </w:tcPr>
          <w:p>
            <w:pPr>
              <w:pStyle w:val="28"/>
            </w:pPr>
            <w:r>
              <w:t>享受老党员生活补贴人数44人。</w:t>
            </w:r>
          </w:p>
        </w:tc>
        <w:tc>
          <w:tcPr>
            <w:tcW w:w="2466" w:type="dxa"/>
            <w:vAlign w:val="center"/>
          </w:tcPr>
          <w:p>
            <w:pPr>
              <w:pStyle w:val="28"/>
            </w:pPr>
            <w:r>
              <w:t>44人</w:t>
            </w:r>
          </w:p>
        </w:tc>
        <w:tc>
          <w:tcPr>
            <w:tcW w:w="2466" w:type="dxa"/>
            <w:vAlign w:val="center"/>
          </w:tcPr>
          <w:p>
            <w:pPr>
              <w:pStyle w:val="28"/>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生活补贴发放率</w:t>
            </w:r>
          </w:p>
        </w:tc>
        <w:tc>
          <w:tcPr>
            <w:tcW w:w="2466" w:type="dxa"/>
            <w:vAlign w:val="center"/>
          </w:tcPr>
          <w:p>
            <w:pPr>
              <w:pStyle w:val="28"/>
            </w:pPr>
            <w:r>
              <w:t>实际发放老党员生活补贴人数占应发放人数比率。</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按照上级通知要求分两次发放。</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按照上级文件要求金额发放。</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生活改善率</w:t>
            </w:r>
          </w:p>
        </w:tc>
        <w:tc>
          <w:tcPr>
            <w:tcW w:w="2466" w:type="dxa"/>
            <w:vAlign w:val="center"/>
          </w:tcPr>
          <w:p>
            <w:pPr>
              <w:pStyle w:val="28"/>
            </w:pPr>
            <w:r>
              <w:t>领取补贴老党员日常生活改善比率。</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领取补贴老党员满意率。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9、老促会工作经费绩效目标表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1.弘扬和传承革命老区精神。</w:t>
            </w:r>
          </w:p>
          <w:p>
            <w:pPr>
              <w:pStyle w:val="28"/>
            </w:pPr>
            <w:r>
              <w:t>2.激发广大人民群众的有国热情。</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老区村数量</w:t>
            </w:r>
          </w:p>
        </w:tc>
        <w:tc>
          <w:tcPr>
            <w:tcW w:w="2466" w:type="dxa"/>
            <w:vAlign w:val="center"/>
          </w:tcPr>
          <w:p>
            <w:pPr>
              <w:pStyle w:val="28"/>
            </w:pPr>
            <w:r>
              <w:t>全区108个老区村。</w:t>
            </w:r>
          </w:p>
        </w:tc>
        <w:tc>
          <w:tcPr>
            <w:tcW w:w="2466" w:type="dxa"/>
            <w:vAlign w:val="center"/>
          </w:tcPr>
          <w:p>
            <w:pPr>
              <w:pStyle w:val="28"/>
            </w:pPr>
            <w:r>
              <w:t>≥100个</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重要人物、事件资料收集率</w:t>
            </w:r>
          </w:p>
        </w:tc>
        <w:tc>
          <w:tcPr>
            <w:tcW w:w="2466" w:type="dxa"/>
            <w:vAlign w:val="center"/>
          </w:tcPr>
          <w:p>
            <w:pPr>
              <w:pStyle w:val="28"/>
            </w:pPr>
            <w:r>
              <w:t>对老区村重要人物、时间资料收集覆盖率。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根据上级老促会重点工作安排，开展各项工作。</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按照项目预算支付各项费用。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老区村帮扶数</w:t>
            </w:r>
          </w:p>
        </w:tc>
        <w:tc>
          <w:tcPr>
            <w:tcW w:w="2466" w:type="dxa"/>
            <w:vAlign w:val="center"/>
          </w:tcPr>
          <w:p>
            <w:pPr>
              <w:pStyle w:val="28"/>
            </w:pPr>
            <w:r>
              <w:t>发挥离退休干部政治、威望、经验、时空优势和特殊作用，帮扶老区村发展。</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群众对老区村帮扶的整体满意度。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10、老干部活动经费绩效目标表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1.适应新形势新要求，满足老干部精神文化需求。</w:t>
            </w:r>
          </w:p>
          <w:p>
            <w:pPr>
              <w:pStyle w:val="28"/>
            </w:pPr>
            <w:r>
              <w:t>2.加强老干部活动中心阵地建设，开展文化娱乐、体育健身等各项文体活动。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老干部文体活动开展次数</w:t>
            </w:r>
          </w:p>
        </w:tc>
        <w:tc>
          <w:tcPr>
            <w:tcW w:w="2466" w:type="dxa"/>
            <w:vAlign w:val="center"/>
          </w:tcPr>
          <w:p>
            <w:pPr>
              <w:pStyle w:val="28"/>
            </w:pPr>
            <w:r>
              <w:t>每年定期举办老干部运动会及各项体育比赛，并结合七一、国庆节等适时举办书画展、文艺演出等丰富老干部精神文化生活。</w:t>
            </w:r>
          </w:p>
        </w:tc>
        <w:tc>
          <w:tcPr>
            <w:tcW w:w="2466" w:type="dxa"/>
            <w:vAlign w:val="center"/>
          </w:tcPr>
          <w:p>
            <w:pPr>
              <w:pStyle w:val="28"/>
            </w:pPr>
            <w:r>
              <w:t>≥3次</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参加活动老干部身心健康提升率</w:t>
            </w:r>
          </w:p>
        </w:tc>
        <w:tc>
          <w:tcPr>
            <w:tcW w:w="2466" w:type="dxa"/>
            <w:vAlign w:val="center"/>
          </w:tcPr>
          <w:p>
            <w:pPr>
              <w:pStyle w:val="28"/>
            </w:pPr>
            <w:r>
              <w:t>通过开展丰富多彩的文体活动，参加活动老干部展现了良好精神面貌和阳光心态，心身愉悦，健康程度得到提升。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按照省市老干部局通知要求，结合年初制定的工作要点，开展相应文体活动。</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按照项目预算支付开展各项文体活动费用。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老干部晚年生活质量提升率</w:t>
            </w:r>
          </w:p>
        </w:tc>
        <w:tc>
          <w:tcPr>
            <w:tcW w:w="2466" w:type="dxa"/>
            <w:vAlign w:val="center"/>
          </w:tcPr>
          <w:p>
            <w:pPr>
              <w:pStyle w:val="28"/>
            </w:pPr>
            <w:r>
              <w:t>通过开展各项文体活动，丰富老干部精神文化生活，让参加活动的老干部身心愉悦，健康程度得到提升，提高晚年生活质量。</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离退休干部对开展文化娱乐、体育健身等各项文体活动的满意程度。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11、老干部活动中心人员经费绩效目标表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1.组织管理区离退休干部开展学习交流，并提供相关服务。</w:t>
            </w:r>
          </w:p>
          <w:p>
            <w:pPr>
              <w:pStyle w:val="28"/>
            </w:pPr>
            <w:r>
              <w:t>2.组织管理区离退休干部开展文化娱乐等相关活动，并提供相关服务。</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发放人数</w:t>
            </w:r>
          </w:p>
        </w:tc>
        <w:tc>
          <w:tcPr>
            <w:tcW w:w="2466" w:type="dxa"/>
            <w:vAlign w:val="center"/>
          </w:tcPr>
          <w:p>
            <w:pPr>
              <w:pStyle w:val="28"/>
            </w:pPr>
            <w:r>
              <w:t>1名差额事业编制人员。</w:t>
            </w:r>
          </w:p>
        </w:tc>
        <w:tc>
          <w:tcPr>
            <w:tcW w:w="2466" w:type="dxa"/>
            <w:vAlign w:val="center"/>
          </w:tcPr>
          <w:p>
            <w:pPr>
              <w:pStyle w:val="28"/>
            </w:pPr>
            <w:r>
              <w:t>1人</w:t>
            </w:r>
          </w:p>
        </w:tc>
        <w:tc>
          <w:tcPr>
            <w:tcW w:w="2466" w:type="dxa"/>
            <w:vAlign w:val="center"/>
          </w:tcPr>
          <w:p>
            <w:pPr>
              <w:pStyle w:val="28"/>
            </w:pPr>
            <w:r>
              <w:t>调动审批表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工资、社保等按时足额缴纳率</w:t>
            </w:r>
          </w:p>
        </w:tc>
        <w:tc>
          <w:tcPr>
            <w:tcW w:w="2466" w:type="dxa"/>
            <w:vAlign w:val="center"/>
          </w:tcPr>
          <w:p>
            <w:pPr>
              <w:pStyle w:val="28"/>
            </w:pPr>
            <w:r>
              <w:t>确保活动中心差额事业编制人员每月工资、基础绩效及五险一金及时足额发放缴纳，奖励绩效按照通知要求及时发放。</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每月发放工资、基础绩效，缴纳五险一金，每年按照通知要求发放1次奖励绩效。</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工资、绩效、五险一金支出</w:t>
            </w:r>
          </w:p>
        </w:tc>
        <w:tc>
          <w:tcPr>
            <w:tcW w:w="2466" w:type="dxa"/>
            <w:vAlign w:val="center"/>
          </w:tcPr>
          <w:p>
            <w:pPr>
              <w:pStyle w:val="28"/>
            </w:pPr>
            <w:r>
              <w:t>按照工资审批表、奖励绩效审批表及五险一金征缴单发放缴纳。</w:t>
            </w:r>
          </w:p>
        </w:tc>
        <w:tc>
          <w:tcPr>
            <w:tcW w:w="2466" w:type="dxa"/>
            <w:vAlign w:val="center"/>
          </w:tcPr>
          <w:p>
            <w:pPr>
              <w:pStyle w:val="28"/>
            </w:pPr>
            <w:r>
              <w:t>≥90%</w:t>
            </w:r>
          </w:p>
        </w:tc>
        <w:tc>
          <w:tcPr>
            <w:tcW w:w="2466" w:type="dxa"/>
            <w:vAlign w:val="center"/>
          </w:tcPr>
          <w:p>
            <w:pPr>
              <w:pStyle w:val="28"/>
            </w:pPr>
            <w:r>
              <w:t>工资表、完税证明、征缴单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用心用情做好老干部工作</w:t>
            </w:r>
          </w:p>
        </w:tc>
        <w:tc>
          <w:tcPr>
            <w:tcW w:w="2466" w:type="dxa"/>
            <w:vAlign w:val="center"/>
          </w:tcPr>
          <w:p>
            <w:pPr>
              <w:pStyle w:val="28"/>
            </w:pPr>
            <w:r>
              <w:t>组织离退休干部开展更多丰富多彩的学习交流和文化娱乐等相关活动，让老干部身心愉悦。</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离退休干部对其所提供服务的满意程度。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12、老干部局业务费绩效目标表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1.维持老干部工作正常运转。</w:t>
            </w:r>
          </w:p>
          <w:p>
            <w:pPr>
              <w:pStyle w:val="28"/>
            </w:pPr>
            <w:r>
              <w:t>2.促进老干部工作有序开展。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业务费总量</w:t>
            </w:r>
          </w:p>
        </w:tc>
        <w:tc>
          <w:tcPr>
            <w:tcW w:w="2466" w:type="dxa"/>
            <w:vAlign w:val="center"/>
          </w:tcPr>
          <w:p>
            <w:pPr>
              <w:pStyle w:val="28"/>
            </w:pPr>
            <w:r>
              <w:t>老干部局业务费用于补充老干部活动中心日常办公等费用。</w:t>
            </w:r>
          </w:p>
        </w:tc>
        <w:tc>
          <w:tcPr>
            <w:tcW w:w="2466" w:type="dxa"/>
            <w:vAlign w:val="center"/>
          </w:tcPr>
          <w:p>
            <w:pPr>
              <w:pStyle w:val="28"/>
            </w:pPr>
            <w:r>
              <w:t>8万元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维护老干部活动中心正常运转率</w:t>
            </w:r>
          </w:p>
        </w:tc>
        <w:tc>
          <w:tcPr>
            <w:tcW w:w="2466" w:type="dxa"/>
            <w:vAlign w:val="center"/>
          </w:tcPr>
          <w:p>
            <w:pPr>
              <w:pStyle w:val="28"/>
            </w:pPr>
            <w:r>
              <w:t>业务费用于维护老干部工作正常运转，提升工作效率，打造整洁高效办公环境的比率。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用于及时支付老干部工作日常办公、通讯、水电、维修维护费等费用。</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按照项目预算支付各项费用。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保障日常活动正常开展率</w:t>
            </w:r>
          </w:p>
        </w:tc>
        <w:tc>
          <w:tcPr>
            <w:tcW w:w="2466" w:type="dxa"/>
            <w:vAlign w:val="center"/>
          </w:tcPr>
          <w:p>
            <w:pPr>
              <w:pStyle w:val="28"/>
            </w:pPr>
            <w:r>
              <w:t>为离退休干部提供整洁舒适的活动环境，让参加活动的老干部身心愉悦，健康程度得到提升，提高了晚年生活质量。</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离退休干部对活动中心提供服务的满意程度。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13、老干部特需费绩效目标表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1.按照上级有关政策规定，解决离退休干部特殊困难补助及思想政治建设、党支部建设、各类文体活动的经费开支。</w:t>
            </w:r>
          </w:p>
          <w:p>
            <w:pPr>
              <w:pStyle w:val="28"/>
            </w:pPr>
            <w:r>
              <w:t>2.关心照顾好他们的晚年生活。</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全区离退休干部人数</w:t>
            </w:r>
          </w:p>
        </w:tc>
        <w:tc>
          <w:tcPr>
            <w:tcW w:w="2466" w:type="dxa"/>
            <w:vAlign w:val="center"/>
          </w:tcPr>
          <w:p>
            <w:pPr>
              <w:pStyle w:val="28"/>
            </w:pPr>
            <w:r>
              <w:t>全区5000余名离退休老干部。</w:t>
            </w:r>
          </w:p>
        </w:tc>
        <w:tc>
          <w:tcPr>
            <w:tcW w:w="2466" w:type="dxa"/>
            <w:vAlign w:val="center"/>
          </w:tcPr>
          <w:p>
            <w:pPr>
              <w:pStyle w:val="28"/>
            </w:pPr>
            <w:r>
              <w:t>≥4500人</w:t>
            </w:r>
          </w:p>
        </w:tc>
        <w:tc>
          <w:tcPr>
            <w:tcW w:w="2466" w:type="dxa"/>
            <w:vAlign w:val="center"/>
          </w:tcPr>
          <w:p>
            <w:pPr>
              <w:pStyle w:val="28"/>
            </w:pPr>
            <w:r>
              <w:t>相关单位提供数据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政治、生活待遇落实率</w:t>
            </w:r>
          </w:p>
        </w:tc>
        <w:tc>
          <w:tcPr>
            <w:tcW w:w="2466" w:type="dxa"/>
            <w:vAlign w:val="center"/>
          </w:tcPr>
          <w:p>
            <w:pPr>
              <w:pStyle w:val="28"/>
            </w:pPr>
            <w:r>
              <w:t>落实离退休干部订阅报刊、走访慰问、参观考察等各项制度，结合元旦、春节等时间节点对全区老干部开展走访慰问，帮助解决工作生活上存在的问题。</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为离退休干部订阅报刊、开展走访慰问、举办运动会、书画展、文艺演出等活动。</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离休干部特需费1000元/人，退休干部100元/人。</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离退休干部身心健康愉悦率</w:t>
            </w:r>
          </w:p>
        </w:tc>
        <w:tc>
          <w:tcPr>
            <w:tcW w:w="2466" w:type="dxa"/>
            <w:vAlign w:val="center"/>
          </w:tcPr>
          <w:p>
            <w:pPr>
              <w:pStyle w:val="28"/>
            </w:pPr>
            <w:r>
              <w:t>落实好离退休干部政治生活待遇，让老同志及时了解党的重大方针政策，切身感受组织上的关怀。</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离退休干部对政治待遇、生活待遇、三个机制落实的满意程度。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14、领导干部探视费绩效目标表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1.按照冀办法〔2018〕35号文件要求，加大关心关爱力度，切实增强干部的荣誉感归属感获得感，逐步建立完善关心救助干部的长效机制。</w:t>
            </w:r>
          </w:p>
          <w:p>
            <w:pPr>
              <w:pStyle w:val="28"/>
            </w:pPr>
            <w:r>
              <w:t>2.关注干部身心健康，确保干部患病治疗期间能够充分感受组织关心关爱。</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探视人数</w:t>
            </w:r>
          </w:p>
        </w:tc>
        <w:tc>
          <w:tcPr>
            <w:tcW w:w="2466" w:type="dxa"/>
            <w:vAlign w:val="center"/>
          </w:tcPr>
          <w:p>
            <w:pPr>
              <w:pStyle w:val="28"/>
            </w:pPr>
            <w:r>
              <w:t>全区760名科级以上（含县处级）领导干部，按照15%比例核算人员数量计算约114人。</w:t>
            </w:r>
          </w:p>
        </w:tc>
        <w:tc>
          <w:tcPr>
            <w:tcW w:w="2466" w:type="dxa"/>
            <w:vAlign w:val="center"/>
          </w:tcPr>
          <w:p>
            <w:pPr>
              <w:pStyle w:val="28"/>
            </w:pPr>
            <w:r>
              <w:t>≥114人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使每名患病干部充分感受组织关爱。</w:t>
            </w:r>
          </w:p>
        </w:tc>
        <w:tc>
          <w:tcPr>
            <w:tcW w:w="2466" w:type="dxa"/>
            <w:vAlign w:val="center"/>
          </w:tcPr>
          <w:p>
            <w:pPr>
              <w:pStyle w:val="28"/>
            </w:pPr>
            <w:r>
              <w:t>干部身心健康，无后顾之忧，进一步确保党中央、国务院重大决策和各级工作部署落地落实。</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根据各单位申报、组织掌握等多途径了解掌握，适时开展。</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根据总工会文件，每人/次 1000元标准计算。</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干部身心健康，把全部精力投入干事创业上。</w:t>
            </w:r>
          </w:p>
        </w:tc>
        <w:tc>
          <w:tcPr>
            <w:tcW w:w="2466" w:type="dxa"/>
            <w:vAlign w:val="center"/>
          </w:tcPr>
          <w:p>
            <w:pPr>
              <w:pStyle w:val="28"/>
            </w:pPr>
            <w:r>
              <w:t>通过探视慰问，增强干部政治荣誉感和责任感，踏实工作。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探视慰问对象</w:t>
            </w:r>
          </w:p>
        </w:tc>
        <w:tc>
          <w:tcPr>
            <w:tcW w:w="2466" w:type="dxa"/>
            <w:vAlign w:val="center"/>
          </w:tcPr>
          <w:p>
            <w:pPr>
              <w:pStyle w:val="28"/>
            </w:pPr>
            <w:r>
              <w:t>探视慰问对象平均满意度。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15、年度考核工作经费绩效目标表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1.发挥考核“指挥棒”和“风向标”作用，激发干部争先创优的干劲，落实奖优罚劣的奖惩制度。</w:t>
            </w:r>
          </w:p>
          <w:p>
            <w:pPr>
              <w:pStyle w:val="28"/>
            </w:pPr>
            <w:r>
              <w:t>2.通过大督查，督促重点中心工作落地落实，落实督考合一的激励机制。</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编印各类资料、证书、表格等</w:t>
            </w:r>
          </w:p>
        </w:tc>
        <w:tc>
          <w:tcPr>
            <w:tcW w:w="2466" w:type="dxa"/>
            <w:vAlign w:val="center"/>
          </w:tcPr>
          <w:p>
            <w:pPr>
              <w:pStyle w:val="28"/>
            </w:pPr>
            <w:r>
              <w:t>印刷资料数量、证书数量、奖牌数量、考核表数量等。</w:t>
            </w:r>
          </w:p>
        </w:tc>
        <w:tc>
          <w:tcPr>
            <w:tcW w:w="2466" w:type="dxa"/>
            <w:vAlign w:val="center"/>
          </w:tcPr>
          <w:p>
            <w:pPr>
              <w:pStyle w:val="28"/>
            </w:pPr>
            <w:r>
              <w:t>≥25000（7000）本（张）</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年度考核奖金及时审批率</w:t>
            </w:r>
          </w:p>
        </w:tc>
        <w:tc>
          <w:tcPr>
            <w:tcW w:w="2466" w:type="dxa"/>
            <w:vAlign w:val="center"/>
          </w:tcPr>
          <w:p>
            <w:pPr>
              <w:pStyle w:val="28"/>
            </w:pPr>
            <w:r>
              <w:t>实际审批年度考核奖金的人数占审批奖金总人数比率。</w:t>
            </w:r>
          </w:p>
        </w:tc>
        <w:tc>
          <w:tcPr>
            <w:tcW w:w="2466" w:type="dxa"/>
            <w:vAlign w:val="center"/>
          </w:tcPr>
          <w:p>
            <w:pPr>
              <w:pStyle w:val="28"/>
            </w:pPr>
            <w:r>
              <w:t>≥95%</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印刷及时率、发放及时率</w:t>
            </w:r>
          </w:p>
        </w:tc>
        <w:tc>
          <w:tcPr>
            <w:tcW w:w="2466" w:type="dxa"/>
            <w:vAlign w:val="center"/>
          </w:tcPr>
          <w:p>
            <w:pPr>
              <w:pStyle w:val="28"/>
            </w:pPr>
            <w:r>
              <w:t>资料印刷及时程度、奖金发放及时程度。</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根据印制的资料、证书、奖牌费用标准支付费用。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被考核对象满意率</w:t>
            </w:r>
          </w:p>
        </w:tc>
        <w:tc>
          <w:tcPr>
            <w:tcW w:w="2466" w:type="dxa"/>
            <w:vAlign w:val="center"/>
          </w:tcPr>
          <w:p>
            <w:pPr>
              <w:pStyle w:val="28"/>
            </w:pPr>
            <w:r>
              <w:t>采取走访、调查问卷，听取大家对考核工作的满意情况。</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16、特困离退休干部帮扶专项经费绩效目标表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1.对特困离退休干部实施专项帮扶。</w:t>
            </w:r>
          </w:p>
          <w:p>
            <w:pPr>
              <w:pStyle w:val="28"/>
            </w:pPr>
            <w:r>
              <w:t>2.让老干部切身感受组织上的关怀和温暖。</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帮扶资金发放人数</w:t>
            </w:r>
          </w:p>
        </w:tc>
        <w:tc>
          <w:tcPr>
            <w:tcW w:w="2466" w:type="dxa"/>
            <w:vAlign w:val="center"/>
          </w:tcPr>
          <w:p>
            <w:pPr>
              <w:pStyle w:val="28"/>
            </w:pPr>
            <w:r>
              <w:t>符合帮扶条件特困离退休干部20人。</w:t>
            </w:r>
          </w:p>
        </w:tc>
        <w:tc>
          <w:tcPr>
            <w:tcW w:w="2466" w:type="dxa"/>
            <w:vAlign w:val="center"/>
          </w:tcPr>
          <w:p>
            <w:pPr>
              <w:pStyle w:val="28"/>
            </w:pPr>
            <w:r>
              <w:t>≥18人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补助金发放率</w:t>
            </w:r>
          </w:p>
        </w:tc>
        <w:tc>
          <w:tcPr>
            <w:tcW w:w="2466" w:type="dxa"/>
            <w:vAlign w:val="center"/>
          </w:tcPr>
          <w:p>
            <w:pPr>
              <w:pStyle w:val="28"/>
            </w:pPr>
            <w:r>
              <w:t>实际发放的补助金额占计划发放金额的比率。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发放一次。</w:t>
            </w:r>
          </w:p>
        </w:tc>
        <w:tc>
          <w:tcPr>
            <w:tcW w:w="2466" w:type="dxa"/>
            <w:vAlign w:val="center"/>
          </w:tcPr>
          <w:p>
            <w:pPr>
              <w:pStyle w:val="28"/>
            </w:pPr>
            <w:r>
              <w:t>≤10月底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根据特困离退休干部帮扶文件，每人/次 2500元标准计算。</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得到帮扶后生活等方面改善率</w:t>
            </w:r>
          </w:p>
        </w:tc>
        <w:tc>
          <w:tcPr>
            <w:tcW w:w="2466" w:type="dxa"/>
            <w:vAlign w:val="center"/>
          </w:tcPr>
          <w:p>
            <w:pPr>
              <w:pStyle w:val="28"/>
            </w:pPr>
            <w:r>
              <w:t>通过开展特困帮扶，使特困离退休干部在生活、医疗、护理等方面得到改善，切身感受组织上的关怀和温暖。</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补助人群对在生活、医疗、护理等方面的改善情况的满意程度。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17、乡科级干部体检费绩效目标表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1.按照石组字〔2018〕50号文件要求，切实加强对干部的关心关爱，坚持预防为主，进一步保障和增进干部身心健康。</w:t>
            </w:r>
          </w:p>
          <w:p>
            <w:pPr>
              <w:pStyle w:val="28"/>
            </w:pPr>
            <w:r>
              <w:t>2.关心干部身心健康，切实加强医疗保健，提高干部健康体检质量。</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体检人数</w:t>
            </w:r>
          </w:p>
        </w:tc>
        <w:tc>
          <w:tcPr>
            <w:tcW w:w="2466" w:type="dxa"/>
            <w:vAlign w:val="center"/>
          </w:tcPr>
          <w:p>
            <w:pPr>
              <w:pStyle w:val="28"/>
            </w:pPr>
            <w:r>
              <w:t>全区760名科级以上（含县处级）领导干部。</w:t>
            </w:r>
          </w:p>
        </w:tc>
        <w:tc>
          <w:tcPr>
            <w:tcW w:w="2466" w:type="dxa"/>
            <w:vAlign w:val="center"/>
          </w:tcPr>
          <w:p>
            <w:pPr>
              <w:pStyle w:val="28"/>
            </w:pPr>
            <w:r>
              <w:t>≥760人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全区科级及以上干部干部</w:t>
            </w:r>
          </w:p>
        </w:tc>
        <w:tc>
          <w:tcPr>
            <w:tcW w:w="2466" w:type="dxa"/>
            <w:vAlign w:val="center"/>
          </w:tcPr>
          <w:p>
            <w:pPr>
              <w:pStyle w:val="28"/>
            </w:pPr>
            <w:r>
              <w:t>全区全体科级及以上干部干部参加体检率。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2020年内</w:t>
            </w:r>
          </w:p>
        </w:tc>
        <w:tc>
          <w:tcPr>
            <w:tcW w:w="2466" w:type="dxa"/>
            <w:vAlign w:val="center"/>
          </w:tcPr>
          <w:p>
            <w:pPr>
              <w:pStyle w:val="28"/>
            </w:pPr>
            <w:r>
              <w:t>2020年内开展一次。</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根据总工会文件，每人/次 300元标准计算。</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干部身心健康，把全部精力投入干事创业上。</w:t>
            </w:r>
          </w:p>
        </w:tc>
        <w:tc>
          <w:tcPr>
            <w:tcW w:w="2466" w:type="dxa"/>
            <w:vAlign w:val="center"/>
          </w:tcPr>
          <w:p>
            <w:pPr>
              <w:pStyle w:val="28"/>
            </w:pPr>
            <w:r>
              <w:t>通过健康体检，建立干部健康体检结果报告制度，完善干部健康体检档案管理，加强体检结果解读，促进疾病早诊早治。</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体检干部评价</w:t>
            </w:r>
          </w:p>
        </w:tc>
        <w:tc>
          <w:tcPr>
            <w:tcW w:w="2466" w:type="dxa"/>
            <w:vAlign w:val="center"/>
          </w:tcPr>
          <w:p>
            <w:pPr>
              <w:pStyle w:val="28"/>
            </w:pPr>
            <w:r>
              <w:t>体检干部平均满意度。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18、组织离退休干部健康体检经费绩效目标表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1.体现区委区政府对老干部的关心照顾，增强老干部保健意识。</w:t>
            </w:r>
          </w:p>
          <w:p>
            <w:pPr>
              <w:pStyle w:val="28"/>
            </w:pPr>
            <w:r>
              <w:t>2.切实加强医疗保健，确保老干部身体健康，安享晚年。</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体检人数</w:t>
            </w:r>
          </w:p>
        </w:tc>
        <w:tc>
          <w:tcPr>
            <w:tcW w:w="2466" w:type="dxa"/>
            <w:vAlign w:val="center"/>
          </w:tcPr>
          <w:p>
            <w:pPr>
              <w:pStyle w:val="28"/>
            </w:pPr>
            <w:r>
              <w:t>全区离休干部、副科级以上实职退休干部及处级老干部700余人。</w:t>
            </w:r>
          </w:p>
        </w:tc>
        <w:tc>
          <w:tcPr>
            <w:tcW w:w="2466" w:type="dxa"/>
            <w:vAlign w:val="center"/>
          </w:tcPr>
          <w:p>
            <w:pPr>
              <w:pStyle w:val="28"/>
            </w:pPr>
            <w:r>
              <w:t>≥650人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符合通知要求离退休干部体检率</w:t>
            </w:r>
          </w:p>
        </w:tc>
        <w:tc>
          <w:tcPr>
            <w:tcW w:w="2466" w:type="dxa"/>
            <w:vAlign w:val="center"/>
          </w:tcPr>
          <w:p>
            <w:pPr>
              <w:pStyle w:val="28"/>
            </w:pPr>
            <w:r>
              <w:t>符合通知要求的离退休干部参加健康体检的比率。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2季度完成健康体检。</w:t>
            </w:r>
          </w:p>
        </w:tc>
        <w:tc>
          <w:tcPr>
            <w:tcW w:w="2466" w:type="dxa"/>
            <w:vAlign w:val="center"/>
          </w:tcPr>
          <w:p>
            <w:pPr>
              <w:pStyle w:val="28"/>
            </w:pPr>
            <w:r>
              <w:t>≤6月底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按照上级文件执行</w:t>
            </w:r>
          </w:p>
        </w:tc>
        <w:tc>
          <w:tcPr>
            <w:tcW w:w="2466" w:type="dxa"/>
            <w:vAlign w:val="center"/>
          </w:tcPr>
          <w:p>
            <w:pPr>
              <w:pStyle w:val="28"/>
            </w:pPr>
            <w:r>
              <w:t>标准为离退休干部198元/人，处级老干部408元/人。</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增强老干部保健意识</w:t>
            </w:r>
          </w:p>
        </w:tc>
        <w:tc>
          <w:tcPr>
            <w:tcW w:w="2466" w:type="dxa"/>
            <w:vAlign w:val="center"/>
          </w:tcPr>
          <w:p>
            <w:pPr>
              <w:pStyle w:val="28"/>
            </w:pPr>
            <w:r>
              <w:t>通过健康体检，完善离退休干部健康体检档案管理，加强体检结果解读，促进疾病早诊早治。</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老干部对健康体检满意率</w:t>
            </w:r>
          </w:p>
        </w:tc>
        <w:tc>
          <w:tcPr>
            <w:tcW w:w="2466" w:type="dxa"/>
            <w:vAlign w:val="center"/>
          </w:tcPr>
          <w:p>
            <w:pPr>
              <w:pStyle w:val="28"/>
            </w:pPr>
            <w:r>
              <w:t>参加体检的老干部对健康体检的满意程度。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19、 人才绿卡住房补贴绩效目标表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1.按照《藁城区人才绿卡管理办法》规定，及时为人才发放房租补贴。</w:t>
            </w:r>
          </w:p>
          <w:p>
            <w:pPr>
              <w:pStyle w:val="28"/>
            </w:pPr>
            <w:r>
              <w:t>2.按照《藁城区人才绿卡管理办法》规定，足额为人才发放房租补贴。</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发放人数</w:t>
            </w:r>
          </w:p>
        </w:tc>
        <w:tc>
          <w:tcPr>
            <w:tcW w:w="2466" w:type="dxa"/>
            <w:vAlign w:val="center"/>
          </w:tcPr>
          <w:p>
            <w:pPr>
              <w:pStyle w:val="28"/>
            </w:pPr>
            <w:r>
              <w:t>藁城区绿卡持卡人才。</w:t>
            </w:r>
          </w:p>
        </w:tc>
        <w:tc>
          <w:tcPr>
            <w:tcW w:w="2466" w:type="dxa"/>
            <w:vAlign w:val="center"/>
          </w:tcPr>
          <w:p>
            <w:pPr>
              <w:pStyle w:val="28"/>
            </w:pPr>
            <w:r>
              <w:t>≥1745人</w:t>
            </w:r>
          </w:p>
        </w:tc>
        <w:tc>
          <w:tcPr>
            <w:tcW w:w="2466" w:type="dxa"/>
            <w:vAlign w:val="center"/>
          </w:tcPr>
          <w:p>
            <w:pPr>
              <w:pStyle w:val="28"/>
            </w:pPr>
            <w:r>
              <w:t>区卡数量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按需发放房补</w:t>
            </w:r>
          </w:p>
        </w:tc>
        <w:tc>
          <w:tcPr>
            <w:tcW w:w="2466" w:type="dxa"/>
            <w:vAlign w:val="center"/>
          </w:tcPr>
          <w:p>
            <w:pPr>
              <w:pStyle w:val="28"/>
            </w:pPr>
            <w:r>
              <w:t>按每季度实际申请房租补贴人数足额发放。</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按时发放补贴</w:t>
            </w:r>
          </w:p>
        </w:tc>
        <w:tc>
          <w:tcPr>
            <w:tcW w:w="2466" w:type="dxa"/>
            <w:vAlign w:val="center"/>
          </w:tcPr>
          <w:p>
            <w:pPr>
              <w:pStyle w:val="28"/>
            </w:pPr>
            <w:r>
              <w:t>按季度发放人才绿卡房租补贴。</w:t>
            </w:r>
          </w:p>
        </w:tc>
        <w:tc>
          <w:tcPr>
            <w:tcW w:w="2466" w:type="dxa"/>
            <w:vAlign w:val="center"/>
          </w:tcPr>
          <w:p>
            <w:pPr>
              <w:pStyle w:val="28"/>
            </w:pPr>
            <w:r>
              <w:t>每个季度末发放本季度人才绿卡房租补贴</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按照项目预算每年度发放人才绿卡房租补贴人数占应申请人数比率。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打造具有吸引力和竞争力的人才政策体系</w:t>
            </w:r>
          </w:p>
        </w:tc>
        <w:tc>
          <w:tcPr>
            <w:tcW w:w="2466" w:type="dxa"/>
            <w:vAlign w:val="center"/>
          </w:tcPr>
          <w:p>
            <w:pPr>
              <w:pStyle w:val="28"/>
            </w:pPr>
            <w:r>
              <w:t>落实人才绿卡制度，提高全区人才待遇，打造具有吸引力和竞争力的人才政策体系，构筑人才发展制度优势。</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区卡人才满意度</w:t>
            </w:r>
          </w:p>
        </w:tc>
        <w:tc>
          <w:tcPr>
            <w:tcW w:w="2466" w:type="dxa"/>
            <w:vAlign w:val="center"/>
          </w:tcPr>
          <w:p>
            <w:pPr>
              <w:pStyle w:val="28"/>
            </w:pPr>
            <w:r>
              <w:t>区卡人才平均满意度。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20、村干部基本补贴绩效目标表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1.按时足额发放，保障基本生活。</w:t>
            </w:r>
          </w:p>
          <w:p>
            <w:pPr>
              <w:pStyle w:val="28"/>
            </w:pPr>
            <w:r>
              <w:t>2.激发“两委”干部工作积极性。</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覆盖人数</w:t>
            </w:r>
          </w:p>
        </w:tc>
        <w:tc>
          <w:tcPr>
            <w:tcW w:w="2466" w:type="dxa"/>
            <w:vAlign w:val="center"/>
          </w:tcPr>
          <w:p>
            <w:pPr>
              <w:pStyle w:val="28"/>
            </w:pPr>
            <w:r>
              <w:t>发放基本补贴的人数。</w:t>
            </w:r>
          </w:p>
        </w:tc>
        <w:tc>
          <w:tcPr>
            <w:tcW w:w="2466" w:type="dxa"/>
            <w:vAlign w:val="center"/>
          </w:tcPr>
          <w:p>
            <w:pPr>
              <w:pStyle w:val="28"/>
            </w:pPr>
            <w:r>
              <w:t>1230人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工资发放率</w:t>
            </w:r>
          </w:p>
        </w:tc>
        <w:tc>
          <w:tcPr>
            <w:tcW w:w="2466" w:type="dxa"/>
            <w:vAlign w:val="center"/>
          </w:tcPr>
          <w:p>
            <w:pPr>
              <w:pStyle w:val="28"/>
            </w:pPr>
            <w:r>
              <w:t>实际发放基本补贴人数占应发放人数比率。</w:t>
            </w:r>
          </w:p>
        </w:tc>
        <w:tc>
          <w:tcPr>
            <w:tcW w:w="2466" w:type="dxa"/>
            <w:vAlign w:val="center"/>
          </w:tcPr>
          <w:p>
            <w:pPr>
              <w:pStyle w:val="28"/>
            </w:pPr>
            <w:r>
              <w:t>100%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发放及时率</w:t>
            </w:r>
          </w:p>
        </w:tc>
        <w:tc>
          <w:tcPr>
            <w:tcW w:w="2466" w:type="dxa"/>
            <w:vAlign w:val="center"/>
          </w:tcPr>
          <w:p>
            <w:pPr>
              <w:pStyle w:val="28"/>
            </w:pPr>
            <w:r>
              <w:t>定期发放村干部基本补贴。</w:t>
            </w:r>
          </w:p>
        </w:tc>
        <w:tc>
          <w:tcPr>
            <w:tcW w:w="2466" w:type="dxa"/>
            <w:vAlign w:val="center"/>
          </w:tcPr>
          <w:p>
            <w:pPr>
              <w:pStyle w:val="28"/>
            </w:pPr>
            <w:r>
              <w:t>按月发放基础职务补贴</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严控预算成本</w:t>
            </w:r>
          </w:p>
        </w:tc>
        <w:tc>
          <w:tcPr>
            <w:tcW w:w="2466" w:type="dxa"/>
            <w:vAlign w:val="center"/>
          </w:tcPr>
          <w:p>
            <w:pPr>
              <w:pStyle w:val="28"/>
            </w:pPr>
            <w:r>
              <w:t>按照标准执行，合理使用预算经费</w:t>
            </w:r>
          </w:p>
        </w:tc>
        <w:tc>
          <w:tcPr>
            <w:tcW w:w="2466" w:type="dxa"/>
            <w:vAlign w:val="center"/>
          </w:tcPr>
          <w:p>
            <w:pPr>
              <w:pStyle w:val="28"/>
            </w:pPr>
            <w:r>
              <w:t>≤712万元</w:t>
            </w:r>
          </w:p>
        </w:tc>
        <w:tc>
          <w:tcPr>
            <w:tcW w:w="2466" w:type="dxa"/>
            <w:vAlign w:val="center"/>
          </w:tcPr>
          <w:p>
            <w:pPr>
              <w:pStyle w:val="28"/>
            </w:pPr>
            <w:r>
              <w:t xml:space="preserve">预算编制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开展工作情况</w:t>
            </w:r>
          </w:p>
        </w:tc>
        <w:tc>
          <w:tcPr>
            <w:tcW w:w="2466" w:type="dxa"/>
            <w:vAlign w:val="center"/>
          </w:tcPr>
          <w:p>
            <w:pPr>
              <w:pStyle w:val="28"/>
            </w:pPr>
            <w:r>
              <w:t>“两委”干部正常开展工作。</w:t>
            </w:r>
          </w:p>
        </w:tc>
        <w:tc>
          <w:tcPr>
            <w:tcW w:w="2466" w:type="dxa"/>
            <w:vAlign w:val="center"/>
          </w:tcPr>
          <w:p>
            <w:pPr>
              <w:pStyle w:val="28"/>
            </w:pPr>
            <w:r>
              <w:t>正常开展工作</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21、村干部绩效工资补贴绩效目标表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1.根据省市相关文件，按照基础职务补贴30%足额保障绩效补贴。</w:t>
            </w:r>
          </w:p>
          <w:p>
            <w:pPr>
              <w:pStyle w:val="28"/>
            </w:pPr>
            <w:r>
              <w:t>2.根据村干部年度考核结果、评定等次等情况发放，切实解决“干多干少、干好干坏一个样”的问题。</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覆盖人数</w:t>
            </w:r>
          </w:p>
        </w:tc>
        <w:tc>
          <w:tcPr>
            <w:tcW w:w="2466" w:type="dxa"/>
            <w:vAlign w:val="center"/>
          </w:tcPr>
          <w:p>
            <w:pPr>
              <w:pStyle w:val="28"/>
            </w:pPr>
            <w:r>
              <w:t>发放绩效工资人数。</w:t>
            </w:r>
          </w:p>
        </w:tc>
        <w:tc>
          <w:tcPr>
            <w:tcW w:w="2466" w:type="dxa"/>
            <w:vAlign w:val="center"/>
          </w:tcPr>
          <w:p>
            <w:pPr>
              <w:pStyle w:val="28"/>
            </w:pPr>
            <w:r>
              <w:t>1230人</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工资发放率</w:t>
            </w:r>
          </w:p>
        </w:tc>
        <w:tc>
          <w:tcPr>
            <w:tcW w:w="2466" w:type="dxa"/>
            <w:vAlign w:val="center"/>
          </w:tcPr>
          <w:p>
            <w:pPr>
              <w:pStyle w:val="28"/>
            </w:pPr>
            <w:r>
              <w:t>实际发放人数占应发放人数的比例。</w:t>
            </w:r>
          </w:p>
        </w:tc>
        <w:tc>
          <w:tcPr>
            <w:tcW w:w="2466" w:type="dxa"/>
            <w:vAlign w:val="center"/>
          </w:tcPr>
          <w:p>
            <w:pPr>
              <w:pStyle w:val="28"/>
            </w:pPr>
            <w:r>
              <w:t>100%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根据考核结果发放到位。</w:t>
            </w:r>
          </w:p>
        </w:tc>
        <w:tc>
          <w:tcPr>
            <w:tcW w:w="2466" w:type="dxa"/>
            <w:vAlign w:val="center"/>
          </w:tcPr>
          <w:p>
            <w:pPr>
              <w:pStyle w:val="28"/>
            </w:pPr>
            <w:r>
              <w:t>6月底前按时发放到位</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项目总成本</w:t>
            </w:r>
          </w:p>
        </w:tc>
        <w:tc>
          <w:tcPr>
            <w:tcW w:w="2466" w:type="dxa"/>
            <w:vAlign w:val="center"/>
          </w:tcPr>
          <w:p>
            <w:pPr>
              <w:pStyle w:val="28"/>
            </w:pPr>
            <w:r>
              <w:t>严格按照标准执行，合理使用预算资金</w:t>
            </w:r>
          </w:p>
        </w:tc>
        <w:tc>
          <w:tcPr>
            <w:tcW w:w="2466" w:type="dxa"/>
            <w:vAlign w:val="center"/>
          </w:tcPr>
          <w:p>
            <w:pPr>
              <w:pStyle w:val="28"/>
            </w:pPr>
            <w:r>
              <w:t>≤1100万元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开展工作情况</w:t>
            </w:r>
          </w:p>
        </w:tc>
        <w:tc>
          <w:tcPr>
            <w:tcW w:w="2466" w:type="dxa"/>
            <w:vAlign w:val="center"/>
          </w:tcPr>
          <w:p>
            <w:pPr>
              <w:pStyle w:val="28"/>
            </w:pPr>
            <w:r>
              <w:t>“两委”干部正常开展工作。</w:t>
            </w:r>
          </w:p>
        </w:tc>
        <w:tc>
          <w:tcPr>
            <w:tcW w:w="2466" w:type="dxa"/>
            <w:vAlign w:val="center"/>
          </w:tcPr>
          <w:p>
            <w:pPr>
              <w:pStyle w:val="28"/>
            </w:pPr>
            <w:r>
              <w:t>正常开展工作</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22、村级办公经费绩效目标表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1.向各乡镇（区）发放村级办公经费。</w:t>
            </w:r>
          </w:p>
          <w:p>
            <w:pPr>
              <w:pStyle w:val="28"/>
            </w:pPr>
            <w:r>
              <w:t>2.保障必要办公用品、办公设施维护、水电暖、报刊征订等方面开支。</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覆盖全区所有村</w:t>
            </w:r>
          </w:p>
        </w:tc>
        <w:tc>
          <w:tcPr>
            <w:tcW w:w="2466" w:type="dxa"/>
            <w:vAlign w:val="center"/>
          </w:tcPr>
          <w:p>
            <w:pPr>
              <w:pStyle w:val="28"/>
            </w:pPr>
            <w:r>
              <w:t>保障226个村的村级办公的必要支出。</w:t>
            </w:r>
          </w:p>
        </w:tc>
        <w:tc>
          <w:tcPr>
            <w:tcW w:w="2466" w:type="dxa"/>
            <w:vAlign w:val="center"/>
          </w:tcPr>
          <w:p>
            <w:pPr>
              <w:pStyle w:val="28"/>
            </w:pPr>
            <w:r>
              <w:t>226个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足额拨付到村</w:t>
            </w:r>
          </w:p>
        </w:tc>
        <w:tc>
          <w:tcPr>
            <w:tcW w:w="2466" w:type="dxa"/>
            <w:vAlign w:val="center"/>
          </w:tcPr>
          <w:p>
            <w:pPr>
              <w:pStyle w:val="28"/>
            </w:pPr>
            <w:r>
              <w:t>按照上级文件要求标准全部拨付到村。</w:t>
            </w:r>
          </w:p>
        </w:tc>
        <w:tc>
          <w:tcPr>
            <w:tcW w:w="2466" w:type="dxa"/>
            <w:vAlign w:val="center"/>
          </w:tcPr>
          <w:p>
            <w:pPr>
              <w:pStyle w:val="28"/>
            </w:pPr>
            <w:r>
              <w:t>≥5000元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6月底前及时拨付到村。</w:t>
            </w:r>
          </w:p>
        </w:tc>
        <w:tc>
          <w:tcPr>
            <w:tcW w:w="2466" w:type="dxa"/>
            <w:vAlign w:val="center"/>
          </w:tcPr>
          <w:p>
            <w:pPr>
              <w:pStyle w:val="28"/>
            </w:pPr>
            <w:r>
              <w:t>≤6月底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严控成本，将成本控预算范围内。</w:t>
            </w:r>
          </w:p>
        </w:tc>
        <w:tc>
          <w:tcPr>
            <w:tcW w:w="2466" w:type="dxa"/>
            <w:vAlign w:val="center"/>
          </w:tcPr>
          <w:p>
            <w:pPr>
              <w:pStyle w:val="28"/>
            </w:pPr>
            <w:r>
              <w:t>≤113万元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保障村级组织正常办公</w:t>
            </w:r>
          </w:p>
        </w:tc>
        <w:tc>
          <w:tcPr>
            <w:tcW w:w="2466" w:type="dxa"/>
            <w:vAlign w:val="center"/>
          </w:tcPr>
          <w:p>
            <w:pPr>
              <w:pStyle w:val="28"/>
            </w:pPr>
            <w:r>
              <w:t>提供必要办公用品及设施保障。</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村干部满意率。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23、村级党组织活动经费绩效目标表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1.保障村党组织开展“三会一课”、主题党日、党员教育培训、救助困难党员、慰问老党员等活动所需开支。</w:t>
            </w:r>
          </w:p>
          <w:p>
            <w:pPr>
              <w:pStyle w:val="28"/>
            </w:pPr>
            <w:r>
              <w:t>2.增强党员党性，发挥先锋模范作用。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足额拨付给村党组织</w:t>
            </w:r>
          </w:p>
        </w:tc>
        <w:tc>
          <w:tcPr>
            <w:tcW w:w="2466" w:type="dxa"/>
            <w:vAlign w:val="center"/>
          </w:tcPr>
          <w:p>
            <w:pPr>
              <w:pStyle w:val="28"/>
            </w:pPr>
            <w:r>
              <w:t>补助农村党支部（总支）数量。</w:t>
            </w:r>
          </w:p>
        </w:tc>
        <w:tc>
          <w:tcPr>
            <w:tcW w:w="2466" w:type="dxa"/>
            <w:vAlign w:val="center"/>
          </w:tcPr>
          <w:p>
            <w:pPr>
              <w:pStyle w:val="28"/>
            </w:pPr>
            <w:r>
              <w:t>226个</w:t>
            </w:r>
          </w:p>
        </w:tc>
        <w:tc>
          <w:tcPr>
            <w:tcW w:w="2466"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村党组织党员正常开展活动</w:t>
            </w:r>
          </w:p>
        </w:tc>
        <w:tc>
          <w:tcPr>
            <w:tcW w:w="2466" w:type="dxa"/>
            <w:vAlign w:val="center"/>
          </w:tcPr>
          <w:p>
            <w:pPr>
              <w:pStyle w:val="28"/>
            </w:pPr>
            <w:r>
              <w:t>保障农村党组织党员正常开展活动。</w:t>
            </w:r>
          </w:p>
        </w:tc>
        <w:tc>
          <w:tcPr>
            <w:tcW w:w="2466" w:type="dxa"/>
            <w:vAlign w:val="center"/>
          </w:tcPr>
          <w:p>
            <w:pPr>
              <w:pStyle w:val="28"/>
            </w:pPr>
            <w:r>
              <w:t>22085人</w:t>
            </w:r>
          </w:p>
        </w:tc>
        <w:tc>
          <w:tcPr>
            <w:tcW w:w="2466"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6底前经乡镇拨付到村党组织。</w:t>
            </w:r>
          </w:p>
        </w:tc>
        <w:tc>
          <w:tcPr>
            <w:tcW w:w="2466" w:type="dxa"/>
            <w:vAlign w:val="center"/>
          </w:tcPr>
          <w:p>
            <w:pPr>
              <w:pStyle w:val="28"/>
            </w:pPr>
            <w:r>
              <w:t>≤6月底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项目总成本</w:t>
            </w:r>
          </w:p>
        </w:tc>
        <w:tc>
          <w:tcPr>
            <w:tcW w:w="2466" w:type="dxa"/>
            <w:vAlign w:val="center"/>
          </w:tcPr>
          <w:p>
            <w:pPr>
              <w:pStyle w:val="28"/>
            </w:pPr>
            <w:r>
              <w:t>按标准执行，合理使用预算资金</w:t>
            </w:r>
          </w:p>
        </w:tc>
        <w:tc>
          <w:tcPr>
            <w:tcW w:w="2466" w:type="dxa"/>
            <w:vAlign w:val="center"/>
          </w:tcPr>
          <w:p>
            <w:pPr>
              <w:pStyle w:val="28"/>
            </w:pPr>
            <w:r>
              <w:t>≤441.7万元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保障党员开展活动</w:t>
            </w:r>
          </w:p>
        </w:tc>
        <w:tc>
          <w:tcPr>
            <w:tcW w:w="2466" w:type="dxa"/>
            <w:vAlign w:val="center"/>
          </w:tcPr>
          <w:p>
            <w:pPr>
              <w:pStyle w:val="28"/>
            </w:pPr>
            <w:r>
              <w:t>保障226个农村党组织正常开展“三会一课”、主题党日、党员教育培训、救助困难党员、慰问老党员等活动所需开支。</w:t>
            </w:r>
          </w:p>
        </w:tc>
        <w:tc>
          <w:tcPr>
            <w:tcW w:w="2466" w:type="dxa"/>
            <w:vAlign w:val="center"/>
          </w:tcPr>
          <w:p>
            <w:pPr>
              <w:pStyle w:val="28"/>
            </w:pPr>
            <w:r>
              <w:t>226个</w:t>
            </w:r>
          </w:p>
        </w:tc>
        <w:tc>
          <w:tcPr>
            <w:tcW w:w="2466"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农村党组织满意率。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24、党建工作专项经费绩效目标表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1.用于支持村社区组织活动场所建设，给予后进村、党建示范村、工作优秀村等村的资金奖补等基层党建各项重点工作的资金保障。</w:t>
            </w:r>
          </w:p>
          <w:p>
            <w:pPr>
              <w:pStyle w:val="28"/>
            </w:pPr>
            <w:r>
              <w:t>2.用于保障制作基层党建展牌、标牌、标语，印发各类文件，以及上级到我区调研，组织村“两委”干部本地及域外观摩培训等费用。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足额拨付给村党组织</w:t>
            </w:r>
          </w:p>
        </w:tc>
        <w:tc>
          <w:tcPr>
            <w:tcW w:w="2466" w:type="dxa"/>
            <w:vAlign w:val="center"/>
          </w:tcPr>
          <w:p>
            <w:pPr>
              <w:pStyle w:val="28"/>
            </w:pPr>
            <w:r>
              <w:t>补助农村党支部（总支）数量。</w:t>
            </w:r>
          </w:p>
        </w:tc>
        <w:tc>
          <w:tcPr>
            <w:tcW w:w="2466" w:type="dxa"/>
            <w:vAlign w:val="center"/>
          </w:tcPr>
          <w:p>
            <w:pPr>
              <w:pStyle w:val="28"/>
            </w:pPr>
            <w:r>
              <w:t>226个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场所建设达标率</w:t>
            </w:r>
          </w:p>
        </w:tc>
        <w:tc>
          <w:tcPr>
            <w:tcW w:w="2466" w:type="dxa"/>
            <w:vAlign w:val="center"/>
          </w:tcPr>
          <w:p>
            <w:pPr>
              <w:pStyle w:val="28"/>
            </w:pPr>
            <w:r>
              <w:t>加大资金支持力度，提升村（社区）场所建设水平。</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11月底前拨付到村。</w:t>
            </w:r>
          </w:p>
        </w:tc>
        <w:tc>
          <w:tcPr>
            <w:tcW w:w="2466" w:type="dxa"/>
            <w:vAlign w:val="center"/>
          </w:tcPr>
          <w:p>
            <w:pPr>
              <w:pStyle w:val="28"/>
            </w:pPr>
            <w:r>
              <w:t>≤11月</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按照标准拨付，合理使用预算资金</w:t>
            </w:r>
          </w:p>
        </w:tc>
        <w:tc>
          <w:tcPr>
            <w:tcW w:w="2466" w:type="dxa"/>
            <w:vAlign w:val="center"/>
          </w:tcPr>
          <w:p>
            <w:pPr>
              <w:pStyle w:val="28"/>
            </w:pPr>
            <w:r>
              <w:t>≤339万元</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更好服务群众</w:t>
            </w:r>
          </w:p>
        </w:tc>
        <w:tc>
          <w:tcPr>
            <w:tcW w:w="2466" w:type="dxa"/>
            <w:vAlign w:val="center"/>
          </w:tcPr>
          <w:p>
            <w:pPr>
              <w:pStyle w:val="28"/>
            </w:pPr>
            <w:r>
              <w:t>提升村（社区）场所建设水平。</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被帮扶村党员群众满意率。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25、党组织服务群众专项经费绩效目标表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1.向各社区发放服务群众专项经费。</w:t>
            </w:r>
          </w:p>
          <w:p>
            <w:pPr>
              <w:pStyle w:val="28"/>
            </w:pPr>
            <w:r>
              <w:t>2.结合社区党组织开展各项活动。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覆盖全区所有社区</w:t>
            </w:r>
          </w:p>
        </w:tc>
        <w:tc>
          <w:tcPr>
            <w:tcW w:w="2466" w:type="dxa"/>
            <w:vAlign w:val="center"/>
          </w:tcPr>
          <w:p>
            <w:pPr>
              <w:pStyle w:val="28"/>
            </w:pPr>
            <w:r>
              <w:t>保障每个社区服务群众的必要支出。</w:t>
            </w:r>
          </w:p>
        </w:tc>
        <w:tc>
          <w:tcPr>
            <w:tcW w:w="2466" w:type="dxa"/>
            <w:vAlign w:val="center"/>
          </w:tcPr>
          <w:p>
            <w:pPr>
              <w:pStyle w:val="28"/>
            </w:pPr>
            <w:r>
              <w:t>12个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w:t>
            </w:r>
          </w:p>
        </w:tc>
        <w:tc>
          <w:tcPr>
            <w:tcW w:w="2466" w:type="dxa"/>
            <w:vAlign w:val="center"/>
          </w:tcPr>
          <w:p>
            <w:pPr>
              <w:pStyle w:val="28"/>
            </w:pPr>
            <w:r>
              <w:t>按照上级文件要求，社区均20万元标准全部拨付到社区。</w:t>
            </w:r>
          </w:p>
        </w:tc>
        <w:tc>
          <w:tcPr>
            <w:tcW w:w="2466" w:type="dxa"/>
            <w:vAlign w:val="center"/>
          </w:tcPr>
          <w:p>
            <w:pPr>
              <w:pStyle w:val="28"/>
            </w:pPr>
            <w:r>
              <w:t>240万</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6月底前拨付到社区。</w:t>
            </w:r>
          </w:p>
        </w:tc>
        <w:tc>
          <w:tcPr>
            <w:tcW w:w="2466" w:type="dxa"/>
            <w:vAlign w:val="center"/>
          </w:tcPr>
          <w:p>
            <w:pPr>
              <w:pStyle w:val="28"/>
            </w:pPr>
            <w:r>
              <w:t>≤6月</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项目总成本</w:t>
            </w:r>
          </w:p>
        </w:tc>
        <w:tc>
          <w:tcPr>
            <w:tcW w:w="2466" w:type="dxa"/>
            <w:vAlign w:val="center"/>
          </w:tcPr>
          <w:p>
            <w:pPr>
              <w:pStyle w:val="28"/>
            </w:pPr>
            <w:r>
              <w:t>严控成本预算，合理使用预算资金</w:t>
            </w:r>
          </w:p>
        </w:tc>
        <w:tc>
          <w:tcPr>
            <w:tcW w:w="2466" w:type="dxa"/>
            <w:vAlign w:val="center"/>
          </w:tcPr>
          <w:p>
            <w:pPr>
              <w:pStyle w:val="28"/>
            </w:pPr>
            <w:r>
              <w:t>≤240万元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服务群众</w:t>
            </w:r>
          </w:p>
        </w:tc>
        <w:tc>
          <w:tcPr>
            <w:tcW w:w="2466" w:type="dxa"/>
            <w:vAlign w:val="center"/>
          </w:tcPr>
          <w:p>
            <w:pPr>
              <w:pStyle w:val="28"/>
            </w:pPr>
            <w:r>
              <w:t>保障社区组织服务群众，提升服务保障能力。</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社区群众满意率。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26、服务群众专项经费绩效目标表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1.向各乡镇（区）发放服务群众专项经费。</w:t>
            </w:r>
          </w:p>
          <w:p>
            <w:pPr>
              <w:pStyle w:val="28"/>
            </w:pPr>
            <w:r>
              <w:t>2.保障村综合服务站正常运转、公共设施维护、公共卫生防疫、村内治安、服务群众生产生活的临时用工等方面开支。</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覆盖全区所有村</w:t>
            </w:r>
          </w:p>
        </w:tc>
        <w:tc>
          <w:tcPr>
            <w:tcW w:w="2466" w:type="dxa"/>
            <w:vAlign w:val="center"/>
          </w:tcPr>
          <w:p>
            <w:pPr>
              <w:pStyle w:val="28"/>
            </w:pPr>
            <w:r>
              <w:t>保障226个村的村级组织服务群众的必要支出。</w:t>
            </w:r>
          </w:p>
        </w:tc>
        <w:tc>
          <w:tcPr>
            <w:tcW w:w="2466" w:type="dxa"/>
            <w:vAlign w:val="center"/>
          </w:tcPr>
          <w:p>
            <w:pPr>
              <w:pStyle w:val="28"/>
            </w:pPr>
            <w:r>
              <w:t>226个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足额拨付到村</w:t>
            </w:r>
          </w:p>
        </w:tc>
        <w:tc>
          <w:tcPr>
            <w:tcW w:w="2466" w:type="dxa"/>
            <w:vAlign w:val="center"/>
          </w:tcPr>
          <w:p>
            <w:pPr>
              <w:pStyle w:val="28"/>
            </w:pPr>
            <w:r>
              <w:t>按照上级文件要求，村均5万元标准全部拨付到村。</w:t>
            </w:r>
          </w:p>
        </w:tc>
        <w:tc>
          <w:tcPr>
            <w:tcW w:w="2466" w:type="dxa"/>
            <w:vAlign w:val="center"/>
          </w:tcPr>
          <w:p>
            <w:pPr>
              <w:pStyle w:val="28"/>
            </w:pPr>
            <w:r>
              <w:t>5万/村</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6月底前及时拨付到村。</w:t>
            </w:r>
          </w:p>
        </w:tc>
        <w:tc>
          <w:tcPr>
            <w:tcW w:w="2466" w:type="dxa"/>
            <w:vAlign w:val="center"/>
          </w:tcPr>
          <w:p>
            <w:pPr>
              <w:pStyle w:val="28"/>
            </w:pPr>
            <w:r>
              <w:t>≤6月底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严控项目成本，合理使用预算资金。</w:t>
            </w:r>
          </w:p>
        </w:tc>
        <w:tc>
          <w:tcPr>
            <w:tcW w:w="2466" w:type="dxa"/>
            <w:vAlign w:val="center"/>
          </w:tcPr>
          <w:p>
            <w:pPr>
              <w:pStyle w:val="28"/>
            </w:pPr>
            <w:r>
              <w:t>≤791万元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更好服务群众</w:t>
            </w:r>
          </w:p>
        </w:tc>
        <w:tc>
          <w:tcPr>
            <w:tcW w:w="2466" w:type="dxa"/>
            <w:vAlign w:val="center"/>
          </w:tcPr>
          <w:p>
            <w:pPr>
              <w:pStyle w:val="28"/>
            </w:pPr>
            <w:r>
              <w:t>更好保障村级组织服务群众，提升服务保障能力。</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农村群众满意率。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27、人才发展专项工作经费绩效目标表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1.做好区管拔尖人才津贴发放，按时走访慰问人才。</w:t>
            </w:r>
          </w:p>
          <w:p>
            <w:pPr>
              <w:pStyle w:val="28"/>
            </w:pPr>
            <w:r>
              <w:t>2.运营人才会客厅，做好绿卡办理、政策咨询、人才引进和服务、政策宣传工作，常态化组织开展人才活动。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人才工作经费以开展各类人才相关活动数量</w:t>
            </w:r>
          </w:p>
        </w:tc>
        <w:tc>
          <w:tcPr>
            <w:tcW w:w="2466" w:type="dxa"/>
            <w:vAlign w:val="center"/>
          </w:tcPr>
          <w:p>
            <w:pPr>
              <w:pStyle w:val="28"/>
            </w:pPr>
            <w:r>
              <w:t>举办人才培训、人才活动以及进百校次数。</w:t>
            </w:r>
          </w:p>
        </w:tc>
        <w:tc>
          <w:tcPr>
            <w:tcW w:w="2466" w:type="dxa"/>
            <w:vAlign w:val="center"/>
          </w:tcPr>
          <w:p>
            <w:pPr>
              <w:pStyle w:val="28"/>
            </w:pPr>
            <w:r>
              <w:t>≥30次</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区管拔尖人才津贴发放人数</w:t>
            </w:r>
          </w:p>
        </w:tc>
        <w:tc>
          <w:tcPr>
            <w:tcW w:w="2466" w:type="dxa"/>
            <w:vAlign w:val="center"/>
          </w:tcPr>
          <w:p>
            <w:pPr>
              <w:pStyle w:val="28"/>
            </w:pPr>
            <w:r>
              <w:t>第21批藁城区管拔尖人才人数。</w:t>
            </w:r>
          </w:p>
        </w:tc>
        <w:tc>
          <w:tcPr>
            <w:tcW w:w="2466" w:type="dxa"/>
            <w:vAlign w:val="center"/>
          </w:tcPr>
          <w:p>
            <w:pPr>
              <w:pStyle w:val="28"/>
            </w:pPr>
            <w:r>
              <w:t>≤17人</w:t>
            </w:r>
          </w:p>
        </w:tc>
        <w:tc>
          <w:tcPr>
            <w:tcW w:w="2466" w:type="dxa"/>
            <w:vAlign w:val="center"/>
          </w:tcPr>
          <w:p>
            <w:pPr>
              <w:pStyle w:val="28"/>
            </w:pPr>
            <w:r>
              <w:t>选拔人数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开展走访慰问</w:t>
            </w:r>
          </w:p>
        </w:tc>
        <w:tc>
          <w:tcPr>
            <w:tcW w:w="2466" w:type="dxa"/>
            <w:vAlign w:val="center"/>
          </w:tcPr>
          <w:p>
            <w:pPr>
              <w:pStyle w:val="28"/>
            </w:pPr>
            <w:r>
              <w:t>走访慰问专家人才数。</w:t>
            </w:r>
          </w:p>
        </w:tc>
        <w:tc>
          <w:tcPr>
            <w:tcW w:w="2466" w:type="dxa"/>
            <w:vAlign w:val="center"/>
          </w:tcPr>
          <w:p>
            <w:pPr>
              <w:pStyle w:val="28"/>
            </w:pPr>
            <w:r>
              <w:t>≥50人</w:t>
            </w:r>
          </w:p>
        </w:tc>
        <w:tc>
          <w:tcPr>
            <w:tcW w:w="2466" w:type="dxa"/>
            <w:vAlign w:val="center"/>
          </w:tcPr>
          <w:p>
            <w:pPr>
              <w:pStyle w:val="28"/>
            </w:pPr>
            <w:r>
              <w:t>实际专家人才数量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人才会客厅办公经费</w:t>
            </w:r>
          </w:p>
        </w:tc>
        <w:tc>
          <w:tcPr>
            <w:tcW w:w="2466" w:type="dxa"/>
            <w:vAlign w:val="center"/>
          </w:tcPr>
          <w:p>
            <w:pPr>
              <w:pStyle w:val="28"/>
            </w:pPr>
            <w:r>
              <w:t>办理绿卡数量，政策咨询数量，服务人才次数，政策宣传数量，人才引进数量、进百校宣讲次数等。</w:t>
            </w:r>
          </w:p>
        </w:tc>
        <w:tc>
          <w:tcPr>
            <w:tcW w:w="2466" w:type="dxa"/>
            <w:vAlign w:val="center"/>
          </w:tcPr>
          <w:p>
            <w:pPr>
              <w:pStyle w:val="28"/>
            </w:pPr>
            <w:r>
              <w:t>≥600次</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人才会客厅房屋租用面积</w:t>
            </w:r>
          </w:p>
        </w:tc>
        <w:tc>
          <w:tcPr>
            <w:tcW w:w="2466" w:type="dxa"/>
            <w:vAlign w:val="center"/>
          </w:tcPr>
          <w:p>
            <w:pPr>
              <w:pStyle w:val="28"/>
            </w:pPr>
            <w:r>
              <w:t>人才会客厅房屋租用面积。</w:t>
            </w:r>
          </w:p>
        </w:tc>
        <w:tc>
          <w:tcPr>
            <w:tcW w:w="2466" w:type="dxa"/>
            <w:vAlign w:val="center"/>
          </w:tcPr>
          <w:p>
            <w:pPr>
              <w:pStyle w:val="28"/>
            </w:pPr>
            <w:r>
              <w:t>293.54平方米</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人才工作经费以开展各类人才相关活动</w:t>
            </w:r>
          </w:p>
        </w:tc>
        <w:tc>
          <w:tcPr>
            <w:tcW w:w="2466" w:type="dxa"/>
            <w:vAlign w:val="center"/>
          </w:tcPr>
          <w:p>
            <w:pPr>
              <w:pStyle w:val="28"/>
            </w:pPr>
            <w:r>
              <w:t>活动取得显著成效的比率。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激励人才</w:t>
            </w:r>
          </w:p>
        </w:tc>
        <w:tc>
          <w:tcPr>
            <w:tcW w:w="2466" w:type="dxa"/>
            <w:vAlign w:val="center"/>
          </w:tcPr>
          <w:p>
            <w:pPr>
              <w:pStyle w:val="28"/>
            </w:pPr>
            <w:r>
              <w:t>激发人才干事创业的积极性占绿卡人数的比率。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慰问每一名专家人才</w:t>
            </w:r>
          </w:p>
        </w:tc>
        <w:tc>
          <w:tcPr>
            <w:tcW w:w="2466" w:type="dxa"/>
            <w:vAlign w:val="center"/>
          </w:tcPr>
          <w:p>
            <w:pPr>
              <w:pStyle w:val="28"/>
            </w:pPr>
            <w:r>
              <w:t>区委四大班子领导走访慰问到每个人。</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人才会客厅服务平台运营良好</w:t>
            </w:r>
          </w:p>
        </w:tc>
        <w:tc>
          <w:tcPr>
            <w:tcW w:w="2466" w:type="dxa"/>
            <w:vAlign w:val="center"/>
          </w:tcPr>
          <w:p>
            <w:pPr>
              <w:pStyle w:val="28"/>
            </w:pPr>
            <w:r>
              <w:t>人才绿卡及时办理，人才服务落实到位率。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人才会客厅后期维护、使用</w:t>
            </w:r>
          </w:p>
        </w:tc>
        <w:tc>
          <w:tcPr>
            <w:tcW w:w="2466" w:type="dxa"/>
            <w:vAlign w:val="center"/>
          </w:tcPr>
          <w:p>
            <w:pPr>
              <w:pStyle w:val="28"/>
            </w:pPr>
            <w:r>
              <w:t>后期维护、使用房屋完好率。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人才工作经费，各类活动分散到每个月开展</w:t>
            </w:r>
          </w:p>
        </w:tc>
        <w:tc>
          <w:tcPr>
            <w:tcW w:w="2466" w:type="dxa"/>
            <w:vAlign w:val="center"/>
          </w:tcPr>
          <w:p>
            <w:pPr>
              <w:pStyle w:val="28"/>
            </w:pPr>
            <w:r>
              <w:t>根据不同的时间要求开展相关活动。</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按时发放区管拔尖人才补贴</w:t>
            </w:r>
          </w:p>
        </w:tc>
        <w:tc>
          <w:tcPr>
            <w:tcW w:w="2466" w:type="dxa"/>
            <w:vAlign w:val="center"/>
          </w:tcPr>
          <w:p>
            <w:pPr>
              <w:pStyle w:val="28"/>
            </w:pPr>
            <w:r>
              <w:t>按季度发放第21批藁城区管拔尖人才补贴。</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按要求时间走访慰问专家人才</w:t>
            </w:r>
          </w:p>
        </w:tc>
        <w:tc>
          <w:tcPr>
            <w:tcW w:w="2466" w:type="dxa"/>
            <w:vAlign w:val="center"/>
          </w:tcPr>
          <w:p>
            <w:pPr>
              <w:pStyle w:val="28"/>
            </w:pPr>
            <w:r>
              <w:t>春节前区委四大班子领导走访慰问专家人才。</w:t>
            </w:r>
          </w:p>
        </w:tc>
        <w:tc>
          <w:tcPr>
            <w:tcW w:w="2466" w:type="dxa"/>
            <w:vAlign w:val="center"/>
          </w:tcPr>
          <w:p>
            <w:pPr>
              <w:pStyle w:val="28"/>
            </w:pPr>
            <w:r>
              <w:t>≤2月</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人才会客厅服务项目及时率</w:t>
            </w:r>
          </w:p>
        </w:tc>
        <w:tc>
          <w:tcPr>
            <w:tcW w:w="2466" w:type="dxa"/>
            <w:vAlign w:val="center"/>
          </w:tcPr>
          <w:p>
            <w:pPr>
              <w:pStyle w:val="28"/>
            </w:pPr>
            <w:r>
              <w:t>办理绿卡及时率，政策解答及时率，各类服务项目及时率。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按照合同租用人才会客厅</w:t>
            </w:r>
          </w:p>
        </w:tc>
        <w:tc>
          <w:tcPr>
            <w:tcW w:w="2466" w:type="dxa"/>
            <w:vAlign w:val="center"/>
          </w:tcPr>
          <w:p>
            <w:pPr>
              <w:pStyle w:val="28"/>
            </w:pPr>
            <w:r>
              <w:t>按照合同时效租用。</w:t>
            </w:r>
          </w:p>
        </w:tc>
        <w:tc>
          <w:tcPr>
            <w:tcW w:w="2466" w:type="dxa"/>
            <w:vAlign w:val="center"/>
          </w:tcPr>
          <w:p>
            <w:pPr>
              <w:pStyle w:val="28"/>
            </w:pPr>
            <w:r>
              <w:t>≤12月</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人才工作经费用来举办活动的成本</w:t>
            </w:r>
          </w:p>
        </w:tc>
        <w:tc>
          <w:tcPr>
            <w:tcW w:w="2466" w:type="dxa"/>
            <w:vAlign w:val="center"/>
          </w:tcPr>
          <w:p>
            <w:pPr>
              <w:pStyle w:val="28"/>
            </w:pPr>
            <w:r>
              <w:t>举办相关活动所需金额。</w:t>
            </w:r>
          </w:p>
        </w:tc>
        <w:tc>
          <w:tcPr>
            <w:tcW w:w="2466" w:type="dxa"/>
            <w:vAlign w:val="center"/>
          </w:tcPr>
          <w:p>
            <w:pPr>
              <w:pStyle w:val="28"/>
            </w:pPr>
            <w:r>
              <w:t>≥50000元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区管拔尖人才津贴按项目预算执行</w:t>
            </w:r>
          </w:p>
        </w:tc>
        <w:tc>
          <w:tcPr>
            <w:tcW w:w="2466" w:type="dxa"/>
            <w:vAlign w:val="center"/>
          </w:tcPr>
          <w:p>
            <w:pPr>
              <w:pStyle w:val="28"/>
            </w:pPr>
            <w:r>
              <w:t>按照项目预算每季度发放拔尖人才津贴。</w:t>
            </w:r>
          </w:p>
        </w:tc>
        <w:tc>
          <w:tcPr>
            <w:tcW w:w="2466" w:type="dxa"/>
            <w:vAlign w:val="center"/>
          </w:tcPr>
          <w:p>
            <w:pPr>
              <w:pStyle w:val="28"/>
            </w:pPr>
            <w:r>
              <w:t>102000元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走访慰问专家人才资金</w:t>
            </w:r>
          </w:p>
        </w:tc>
        <w:tc>
          <w:tcPr>
            <w:tcW w:w="2466" w:type="dxa"/>
            <w:vAlign w:val="center"/>
          </w:tcPr>
          <w:p>
            <w:pPr>
              <w:pStyle w:val="28"/>
            </w:pPr>
            <w:r>
              <w:t>慰问资金数量。</w:t>
            </w:r>
          </w:p>
        </w:tc>
        <w:tc>
          <w:tcPr>
            <w:tcW w:w="2466" w:type="dxa"/>
            <w:vAlign w:val="center"/>
          </w:tcPr>
          <w:p>
            <w:pPr>
              <w:pStyle w:val="28"/>
            </w:pPr>
            <w:r>
              <w:t>≥65000元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办公经费</w:t>
            </w:r>
          </w:p>
        </w:tc>
        <w:tc>
          <w:tcPr>
            <w:tcW w:w="2466" w:type="dxa"/>
            <w:vAlign w:val="center"/>
          </w:tcPr>
          <w:p>
            <w:pPr>
              <w:pStyle w:val="28"/>
            </w:pPr>
            <w:r>
              <w:t>设备运行及人才服务方面各项费用。</w:t>
            </w:r>
          </w:p>
        </w:tc>
        <w:tc>
          <w:tcPr>
            <w:tcW w:w="2466" w:type="dxa"/>
            <w:vAlign w:val="center"/>
          </w:tcPr>
          <w:p>
            <w:pPr>
              <w:pStyle w:val="28"/>
            </w:pPr>
            <w:r>
              <w:t>≥150000元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会客厅租金</w:t>
            </w:r>
          </w:p>
        </w:tc>
        <w:tc>
          <w:tcPr>
            <w:tcW w:w="2466" w:type="dxa"/>
            <w:vAlign w:val="center"/>
          </w:tcPr>
          <w:p>
            <w:pPr>
              <w:pStyle w:val="28"/>
            </w:pPr>
            <w:r>
              <w:t>会客厅实际租金。</w:t>
            </w:r>
          </w:p>
        </w:tc>
        <w:tc>
          <w:tcPr>
            <w:tcW w:w="2466" w:type="dxa"/>
            <w:vAlign w:val="center"/>
          </w:tcPr>
          <w:p>
            <w:pPr>
              <w:pStyle w:val="28"/>
            </w:pPr>
            <w:r>
              <w:t>250000元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营造人才良好生态系统</w:t>
            </w:r>
          </w:p>
        </w:tc>
        <w:tc>
          <w:tcPr>
            <w:tcW w:w="2466" w:type="dxa"/>
            <w:vAlign w:val="center"/>
          </w:tcPr>
          <w:p>
            <w:pPr>
              <w:pStyle w:val="28"/>
            </w:pPr>
            <w:r>
              <w:t>让各类人才创新创造活力竞相迸发、聪明才智充分涌流，形成人才近悦远来良好生态。</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人才满意度</w:t>
            </w:r>
          </w:p>
        </w:tc>
        <w:tc>
          <w:tcPr>
            <w:tcW w:w="2466" w:type="dxa"/>
            <w:vAlign w:val="center"/>
          </w:tcPr>
          <w:p>
            <w:pPr>
              <w:pStyle w:val="28"/>
            </w:pPr>
            <w:r>
              <w:t>人才及服务对象满意程度。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28、社区工作经费绩效目标表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1.向各社区发放社区工作经费。</w:t>
            </w:r>
          </w:p>
          <w:p>
            <w:pPr>
              <w:pStyle w:val="28"/>
            </w:pPr>
            <w:r>
              <w:t>2.保障社区日常运转和党建方面的开支。</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覆盖全区所有社区</w:t>
            </w:r>
          </w:p>
        </w:tc>
        <w:tc>
          <w:tcPr>
            <w:tcW w:w="2466" w:type="dxa"/>
            <w:vAlign w:val="center"/>
          </w:tcPr>
          <w:p>
            <w:pPr>
              <w:pStyle w:val="28"/>
            </w:pPr>
            <w:r>
              <w:t>保障每个社区服务群众的必要支出。</w:t>
            </w:r>
          </w:p>
        </w:tc>
        <w:tc>
          <w:tcPr>
            <w:tcW w:w="2466" w:type="dxa"/>
            <w:vAlign w:val="center"/>
          </w:tcPr>
          <w:p>
            <w:pPr>
              <w:pStyle w:val="28"/>
            </w:pPr>
            <w:r>
              <w:t>12个</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w:t>
            </w:r>
          </w:p>
        </w:tc>
        <w:tc>
          <w:tcPr>
            <w:tcW w:w="2466" w:type="dxa"/>
            <w:vAlign w:val="center"/>
          </w:tcPr>
          <w:p>
            <w:pPr>
              <w:pStyle w:val="28"/>
            </w:pPr>
            <w:r>
              <w:t>按照上级文件要求，社区均10万元标准全部拨付到社区。</w:t>
            </w:r>
          </w:p>
        </w:tc>
        <w:tc>
          <w:tcPr>
            <w:tcW w:w="2466" w:type="dxa"/>
            <w:vAlign w:val="center"/>
          </w:tcPr>
          <w:p>
            <w:pPr>
              <w:pStyle w:val="28"/>
            </w:pPr>
            <w:r>
              <w:t>120万</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6月底前拨付到社区。</w:t>
            </w:r>
          </w:p>
        </w:tc>
        <w:tc>
          <w:tcPr>
            <w:tcW w:w="2466" w:type="dxa"/>
            <w:vAlign w:val="center"/>
          </w:tcPr>
          <w:p>
            <w:pPr>
              <w:pStyle w:val="28"/>
            </w:pPr>
            <w:r>
              <w:t>≤6月</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严控预算成本</w:t>
            </w:r>
          </w:p>
        </w:tc>
        <w:tc>
          <w:tcPr>
            <w:tcW w:w="2466" w:type="dxa"/>
            <w:vAlign w:val="center"/>
          </w:tcPr>
          <w:p>
            <w:pPr>
              <w:pStyle w:val="28"/>
            </w:pPr>
            <w:r>
              <w:t>按照标准执行，合理使用预算经费</w:t>
            </w:r>
          </w:p>
        </w:tc>
        <w:tc>
          <w:tcPr>
            <w:tcW w:w="2466" w:type="dxa"/>
            <w:vAlign w:val="center"/>
          </w:tcPr>
          <w:p>
            <w:pPr>
              <w:pStyle w:val="28"/>
            </w:pPr>
            <w:r>
              <w:t>≤120万元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服务群众</w:t>
            </w:r>
          </w:p>
        </w:tc>
        <w:tc>
          <w:tcPr>
            <w:tcW w:w="2466" w:type="dxa"/>
            <w:vAlign w:val="center"/>
          </w:tcPr>
          <w:p>
            <w:pPr>
              <w:pStyle w:val="28"/>
            </w:pPr>
            <w:r>
              <w:t>保障社区组织服务群众，提升服务保障能力。</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社区群众满意率。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29、石财行[2020]51号关于提前下达2021年度下派选调生到村工作中央财政补助资金的通知（省级下派选调生到村工作中央财政补助资金）绩效目标表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1.按要求组织开展国情调研，组织到村任职选调生多参与化解复杂矛盾和问题。</w:t>
            </w:r>
          </w:p>
          <w:p>
            <w:pPr>
              <w:pStyle w:val="28"/>
            </w:pPr>
            <w:r>
              <w:t>2.让到村任职大学生村官在基层真正经受时间锻炼，更好发挥作用。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30、石财行[2020]52号关于提前下达2021年选聘高校毕业生到村任职（选聘高校毕业生到村任职中央补助资金）绩效目标表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1.要求组织开展国情调研，组织到村任职选调生多参与化解复杂矛盾和问题。</w:t>
            </w:r>
          </w:p>
          <w:p>
            <w:pPr>
              <w:pStyle w:val="28"/>
            </w:pPr>
            <w:r>
              <w:t>2.让到村任职大学生村官在基层真正经受时间锻炼，更好发挥作用。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31、石财行[2021]45号关于结算下达2021年选调生到村工作中央财政补助资金的通知绩效目标表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1.按要求组织开展国情调研，组织到村任职选调生多参与化解复杂矛盾和问题。</w:t>
            </w:r>
          </w:p>
          <w:p>
            <w:pPr>
              <w:pStyle w:val="28"/>
            </w:pPr>
            <w:r>
              <w:t>2.让到村任职大学生村官在基层真正经受时间锻炼，更好发挥作用。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32、石财行[2021]46号石家庄市财政局关于结算下达到村任职高校毕业生中央财政补助资金的通知绩效目标表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1.按要求组织开展国情调研，组织到村任职选调生多参与化解复杂矛盾和问题。</w:t>
            </w:r>
          </w:p>
          <w:p>
            <w:pPr>
              <w:pStyle w:val="28"/>
            </w:pPr>
            <w:r>
              <w:t>2.让到村任职大学生村官在基层真正经受时间锻炼，更好发挥作用。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33、石财行[2021]47号关于提前下达2022年度下派选调生到村工作中央财政补助资金的通知绩效目标表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1.加强对到村任职选调生的教育培训，按要求组织开展国情调研，组织到村任职选调生多参与化解复杂矛盾和问题，让到村任职大学生村官在基层真正经受时间锻炼，更好发挥作用。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≤11月底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34、石财行[2021]51号关于下达2021年老党员生活补贴实际补助资金的通知绩效目标表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1.落实好建国前入党的农村老党员和未享受离退休待遇的城镇老党员生活补贴发放。</w:t>
            </w:r>
          </w:p>
          <w:p>
            <w:pPr>
              <w:pStyle w:val="28"/>
            </w:pPr>
            <w:r>
              <w:t>2.让老党员安度晚年。</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老党员人数</w:t>
            </w:r>
          </w:p>
        </w:tc>
        <w:tc>
          <w:tcPr>
            <w:tcW w:w="2466" w:type="dxa"/>
            <w:vAlign w:val="center"/>
          </w:tcPr>
          <w:p>
            <w:pPr>
              <w:pStyle w:val="28"/>
            </w:pPr>
            <w:r>
              <w:t>享受老党员生活补贴人数44人。</w:t>
            </w:r>
          </w:p>
        </w:tc>
        <w:tc>
          <w:tcPr>
            <w:tcW w:w="2466" w:type="dxa"/>
            <w:vAlign w:val="center"/>
          </w:tcPr>
          <w:p>
            <w:pPr>
              <w:pStyle w:val="28"/>
            </w:pPr>
            <w:r>
              <w:t>44人</w:t>
            </w:r>
          </w:p>
        </w:tc>
        <w:tc>
          <w:tcPr>
            <w:tcW w:w="2466" w:type="dxa"/>
            <w:vAlign w:val="center"/>
          </w:tcPr>
          <w:p>
            <w:pPr>
              <w:pStyle w:val="28"/>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生活补贴发放率</w:t>
            </w:r>
          </w:p>
        </w:tc>
        <w:tc>
          <w:tcPr>
            <w:tcW w:w="2466" w:type="dxa"/>
            <w:vAlign w:val="center"/>
          </w:tcPr>
          <w:p>
            <w:pPr>
              <w:pStyle w:val="28"/>
            </w:pPr>
            <w:r>
              <w:t>实际发放老党员生活补贴人数占应发放人数比率。</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按照上级通知要求分两次发放。</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按照上级文件要求金额发放。</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生活改善率</w:t>
            </w:r>
          </w:p>
        </w:tc>
        <w:tc>
          <w:tcPr>
            <w:tcW w:w="2466" w:type="dxa"/>
            <w:vAlign w:val="center"/>
          </w:tcPr>
          <w:p>
            <w:pPr>
              <w:pStyle w:val="28"/>
            </w:pPr>
            <w:r>
              <w:t>领取补贴老党员日常生活改善比率。</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领取补贴老党员满意率。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35、石财预[2021]47号石家庄市财政局关于提前下达2022年均衡性转移支付的通知（中央）村干部基本补贴绩效目标表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1.按时足额发放，保障基本生活。</w:t>
            </w:r>
          </w:p>
          <w:p>
            <w:pPr>
              <w:pStyle w:val="28"/>
            </w:pPr>
            <w:r>
              <w:t>2.激发“两委”干部工作积极性。</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覆盖人数</w:t>
            </w:r>
          </w:p>
        </w:tc>
        <w:tc>
          <w:tcPr>
            <w:tcW w:w="2466" w:type="dxa"/>
            <w:vAlign w:val="center"/>
          </w:tcPr>
          <w:p>
            <w:pPr>
              <w:pStyle w:val="28"/>
            </w:pPr>
            <w:r>
              <w:t>发放基本补贴的人数。</w:t>
            </w:r>
          </w:p>
        </w:tc>
        <w:tc>
          <w:tcPr>
            <w:tcW w:w="2466" w:type="dxa"/>
            <w:vAlign w:val="center"/>
          </w:tcPr>
          <w:p>
            <w:pPr>
              <w:pStyle w:val="28"/>
            </w:pPr>
            <w:r>
              <w:t>1230人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工资发放率</w:t>
            </w:r>
          </w:p>
        </w:tc>
        <w:tc>
          <w:tcPr>
            <w:tcW w:w="2466" w:type="dxa"/>
            <w:vAlign w:val="center"/>
          </w:tcPr>
          <w:p>
            <w:pPr>
              <w:pStyle w:val="28"/>
            </w:pPr>
            <w:r>
              <w:t>实际发放基本补贴人数占应发放人数比率。</w:t>
            </w:r>
          </w:p>
        </w:tc>
        <w:tc>
          <w:tcPr>
            <w:tcW w:w="2466" w:type="dxa"/>
            <w:vAlign w:val="center"/>
          </w:tcPr>
          <w:p>
            <w:pPr>
              <w:pStyle w:val="28"/>
            </w:pPr>
            <w:r>
              <w:t>100%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发放及时率</w:t>
            </w:r>
          </w:p>
        </w:tc>
        <w:tc>
          <w:tcPr>
            <w:tcW w:w="2466" w:type="dxa"/>
            <w:vAlign w:val="center"/>
          </w:tcPr>
          <w:p>
            <w:pPr>
              <w:pStyle w:val="28"/>
            </w:pPr>
            <w:r>
              <w:t>定期发放村干部基本补贴。</w:t>
            </w:r>
          </w:p>
        </w:tc>
        <w:tc>
          <w:tcPr>
            <w:tcW w:w="2466" w:type="dxa"/>
            <w:vAlign w:val="center"/>
          </w:tcPr>
          <w:p>
            <w:pPr>
              <w:pStyle w:val="28"/>
            </w:pPr>
            <w:r>
              <w:t>按月发放基础职务补贴</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严控预算成本</w:t>
            </w:r>
          </w:p>
        </w:tc>
        <w:tc>
          <w:tcPr>
            <w:tcW w:w="2466" w:type="dxa"/>
            <w:vAlign w:val="center"/>
          </w:tcPr>
          <w:p>
            <w:pPr>
              <w:pStyle w:val="28"/>
            </w:pPr>
            <w:r>
              <w:t>按照标准执行，合理使用预算经费</w:t>
            </w:r>
          </w:p>
        </w:tc>
        <w:tc>
          <w:tcPr>
            <w:tcW w:w="2466" w:type="dxa"/>
            <w:vAlign w:val="center"/>
          </w:tcPr>
          <w:p>
            <w:pPr>
              <w:pStyle w:val="28"/>
            </w:pPr>
            <w:r>
              <w:t>≤712万元</w:t>
            </w:r>
          </w:p>
        </w:tc>
        <w:tc>
          <w:tcPr>
            <w:tcW w:w="2466" w:type="dxa"/>
            <w:vAlign w:val="center"/>
          </w:tcPr>
          <w:p>
            <w:pPr>
              <w:pStyle w:val="28"/>
            </w:pPr>
            <w:r>
              <w:t xml:space="preserve">预算编制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开展工作情况</w:t>
            </w:r>
          </w:p>
        </w:tc>
        <w:tc>
          <w:tcPr>
            <w:tcW w:w="2466" w:type="dxa"/>
            <w:vAlign w:val="center"/>
          </w:tcPr>
          <w:p>
            <w:pPr>
              <w:pStyle w:val="28"/>
            </w:pPr>
            <w:r>
              <w:t>“两委”干部正常开展工作。</w:t>
            </w:r>
          </w:p>
        </w:tc>
        <w:tc>
          <w:tcPr>
            <w:tcW w:w="2466" w:type="dxa"/>
            <w:vAlign w:val="center"/>
          </w:tcPr>
          <w:p>
            <w:pPr>
              <w:pStyle w:val="28"/>
            </w:pPr>
            <w:r>
              <w:t>正常开展工作</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36、石财预[2021]47号石家庄市财政局关于提前下达2022年均衡性转移支付的通知（中央）服务群众专项经费绩效目标表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1.向各乡镇（区）发放服务群众专项经费。</w:t>
            </w:r>
          </w:p>
          <w:p>
            <w:pPr>
              <w:pStyle w:val="28"/>
            </w:pPr>
            <w:r>
              <w:t>2.保障村综合服务站正常运转、公共设施维护、公共卫生防疫、村内治安、服务群众生产生活的临时用工等方面开支。</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覆盖全区所有村</w:t>
            </w:r>
          </w:p>
        </w:tc>
        <w:tc>
          <w:tcPr>
            <w:tcW w:w="2466" w:type="dxa"/>
            <w:vAlign w:val="center"/>
          </w:tcPr>
          <w:p>
            <w:pPr>
              <w:pStyle w:val="28"/>
            </w:pPr>
            <w:r>
              <w:t>保障226个村的村级组织服务群众的必要支出。</w:t>
            </w:r>
          </w:p>
        </w:tc>
        <w:tc>
          <w:tcPr>
            <w:tcW w:w="2466" w:type="dxa"/>
            <w:vAlign w:val="center"/>
          </w:tcPr>
          <w:p>
            <w:pPr>
              <w:pStyle w:val="28"/>
            </w:pPr>
            <w:r>
              <w:t>226个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足额拨付到村</w:t>
            </w:r>
          </w:p>
        </w:tc>
        <w:tc>
          <w:tcPr>
            <w:tcW w:w="2466" w:type="dxa"/>
            <w:vAlign w:val="center"/>
          </w:tcPr>
          <w:p>
            <w:pPr>
              <w:pStyle w:val="28"/>
            </w:pPr>
            <w:r>
              <w:t>按照上级文件要求，村均5万元标准全部拨付到村。</w:t>
            </w:r>
          </w:p>
        </w:tc>
        <w:tc>
          <w:tcPr>
            <w:tcW w:w="2466" w:type="dxa"/>
            <w:vAlign w:val="center"/>
          </w:tcPr>
          <w:p>
            <w:pPr>
              <w:pStyle w:val="28"/>
            </w:pPr>
            <w:r>
              <w:t>5万/村</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6月底前及时拨付到村。</w:t>
            </w:r>
          </w:p>
        </w:tc>
        <w:tc>
          <w:tcPr>
            <w:tcW w:w="2466" w:type="dxa"/>
            <w:vAlign w:val="center"/>
          </w:tcPr>
          <w:p>
            <w:pPr>
              <w:pStyle w:val="28"/>
            </w:pPr>
            <w:r>
              <w:t>≤6月底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严控项目成本，合理使用预算资金。</w:t>
            </w:r>
          </w:p>
        </w:tc>
        <w:tc>
          <w:tcPr>
            <w:tcW w:w="2466" w:type="dxa"/>
            <w:vAlign w:val="center"/>
          </w:tcPr>
          <w:p>
            <w:pPr>
              <w:pStyle w:val="28"/>
            </w:pPr>
            <w:r>
              <w:t>≤791万元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更好服务群众</w:t>
            </w:r>
          </w:p>
        </w:tc>
        <w:tc>
          <w:tcPr>
            <w:tcW w:w="2466" w:type="dxa"/>
            <w:vAlign w:val="center"/>
          </w:tcPr>
          <w:p>
            <w:pPr>
              <w:pStyle w:val="28"/>
            </w:pPr>
            <w:r>
              <w:t>更好保障村级组织服务群众，提升服务保障能力。</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农村群众满意率。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37、选调生到村任职补助绩效目标表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1.加强对到村任职选调生的教育培训，按要求组织开展国情调研。</w:t>
            </w:r>
          </w:p>
          <w:p>
            <w:pPr>
              <w:pStyle w:val="28"/>
            </w:pPr>
            <w:r>
              <w:t>2.组织到村任职选调生多参与化解复杂矛盾和问题，让到村任职大学生村官在基层真正经受时间锻炼，更好发挥作用。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≤11月底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38、正常离任干部生活补贴绩效目标表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1.按时足额发放离任生活补贴。</w:t>
            </w:r>
          </w:p>
          <w:p>
            <w:pPr>
              <w:pStyle w:val="28"/>
            </w:pPr>
            <w:r>
              <w:t>2.为农村稳定发展贡献力量。</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发放覆盖人数</w:t>
            </w:r>
          </w:p>
        </w:tc>
        <w:tc>
          <w:tcPr>
            <w:tcW w:w="2466" w:type="dxa"/>
            <w:vAlign w:val="center"/>
          </w:tcPr>
          <w:p>
            <w:pPr>
              <w:pStyle w:val="28"/>
            </w:pPr>
            <w:r>
              <w:t>确保符合条件离任村干部均能领取到离任补贴。</w:t>
            </w:r>
          </w:p>
        </w:tc>
        <w:tc>
          <w:tcPr>
            <w:tcW w:w="2466" w:type="dxa"/>
            <w:vAlign w:val="center"/>
          </w:tcPr>
          <w:p>
            <w:pPr>
              <w:pStyle w:val="28"/>
            </w:pPr>
            <w:r>
              <w:t>≥620人</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补贴到位率</w:t>
            </w:r>
          </w:p>
        </w:tc>
        <w:tc>
          <w:tcPr>
            <w:tcW w:w="2466" w:type="dxa"/>
            <w:vAlign w:val="center"/>
          </w:tcPr>
          <w:p>
            <w:pPr>
              <w:pStyle w:val="28"/>
            </w:pPr>
            <w:r>
              <w:t>实际领取离任支部书记（村主任）人数占应领补贴人数比例。</w:t>
            </w:r>
          </w:p>
        </w:tc>
        <w:tc>
          <w:tcPr>
            <w:tcW w:w="2466" w:type="dxa"/>
            <w:vAlign w:val="center"/>
          </w:tcPr>
          <w:p>
            <w:pPr>
              <w:pStyle w:val="28"/>
            </w:pPr>
            <w:r>
              <w:t>100%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6底前经乡镇拨付到离任干部手中。</w:t>
            </w:r>
          </w:p>
        </w:tc>
        <w:tc>
          <w:tcPr>
            <w:tcW w:w="2466" w:type="dxa"/>
            <w:vAlign w:val="center"/>
          </w:tcPr>
          <w:p>
            <w:pPr>
              <w:pStyle w:val="28"/>
            </w:pPr>
            <w:r>
              <w:t>≤6月底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项目预算成本</w:t>
            </w:r>
          </w:p>
        </w:tc>
        <w:tc>
          <w:tcPr>
            <w:tcW w:w="2466" w:type="dxa"/>
            <w:vAlign w:val="center"/>
          </w:tcPr>
          <w:p>
            <w:pPr>
              <w:pStyle w:val="28"/>
            </w:pPr>
            <w:r>
              <w:t>按照文件规定发放，合理使用预算经费。</w:t>
            </w:r>
          </w:p>
        </w:tc>
        <w:tc>
          <w:tcPr>
            <w:tcW w:w="2466" w:type="dxa"/>
            <w:vAlign w:val="center"/>
          </w:tcPr>
          <w:p>
            <w:pPr>
              <w:pStyle w:val="28"/>
            </w:pPr>
            <w:r>
              <w:t>≤275万元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开展工作情况</w:t>
            </w:r>
          </w:p>
        </w:tc>
        <w:tc>
          <w:tcPr>
            <w:tcW w:w="2466" w:type="dxa"/>
            <w:vAlign w:val="center"/>
          </w:tcPr>
          <w:p>
            <w:pPr>
              <w:pStyle w:val="28"/>
            </w:pPr>
            <w:r>
              <w:t>离任村干部支持村级工作。</w:t>
            </w:r>
          </w:p>
        </w:tc>
        <w:tc>
          <w:tcPr>
            <w:tcW w:w="2466" w:type="dxa"/>
            <w:vAlign w:val="center"/>
          </w:tcPr>
          <w:p>
            <w:pPr>
              <w:pStyle w:val="28"/>
            </w:pPr>
            <w:r>
              <w:t>离任村干部支持村“两委”工作</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39、藁城区支持科技创新和人才引进培养政策18条奖励资金绩效目标表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1.按照《藁城区支持科技创新和人才引进培养政策18条》要求，对符合条件的人才做好奖励基金发放工作。</w:t>
            </w:r>
          </w:p>
          <w:p>
            <w:pPr>
              <w:pStyle w:val="28"/>
            </w:pPr>
            <w:r>
              <w:t>2.按照《藁城区支持科技创新和人才引进培养政策18条》要求，对符合条件的用人单位做好奖励基金发放工作。</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发放金额</w:t>
            </w:r>
          </w:p>
        </w:tc>
        <w:tc>
          <w:tcPr>
            <w:tcW w:w="2466" w:type="dxa"/>
            <w:vAlign w:val="center"/>
          </w:tcPr>
          <w:p>
            <w:pPr>
              <w:pStyle w:val="28"/>
            </w:pPr>
            <w:r>
              <w:t>区财政安排奖励资金总数。</w:t>
            </w:r>
          </w:p>
        </w:tc>
        <w:tc>
          <w:tcPr>
            <w:tcW w:w="2466" w:type="dxa"/>
            <w:vAlign w:val="center"/>
          </w:tcPr>
          <w:p>
            <w:pPr>
              <w:pStyle w:val="28"/>
            </w:pPr>
            <w:r>
              <w:t>100万元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激励用人单位和人才</w:t>
            </w:r>
          </w:p>
        </w:tc>
        <w:tc>
          <w:tcPr>
            <w:tcW w:w="2466" w:type="dxa"/>
            <w:vAlign w:val="center"/>
          </w:tcPr>
          <w:p>
            <w:pPr>
              <w:pStyle w:val="28"/>
            </w:pPr>
            <w:r>
              <w:t>受鼓励企业和获得奖励人才引领导科技创新、提高干事创业的积极性比率。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按时发放奖励基金</w:t>
            </w:r>
          </w:p>
        </w:tc>
        <w:tc>
          <w:tcPr>
            <w:tcW w:w="2466" w:type="dxa"/>
            <w:vAlign w:val="center"/>
          </w:tcPr>
          <w:p>
            <w:pPr>
              <w:pStyle w:val="28"/>
            </w:pPr>
            <w:r>
              <w:t>按年度发放。</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按照项目预算每年度发放奖励资金占应发放比率。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加强战略人才力量</w:t>
            </w:r>
          </w:p>
        </w:tc>
        <w:tc>
          <w:tcPr>
            <w:tcW w:w="2466" w:type="dxa"/>
            <w:vAlign w:val="center"/>
          </w:tcPr>
          <w:p>
            <w:pPr>
              <w:pStyle w:val="28"/>
            </w:pPr>
            <w:r>
              <w:t>引进科技领军人才和创新团队，打造一流科技创新高地。</w:t>
            </w:r>
          </w:p>
        </w:tc>
        <w:tc>
          <w:tcPr>
            <w:tcW w:w="2466" w:type="dxa"/>
            <w:vAlign w:val="center"/>
          </w:tcPr>
          <w:p>
            <w:pPr>
              <w:pStyle w:val="28"/>
            </w:pPr>
            <w:r>
              <w:t>≥90%</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企业及高层次人才满意度</w:t>
            </w:r>
          </w:p>
        </w:tc>
        <w:tc>
          <w:tcPr>
            <w:tcW w:w="2466" w:type="dxa"/>
            <w:vAlign w:val="center"/>
          </w:tcPr>
          <w:p>
            <w:pPr>
              <w:pStyle w:val="28"/>
            </w:pPr>
            <w:r>
              <w:t>企业及优秀人才平均满意度。</w:t>
            </w:r>
          </w:p>
        </w:tc>
        <w:tc>
          <w:tcPr>
            <w:tcW w:w="2466" w:type="dxa"/>
            <w:vAlign w:val="center"/>
          </w:tcPr>
          <w:p>
            <w:pPr>
              <w:pStyle w:val="28"/>
            </w:pPr>
            <w:r>
              <w:t>≥80%</w:t>
            </w:r>
          </w:p>
        </w:tc>
        <w:tc>
          <w:tcPr>
            <w:tcW w:w="2466" w:type="dxa"/>
            <w:vAlign w:val="center"/>
          </w:tcPr>
          <w:p>
            <w:pPr>
              <w:pStyle w:val="28"/>
            </w:pPr>
            <w:r>
              <w:t>满意度调查</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2022年，中国共产党石家庄市藁城区委员会组织部安排政府采购预算8.41万元。具体内容见下表。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8.41</w:t>
            </w:r>
          </w:p>
        </w:tc>
        <w:tc>
          <w:tcPr>
            <w:tcW w:w="924" w:type="dxa"/>
            <w:vAlign w:val="center"/>
          </w:tcPr>
          <w:p>
            <w:pPr>
              <w:pStyle w:val="17"/>
            </w:pPr>
            <w:r>
              <w:t>8.41</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中国共产党石家庄市藁城区委员会组织部本级小计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8.41</w:t>
            </w:r>
          </w:p>
        </w:tc>
        <w:tc>
          <w:tcPr>
            <w:tcW w:w="924" w:type="dxa"/>
            <w:vAlign w:val="center"/>
          </w:tcPr>
          <w:p>
            <w:pPr>
              <w:pStyle w:val="17"/>
            </w:pPr>
            <w:r>
              <w:t>8.41</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大组工网、干部档案信息管理系统运维费</w:t>
            </w:r>
          </w:p>
        </w:tc>
        <w:tc>
          <w:tcPr>
            <w:tcW w:w="924" w:type="dxa"/>
            <w:vAlign w:val="center"/>
          </w:tcPr>
          <w:p>
            <w:pPr>
              <w:pStyle w:val="13"/>
            </w:pPr>
            <w:r>
              <w:t>3.05</w:t>
            </w:r>
          </w:p>
        </w:tc>
        <w:tc>
          <w:tcPr>
            <w:tcW w:w="924" w:type="dxa"/>
            <w:vAlign w:val="center"/>
          </w:tcPr>
          <w:p>
            <w:pPr>
              <w:pStyle w:val="14"/>
            </w:pPr>
            <w:r>
              <w:t>其他运行维护服务</w:t>
            </w:r>
          </w:p>
        </w:tc>
        <w:tc>
          <w:tcPr>
            <w:tcW w:w="924" w:type="dxa"/>
            <w:vAlign w:val="center"/>
          </w:tcPr>
          <w:p>
            <w:pPr>
              <w:pStyle w:val="14"/>
            </w:pPr>
            <w:r>
              <w:t>C020699</w:t>
            </w:r>
          </w:p>
        </w:tc>
        <w:tc>
          <w:tcPr>
            <w:tcW w:w="924" w:type="dxa"/>
            <w:vAlign w:val="center"/>
          </w:tcPr>
          <w:p>
            <w:pPr>
              <w:pStyle w:val="15"/>
            </w:pPr>
            <w:r>
              <w:t>次</w:t>
            </w:r>
          </w:p>
        </w:tc>
        <w:tc>
          <w:tcPr>
            <w:tcW w:w="924" w:type="dxa"/>
            <w:vAlign w:val="center"/>
          </w:tcPr>
          <w:p>
            <w:pPr>
              <w:pStyle w:val="13"/>
            </w:pPr>
            <w:r>
              <w:t>1</w:t>
            </w:r>
          </w:p>
        </w:tc>
        <w:tc>
          <w:tcPr>
            <w:tcW w:w="924" w:type="dxa"/>
            <w:vAlign w:val="center"/>
          </w:tcPr>
          <w:p>
            <w:pPr>
              <w:pStyle w:val="13"/>
            </w:pPr>
            <w:r>
              <w:t>2.05</w:t>
            </w:r>
          </w:p>
        </w:tc>
        <w:tc>
          <w:tcPr>
            <w:tcW w:w="924" w:type="dxa"/>
            <w:vAlign w:val="center"/>
          </w:tcPr>
          <w:p>
            <w:pPr>
              <w:pStyle w:val="13"/>
            </w:pPr>
            <w:r>
              <w:t>2.05</w:t>
            </w:r>
          </w:p>
        </w:tc>
        <w:tc>
          <w:tcPr>
            <w:tcW w:w="924" w:type="dxa"/>
            <w:vAlign w:val="center"/>
          </w:tcPr>
          <w:p>
            <w:pPr>
              <w:pStyle w:val="13"/>
            </w:pPr>
            <w:r>
              <w:t>2.05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党员干部远程教育基层站点运行费</w:t>
            </w:r>
          </w:p>
        </w:tc>
        <w:tc>
          <w:tcPr>
            <w:tcW w:w="924" w:type="dxa"/>
            <w:vAlign w:val="center"/>
          </w:tcPr>
          <w:p>
            <w:pPr>
              <w:pStyle w:val="13"/>
            </w:pPr>
            <w:r>
              <w:t>4.86</w:t>
            </w:r>
          </w:p>
        </w:tc>
        <w:tc>
          <w:tcPr>
            <w:tcW w:w="924" w:type="dxa"/>
            <w:vAlign w:val="center"/>
          </w:tcPr>
          <w:p>
            <w:pPr>
              <w:pStyle w:val="14"/>
            </w:pPr>
            <w:r>
              <w:t>增值电信服务</w:t>
            </w:r>
          </w:p>
        </w:tc>
        <w:tc>
          <w:tcPr>
            <w:tcW w:w="924" w:type="dxa"/>
            <w:vAlign w:val="center"/>
          </w:tcPr>
          <w:p>
            <w:pPr>
              <w:pStyle w:val="14"/>
            </w:pPr>
            <w:r>
              <w:t>C030102</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4.86</w:t>
            </w:r>
          </w:p>
        </w:tc>
        <w:tc>
          <w:tcPr>
            <w:tcW w:w="924" w:type="dxa"/>
            <w:vAlign w:val="center"/>
          </w:tcPr>
          <w:p>
            <w:pPr>
              <w:pStyle w:val="13"/>
            </w:pPr>
            <w:r>
              <w:t>4.86</w:t>
            </w:r>
          </w:p>
        </w:tc>
        <w:tc>
          <w:tcPr>
            <w:tcW w:w="924" w:type="dxa"/>
            <w:vAlign w:val="center"/>
          </w:tcPr>
          <w:p>
            <w:pPr>
              <w:pStyle w:val="13"/>
            </w:pPr>
            <w:r>
              <w:t>4.86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人才发展专项工作经费</w:t>
            </w:r>
          </w:p>
        </w:tc>
        <w:tc>
          <w:tcPr>
            <w:tcW w:w="924" w:type="dxa"/>
            <w:vAlign w:val="center"/>
          </w:tcPr>
          <w:p>
            <w:pPr>
              <w:pStyle w:val="13"/>
            </w:pPr>
            <w:r>
              <w:t>61.70</w:t>
            </w:r>
          </w:p>
        </w:tc>
        <w:tc>
          <w:tcPr>
            <w:tcW w:w="924" w:type="dxa"/>
            <w:vAlign w:val="center"/>
          </w:tcPr>
          <w:p>
            <w:pPr>
              <w:pStyle w:val="14"/>
            </w:pPr>
            <w:r>
              <w:t>物业管理服务</w:t>
            </w:r>
          </w:p>
        </w:tc>
        <w:tc>
          <w:tcPr>
            <w:tcW w:w="924" w:type="dxa"/>
            <w:vAlign w:val="center"/>
          </w:tcPr>
          <w:p>
            <w:pPr>
              <w:pStyle w:val="14"/>
            </w:pPr>
            <w:r>
              <w:t>C1204</w:t>
            </w:r>
          </w:p>
        </w:tc>
        <w:tc>
          <w:tcPr>
            <w:tcW w:w="924" w:type="dxa"/>
            <w:vAlign w:val="center"/>
          </w:tcPr>
          <w:p>
            <w:pPr>
              <w:pStyle w:val="15"/>
            </w:pPr>
            <w:r>
              <w:t>平方米</w:t>
            </w:r>
          </w:p>
        </w:tc>
        <w:tc>
          <w:tcPr>
            <w:tcW w:w="924" w:type="dxa"/>
            <w:vAlign w:val="center"/>
          </w:tcPr>
          <w:p>
            <w:pPr>
              <w:pStyle w:val="13"/>
            </w:pPr>
            <w:r>
              <w:t>1</w:t>
            </w:r>
          </w:p>
        </w:tc>
        <w:tc>
          <w:tcPr>
            <w:tcW w:w="924" w:type="dxa"/>
            <w:vAlign w:val="center"/>
          </w:tcPr>
          <w:p>
            <w:pPr>
              <w:pStyle w:val="13"/>
            </w:pPr>
            <w:r>
              <w:t>1.50</w:t>
            </w:r>
          </w:p>
        </w:tc>
        <w:tc>
          <w:tcPr>
            <w:tcW w:w="924" w:type="dxa"/>
            <w:vAlign w:val="center"/>
          </w:tcPr>
          <w:p>
            <w:pPr>
              <w:pStyle w:val="13"/>
            </w:pPr>
            <w:r>
              <w:t>1.50</w:t>
            </w:r>
          </w:p>
        </w:tc>
        <w:tc>
          <w:tcPr>
            <w:tcW w:w="924" w:type="dxa"/>
            <w:vAlign w:val="center"/>
          </w:tcPr>
          <w:p>
            <w:pPr>
              <w:pStyle w:val="13"/>
            </w:pPr>
            <w:r>
              <w:t>1.50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ind w:firstLine="560" w:firstLineChars="200"/>
        <w:rPr>
          <w:rFonts w:ascii="宋体" w:hAnsi="宋体" w:eastAsia="宋体" w:cs="宋体"/>
          <w:sz w:val="18"/>
          <w:szCs w:val="18"/>
          <w:lang w:eastAsia="zh-CN"/>
        </w:rPr>
      </w:pPr>
      <w:r>
        <w:rPr>
          <w:rFonts w:eastAsia="方正仿宋_GBK" w:cs="Times New Roman"/>
          <w:color w:val="000000"/>
          <w:sz w:val="28"/>
        </w:rPr>
        <w:t>中国共产党石家庄市藁城区委员会组织部（含所属单位）上年末固定资产金额为</w:t>
      </w:r>
      <w:r>
        <w:rPr>
          <w:rFonts w:hint="eastAsia" w:eastAsia="方正仿宋_GBK" w:cs="Times New Roman"/>
          <w:color w:val="000000"/>
          <w:sz w:val="28"/>
        </w:rPr>
        <w:t>42</w:t>
      </w:r>
      <w:r>
        <w:rPr>
          <w:rFonts w:hint="eastAsia" w:cs="Times New Roman" w:eastAsiaTheme="minorEastAsia"/>
          <w:color w:val="000000"/>
          <w:sz w:val="28"/>
          <w:lang w:eastAsia="zh-CN"/>
        </w:rPr>
        <w:t>1.</w:t>
      </w:r>
      <w:r>
        <w:rPr>
          <w:rFonts w:hint="eastAsia" w:eastAsia="方正仿宋_GBK" w:cs="Times New Roman"/>
          <w:color w:val="000000"/>
          <w:sz w:val="28"/>
        </w:rPr>
        <w:t>5</w:t>
      </w:r>
      <w:r>
        <w:rPr>
          <w:rFonts w:hint="eastAsia" w:cs="Times New Roman" w:eastAsiaTheme="minorEastAsia"/>
          <w:color w:val="000000"/>
          <w:sz w:val="28"/>
          <w:lang w:eastAsia="zh-CN"/>
        </w:rPr>
        <w:t>8</w:t>
      </w:r>
      <w:r>
        <w:rPr>
          <w:rFonts w:eastAsia="方正仿宋_GBK" w:cs="Times New Roman"/>
          <w:color w:val="000000"/>
          <w:sz w:val="28"/>
        </w:rPr>
        <w:t>万元（详见下表）。本年度拟购置固定资产总额为0.00万元</w:t>
      </w:r>
      <w:r>
        <w:rPr>
          <w:rFonts w:hint="eastAsia" w:eastAsia="方正仿宋_GBK" w:cs="Times New Roman"/>
          <w:color w:val="000000"/>
          <w:sz w:val="28"/>
        </w:rPr>
        <w:t>，</w:t>
      </w:r>
      <w:r>
        <w:rPr>
          <w:rFonts w:hint="eastAsia" w:eastAsia="方正仿宋_GBK" w:cs="Times New Roman"/>
          <w:color w:val="000000"/>
          <w:sz w:val="28"/>
          <w:lang w:eastAsia="zh-CN"/>
        </w:rPr>
        <w:t>已按要求</w:t>
      </w:r>
      <w:r>
        <w:rPr>
          <w:rFonts w:eastAsia="方正仿宋_GBK" w:cs="Times New Roman"/>
          <w:color w:val="000000"/>
          <w:sz w:val="28"/>
        </w:rPr>
        <w:t>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eastAsia="zh-CN"/>
              </w:rPr>
            </w:pPr>
            <w:r>
              <w:rPr>
                <w:rFonts w:hint="eastAsia"/>
                <w:lang w:eastAsia="zh-CN"/>
              </w:rP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421.58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val="en-US" w:eastAsia="zh-CN"/>
              </w:rPr>
            </w:pPr>
            <w:r>
              <w:rPr>
                <w:rFonts w:hint="eastAsia"/>
                <w:lang w:val="en-US" w:eastAsia="zh-CN"/>
              </w:rPr>
              <w:t>1、房屋（平方米）</w:t>
            </w:r>
          </w:p>
        </w:tc>
        <w:tc>
          <w:tcPr>
            <w:tcW w:w="4933" w:type="dxa"/>
            <w:vAlign w:val="center"/>
          </w:tcPr>
          <w:p>
            <w:pPr>
              <w:pStyle w:val="15"/>
              <w:rPr>
                <w:rFonts w:hint="default" w:eastAsia="方正书宋_GBK"/>
                <w:lang w:val="en-US" w:eastAsia="zh-CN"/>
              </w:rPr>
            </w:pPr>
            <w:r>
              <w:rPr>
                <w:rFonts w:hint="eastAsia"/>
                <w:lang w:val="en-US" w:eastAsia="zh-CN"/>
              </w:rPr>
              <w:t>2959</w:t>
            </w:r>
          </w:p>
        </w:tc>
        <w:tc>
          <w:tcPr>
            <w:tcW w:w="4933" w:type="dxa"/>
            <w:vAlign w:val="center"/>
          </w:tcPr>
          <w:p>
            <w:pPr>
              <w:pStyle w:val="13"/>
              <w:rPr>
                <w:rFonts w:hint="default" w:eastAsia="方正书宋_GBK"/>
                <w:lang w:val="en-US" w:eastAsia="zh-CN"/>
              </w:rPr>
            </w:pPr>
            <w:r>
              <w:rPr>
                <w:rFonts w:hint="eastAsia"/>
                <w:lang w:val="en-US" w:eastAsia="zh-CN"/>
              </w:rPr>
              <w:t>174.76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ind w:firstLine="352" w:firstLineChars="0"/>
              <w:rPr>
                <w:rFonts w:hint="eastAsia" w:eastAsia="方正书宋_GBK"/>
                <w:lang w:eastAsia="zh-CN"/>
              </w:rPr>
            </w:pPr>
            <w:r>
              <w:rPr>
                <w:rFonts w:hint="eastAsia"/>
                <w:lang w:eastAsia="zh-CN"/>
              </w:rPr>
              <w:t>其中：办公用房（平方米）</w:t>
            </w:r>
          </w:p>
        </w:tc>
        <w:tc>
          <w:tcPr>
            <w:tcW w:w="4933" w:type="dxa"/>
            <w:vAlign w:val="center"/>
          </w:tcPr>
          <w:p>
            <w:pPr>
              <w:pStyle w:val="15"/>
              <w:rPr>
                <w:rFonts w:hint="default" w:eastAsia="方正书宋_GBK"/>
                <w:lang w:val="en-US" w:eastAsia="zh-CN"/>
              </w:rPr>
            </w:pPr>
            <w:r>
              <w:rPr>
                <w:rFonts w:hint="eastAsia"/>
                <w:lang w:val="en-US" w:eastAsia="zh-CN"/>
              </w:rPr>
              <w:t>50</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val="en-US" w:eastAsia="zh-CN"/>
              </w:rPr>
            </w:pPr>
            <w:r>
              <w:rPr>
                <w:rFonts w:hint="eastAsia"/>
                <w:lang w:val="en-US" w:eastAsia="zh-CN"/>
              </w:rPr>
              <w:t>2、车辆（台、辆）</w:t>
            </w:r>
          </w:p>
        </w:tc>
        <w:tc>
          <w:tcPr>
            <w:tcW w:w="4933" w:type="dxa"/>
            <w:vAlign w:val="center"/>
          </w:tcPr>
          <w:p>
            <w:pPr>
              <w:pStyle w:val="15"/>
              <w:rPr>
                <w:rFonts w:hint="eastAsia" w:eastAsia="方正书宋_GBK"/>
                <w:lang w:val="en-US" w:eastAsia="zh-CN"/>
              </w:rPr>
            </w:pPr>
            <w:r>
              <w:rPr>
                <w:rFonts w:hint="eastAsia"/>
                <w:lang w:val="en-US" w:eastAsia="zh-CN"/>
              </w:rPr>
              <w:t>1</w:t>
            </w:r>
          </w:p>
        </w:tc>
        <w:tc>
          <w:tcPr>
            <w:tcW w:w="4933" w:type="dxa"/>
            <w:vAlign w:val="center"/>
          </w:tcPr>
          <w:p>
            <w:pPr>
              <w:pStyle w:val="13"/>
              <w:rPr>
                <w:rFonts w:hint="default" w:eastAsia="方正书宋_GBK"/>
                <w:lang w:val="en-US" w:eastAsia="zh-CN"/>
              </w:rPr>
            </w:pPr>
            <w:r>
              <w:rPr>
                <w:rFonts w:hint="eastAsia"/>
                <w:lang w:val="en-US" w:eastAsia="zh-CN"/>
              </w:rPr>
              <w:t>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default" w:eastAsia="方正书宋_GBK"/>
                <w:lang w:val="en-US" w:eastAsia="zh-CN"/>
              </w:rPr>
            </w:pPr>
            <w:r>
              <w:rPr>
                <w:rFonts w:hint="eastAsia"/>
                <w:lang w:val="en-US" w:eastAsia="zh-CN"/>
              </w:rP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val="en-US" w:eastAsia="zh-CN"/>
              </w:rPr>
            </w:pPr>
            <w:r>
              <w:rPr>
                <w:rFonts w:hint="eastAsia"/>
                <w:lang w:val="en-US" w:eastAsia="zh-CN"/>
              </w:rPr>
              <w:t>4、其他固定资产</w:t>
            </w:r>
          </w:p>
        </w:tc>
        <w:tc>
          <w:tcPr>
            <w:tcW w:w="4933" w:type="dxa"/>
            <w:vAlign w:val="center"/>
          </w:tcPr>
          <w:p>
            <w:pPr>
              <w:pStyle w:val="15"/>
              <w:rPr>
                <w:rFonts w:hint="default" w:eastAsia="方正书宋_GBK"/>
                <w:lang w:val="en-US" w:eastAsia="zh-CN"/>
              </w:rPr>
            </w:pPr>
            <w:r>
              <w:rPr>
                <w:rFonts w:hint="eastAsia"/>
                <w:lang w:val="en-US" w:eastAsia="zh-CN"/>
              </w:rPr>
              <w:t>646</w:t>
            </w:r>
          </w:p>
        </w:tc>
        <w:tc>
          <w:tcPr>
            <w:tcW w:w="4933" w:type="dxa"/>
            <w:vAlign w:val="center"/>
          </w:tcPr>
          <w:p>
            <w:pPr>
              <w:pStyle w:val="13"/>
              <w:rPr>
                <w:rFonts w:hint="default" w:eastAsia="方正书宋_GBK"/>
                <w:lang w:val="en-US" w:eastAsia="zh-CN"/>
              </w:rPr>
            </w:pPr>
            <w:r>
              <w:rPr>
                <w:rFonts w:hint="eastAsia"/>
                <w:lang w:val="en-US" w:eastAsia="zh-CN"/>
              </w:rPr>
              <w:t>232.44</w:t>
            </w:r>
          </w:p>
        </w:tc>
      </w:tr>
    </w:tbl>
    <w:p>
      <w:pPr>
        <w:ind w:firstLine="420"/>
      </w:pPr>
    </w:p>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区县级</w:t>
      </w:r>
      <w:r>
        <w:rPr>
          <w:rFonts w:eastAsia="方正仿宋_GBK" w:cs="Times New Roman"/>
          <w:color w:val="000000"/>
          <w:sz w:val="28"/>
        </w:rPr>
        <w:t>财政预算管理的“三公”经费，是指</w:t>
      </w:r>
      <w:r>
        <w:rPr>
          <w:rFonts w:hint="eastAsia" w:eastAsia="方正仿宋_GBK" w:cs="Times New Roman"/>
          <w:color w:val="000000"/>
          <w:sz w:val="28"/>
          <w:lang w:eastAsia="zh-CN"/>
        </w:rPr>
        <w:t>区县级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一、中国共产党石家庄市藁城区委员会组织部本级收支预算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8612.46</w:t>
            </w:r>
          </w:p>
        </w:tc>
        <w:tc>
          <w:tcPr>
            <w:tcW w:w="2959" w:type="dxa"/>
            <w:vAlign w:val="center"/>
          </w:tcPr>
          <w:p>
            <w:pPr>
              <w:pStyle w:val="14"/>
            </w:pPr>
            <w:r>
              <w:t>一、一般公共服务支出</w:t>
            </w:r>
          </w:p>
        </w:tc>
        <w:tc>
          <w:tcPr>
            <w:tcW w:w="2959" w:type="dxa"/>
            <w:vAlign w:val="center"/>
          </w:tcPr>
          <w:p>
            <w:pPr>
              <w:pStyle w:val="13"/>
            </w:pPr>
            <w:r>
              <w:t>2172.42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6158.93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8612.46</w:t>
            </w:r>
          </w:p>
        </w:tc>
        <w:tc>
          <w:tcPr>
            <w:tcW w:w="2959" w:type="dxa"/>
            <w:vAlign w:val="center"/>
          </w:tcPr>
          <w:p>
            <w:pPr>
              <w:pStyle w:val="16"/>
            </w:pPr>
            <w:r>
              <w:t>本年支出合计</w:t>
            </w:r>
          </w:p>
        </w:tc>
        <w:tc>
          <w:tcPr>
            <w:tcW w:w="2959" w:type="dxa"/>
            <w:vAlign w:val="center"/>
          </w:tcPr>
          <w:p>
            <w:pPr>
              <w:pStyle w:val="17"/>
            </w:pPr>
            <w:r>
              <w:t>8713.74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101.29</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8713.74</w:t>
            </w:r>
          </w:p>
        </w:tc>
        <w:tc>
          <w:tcPr>
            <w:tcW w:w="2959" w:type="dxa"/>
            <w:vAlign w:val="center"/>
          </w:tcPr>
          <w:p>
            <w:pPr>
              <w:pStyle w:val="16"/>
            </w:pPr>
            <w:r>
              <w:t>支出总计</w:t>
            </w:r>
          </w:p>
        </w:tc>
        <w:tc>
          <w:tcPr>
            <w:tcW w:w="2959" w:type="dxa"/>
            <w:vAlign w:val="center"/>
          </w:tcPr>
          <w:p>
            <w:pPr>
              <w:pStyle w:val="17"/>
            </w:pPr>
            <w:r>
              <w:t>8713.74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8713.74</w:t>
            </w:r>
          </w:p>
        </w:tc>
        <w:tc>
          <w:tcPr>
            <w:tcW w:w="758" w:type="dxa"/>
            <w:vAlign w:val="center"/>
          </w:tcPr>
          <w:p>
            <w:pPr>
              <w:pStyle w:val="17"/>
            </w:pPr>
            <w:r>
              <w:t>8612.46</w:t>
            </w:r>
          </w:p>
        </w:tc>
        <w:tc>
          <w:tcPr>
            <w:tcW w:w="758" w:type="dxa"/>
            <w:vAlign w:val="center"/>
          </w:tcPr>
          <w:p>
            <w:pPr>
              <w:pStyle w:val="17"/>
            </w:pPr>
            <w:r>
              <w:t>8612.46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101.29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2172.42</w:t>
            </w:r>
          </w:p>
        </w:tc>
        <w:tc>
          <w:tcPr>
            <w:tcW w:w="758" w:type="dxa"/>
            <w:vAlign w:val="center"/>
          </w:tcPr>
          <w:p>
            <w:pPr>
              <w:pStyle w:val="13"/>
            </w:pPr>
            <w:r>
              <w:t>2172.42</w:t>
            </w:r>
          </w:p>
        </w:tc>
        <w:tc>
          <w:tcPr>
            <w:tcW w:w="758" w:type="dxa"/>
            <w:vAlign w:val="center"/>
          </w:tcPr>
          <w:p>
            <w:pPr>
              <w:pStyle w:val="13"/>
            </w:pPr>
            <w:r>
              <w:t>2172.42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20132</w:t>
            </w:r>
          </w:p>
        </w:tc>
        <w:tc>
          <w:tcPr>
            <w:tcW w:w="758" w:type="dxa"/>
            <w:vAlign w:val="center"/>
          </w:tcPr>
          <w:p>
            <w:pPr>
              <w:pStyle w:val="14"/>
            </w:pPr>
            <w:r>
              <w:t>组织事务</w:t>
            </w:r>
          </w:p>
        </w:tc>
        <w:tc>
          <w:tcPr>
            <w:tcW w:w="758" w:type="dxa"/>
            <w:vAlign w:val="center"/>
          </w:tcPr>
          <w:p>
            <w:pPr>
              <w:pStyle w:val="13"/>
            </w:pPr>
            <w:r>
              <w:t>2172.42</w:t>
            </w:r>
          </w:p>
        </w:tc>
        <w:tc>
          <w:tcPr>
            <w:tcW w:w="758" w:type="dxa"/>
            <w:vAlign w:val="center"/>
          </w:tcPr>
          <w:p>
            <w:pPr>
              <w:pStyle w:val="13"/>
            </w:pPr>
            <w:r>
              <w:t>2172.42</w:t>
            </w:r>
          </w:p>
        </w:tc>
        <w:tc>
          <w:tcPr>
            <w:tcW w:w="758" w:type="dxa"/>
            <w:vAlign w:val="center"/>
          </w:tcPr>
          <w:p>
            <w:pPr>
              <w:pStyle w:val="13"/>
            </w:pPr>
            <w:r>
              <w:t>2172.42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2013201</w:t>
            </w:r>
          </w:p>
        </w:tc>
        <w:tc>
          <w:tcPr>
            <w:tcW w:w="758" w:type="dxa"/>
            <w:vAlign w:val="center"/>
          </w:tcPr>
          <w:p>
            <w:pPr>
              <w:pStyle w:val="14"/>
            </w:pPr>
            <w:r>
              <w:t>行政运行</w:t>
            </w:r>
          </w:p>
        </w:tc>
        <w:tc>
          <w:tcPr>
            <w:tcW w:w="758" w:type="dxa"/>
            <w:vAlign w:val="center"/>
          </w:tcPr>
          <w:p>
            <w:pPr>
              <w:pStyle w:val="13"/>
            </w:pPr>
            <w:r>
              <w:t>976.12</w:t>
            </w:r>
          </w:p>
        </w:tc>
        <w:tc>
          <w:tcPr>
            <w:tcW w:w="758" w:type="dxa"/>
            <w:vAlign w:val="center"/>
          </w:tcPr>
          <w:p>
            <w:pPr>
              <w:pStyle w:val="13"/>
            </w:pPr>
            <w:r>
              <w:t>976.12</w:t>
            </w:r>
          </w:p>
        </w:tc>
        <w:tc>
          <w:tcPr>
            <w:tcW w:w="758" w:type="dxa"/>
            <w:vAlign w:val="center"/>
          </w:tcPr>
          <w:p>
            <w:pPr>
              <w:pStyle w:val="13"/>
            </w:pPr>
            <w:r>
              <w:t>976.12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2013202</w:t>
            </w:r>
          </w:p>
        </w:tc>
        <w:tc>
          <w:tcPr>
            <w:tcW w:w="758" w:type="dxa"/>
            <w:vAlign w:val="center"/>
          </w:tcPr>
          <w:p>
            <w:pPr>
              <w:pStyle w:val="14"/>
            </w:pPr>
            <w:r>
              <w:t>一般行政管理事务</w:t>
            </w:r>
          </w:p>
        </w:tc>
        <w:tc>
          <w:tcPr>
            <w:tcW w:w="758" w:type="dxa"/>
            <w:vAlign w:val="center"/>
          </w:tcPr>
          <w:p>
            <w:pPr>
              <w:pStyle w:val="13"/>
            </w:pPr>
            <w:r>
              <w:t>16.91</w:t>
            </w:r>
          </w:p>
        </w:tc>
        <w:tc>
          <w:tcPr>
            <w:tcW w:w="758" w:type="dxa"/>
            <w:vAlign w:val="center"/>
          </w:tcPr>
          <w:p>
            <w:pPr>
              <w:pStyle w:val="13"/>
            </w:pPr>
            <w:r>
              <w:t>16.91</w:t>
            </w:r>
          </w:p>
        </w:tc>
        <w:tc>
          <w:tcPr>
            <w:tcW w:w="758" w:type="dxa"/>
            <w:vAlign w:val="center"/>
          </w:tcPr>
          <w:p>
            <w:pPr>
              <w:pStyle w:val="13"/>
            </w:pPr>
            <w:r>
              <w:t>16.91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2013203</w:t>
            </w:r>
          </w:p>
        </w:tc>
        <w:tc>
          <w:tcPr>
            <w:tcW w:w="758" w:type="dxa"/>
            <w:vAlign w:val="center"/>
          </w:tcPr>
          <w:p>
            <w:pPr>
              <w:pStyle w:val="14"/>
            </w:pPr>
            <w:r>
              <w:t>机关服务</w:t>
            </w:r>
          </w:p>
        </w:tc>
        <w:tc>
          <w:tcPr>
            <w:tcW w:w="758" w:type="dxa"/>
            <w:vAlign w:val="center"/>
          </w:tcPr>
          <w:p>
            <w:pPr>
              <w:pStyle w:val="13"/>
            </w:pPr>
            <w:r>
              <w:t>11.40</w:t>
            </w:r>
          </w:p>
        </w:tc>
        <w:tc>
          <w:tcPr>
            <w:tcW w:w="758" w:type="dxa"/>
            <w:vAlign w:val="center"/>
          </w:tcPr>
          <w:p>
            <w:pPr>
              <w:pStyle w:val="13"/>
            </w:pPr>
            <w:r>
              <w:t>11.40</w:t>
            </w:r>
          </w:p>
        </w:tc>
        <w:tc>
          <w:tcPr>
            <w:tcW w:w="758" w:type="dxa"/>
            <w:vAlign w:val="center"/>
          </w:tcPr>
          <w:p>
            <w:pPr>
              <w:pStyle w:val="13"/>
            </w:pPr>
            <w:r>
              <w:t>11.40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2013204</w:t>
            </w:r>
          </w:p>
        </w:tc>
        <w:tc>
          <w:tcPr>
            <w:tcW w:w="758" w:type="dxa"/>
            <w:vAlign w:val="center"/>
          </w:tcPr>
          <w:p>
            <w:pPr>
              <w:pStyle w:val="14"/>
            </w:pPr>
            <w:r>
              <w:t>公务员事务</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2013299</w:t>
            </w:r>
          </w:p>
        </w:tc>
        <w:tc>
          <w:tcPr>
            <w:tcW w:w="758" w:type="dxa"/>
            <w:vAlign w:val="center"/>
          </w:tcPr>
          <w:p>
            <w:pPr>
              <w:pStyle w:val="14"/>
            </w:pPr>
            <w:r>
              <w:t>其他组织事务支出</w:t>
            </w:r>
          </w:p>
        </w:tc>
        <w:tc>
          <w:tcPr>
            <w:tcW w:w="758" w:type="dxa"/>
            <w:vAlign w:val="center"/>
          </w:tcPr>
          <w:p>
            <w:pPr>
              <w:pStyle w:val="13"/>
            </w:pPr>
            <w:r>
              <w:t>1150.99</w:t>
            </w:r>
          </w:p>
        </w:tc>
        <w:tc>
          <w:tcPr>
            <w:tcW w:w="758" w:type="dxa"/>
            <w:vAlign w:val="center"/>
          </w:tcPr>
          <w:p>
            <w:pPr>
              <w:pStyle w:val="13"/>
            </w:pPr>
            <w:r>
              <w:t>1150.99</w:t>
            </w:r>
          </w:p>
        </w:tc>
        <w:tc>
          <w:tcPr>
            <w:tcW w:w="758" w:type="dxa"/>
            <w:vAlign w:val="center"/>
          </w:tcPr>
          <w:p>
            <w:pPr>
              <w:pStyle w:val="13"/>
            </w:pPr>
            <w:r>
              <w:t>1150.99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22.40</w:t>
            </w:r>
          </w:p>
        </w:tc>
        <w:tc>
          <w:tcPr>
            <w:tcW w:w="758" w:type="dxa"/>
            <w:vAlign w:val="center"/>
          </w:tcPr>
          <w:p>
            <w:pPr>
              <w:pStyle w:val="13"/>
            </w:pPr>
            <w:r>
              <w:t>11.35</w:t>
            </w:r>
          </w:p>
        </w:tc>
        <w:tc>
          <w:tcPr>
            <w:tcW w:w="758" w:type="dxa"/>
            <w:vAlign w:val="center"/>
          </w:tcPr>
          <w:p>
            <w:pPr>
              <w:pStyle w:val="13"/>
            </w:pPr>
            <w:r>
              <w:t>11.35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22.40</w:t>
            </w:r>
          </w:p>
        </w:tc>
        <w:tc>
          <w:tcPr>
            <w:tcW w:w="758" w:type="dxa"/>
            <w:vAlign w:val="center"/>
          </w:tcPr>
          <w:p>
            <w:pPr>
              <w:pStyle w:val="13"/>
            </w:pPr>
            <w:r>
              <w:t>11.35</w:t>
            </w:r>
          </w:p>
        </w:tc>
        <w:tc>
          <w:tcPr>
            <w:tcW w:w="758" w:type="dxa"/>
            <w:vAlign w:val="center"/>
          </w:tcPr>
          <w:p>
            <w:pPr>
              <w:pStyle w:val="13"/>
            </w:pPr>
            <w:r>
              <w:t>11.35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2080899</w:t>
            </w:r>
          </w:p>
        </w:tc>
        <w:tc>
          <w:tcPr>
            <w:tcW w:w="758" w:type="dxa"/>
            <w:vAlign w:val="center"/>
          </w:tcPr>
          <w:p>
            <w:pPr>
              <w:pStyle w:val="14"/>
            </w:pPr>
            <w:r>
              <w:t>其他优抚支出</w:t>
            </w:r>
          </w:p>
        </w:tc>
        <w:tc>
          <w:tcPr>
            <w:tcW w:w="758" w:type="dxa"/>
            <w:vAlign w:val="center"/>
          </w:tcPr>
          <w:p>
            <w:pPr>
              <w:pStyle w:val="13"/>
            </w:pPr>
            <w:r>
              <w:t>22.40</w:t>
            </w:r>
          </w:p>
        </w:tc>
        <w:tc>
          <w:tcPr>
            <w:tcW w:w="758" w:type="dxa"/>
            <w:vAlign w:val="center"/>
          </w:tcPr>
          <w:p>
            <w:pPr>
              <w:pStyle w:val="13"/>
            </w:pPr>
            <w:r>
              <w:t>11.35</w:t>
            </w:r>
          </w:p>
        </w:tc>
        <w:tc>
          <w:tcPr>
            <w:tcW w:w="758" w:type="dxa"/>
            <w:vAlign w:val="center"/>
          </w:tcPr>
          <w:p>
            <w:pPr>
              <w:pStyle w:val="13"/>
            </w:pPr>
            <w:r>
              <w:t>11.35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21299</w:t>
            </w:r>
          </w:p>
        </w:tc>
        <w:tc>
          <w:tcPr>
            <w:tcW w:w="758" w:type="dxa"/>
            <w:vAlign w:val="center"/>
          </w:tcPr>
          <w:p>
            <w:pPr>
              <w:pStyle w:val="14"/>
            </w:pPr>
            <w:r>
              <w:t>其他城乡社区支出</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2129999</w:t>
            </w:r>
          </w:p>
        </w:tc>
        <w:tc>
          <w:tcPr>
            <w:tcW w:w="758" w:type="dxa"/>
            <w:vAlign w:val="center"/>
          </w:tcPr>
          <w:p>
            <w:pPr>
              <w:pStyle w:val="14"/>
            </w:pPr>
            <w:r>
              <w:t>其他城乡社区支出</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r>
              <w:t>360.00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6158.93</w:t>
            </w:r>
          </w:p>
        </w:tc>
        <w:tc>
          <w:tcPr>
            <w:tcW w:w="758" w:type="dxa"/>
            <w:vAlign w:val="center"/>
          </w:tcPr>
          <w:p>
            <w:pPr>
              <w:pStyle w:val="13"/>
            </w:pPr>
            <w:r>
              <w:t>6068.69</w:t>
            </w:r>
          </w:p>
        </w:tc>
        <w:tc>
          <w:tcPr>
            <w:tcW w:w="758" w:type="dxa"/>
            <w:vAlign w:val="center"/>
          </w:tcPr>
          <w:p>
            <w:pPr>
              <w:pStyle w:val="13"/>
            </w:pPr>
            <w:r>
              <w:t>6068.69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240.23</w:t>
            </w:r>
          </w:p>
        </w:tc>
        <w:tc>
          <w:tcPr>
            <w:tcW w:w="758" w:type="dxa"/>
            <w:vAlign w:val="center"/>
          </w:tcPr>
          <w:p>
            <w:pPr>
              <w:pStyle w:val="13"/>
            </w:pPr>
            <w:r>
              <w:t>149.99</w:t>
            </w:r>
          </w:p>
        </w:tc>
        <w:tc>
          <w:tcPr>
            <w:tcW w:w="758" w:type="dxa"/>
            <w:vAlign w:val="center"/>
          </w:tcPr>
          <w:p>
            <w:pPr>
              <w:pStyle w:val="13"/>
            </w:pPr>
            <w:r>
              <w:t>149.99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2130152</w:t>
            </w:r>
          </w:p>
        </w:tc>
        <w:tc>
          <w:tcPr>
            <w:tcW w:w="758" w:type="dxa"/>
            <w:vAlign w:val="center"/>
          </w:tcPr>
          <w:p>
            <w:pPr>
              <w:pStyle w:val="14"/>
            </w:pPr>
            <w:r>
              <w:t>对高校毕业生到基层任职补助</w:t>
            </w:r>
          </w:p>
        </w:tc>
        <w:tc>
          <w:tcPr>
            <w:tcW w:w="758" w:type="dxa"/>
            <w:vAlign w:val="center"/>
          </w:tcPr>
          <w:p>
            <w:pPr>
              <w:pStyle w:val="13"/>
            </w:pPr>
            <w:r>
              <w:t>240.23</w:t>
            </w:r>
          </w:p>
        </w:tc>
        <w:tc>
          <w:tcPr>
            <w:tcW w:w="758" w:type="dxa"/>
            <w:vAlign w:val="center"/>
          </w:tcPr>
          <w:p>
            <w:pPr>
              <w:pStyle w:val="13"/>
            </w:pPr>
            <w:r>
              <w:t>149.99</w:t>
            </w:r>
          </w:p>
        </w:tc>
        <w:tc>
          <w:tcPr>
            <w:tcW w:w="758" w:type="dxa"/>
            <w:vAlign w:val="center"/>
          </w:tcPr>
          <w:p>
            <w:pPr>
              <w:pStyle w:val="13"/>
            </w:pPr>
            <w:r>
              <w:t>149.99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5918.70</w:t>
            </w:r>
          </w:p>
        </w:tc>
        <w:tc>
          <w:tcPr>
            <w:tcW w:w="758" w:type="dxa"/>
            <w:vAlign w:val="center"/>
          </w:tcPr>
          <w:p>
            <w:pPr>
              <w:pStyle w:val="13"/>
            </w:pPr>
            <w:r>
              <w:t>5918.70</w:t>
            </w:r>
          </w:p>
        </w:tc>
        <w:tc>
          <w:tcPr>
            <w:tcW w:w="758" w:type="dxa"/>
            <w:vAlign w:val="center"/>
          </w:tcPr>
          <w:p>
            <w:pPr>
              <w:pStyle w:val="13"/>
            </w:pPr>
            <w:r>
              <w:t>5918.70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5918.70</w:t>
            </w:r>
          </w:p>
        </w:tc>
        <w:tc>
          <w:tcPr>
            <w:tcW w:w="758" w:type="dxa"/>
            <w:vAlign w:val="center"/>
          </w:tcPr>
          <w:p>
            <w:pPr>
              <w:pStyle w:val="13"/>
            </w:pPr>
            <w:r>
              <w:t>5918.70</w:t>
            </w:r>
          </w:p>
        </w:tc>
        <w:tc>
          <w:tcPr>
            <w:tcW w:w="758" w:type="dxa"/>
            <w:vAlign w:val="center"/>
          </w:tcPr>
          <w:p>
            <w:pPr>
              <w:pStyle w:val="13"/>
            </w:pPr>
            <w:r>
              <w:t>5918.70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8713.74</w:t>
            </w:r>
          </w:p>
        </w:tc>
        <w:tc>
          <w:tcPr>
            <w:tcW w:w="1095" w:type="dxa"/>
            <w:vAlign w:val="center"/>
          </w:tcPr>
          <w:p>
            <w:pPr>
              <w:pStyle w:val="17"/>
            </w:pPr>
            <w:r>
              <w:t>976.12</w:t>
            </w:r>
          </w:p>
        </w:tc>
        <w:tc>
          <w:tcPr>
            <w:tcW w:w="1095" w:type="dxa"/>
            <w:vAlign w:val="center"/>
          </w:tcPr>
          <w:p>
            <w:pPr>
              <w:pStyle w:val="17"/>
            </w:pPr>
            <w:r>
              <w:t>7737.63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2172.42</w:t>
            </w:r>
          </w:p>
        </w:tc>
        <w:tc>
          <w:tcPr>
            <w:tcW w:w="1095" w:type="dxa"/>
            <w:vAlign w:val="center"/>
          </w:tcPr>
          <w:p>
            <w:pPr>
              <w:pStyle w:val="13"/>
            </w:pPr>
            <w:r>
              <w:t>976.12</w:t>
            </w:r>
          </w:p>
        </w:tc>
        <w:tc>
          <w:tcPr>
            <w:tcW w:w="1095" w:type="dxa"/>
            <w:vAlign w:val="center"/>
          </w:tcPr>
          <w:p>
            <w:pPr>
              <w:pStyle w:val="13"/>
            </w:pPr>
            <w:r>
              <w:t>1196.30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20132</w:t>
            </w:r>
          </w:p>
        </w:tc>
        <w:tc>
          <w:tcPr>
            <w:tcW w:w="1095" w:type="dxa"/>
            <w:vAlign w:val="center"/>
          </w:tcPr>
          <w:p>
            <w:pPr>
              <w:pStyle w:val="14"/>
            </w:pPr>
            <w:r>
              <w:t>组织事务</w:t>
            </w:r>
          </w:p>
        </w:tc>
        <w:tc>
          <w:tcPr>
            <w:tcW w:w="1095" w:type="dxa"/>
            <w:vAlign w:val="center"/>
          </w:tcPr>
          <w:p>
            <w:pPr>
              <w:pStyle w:val="13"/>
            </w:pPr>
            <w:r>
              <w:t>2172.42</w:t>
            </w:r>
          </w:p>
        </w:tc>
        <w:tc>
          <w:tcPr>
            <w:tcW w:w="1095" w:type="dxa"/>
            <w:vAlign w:val="center"/>
          </w:tcPr>
          <w:p>
            <w:pPr>
              <w:pStyle w:val="13"/>
            </w:pPr>
            <w:r>
              <w:t>976.12</w:t>
            </w:r>
          </w:p>
        </w:tc>
        <w:tc>
          <w:tcPr>
            <w:tcW w:w="1095" w:type="dxa"/>
            <w:vAlign w:val="center"/>
          </w:tcPr>
          <w:p>
            <w:pPr>
              <w:pStyle w:val="13"/>
            </w:pPr>
            <w:r>
              <w:t>1196.30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2013201</w:t>
            </w:r>
          </w:p>
        </w:tc>
        <w:tc>
          <w:tcPr>
            <w:tcW w:w="1095" w:type="dxa"/>
            <w:vAlign w:val="center"/>
          </w:tcPr>
          <w:p>
            <w:pPr>
              <w:pStyle w:val="14"/>
            </w:pPr>
            <w:r>
              <w:t>行政运行</w:t>
            </w:r>
          </w:p>
        </w:tc>
        <w:tc>
          <w:tcPr>
            <w:tcW w:w="1095" w:type="dxa"/>
            <w:vAlign w:val="center"/>
          </w:tcPr>
          <w:p>
            <w:pPr>
              <w:pStyle w:val="13"/>
            </w:pPr>
            <w:r>
              <w:t>976.12</w:t>
            </w:r>
          </w:p>
        </w:tc>
        <w:tc>
          <w:tcPr>
            <w:tcW w:w="1095" w:type="dxa"/>
            <w:vAlign w:val="center"/>
          </w:tcPr>
          <w:p>
            <w:pPr>
              <w:pStyle w:val="13"/>
            </w:pPr>
            <w:r>
              <w:t>976.12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2013202</w:t>
            </w:r>
          </w:p>
        </w:tc>
        <w:tc>
          <w:tcPr>
            <w:tcW w:w="1095" w:type="dxa"/>
            <w:vAlign w:val="center"/>
          </w:tcPr>
          <w:p>
            <w:pPr>
              <w:pStyle w:val="14"/>
            </w:pPr>
            <w:r>
              <w:t>一般行政管理事务</w:t>
            </w:r>
          </w:p>
        </w:tc>
        <w:tc>
          <w:tcPr>
            <w:tcW w:w="1095" w:type="dxa"/>
            <w:vAlign w:val="center"/>
          </w:tcPr>
          <w:p>
            <w:pPr>
              <w:pStyle w:val="13"/>
            </w:pPr>
            <w:r>
              <w:t>16.91</w:t>
            </w:r>
          </w:p>
        </w:tc>
        <w:tc>
          <w:tcPr>
            <w:tcW w:w="1095" w:type="dxa"/>
            <w:vAlign w:val="center"/>
          </w:tcPr>
          <w:p>
            <w:pPr>
              <w:pStyle w:val="13"/>
            </w:pPr>
          </w:p>
        </w:tc>
        <w:tc>
          <w:tcPr>
            <w:tcW w:w="1095" w:type="dxa"/>
            <w:vAlign w:val="center"/>
          </w:tcPr>
          <w:p>
            <w:pPr>
              <w:pStyle w:val="13"/>
            </w:pPr>
            <w:r>
              <w:t>16.91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2013203</w:t>
            </w:r>
          </w:p>
        </w:tc>
        <w:tc>
          <w:tcPr>
            <w:tcW w:w="1095" w:type="dxa"/>
            <w:vAlign w:val="center"/>
          </w:tcPr>
          <w:p>
            <w:pPr>
              <w:pStyle w:val="14"/>
            </w:pPr>
            <w:r>
              <w:t>机关服务</w:t>
            </w:r>
          </w:p>
        </w:tc>
        <w:tc>
          <w:tcPr>
            <w:tcW w:w="1095" w:type="dxa"/>
            <w:vAlign w:val="center"/>
          </w:tcPr>
          <w:p>
            <w:pPr>
              <w:pStyle w:val="13"/>
            </w:pPr>
            <w:r>
              <w:t>11.40</w:t>
            </w:r>
          </w:p>
        </w:tc>
        <w:tc>
          <w:tcPr>
            <w:tcW w:w="1095" w:type="dxa"/>
            <w:vAlign w:val="center"/>
          </w:tcPr>
          <w:p>
            <w:pPr>
              <w:pStyle w:val="13"/>
            </w:pPr>
          </w:p>
        </w:tc>
        <w:tc>
          <w:tcPr>
            <w:tcW w:w="1095" w:type="dxa"/>
            <w:vAlign w:val="center"/>
          </w:tcPr>
          <w:p>
            <w:pPr>
              <w:pStyle w:val="13"/>
            </w:pPr>
            <w:r>
              <w:t>11.40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2013204</w:t>
            </w:r>
          </w:p>
        </w:tc>
        <w:tc>
          <w:tcPr>
            <w:tcW w:w="1095" w:type="dxa"/>
            <w:vAlign w:val="center"/>
          </w:tcPr>
          <w:p>
            <w:pPr>
              <w:pStyle w:val="14"/>
            </w:pPr>
            <w:r>
              <w:t>公务员事务</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2013299</w:t>
            </w:r>
          </w:p>
        </w:tc>
        <w:tc>
          <w:tcPr>
            <w:tcW w:w="1095" w:type="dxa"/>
            <w:vAlign w:val="center"/>
          </w:tcPr>
          <w:p>
            <w:pPr>
              <w:pStyle w:val="14"/>
            </w:pPr>
            <w:r>
              <w:t>其他组织事务支出</w:t>
            </w:r>
          </w:p>
        </w:tc>
        <w:tc>
          <w:tcPr>
            <w:tcW w:w="1095" w:type="dxa"/>
            <w:vAlign w:val="center"/>
          </w:tcPr>
          <w:p>
            <w:pPr>
              <w:pStyle w:val="13"/>
            </w:pPr>
            <w:r>
              <w:t>1150.99</w:t>
            </w:r>
          </w:p>
        </w:tc>
        <w:tc>
          <w:tcPr>
            <w:tcW w:w="1095" w:type="dxa"/>
            <w:vAlign w:val="center"/>
          </w:tcPr>
          <w:p>
            <w:pPr>
              <w:pStyle w:val="13"/>
            </w:pPr>
          </w:p>
        </w:tc>
        <w:tc>
          <w:tcPr>
            <w:tcW w:w="1095" w:type="dxa"/>
            <w:vAlign w:val="center"/>
          </w:tcPr>
          <w:p>
            <w:pPr>
              <w:pStyle w:val="13"/>
            </w:pPr>
            <w:r>
              <w:t>1150.99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2080899</w:t>
            </w:r>
          </w:p>
        </w:tc>
        <w:tc>
          <w:tcPr>
            <w:tcW w:w="1095" w:type="dxa"/>
            <w:vAlign w:val="center"/>
          </w:tcPr>
          <w:p>
            <w:pPr>
              <w:pStyle w:val="14"/>
            </w:pPr>
            <w:r>
              <w:t>其他优抚支出</w:t>
            </w: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r>
              <w:t>22.40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21299</w:t>
            </w:r>
          </w:p>
        </w:tc>
        <w:tc>
          <w:tcPr>
            <w:tcW w:w="1095" w:type="dxa"/>
            <w:vAlign w:val="center"/>
          </w:tcPr>
          <w:p>
            <w:pPr>
              <w:pStyle w:val="14"/>
            </w:pPr>
            <w:r>
              <w:t>其他城乡社区支出</w:t>
            </w: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2129999</w:t>
            </w:r>
          </w:p>
        </w:tc>
        <w:tc>
          <w:tcPr>
            <w:tcW w:w="1095" w:type="dxa"/>
            <w:vAlign w:val="center"/>
          </w:tcPr>
          <w:p>
            <w:pPr>
              <w:pStyle w:val="14"/>
            </w:pPr>
            <w:r>
              <w:t>其他城乡社区支出</w:t>
            </w: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r>
              <w:t>360.00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6158.93</w:t>
            </w:r>
          </w:p>
        </w:tc>
        <w:tc>
          <w:tcPr>
            <w:tcW w:w="1095" w:type="dxa"/>
            <w:vAlign w:val="center"/>
          </w:tcPr>
          <w:p>
            <w:pPr>
              <w:pStyle w:val="13"/>
            </w:pPr>
          </w:p>
        </w:tc>
        <w:tc>
          <w:tcPr>
            <w:tcW w:w="1095" w:type="dxa"/>
            <w:vAlign w:val="center"/>
          </w:tcPr>
          <w:p>
            <w:pPr>
              <w:pStyle w:val="13"/>
            </w:pPr>
            <w:r>
              <w:t>6158.93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240.23</w:t>
            </w:r>
          </w:p>
        </w:tc>
        <w:tc>
          <w:tcPr>
            <w:tcW w:w="1095" w:type="dxa"/>
            <w:vAlign w:val="center"/>
          </w:tcPr>
          <w:p>
            <w:pPr>
              <w:pStyle w:val="13"/>
            </w:pPr>
          </w:p>
        </w:tc>
        <w:tc>
          <w:tcPr>
            <w:tcW w:w="1095" w:type="dxa"/>
            <w:vAlign w:val="center"/>
          </w:tcPr>
          <w:p>
            <w:pPr>
              <w:pStyle w:val="13"/>
            </w:pPr>
            <w:r>
              <w:t>240.23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2130152</w:t>
            </w:r>
          </w:p>
        </w:tc>
        <w:tc>
          <w:tcPr>
            <w:tcW w:w="1095" w:type="dxa"/>
            <w:vAlign w:val="center"/>
          </w:tcPr>
          <w:p>
            <w:pPr>
              <w:pStyle w:val="14"/>
            </w:pPr>
            <w:r>
              <w:t>对高校毕业生到基层任职补助</w:t>
            </w:r>
          </w:p>
        </w:tc>
        <w:tc>
          <w:tcPr>
            <w:tcW w:w="1095" w:type="dxa"/>
            <w:vAlign w:val="center"/>
          </w:tcPr>
          <w:p>
            <w:pPr>
              <w:pStyle w:val="13"/>
            </w:pPr>
            <w:r>
              <w:t>240.23</w:t>
            </w:r>
          </w:p>
        </w:tc>
        <w:tc>
          <w:tcPr>
            <w:tcW w:w="1095" w:type="dxa"/>
            <w:vAlign w:val="center"/>
          </w:tcPr>
          <w:p>
            <w:pPr>
              <w:pStyle w:val="13"/>
            </w:pPr>
          </w:p>
        </w:tc>
        <w:tc>
          <w:tcPr>
            <w:tcW w:w="1095" w:type="dxa"/>
            <w:vAlign w:val="center"/>
          </w:tcPr>
          <w:p>
            <w:pPr>
              <w:pStyle w:val="13"/>
            </w:pPr>
            <w:r>
              <w:t>240.23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5918.70</w:t>
            </w:r>
          </w:p>
        </w:tc>
        <w:tc>
          <w:tcPr>
            <w:tcW w:w="1095" w:type="dxa"/>
            <w:vAlign w:val="center"/>
          </w:tcPr>
          <w:p>
            <w:pPr>
              <w:pStyle w:val="13"/>
            </w:pPr>
          </w:p>
        </w:tc>
        <w:tc>
          <w:tcPr>
            <w:tcW w:w="1095" w:type="dxa"/>
            <w:vAlign w:val="center"/>
          </w:tcPr>
          <w:p>
            <w:pPr>
              <w:pStyle w:val="13"/>
            </w:pPr>
            <w:r>
              <w:t>5918.70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5918.70</w:t>
            </w:r>
          </w:p>
        </w:tc>
        <w:tc>
          <w:tcPr>
            <w:tcW w:w="1095" w:type="dxa"/>
            <w:vAlign w:val="center"/>
          </w:tcPr>
          <w:p>
            <w:pPr>
              <w:pStyle w:val="13"/>
            </w:pPr>
          </w:p>
        </w:tc>
        <w:tc>
          <w:tcPr>
            <w:tcW w:w="1095" w:type="dxa"/>
            <w:vAlign w:val="center"/>
          </w:tcPr>
          <w:p>
            <w:pPr>
              <w:pStyle w:val="13"/>
            </w:pPr>
            <w:r>
              <w:t>5918.70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8612.46</w:t>
            </w:r>
          </w:p>
        </w:tc>
        <w:tc>
          <w:tcPr>
            <w:tcW w:w="1232" w:type="dxa"/>
            <w:vAlign w:val="center"/>
          </w:tcPr>
          <w:p>
            <w:pPr>
              <w:pStyle w:val="14"/>
            </w:pPr>
            <w:r>
              <w:t>一、一般公共服务支出</w:t>
            </w:r>
          </w:p>
        </w:tc>
        <w:tc>
          <w:tcPr>
            <w:tcW w:w="1232" w:type="dxa"/>
            <w:vAlign w:val="center"/>
          </w:tcPr>
          <w:p>
            <w:pPr>
              <w:pStyle w:val="13"/>
            </w:pPr>
            <w:r>
              <w:t>2172.42</w:t>
            </w:r>
          </w:p>
        </w:tc>
        <w:tc>
          <w:tcPr>
            <w:tcW w:w="1232" w:type="dxa"/>
            <w:vAlign w:val="center"/>
          </w:tcPr>
          <w:p>
            <w:pPr>
              <w:pStyle w:val="13"/>
            </w:pPr>
            <w:r>
              <w:t>2172.42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22.40</w:t>
            </w:r>
          </w:p>
        </w:tc>
        <w:tc>
          <w:tcPr>
            <w:tcW w:w="1232" w:type="dxa"/>
            <w:vAlign w:val="center"/>
          </w:tcPr>
          <w:p>
            <w:pPr>
              <w:pStyle w:val="13"/>
            </w:pPr>
            <w:r>
              <w:t>22.40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360.00</w:t>
            </w:r>
          </w:p>
        </w:tc>
        <w:tc>
          <w:tcPr>
            <w:tcW w:w="1232" w:type="dxa"/>
            <w:vAlign w:val="center"/>
          </w:tcPr>
          <w:p>
            <w:pPr>
              <w:pStyle w:val="13"/>
            </w:pPr>
            <w:r>
              <w:t>360.00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6158.93</w:t>
            </w:r>
          </w:p>
        </w:tc>
        <w:tc>
          <w:tcPr>
            <w:tcW w:w="1232" w:type="dxa"/>
            <w:vAlign w:val="center"/>
          </w:tcPr>
          <w:p>
            <w:pPr>
              <w:pStyle w:val="13"/>
            </w:pPr>
            <w:r>
              <w:t>6158.93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8612.46</w:t>
            </w:r>
          </w:p>
        </w:tc>
        <w:tc>
          <w:tcPr>
            <w:tcW w:w="1232" w:type="dxa"/>
            <w:vAlign w:val="center"/>
          </w:tcPr>
          <w:p>
            <w:pPr>
              <w:pStyle w:val="16"/>
            </w:pPr>
            <w:r>
              <w:t>本年支出合计</w:t>
            </w:r>
          </w:p>
        </w:tc>
        <w:tc>
          <w:tcPr>
            <w:tcW w:w="1232" w:type="dxa"/>
            <w:vAlign w:val="center"/>
          </w:tcPr>
          <w:p>
            <w:pPr>
              <w:pStyle w:val="17"/>
            </w:pPr>
            <w:r>
              <w:t>8713.74</w:t>
            </w:r>
          </w:p>
        </w:tc>
        <w:tc>
          <w:tcPr>
            <w:tcW w:w="1232" w:type="dxa"/>
            <w:vAlign w:val="center"/>
          </w:tcPr>
          <w:p>
            <w:pPr>
              <w:pStyle w:val="17"/>
            </w:pPr>
            <w:r>
              <w:t>8713.74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101.29</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101.29</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8713.74</w:t>
            </w:r>
          </w:p>
        </w:tc>
        <w:tc>
          <w:tcPr>
            <w:tcW w:w="1232" w:type="dxa"/>
            <w:vAlign w:val="center"/>
          </w:tcPr>
          <w:p>
            <w:pPr>
              <w:pStyle w:val="16"/>
            </w:pPr>
            <w:r>
              <w:t>支出总计</w:t>
            </w:r>
          </w:p>
        </w:tc>
        <w:tc>
          <w:tcPr>
            <w:tcW w:w="1232" w:type="dxa"/>
            <w:vAlign w:val="center"/>
          </w:tcPr>
          <w:p>
            <w:pPr>
              <w:pStyle w:val="17"/>
            </w:pPr>
            <w:r>
              <w:t>8713.74</w:t>
            </w:r>
          </w:p>
        </w:tc>
        <w:tc>
          <w:tcPr>
            <w:tcW w:w="1232" w:type="dxa"/>
            <w:vAlign w:val="center"/>
          </w:tcPr>
          <w:p>
            <w:pPr>
              <w:pStyle w:val="17"/>
            </w:pPr>
            <w:r>
              <w:t>8713.74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8713.74</w:t>
            </w:r>
          </w:p>
        </w:tc>
        <w:tc>
          <w:tcPr>
            <w:tcW w:w="1643" w:type="dxa"/>
            <w:vAlign w:val="center"/>
          </w:tcPr>
          <w:p>
            <w:pPr>
              <w:pStyle w:val="17"/>
            </w:pPr>
            <w:r>
              <w:t>976.12</w:t>
            </w:r>
          </w:p>
        </w:tc>
        <w:tc>
          <w:tcPr>
            <w:tcW w:w="1643" w:type="dxa"/>
            <w:vAlign w:val="center"/>
          </w:tcPr>
          <w:p>
            <w:pPr>
              <w:pStyle w:val="17"/>
            </w:pPr>
            <w:r>
              <w:t>7737.63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2172.42</w:t>
            </w:r>
          </w:p>
        </w:tc>
        <w:tc>
          <w:tcPr>
            <w:tcW w:w="1643" w:type="dxa"/>
            <w:vAlign w:val="center"/>
          </w:tcPr>
          <w:p>
            <w:pPr>
              <w:pStyle w:val="13"/>
            </w:pPr>
            <w:r>
              <w:t>976.12</w:t>
            </w:r>
          </w:p>
        </w:tc>
        <w:tc>
          <w:tcPr>
            <w:tcW w:w="1643" w:type="dxa"/>
            <w:vAlign w:val="center"/>
          </w:tcPr>
          <w:p>
            <w:pPr>
              <w:pStyle w:val="13"/>
            </w:pPr>
            <w:r>
              <w:t>1196.30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20132</w:t>
            </w:r>
          </w:p>
        </w:tc>
        <w:tc>
          <w:tcPr>
            <w:tcW w:w="1643" w:type="dxa"/>
            <w:vAlign w:val="center"/>
          </w:tcPr>
          <w:p>
            <w:pPr>
              <w:pStyle w:val="14"/>
            </w:pPr>
            <w:r>
              <w:t>组织事务</w:t>
            </w:r>
          </w:p>
        </w:tc>
        <w:tc>
          <w:tcPr>
            <w:tcW w:w="1643" w:type="dxa"/>
            <w:vAlign w:val="center"/>
          </w:tcPr>
          <w:p>
            <w:pPr>
              <w:pStyle w:val="13"/>
            </w:pPr>
            <w:r>
              <w:t>2172.42</w:t>
            </w:r>
          </w:p>
        </w:tc>
        <w:tc>
          <w:tcPr>
            <w:tcW w:w="1643" w:type="dxa"/>
            <w:vAlign w:val="center"/>
          </w:tcPr>
          <w:p>
            <w:pPr>
              <w:pStyle w:val="13"/>
            </w:pPr>
            <w:r>
              <w:t>976.12</w:t>
            </w:r>
          </w:p>
        </w:tc>
        <w:tc>
          <w:tcPr>
            <w:tcW w:w="1643" w:type="dxa"/>
            <w:vAlign w:val="center"/>
          </w:tcPr>
          <w:p>
            <w:pPr>
              <w:pStyle w:val="13"/>
            </w:pPr>
            <w:r>
              <w:t>1196.30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2013201</w:t>
            </w:r>
          </w:p>
        </w:tc>
        <w:tc>
          <w:tcPr>
            <w:tcW w:w="1643" w:type="dxa"/>
            <w:vAlign w:val="center"/>
          </w:tcPr>
          <w:p>
            <w:pPr>
              <w:pStyle w:val="14"/>
            </w:pPr>
            <w:r>
              <w:t>行政运行</w:t>
            </w:r>
          </w:p>
        </w:tc>
        <w:tc>
          <w:tcPr>
            <w:tcW w:w="1643" w:type="dxa"/>
            <w:vAlign w:val="center"/>
          </w:tcPr>
          <w:p>
            <w:pPr>
              <w:pStyle w:val="13"/>
            </w:pPr>
            <w:r>
              <w:t>976.12</w:t>
            </w:r>
          </w:p>
        </w:tc>
        <w:tc>
          <w:tcPr>
            <w:tcW w:w="1643" w:type="dxa"/>
            <w:vAlign w:val="center"/>
          </w:tcPr>
          <w:p>
            <w:pPr>
              <w:pStyle w:val="13"/>
            </w:pPr>
            <w:r>
              <w:t>976.12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2013202</w:t>
            </w:r>
          </w:p>
        </w:tc>
        <w:tc>
          <w:tcPr>
            <w:tcW w:w="1643" w:type="dxa"/>
            <w:vAlign w:val="center"/>
          </w:tcPr>
          <w:p>
            <w:pPr>
              <w:pStyle w:val="14"/>
            </w:pPr>
            <w:r>
              <w:t>一般行政管理事务</w:t>
            </w:r>
          </w:p>
        </w:tc>
        <w:tc>
          <w:tcPr>
            <w:tcW w:w="1643" w:type="dxa"/>
            <w:vAlign w:val="center"/>
          </w:tcPr>
          <w:p>
            <w:pPr>
              <w:pStyle w:val="13"/>
            </w:pPr>
            <w:r>
              <w:t>16.91</w:t>
            </w:r>
          </w:p>
        </w:tc>
        <w:tc>
          <w:tcPr>
            <w:tcW w:w="1643" w:type="dxa"/>
            <w:vAlign w:val="center"/>
          </w:tcPr>
          <w:p>
            <w:pPr>
              <w:pStyle w:val="13"/>
            </w:pPr>
          </w:p>
        </w:tc>
        <w:tc>
          <w:tcPr>
            <w:tcW w:w="1643" w:type="dxa"/>
            <w:vAlign w:val="center"/>
          </w:tcPr>
          <w:p>
            <w:pPr>
              <w:pStyle w:val="13"/>
            </w:pPr>
            <w:r>
              <w:t>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2013203</w:t>
            </w:r>
          </w:p>
        </w:tc>
        <w:tc>
          <w:tcPr>
            <w:tcW w:w="1643" w:type="dxa"/>
            <w:vAlign w:val="center"/>
          </w:tcPr>
          <w:p>
            <w:pPr>
              <w:pStyle w:val="14"/>
            </w:pPr>
            <w:r>
              <w:t>机关服务</w:t>
            </w:r>
          </w:p>
        </w:tc>
        <w:tc>
          <w:tcPr>
            <w:tcW w:w="1643" w:type="dxa"/>
            <w:vAlign w:val="center"/>
          </w:tcPr>
          <w:p>
            <w:pPr>
              <w:pStyle w:val="13"/>
            </w:pPr>
            <w:r>
              <w:t>11.40</w:t>
            </w:r>
          </w:p>
        </w:tc>
        <w:tc>
          <w:tcPr>
            <w:tcW w:w="1643" w:type="dxa"/>
            <w:vAlign w:val="center"/>
          </w:tcPr>
          <w:p>
            <w:pPr>
              <w:pStyle w:val="13"/>
            </w:pPr>
          </w:p>
        </w:tc>
        <w:tc>
          <w:tcPr>
            <w:tcW w:w="1643" w:type="dxa"/>
            <w:vAlign w:val="center"/>
          </w:tcPr>
          <w:p>
            <w:pPr>
              <w:pStyle w:val="13"/>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2013204</w:t>
            </w:r>
          </w:p>
        </w:tc>
        <w:tc>
          <w:tcPr>
            <w:tcW w:w="1643" w:type="dxa"/>
            <w:vAlign w:val="center"/>
          </w:tcPr>
          <w:p>
            <w:pPr>
              <w:pStyle w:val="14"/>
            </w:pPr>
            <w:r>
              <w:t>公务员事务</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2013299</w:t>
            </w:r>
          </w:p>
        </w:tc>
        <w:tc>
          <w:tcPr>
            <w:tcW w:w="1643" w:type="dxa"/>
            <w:vAlign w:val="center"/>
          </w:tcPr>
          <w:p>
            <w:pPr>
              <w:pStyle w:val="14"/>
            </w:pPr>
            <w:r>
              <w:t>其他组织事务支出</w:t>
            </w:r>
          </w:p>
        </w:tc>
        <w:tc>
          <w:tcPr>
            <w:tcW w:w="1643" w:type="dxa"/>
            <w:vAlign w:val="center"/>
          </w:tcPr>
          <w:p>
            <w:pPr>
              <w:pStyle w:val="13"/>
            </w:pPr>
            <w:r>
              <w:t>1150.99</w:t>
            </w:r>
          </w:p>
        </w:tc>
        <w:tc>
          <w:tcPr>
            <w:tcW w:w="1643" w:type="dxa"/>
            <w:vAlign w:val="center"/>
          </w:tcPr>
          <w:p>
            <w:pPr>
              <w:pStyle w:val="13"/>
            </w:pPr>
          </w:p>
        </w:tc>
        <w:tc>
          <w:tcPr>
            <w:tcW w:w="1643" w:type="dxa"/>
            <w:vAlign w:val="center"/>
          </w:tcPr>
          <w:p>
            <w:pPr>
              <w:pStyle w:val="13"/>
            </w:pPr>
            <w:r>
              <w:t>1150.99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22.40</w:t>
            </w:r>
          </w:p>
        </w:tc>
        <w:tc>
          <w:tcPr>
            <w:tcW w:w="1643" w:type="dxa"/>
            <w:vAlign w:val="center"/>
          </w:tcPr>
          <w:p>
            <w:pPr>
              <w:pStyle w:val="13"/>
            </w:pPr>
          </w:p>
        </w:tc>
        <w:tc>
          <w:tcPr>
            <w:tcW w:w="1643" w:type="dxa"/>
            <w:vAlign w:val="center"/>
          </w:tcPr>
          <w:p>
            <w:pPr>
              <w:pStyle w:val="13"/>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22.40</w:t>
            </w:r>
          </w:p>
        </w:tc>
        <w:tc>
          <w:tcPr>
            <w:tcW w:w="1643" w:type="dxa"/>
            <w:vAlign w:val="center"/>
          </w:tcPr>
          <w:p>
            <w:pPr>
              <w:pStyle w:val="13"/>
            </w:pPr>
          </w:p>
        </w:tc>
        <w:tc>
          <w:tcPr>
            <w:tcW w:w="1643" w:type="dxa"/>
            <w:vAlign w:val="center"/>
          </w:tcPr>
          <w:p>
            <w:pPr>
              <w:pStyle w:val="13"/>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2080899</w:t>
            </w:r>
          </w:p>
        </w:tc>
        <w:tc>
          <w:tcPr>
            <w:tcW w:w="1643" w:type="dxa"/>
            <w:vAlign w:val="center"/>
          </w:tcPr>
          <w:p>
            <w:pPr>
              <w:pStyle w:val="14"/>
            </w:pPr>
            <w:r>
              <w:t>其他优抚支出</w:t>
            </w:r>
          </w:p>
        </w:tc>
        <w:tc>
          <w:tcPr>
            <w:tcW w:w="1643" w:type="dxa"/>
            <w:vAlign w:val="center"/>
          </w:tcPr>
          <w:p>
            <w:pPr>
              <w:pStyle w:val="13"/>
            </w:pPr>
            <w:r>
              <w:t>22.40</w:t>
            </w:r>
          </w:p>
        </w:tc>
        <w:tc>
          <w:tcPr>
            <w:tcW w:w="1643" w:type="dxa"/>
            <w:vAlign w:val="center"/>
          </w:tcPr>
          <w:p>
            <w:pPr>
              <w:pStyle w:val="13"/>
            </w:pPr>
          </w:p>
        </w:tc>
        <w:tc>
          <w:tcPr>
            <w:tcW w:w="1643" w:type="dxa"/>
            <w:vAlign w:val="center"/>
          </w:tcPr>
          <w:p>
            <w:pPr>
              <w:pStyle w:val="13"/>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360.00</w:t>
            </w:r>
          </w:p>
        </w:tc>
        <w:tc>
          <w:tcPr>
            <w:tcW w:w="1643" w:type="dxa"/>
            <w:vAlign w:val="center"/>
          </w:tcPr>
          <w:p>
            <w:pPr>
              <w:pStyle w:val="13"/>
            </w:pPr>
          </w:p>
        </w:tc>
        <w:tc>
          <w:tcPr>
            <w:tcW w:w="1643"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21299</w:t>
            </w:r>
          </w:p>
        </w:tc>
        <w:tc>
          <w:tcPr>
            <w:tcW w:w="1643" w:type="dxa"/>
            <w:vAlign w:val="center"/>
          </w:tcPr>
          <w:p>
            <w:pPr>
              <w:pStyle w:val="14"/>
            </w:pPr>
            <w:r>
              <w:t>其他城乡社区支出</w:t>
            </w:r>
          </w:p>
        </w:tc>
        <w:tc>
          <w:tcPr>
            <w:tcW w:w="1643" w:type="dxa"/>
            <w:vAlign w:val="center"/>
          </w:tcPr>
          <w:p>
            <w:pPr>
              <w:pStyle w:val="13"/>
            </w:pPr>
            <w:r>
              <w:t>360.00</w:t>
            </w:r>
          </w:p>
        </w:tc>
        <w:tc>
          <w:tcPr>
            <w:tcW w:w="1643" w:type="dxa"/>
            <w:vAlign w:val="center"/>
          </w:tcPr>
          <w:p>
            <w:pPr>
              <w:pStyle w:val="13"/>
            </w:pPr>
          </w:p>
        </w:tc>
        <w:tc>
          <w:tcPr>
            <w:tcW w:w="1643"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2129999</w:t>
            </w:r>
          </w:p>
        </w:tc>
        <w:tc>
          <w:tcPr>
            <w:tcW w:w="1643" w:type="dxa"/>
            <w:vAlign w:val="center"/>
          </w:tcPr>
          <w:p>
            <w:pPr>
              <w:pStyle w:val="14"/>
            </w:pPr>
            <w:r>
              <w:t>其他城乡社区支出</w:t>
            </w:r>
          </w:p>
        </w:tc>
        <w:tc>
          <w:tcPr>
            <w:tcW w:w="1643" w:type="dxa"/>
            <w:vAlign w:val="center"/>
          </w:tcPr>
          <w:p>
            <w:pPr>
              <w:pStyle w:val="13"/>
            </w:pPr>
            <w:r>
              <w:t>360.00</w:t>
            </w:r>
          </w:p>
        </w:tc>
        <w:tc>
          <w:tcPr>
            <w:tcW w:w="1643" w:type="dxa"/>
            <w:vAlign w:val="center"/>
          </w:tcPr>
          <w:p>
            <w:pPr>
              <w:pStyle w:val="13"/>
            </w:pPr>
          </w:p>
        </w:tc>
        <w:tc>
          <w:tcPr>
            <w:tcW w:w="1643"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6158.93</w:t>
            </w:r>
          </w:p>
        </w:tc>
        <w:tc>
          <w:tcPr>
            <w:tcW w:w="1643" w:type="dxa"/>
            <w:vAlign w:val="center"/>
          </w:tcPr>
          <w:p>
            <w:pPr>
              <w:pStyle w:val="13"/>
            </w:pPr>
          </w:p>
        </w:tc>
        <w:tc>
          <w:tcPr>
            <w:tcW w:w="1643" w:type="dxa"/>
            <w:vAlign w:val="center"/>
          </w:tcPr>
          <w:p>
            <w:pPr>
              <w:pStyle w:val="13"/>
            </w:pPr>
            <w:r>
              <w:t>6158.93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240.23</w:t>
            </w:r>
          </w:p>
        </w:tc>
        <w:tc>
          <w:tcPr>
            <w:tcW w:w="1643" w:type="dxa"/>
            <w:vAlign w:val="center"/>
          </w:tcPr>
          <w:p>
            <w:pPr>
              <w:pStyle w:val="13"/>
            </w:pPr>
          </w:p>
        </w:tc>
        <w:tc>
          <w:tcPr>
            <w:tcW w:w="1643" w:type="dxa"/>
            <w:vAlign w:val="center"/>
          </w:tcPr>
          <w:p>
            <w:pPr>
              <w:pStyle w:val="13"/>
            </w:pPr>
            <w:r>
              <w:t>240.23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2130152</w:t>
            </w:r>
          </w:p>
        </w:tc>
        <w:tc>
          <w:tcPr>
            <w:tcW w:w="1643" w:type="dxa"/>
            <w:vAlign w:val="center"/>
          </w:tcPr>
          <w:p>
            <w:pPr>
              <w:pStyle w:val="14"/>
            </w:pPr>
            <w:r>
              <w:t>对高校毕业生到基层任职补助</w:t>
            </w:r>
          </w:p>
        </w:tc>
        <w:tc>
          <w:tcPr>
            <w:tcW w:w="1643" w:type="dxa"/>
            <w:vAlign w:val="center"/>
          </w:tcPr>
          <w:p>
            <w:pPr>
              <w:pStyle w:val="13"/>
            </w:pPr>
            <w:r>
              <w:t>240.23</w:t>
            </w:r>
          </w:p>
        </w:tc>
        <w:tc>
          <w:tcPr>
            <w:tcW w:w="1643" w:type="dxa"/>
            <w:vAlign w:val="center"/>
          </w:tcPr>
          <w:p>
            <w:pPr>
              <w:pStyle w:val="13"/>
            </w:pPr>
          </w:p>
        </w:tc>
        <w:tc>
          <w:tcPr>
            <w:tcW w:w="1643" w:type="dxa"/>
            <w:vAlign w:val="center"/>
          </w:tcPr>
          <w:p>
            <w:pPr>
              <w:pStyle w:val="13"/>
            </w:pPr>
            <w:r>
              <w:t>240.23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5918.70</w:t>
            </w:r>
          </w:p>
        </w:tc>
        <w:tc>
          <w:tcPr>
            <w:tcW w:w="1643" w:type="dxa"/>
            <w:vAlign w:val="center"/>
          </w:tcPr>
          <w:p>
            <w:pPr>
              <w:pStyle w:val="13"/>
            </w:pPr>
          </w:p>
        </w:tc>
        <w:tc>
          <w:tcPr>
            <w:tcW w:w="1643" w:type="dxa"/>
            <w:vAlign w:val="center"/>
          </w:tcPr>
          <w:p>
            <w:pPr>
              <w:pStyle w:val="13"/>
            </w:pPr>
            <w:r>
              <w:t>5918.70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5918.70</w:t>
            </w:r>
          </w:p>
        </w:tc>
        <w:tc>
          <w:tcPr>
            <w:tcW w:w="1643" w:type="dxa"/>
            <w:vAlign w:val="center"/>
          </w:tcPr>
          <w:p>
            <w:pPr>
              <w:pStyle w:val="13"/>
            </w:pPr>
          </w:p>
        </w:tc>
        <w:tc>
          <w:tcPr>
            <w:tcW w:w="1643" w:type="dxa"/>
            <w:vAlign w:val="center"/>
          </w:tcPr>
          <w:p>
            <w:pPr>
              <w:pStyle w:val="13"/>
            </w:pPr>
            <w:r>
              <w:t>5918.70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976.12</w:t>
            </w:r>
          </w:p>
        </w:tc>
        <w:tc>
          <w:tcPr>
            <w:tcW w:w="1643" w:type="dxa"/>
            <w:vAlign w:val="center"/>
          </w:tcPr>
          <w:p>
            <w:pPr>
              <w:pStyle w:val="17"/>
            </w:pPr>
            <w:r>
              <w:t>898.14</w:t>
            </w:r>
          </w:p>
        </w:tc>
        <w:tc>
          <w:tcPr>
            <w:tcW w:w="1643" w:type="dxa"/>
            <w:vAlign w:val="center"/>
          </w:tcPr>
          <w:p>
            <w:pPr>
              <w:pStyle w:val="17"/>
            </w:pPr>
            <w:r>
              <w:t>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896.76</w:t>
            </w:r>
          </w:p>
        </w:tc>
        <w:tc>
          <w:tcPr>
            <w:tcW w:w="1643" w:type="dxa"/>
            <w:vAlign w:val="center"/>
          </w:tcPr>
          <w:p>
            <w:pPr>
              <w:pStyle w:val="13"/>
            </w:pPr>
            <w:r>
              <w:t>896.76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216.72</w:t>
            </w:r>
          </w:p>
        </w:tc>
        <w:tc>
          <w:tcPr>
            <w:tcW w:w="1643" w:type="dxa"/>
            <w:vAlign w:val="center"/>
          </w:tcPr>
          <w:p>
            <w:pPr>
              <w:pStyle w:val="13"/>
            </w:pPr>
            <w:r>
              <w:t>216.72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337.04</w:t>
            </w:r>
          </w:p>
        </w:tc>
        <w:tc>
          <w:tcPr>
            <w:tcW w:w="1643" w:type="dxa"/>
            <w:vAlign w:val="center"/>
          </w:tcPr>
          <w:p>
            <w:pPr>
              <w:pStyle w:val="13"/>
            </w:pPr>
            <w:r>
              <w:t>337.04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14.27</w:t>
            </w:r>
          </w:p>
        </w:tc>
        <w:tc>
          <w:tcPr>
            <w:tcW w:w="1643" w:type="dxa"/>
            <w:vAlign w:val="center"/>
          </w:tcPr>
          <w:p>
            <w:pPr>
              <w:pStyle w:val="13"/>
            </w:pPr>
            <w:r>
              <w:t>14.27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43.17</w:t>
            </w:r>
          </w:p>
        </w:tc>
        <w:tc>
          <w:tcPr>
            <w:tcW w:w="1643" w:type="dxa"/>
            <w:vAlign w:val="center"/>
          </w:tcPr>
          <w:p>
            <w:pPr>
              <w:pStyle w:val="13"/>
            </w:pPr>
            <w:r>
              <w:t>43.17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70.65</w:t>
            </w:r>
          </w:p>
        </w:tc>
        <w:tc>
          <w:tcPr>
            <w:tcW w:w="1643" w:type="dxa"/>
            <w:vAlign w:val="center"/>
          </w:tcPr>
          <w:p>
            <w:pPr>
              <w:pStyle w:val="13"/>
            </w:pPr>
            <w:r>
              <w:t>70.65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58.72</w:t>
            </w:r>
          </w:p>
        </w:tc>
        <w:tc>
          <w:tcPr>
            <w:tcW w:w="1643" w:type="dxa"/>
            <w:vAlign w:val="center"/>
          </w:tcPr>
          <w:p>
            <w:pPr>
              <w:pStyle w:val="13"/>
            </w:pPr>
            <w:r>
              <w:t>58.72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28.70</w:t>
            </w:r>
          </w:p>
        </w:tc>
        <w:tc>
          <w:tcPr>
            <w:tcW w:w="1643" w:type="dxa"/>
            <w:vAlign w:val="center"/>
          </w:tcPr>
          <w:p>
            <w:pPr>
              <w:pStyle w:val="13"/>
            </w:pPr>
            <w:r>
              <w:t>28.70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68.90</w:t>
            </w:r>
          </w:p>
        </w:tc>
        <w:tc>
          <w:tcPr>
            <w:tcW w:w="1643" w:type="dxa"/>
            <w:vAlign w:val="center"/>
          </w:tcPr>
          <w:p>
            <w:pPr>
              <w:pStyle w:val="13"/>
            </w:pPr>
            <w:r>
              <w:t>68.90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58.59</w:t>
            </w:r>
          </w:p>
        </w:tc>
        <w:tc>
          <w:tcPr>
            <w:tcW w:w="1643" w:type="dxa"/>
            <w:vAlign w:val="center"/>
          </w:tcPr>
          <w:p>
            <w:pPr>
              <w:pStyle w:val="13"/>
            </w:pPr>
            <w:r>
              <w:t>58.59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77.98</w:t>
            </w:r>
          </w:p>
        </w:tc>
        <w:tc>
          <w:tcPr>
            <w:tcW w:w="1643" w:type="dxa"/>
            <w:vAlign w:val="center"/>
          </w:tcPr>
          <w:p>
            <w:pPr>
              <w:pStyle w:val="13"/>
            </w:pPr>
          </w:p>
        </w:tc>
        <w:tc>
          <w:tcPr>
            <w:tcW w:w="1643" w:type="dxa"/>
            <w:vAlign w:val="center"/>
          </w:tcPr>
          <w:p>
            <w:pPr>
              <w:pStyle w:val="13"/>
            </w:pPr>
            <w:r>
              <w:t>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17.70</w:t>
            </w:r>
          </w:p>
        </w:tc>
        <w:tc>
          <w:tcPr>
            <w:tcW w:w="1643" w:type="dxa"/>
            <w:vAlign w:val="center"/>
          </w:tcPr>
          <w:p>
            <w:pPr>
              <w:pStyle w:val="13"/>
            </w:pPr>
          </w:p>
        </w:tc>
        <w:tc>
          <w:tcPr>
            <w:tcW w:w="1643" w:type="dxa"/>
            <w:vAlign w:val="center"/>
          </w:tcPr>
          <w:p>
            <w:pPr>
              <w:pStyle w:val="13"/>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20.77</w:t>
            </w:r>
          </w:p>
        </w:tc>
        <w:tc>
          <w:tcPr>
            <w:tcW w:w="1643" w:type="dxa"/>
            <w:vAlign w:val="center"/>
          </w:tcPr>
          <w:p>
            <w:pPr>
              <w:pStyle w:val="13"/>
            </w:pPr>
          </w:p>
        </w:tc>
        <w:tc>
          <w:tcPr>
            <w:tcW w:w="1643" w:type="dxa"/>
            <w:vAlign w:val="center"/>
          </w:tcPr>
          <w:p>
            <w:pPr>
              <w:pStyle w:val="13"/>
            </w:pPr>
            <w:r>
              <w:t>20.77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4.73</w:t>
            </w:r>
          </w:p>
        </w:tc>
        <w:tc>
          <w:tcPr>
            <w:tcW w:w="1643" w:type="dxa"/>
            <w:vAlign w:val="center"/>
          </w:tcPr>
          <w:p>
            <w:pPr>
              <w:pStyle w:val="13"/>
            </w:pPr>
          </w:p>
        </w:tc>
        <w:tc>
          <w:tcPr>
            <w:tcW w:w="1643" w:type="dxa"/>
            <w:vAlign w:val="center"/>
          </w:tcPr>
          <w:p>
            <w:pPr>
              <w:pStyle w:val="13"/>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4.47</w:t>
            </w:r>
          </w:p>
        </w:tc>
        <w:tc>
          <w:tcPr>
            <w:tcW w:w="1643" w:type="dxa"/>
            <w:vAlign w:val="center"/>
          </w:tcPr>
          <w:p>
            <w:pPr>
              <w:pStyle w:val="13"/>
            </w:pPr>
          </w:p>
        </w:tc>
        <w:tc>
          <w:tcPr>
            <w:tcW w:w="1643" w:type="dxa"/>
            <w:vAlign w:val="center"/>
          </w:tcPr>
          <w:p>
            <w:pPr>
              <w:pStyle w:val="13"/>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24.96</w:t>
            </w:r>
          </w:p>
        </w:tc>
        <w:tc>
          <w:tcPr>
            <w:tcW w:w="1643" w:type="dxa"/>
            <w:vAlign w:val="center"/>
          </w:tcPr>
          <w:p>
            <w:pPr>
              <w:pStyle w:val="13"/>
            </w:pPr>
          </w:p>
        </w:tc>
        <w:tc>
          <w:tcPr>
            <w:tcW w:w="1643" w:type="dxa"/>
            <w:vAlign w:val="center"/>
          </w:tcPr>
          <w:p>
            <w:pPr>
              <w:pStyle w:val="13"/>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3.14</w:t>
            </w:r>
          </w:p>
        </w:tc>
        <w:tc>
          <w:tcPr>
            <w:tcW w:w="1643" w:type="dxa"/>
            <w:vAlign w:val="center"/>
          </w:tcPr>
          <w:p>
            <w:pPr>
              <w:pStyle w:val="13"/>
            </w:pPr>
          </w:p>
        </w:tc>
        <w:tc>
          <w:tcPr>
            <w:tcW w:w="1643"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1.38</w:t>
            </w:r>
          </w:p>
        </w:tc>
        <w:tc>
          <w:tcPr>
            <w:tcW w:w="1643" w:type="dxa"/>
            <w:vAlign w:val="center"/>
          </w:tcPr>
          <w:p>
            <w:pPr>
              <w:pStyle w:val="13"/>
            </w:pPr>
            <w:r>
              <w:t>1.38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1.38</w:t>
            </w:r>
          </w:p>
        </w:tc>
        <w:tc>
          <w:tcPr>
            <w:tcW w:w="1643" w:type="dxa"/>
            <w:vAlign w:val="center"/>
          </w:tcPr>
          <w:p>
            <w:pPr>
              <w:pStyle w:val="13"/>
            </w:pPr>
            <w:r>
              <w:t>1.38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2257" w:firstLineChars="10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2257" w:firstLineChars="10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lang w:eastAsia="zh-CN"/>
              </w:rPr>
            </w:pPr>
            <w:r>
              <w:rPr>
                <w:rFonts w:hint="eastAsia"/>
                <w:lang w:eastAsia="zh-CN"/>
              </w:rPr>
              <w:t>93.95</w:t>
            </w:r>
          </w:p>
        </w:tc>
        <w:tc>
          <w:tcPr>
            <w:tcW w:w="1643" w:type="dxa"/>
            <w:vAlign w:val="center"/>
          </w:tcPr>
          <w:p>
            <w:pPr>
              <w:pStyle w:val="17"/>
              <w:rPr>
                <w:lang w:eastAsia="zh-CN"/>
              </w:rPr>
            </w:pPr>
            <w:r>
              <w:rPr>
                <w:rFonts w:hint="eastAsia"/>
                <w:lang w:eastAsia="zh-CN"/>
              </w:rPr>
              <w:t>93.95</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lang w:eastAsia="zh-CN"/>
              </w:rPr>
            </w:pPr>
            <w:r>
              <w:rPr>
                <w:rFonts w:hint="eastAsia"/>
                <w:lang w:eastAsia="zh-CN"/>
              </w:rPr>
              <w:t>2.2</w:t>
            </w:r>
          </w:p>
        </w:tc>
        <w:tc>
          <w:tcPr>
            <w:tcW w:w="1643" w:type="dxa"/>
            <w:vAlign w:val="center"/>
          </w:tcPr>
          <w:p>
            <w:pPr>
              <w:pStyle w:val="13"/>
              <w:rPr>
                <w:lang w:eastAsia="zh-CN"/>
              </w:rPr>
            </w:pPr>
            <w:r>
              <w:rPr>
                <w:rFonts w:hint="eastAsia"/>
                <w:lang w:eastAsia="zh-CN"/>
              </w:rP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rPr>
                <w:rFonts w:hint="default" w:eastAsia="方正书宋_GBK"/>
                <w:lang w:val="en-US" w:eastAsia="zh-CN"/>
              </w:rPr>
            </w:pPr>
            <w:r>
              <w:rPr>
                <w:rFonts w:hint="eastAsia"/>
                <w:lang w:val="en-US" w:eastAsia="zh-CN"/>
              </w:rPr>
              <w:t>2.2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r>
              <w:t>9.00</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r>
              <w:t>82.75</w:t>
            </w:r>
          </w:p>
        </w:tc>
        <w:tc>
          <w:tcPr>
            <w:tcW w:w="1643" w:type="dxa"/>
            <w:vAlign w:val="center"/>
          </w:tcPr>
          <w:p>
            <w:pPr>
              <w:pStyle w:val="13"/>
            </w:pPr>
            <w:r>
              <w:t>82.75</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中国共产党石家庄市藁城区委员会组织部本级2022年单位预算信息公开情况说明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按照《预算法》、《地方预决算公开操作规程》和《关于进一步推进预算公开工作的实施意见》规定，现将中国共产党石家庄市藁城区委员会组织部本级2022年单位预算公开如下：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9"/>
      </w:pPr>
      <w:r>
        <w:t>1、根据党的路线、方针、政策和上级的指示、决议，研究制定具体实施意见，并抓好落实。</w:t>
      </w:r>
    </w:p>
    <w:p>
      <w:pPr>
        <w:pStyle w:val="19"/>
      </w:pPr>
      <w:r>
        <w:t>2、检查督促区直部门党组（党委）和乡镇党委贯彻执行民主集中制，坚持集体领导和民主生活会制度情况，加强领导班子的思想作风建设，总结推广经验，提出改进意见。</w:t>
      </w:r>
    </w:p>
    <w:p>
      <w:pPr>
        <w:pStyle w:val="19"/>
      </w:pPr>
      <w:r>
        <w:t>3、贯彻执行党的干部路线和干部政策，按照改革的要求，搞好全区干部队伍的宏观管理、教育、培训、规划，抓好具体落实，提高干部队伍素质。</w:t>
      </w:r>
    </w:p>
    <w:p>
      <w:pPr>
        <w:pStyle w:val="19"/>
      </w:pPr>
      <w:r>
        <w:t>4、按照“四化”标准和德才兼备的原则，搞好乡科级领导班子和领导干部的调配、任免、管理和监督工作。搞好后备干部的选拔、培养和管理。</w:t>
      </w:r>
    </w:p>
    <w:p>
      <w:pPr>
        <w:pStyle w:val="19"/>
      </w:pPr>
      <w:r>
        <w:t>5、负责全区乡科级领导班子及成员的考核工作。</w:t>
      </w:r>
    </w:p>
    <w:p>
      <w:pPr>
        <w:pStyle w:val="19"/>
      </w:pPr>
      <w:r>
        <w:t>6、负责党的基层组织建设和党员队伍建设，搞好全区党员发展和教育管理，以及党费收缴、管理和使用工作。</w:t>
      </w:r>
    </w:p>
    <w:p>
      <w:pPr>
        <w:pStyle w:val="19"/>
      </w:pPr>
      <w:r>
        <w:t>7、认真做好全区人才管理工作，充分调动他们的积极性。</w:t>
      </w:r>
    </w:p>
    <w:p>
      <w:pPr>
        <w:pStyle w:val="19"/>
      </w:pPr>
      <w:r>
        <w:t>8、认真做好老干部管理工作。</w:t>
      </w:r>
    </w:p>
    <w:p>
      <w:pPr>
        <w:pStyle w:val="19"/>
      </w:pPr>
      <w:r>
        <w:t>9、负责组织史征编工作。</w:t>
      </w:r>
    </w:p>
    <w:p>
      <w:pPr>
        <w:ind w:firstLine="640"/>
        <w:rPr>
          <w:rFonts w:ascii="方正楷体_GBK" w:hAnsi="方正楷体_GBK" w:eastAsia="方正楷体_GBK" w:cs="方正楷体_GBK"/>
          <w:b/>
          <w:color w:val="000000"/>
          <w:sz w:val="32"/>
        </w:rPr>
      </w:pPr>
    </w:p>
    <w:p>
      <w:pPr>
        <w:pStyle w:val="31"/>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中国共产党石家庄市藁城区委员会组织部本级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单位预算安排的总体情况</w:t>
      </w:r>
    </w:p>
    <w:p>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按照预算管理有关规定，目前我省单位预算的编制实行综合预算管理，即全部收入和支出都反映在预算中。</w:t>
      </w:r>
    </w:p>
    <w:p>
      <w:pPr>
        <w:spacing w:line="500" w:lineRule="exact"/>
        <w:ind w:firstLine="640"/>
        <w:rPr>
          <w:rFonts w:hint="eastAsia" w:eastAsia="方正仿宋_GBK" w:cs="Times New Roman"/>
          <w:sz w:val="28"/>
        </w:rPr>
      </w:pPr>
      <w:r>
        <w:rPr>
          <w:rFonts w:hint="eastAsia" w:eastAsia="方正仿宋_GBK" w:cs="Times New Roman"/>
          <w:sz w:val="28"/>
        </w:rPr>
        <w:t>1、</w:t>
      </w:r>
      <w:r>
        <w:rPr>
          <w:rFonts w:eastAsia="方正仿宋_GBK" w:cs="Times New Roman"/>
          <w:sz w:val="28"/>
        </w:rPr>
        <w:t>收入说明</w:t>
      </w:r>
    </w:p>
    <w:p>
      <w:pPr>
        <w:spacing w:line="500" w:lineRule="exact"/>
        <w:ind w:firstLine="640"/>
        <w:rPr>
          <w:rFonts w:eastAsia="方正仿宋_GBK" w:cs="Times New Roman"/>
          <w:sz w:val="28"/>
        </w:rPr>
      </w:pPr>
      <w:r>
        <w:rPr>
          <w:rFonts w:hint="eastAsia" w:eastAsia="方正仿宋_GBK" w:cs="Times New Roman"/>
          <w:sz w:val="28"/>
        </w:rPr>
        <w:t>反映本单位当年全部收入。2022年预算收入8713.74万元，其中：一般公共预算收入8713.74万元，基金预算收入0万元，财政专户核拨收入0万元，其他来源收入0万元。</w:t>
      </w:r>
    </w:p>
    <w:p>
      <w:pPr>
        <w:spacing w:line="500" w:lineRule="exact"/>
        <w:ind w:firstLine="640"/>
        <w:rPr>
          <w:rFonts w:eastAsia="方正仿宋_GBK" w:cs="Times New Roman"/>
          <w:sz w:val="28"/>
        </w:rPr>
      </w:pPr>
      <w:r>
        <w:rPr>
          <w:rFonts w:hint="eastAsia" w:eastAsia="方正仿宋_GBK" w:cs="Times New Roman"/>
          <w:sz w:val="28"/>
        </w:rPr>
        <w:t>2、</w:t>
      </w:r>
      <w:r>
        <w:rPr>
          <w:rFonts w:eastAsia="方正仿宋_GBK" w:cs="Times New Roman"/>
          <w:sz w:val="28"/>
        </w:rPr>
        <w:t>支出说明</w:t>
      </w:r>
    </w:p>
    <w:p>
      <w:pPr>
        <w:spacing w:line="500" w:lineRule="exact"/>
        <w:ind w:firstLine="640"/>
        <w:rPr>
          <w:rFonts w:eastAsia="方正仿宋_GBK" w:cs="Times New Roman"/>
          <w:sz w:val="28"/>
        </w:rPr>
      </w:pPr>
      <w:r>
        <w:rPr>
          <w:rFonts w:hint="eastAsia" w:eastAsia="方正仿宋_GBK" w:cs="Times New Roman"/>
          <w:sz w:val="28"/>
        </w:rPr>
        <w:t>收支预算总表支出栏、基本支出表、项目支出表按经济分类和支出功能分类科目编制，反映本单位预算中支出预算的总体情况。2022年本单位支出预算为8713.74万元，其中基本支出976.12万元，包括人员经费898.14万元和日常公用经费77.98万元；项目支出7737.63万元，主要为</w:t>
      </w:r>
      <w:r>
        <w:rPr>
          <w:rFonts w:eastAsia="方正仿宋_GBK" w:cs="Times New Roman"/>
          <w:sz w:val="28"/>
        </w:rPr>
        <w:t>一般公共服务支出1196.30</w:t>
      </w:r>
      <w:r>
        <w:rPr>
          <w:rFonts w:hint="eastAsia" w:eastAsia="方正仿宋_GBK" w:cs="Times New Roman"/>
          <w:sz w:val="28"/>
        </w:rPr>
        <w:t>万元，</w:t>
      </w:r>
      <w:r>
        <w:rPr>
          <w:rFonts w:eastAsia="方正仿宋_GBK" w:cs="Times New Roman"/>
          <w:sz w:val="28"/>
        </w:rPr>
        <w:t>社会保障和就业支出22.40</w:t>
      </w:r>
      <w:r>
        <w:rPr>
          <w:rFonts w:hint="eastAsia" w:eastAsia="方正仿宋_GBK" w:cs="Times New Roman"/>
          <w:sz w:val="28"/>
        </w:rPr>
        <w:t>万元，</w:t>
      </w:r>
      <w:r>
        <w:rPr>
          <w:rFonts w:eastAsia="方正仿宋_GBK" w:cs="Times New Roman"/>
          <w:sz w:val="28"/>
        </w:rPr>
        <w:t>城乡社区支出360.00</w:t>
      </w:r>
      <w:r>
        <w:rPr>
          <w:rFonts w:hint="eastAsia" w:eastAsia="方正仿宋_GBK" w:cs="Times New Roman"/>
          <w:sz w:val="28"/>
        </w:rPr>
        <w:t>万元，</w:t>
      </w:r>
      <w:r>
        <w:rPr>
          <w:rFonts w:eastAsia="方正仿宋_GBK" w:cs="Times New Roman"/>
          <w:sz w:val="28"/>
        </w:rPr>
        <w:t>农林水支出6158.93</w:t>
      </w:r>
      <w:r>
        <w:rPr>
          <w:rFonts w:hint="eastAsia" w:eastAsia="方正仿宋_GBK" w:cs="Times New Roman"/>
          <w:sz w:val="28"/>
        </w:rPr>
        <w:t>万元，其他支出0万元。</w:t>
      </w:r>
    </w:p>
    <w:p>
      <w:pPr>
        <w:spacing w:line="500" w:lineRule="exact"/>
        <w:ind w:firstLine="640"/>
        <w:rPr>
          <w:rFonts w:eastAsia="方正仿宋_GBK" w:cs="Times New Roman"/>
          <w:sz w:val="28"/>
        </w:rPr>
      </w:pPr>
      <w:r>
        <w:rPr>
          <w:rFonts w:hint="eastAsia" w:eastAsia="方正仿宋_GBK" w:cs="Times New Roman"/>
          <w:sz w:val="28"/>
        </w:rPr>
        <w:t>3、</w:t>
      </w:r>
      <w:r>
        <w:rPr>
          <w:rFonts w:eastAsia="方正仿宋_GBK" w:cs="Times New Roman"/>
          <w:sz w:val="28"/>
        </w:rPr>
        <w:t>比上年增减情况</w:t>
      </w:r>
    </w:p>
    <w:p>
      <w:pPr>
        <w:spacing w:line="500" w:lineRule="exact"/>
        <w:ind w:firstLine="640"/>
        <w:rPr>
          <w:rFonts w:hint="eastAsia" w:eastAsia="方正仿宋_GBK" w:cs="Times New Roman"/>
          <w:sz w:val="28"/>
        </w:rPr>
      </w:pPr>
      <w:r>
        <w:rPr>
          <w:rFonts w:hint="eastAsia" w:eastAsia="方正仿宋_GBK" w:cs="Times New Roman"/>
          <w:sz w:val="28"/>
        </w:rPr>
        <w:t>2022年单位预算收支安排8713.74万元，较2021年增加1656.74万元，其中：基本支出增加89.15万元，主要是成立人才服务中心人员增加，相应增加人员经费和日常公用经费；项目支出增加1567.59万元，主要是增加 村干部绩效工资补贴，村级办公经费，党建工作专项经费，服务群众专项经费，党组织服务群众专项经费，社区工作经费；其他支出无增减变化。</w:t>
      </w:r>
    </w:p>
    <w:p>
      <w:pPr>
        <w:numPr>
          <w:ilvl w:val="0"/>
          <w:numId w:val="2"/>
        </w:numPr>
        <w:spacing w:line="500" w:lineRule="exact"/>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500" w:lineRule="exact"/>
        <w:ind w:firstLine="640"/>
        <w:rPr>
          <w:rFonts w:hint="eastAsia" w:eastAsia="方正仿宋_GBK" w:cs="Times New Roman"/>
          <w:sz w:val="28"/>
        </w:rPr>
      </w:pPr>
      <w:r>
        <w:rPr>
          <w:rFonts w:hint="eastAsia" w:eastAsia="方正仿宋_GBK" w:cs="Times New Roman"/>
          <w:sz w:val="28"/>
        </w:rPr>
        <w:t>2022年，单位机关运行经费共计安排77.98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2"/>
        </w:numPr>
        <w:spacing w:line="500" w:lineRule="exact"/>
        <w:ind w:firstLine="640"/>
        <w:outlineLvl w:val="5"/>
        <w:rPr>
          <w:rFonts w:hint="eastAsia"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line="500" w:lineRule="exact"/>
        <w:ind w:firstLine="640"/>
        <w:rPr>
          <w:rFonts w:eastAsia="方正仿宋_GBK" w:cs="Times New Roman"/>
          <w:sz w:val="28"/>
        </w:rPr>
      </w:pPr>
      <w:r>
        <w:rPr>
          <w:rFonts w:hint="eastAsia" w:eastAsia="方正仿宋_GBK" w:cs="Times New Roman"/>
          <w:sz w:val="28"/>
        </w:rPr>
        <w:t>2022年，我单位财政拨款“三公”经费预算安排2.2万元，其中：因公出国（境）费0万元；公务用车购置及运维费2.2万元（其中：公务用车购置费0万元，公务用车运行维护费2.2万元)；公务接待费0万元。“三公”经费与上年持平，无增减变化。</w:t>
      </w:r>
    </w:p>
    <w:p>
      <w:pPr>
        <w:spacing w:before="10" w:after="10"/>
        <w:ind w:firstLine="640"/>
        <w:outlineLvl w:val="5"/>
      </w:pPr>
      <w:r>
        <w:rPr>
          <w:rFonts w:ascii="黑体" w:hAnsi="黑体" w:eastAsia="黑体" w:cs="黑体"/>
          <w:color w:val="000000"/>
          <w:sz w:val="32"/>
        </w:rPr>
        <w:t>五、预算绩效信息</w:t>
      </w:r>
    </w:p>
    <w:p>
      <w:pPr>
        <w:pStyle w:val="26"/>
        <w:ind w:firstLine="560"/>
      </w:pPr>
      <w:r>
        <w:rPr>
          <w:rFonts w:ascii="方正仿宋_GBK" w:hAnsi="方正仿宋_GBK" w:eastAsia="方正仿宋_GBK" w:cs="方正仿宋_GBK"/>
          <w:b/>
          <w:color w:val="000000"/>
          <w:sz w:val="28"/>
        </w:rPr>
        <w:t>1、包干会议费绩效目标表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1.传达上级任务和区委中心工作。</w:t>
            </w:r>
          </w:p>
          <w:p>
            <w:pPr>
              <w:pStyle w:val="28"/>
            </w:pPr>
            <w:r>
              <w:t>2.推动组织各项工作有效落实。</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召开会议次数</w:t>
            </w:r>
          </w:p>
        </w:tc>
        <w:tc>
          <w:tcPr>
            <w:tcW w:w="2466" w:type="dxa"/>
            <w:vAlign w:val="center"/>
          </w:tcPr>
          <w:p>
            <w:pPr>
              <w:pStyle w:val="28"/>
            </w:pPr>
            <w:r>
              <w:t>为传达上级任务和区委中心工作需要召开会议数。</w:t>
            </w:r>
          </w:p>
        </w:tc>
        <w:tc>
          <w:tcPr>
            <w:tcW w:w="2466" w:type="dxa"/>
            <w:vAlign w:val="center"/>
          </w:tcPr>
          <w:p>
            <w:pPr>
              <w:pStyle w:val="28"/>
            </w:pPr>
            <w:r>
              <w:t>≥10次</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召开会议后工作落实率</w:t>
            </w:r>
          </w:p>
        </w:tc>
        <w:tc>
          <w:tcPr>
            <w:tcW w:w="2466" w:type="dxa"/>
            <w:vAlign w:val="center"/>
          </w:tcPr>
          <w:p>
            <w:pPr>
              <w:pStyle w:val="28"/>
            </w:pPr>
            <w:r>
              <w:t>召开会议后传达落实工作的效率。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按上级要求和区委通知召开。</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按照项目预算支付会议费用。</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更好的服务群众</w:t>
            </w:r>
          </w:p>
        </w:tc>
        <w:tc>
          <w:tcPr>
            <w:tcW w:w="2466" w:type="dxa"/>
            <w:vAlign w:val="center"/>
          </w:tcPr>
          <w:p>
            <w:pPr>
              <w:pStyle w:val="28"/>
            </w:pPr>
            <w:r>
              <w:t>通过传达落实上级任务和区委中心工作，更好的服务群众。</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参会人员满意率。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2、大组工网、干部档案信息管理系统运维费绩效目标表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1.保证大组网、干部档案信息管理系统安全运行。</w:t>
            </w:r>
          </w:p>
          <w:p>
            <w:pPr>
              <w:pStyle w:val="28"/>
            </w:pPr>
            <w:r>
              <w:t>2.提高系统操作人员业务素质和履职能力。</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系统数据安全运行天数</w:t>
            </w:r>
          </w:p>
        </w:tc>
        <w:tc>
          <w:tcPr>
            <w:tcW w:w="2466" w:type="dxa"/>
            <w:vAlign w:val="center"/>
          </w:tcPr>
          <w:p>
            <w:pPr>
              <w:pStyle w:val="28"/>
            </w:pPr>
            <w:r>
              <w:t>系统数据年安全运行天数。</w:t>
            </w:r>
          </w:p>
        </w:tc>
        <w:tc>
          <w:tcPr>
            <w:tcW w:w="2466" w:type="dxa"/>
            <w:vAlign w:val="center"/>
          </w:tcPr>
          <w:p>
            <w:pPr>
              <w:pStyle w:val="28"/>
            </w:pPr>
            <w:r>
              <w:t>≥350天</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系统设备安全运行率</w:t>
            </w:r>
          </w:p>
        </w:tc>
        <w:tc>
          <w:tcPr>
            <w:tcW w:w="2466" w:type="dxa"/>
            <w:vAlign w:val="center"/>
          </w:tcPr>
          <w:p>
            <w:pPr>
              <w:pStyle w:val="28"/>
            </w:pPr>
            <w:r>
              <w:t>系统设备年安全运行天数占比。</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按照合同约定及时支付系统运维费，进行业务培训。</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w:t>
            </w:r>
          </w:p>
        </w:tc>
        <w:tc>
          <w:tcPr>
            <w:tcW w:w="2466" w:type="dxa"/>
            <w:vAlign w:val="center"/>
          </w:tcPr>
          <w:p>
            <w:pPr>
              <w:pStyle w:val="28"/>
            </w:pPr>
            <w:r>
              <w:t>根据维护服务项目标准支付费用。</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资源、信息共享</w:t>
            </w:r>
          </w:p>
        </w:tc>
        <w:tc>
          <w:tcPr>
            <w:tcW w:w="2466" w:type="dxa"/>
            <w:vAlign w:val="center"/>
          </w:tcPr>
          <w:p>
            <w:pPr>
              <w:pStyle w:val="28"/>
            </w:pPr>
            <w:r>
              <w:t>对上级部门联网的使用率。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满意和较满意的受益对象占全部调研对象的比例。</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3、党员干部远程教育基层站点运行费绩效目标表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1.做好远程教育站点的维护管理。</w:t>
            </w:r>
          </w:p>
          <w:p>
            <w:pPr>
              <w:pStyle w:val="28"/>
            </w:pPr>
            <w:r>
              <w:t>2.提高农村党员干部的理论水平和致富能力。</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利用远教站点学习培训次数</w:t>
            </w:r>
          </w:p>
        </w:tc>
        <w:tc>
          <w:tcPr>
            <w:tcW w:w="2466" w:type="dxa"/>
            <w:vAlign w:val="center"/>
          </w:tcPr>
          <w:p>
            <w:pPr>
              <w:pStyle w:val="28"/>
            </w:pPr>
            <w:r>
              <w:t>每月利用远教站点学习培训不低于2次。</w:t>
            </w:r>
          </w:p>
        </w:tc>
        <w:tc>
          <w:tcPr>
            <w:tcW w:w="2466" w:type="dxa"/>
            <w:vAlign w:val="center"/>
          </w:tcPr>
          <w:p>
            <w:pPr>
              <w:pStyle w:val="28"/>
            </w:pPr>
            <w:r>
              <w:t>≥2个</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远程教育站点的利用率</w:t>
            </w:r>
          </w:p>
        </w:tc>
        <w:tc>
          <w:tcPr>
            <w:tcW w:w="2466" w:type="dxa"/>
            <w:vAlign w:val="center"/>
          </w:tcPr>
          <w:p>
            <w:pPr>
              <w:pStyle w:val="28"/>
            </w:pPr>
            <w:r>
              <w:t>实际参加远程教育学习站点占远程教育站点总数的比率。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各站点每月利用远程教育站点学习的及时程度。</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按照项目合同要求支付站点运行费。</w:t>
            </w:r>
          </w:p>
        </w:tc>
        <w:tc>
          <w:tcPr>
            <w:tcW w:w="2466" w:type="dxa"/>
            <w:vAlign w:val="center"/>
          </w:tcPr>
          <w:p>
            <w:pPr>
              <w:pStyle w:val="28"/>
            </w:pPr>
            <w:r>
              <w:t>100%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提高党员素质教育水平</w:t>
            </w:r>
          </w:p>
        </w:tc>
        <w:tc>
          <w:tcPr>
            <w:tcW w:w="2466" w:type="dxa"/>
            <w:vAlign w:val="center"/>
          </w:tcPr>
          <w:p>
            <w:pPr>
              <w:pStyle w:val="28"/>
            </w:pPr>
            <w:r>
              <w:t>切实提高对党员政治理论水平的教育程度。</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参加学习人员满意度。</w:t>
            </w:r>
          </w:p>
        </w:tc>
        <w:tc>
          <w:tcPr>
            <w:tcW w:w="2466" w:type="dxa"/>
            <w:vAlign w:val="center"/>
          </w:tcPr>
          <w:p>
            <w:pPr>
              <w:pStyle w:val="28"/>
            </w:pPr>
            <w:r>
              <w:t>≥80%</w:t>
            </w:r>
          </w:p>
        </w:tc>
        <w:tc>
          <w:tcPr>
            <w:tcW w:w="2466" w:type="dxa"/>
            <w:vAlign w:val="center"/>
          </w:tcPr>
          <w:p>
            <w:pPr>
              <w:pStyle w:val="28"/>
            </w:pPr>
            <w:r>
              <w:t>抽样调查</w:t>
            </w:r>
            <w:r>
              <w:tab/>
            </w:r>
          </w:p>
          <w:p>
            <w:pPr>
              <w:pStyle w:val="28"/>
            </w:pPr>
          </w:p>
        </w:tc>
      </w:tr>
    </w:tbl>
    <w:p>
      <w:pPr>
        <w:pStyle w:val="26"/>
      </w:pPr>
    </w:p>
    <w:p>
      <w:pPr>
        <w:pStyle w:val="26"/>
        <w:ind w:firstLine="560"/>
      </w:pPr>
      <w:r>
        <w:rPr>
          <w:rFonts w:ascii="方正仿宋_GBK" w:hAnsi="方正仿宋_GBK" w:eastAsia="方正仿宋_GBK" w:cs="方正仿宋_GBK"/>
          <w:b/>
          <w:color w:val="000000"/>
          <w:sz w:val="28"/>
        </w:rPr>
        <w:t>4、档案业务办公耗材资金绩效目标表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1.保证干部职工档案管理的规范化、科学化。</w:t>
            </w:r>
          </w:p>
          <w:p>
            <w:pPr>
              <w:pStyle w:val="28"/>
            </w:pPr>
            <w:r>
              <w:t>2.保证档案查借收转日常工作的顺利运行及档案信息更新。</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全区干部职工档案管理的规范率</w:t>
            </w:r>
          </w:p>
        </w:tc>
        <w:tc>
          <w:tcPr>
            <w:tcW w:w="2466" w:type="dxa"/>
            <w:vAlign w:val="center"/>
          </w:tcPr>
          <w:p>
            <w:pPr>
              <w:pStyle w:val="28"/>
            </w:pPr>
            <w:r>
              <w:t>全区19000余卷干部职工档案管理的规范率。</w:t>
            </w:r>
          </w:p>
        </w:tc>
        <w:tc>
          <w:tcPr>
            <w:tcW w:w="2466" w:type="dxa"/>
            <w:vAlign w:val="center"/>
          </w:tcPr>
          <w:p>
            <w:pPr>
              <w:pStyle w:val="28"/>
            </w:pPr>
            <w:r>
              <w:t>≥19000卷（张）</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档案管理规范化</w:t>
            </w:r>
          </w:p>
        </w:tc>
        <w:tc>
          <w:tcPr>
            <w:tcW w:w="2466" w:type="dxa"/>
            <w:vAlign w:val="center"/>
          </w:tcPr>
          <w:p>
            <w:pPr>
              <w:pStyle w:val="28"/>
            </w:pPr>
            <w:r>
              <w:t>档案管理规范化，档案内容完善率。</w:t>
            </w:r>
          </w:p>
        </w:tc>
        <w:tc>
          <w:tcPr>
            <w:tcW w:w="2466" w:type="dxa"/>
            <w:vAlign w:val="center"/>
          </w:tcPr>
          <w:p>
            <w:pPr>
              <w:pStyle w:val="28"/>
            </w:pPr>
            <w:r>
              <w:t>≥95%</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及时购置档案管理相关用品</w:t>
            </w:r>
          </w:p>
        </w:tc>
        <w:tc>
          <w:tcPr>
            <w:tcW w:w="2466" w:type="dxa"/>
            <w:vAlign w:val="center"/>
          </w:tcPr>
          <w:p>
            <w:pPr>
              <w:pStyle w:val="28"/>
            </w:pPr>
            <w:r>
              <w:t>及时购置档案盒、分类纸、档案袋等档案管理相关用品，进一步提高我区干部档案的规范化、科学化。</w:t>
            </w:r>
          </w:p>
        </w:tc>
        <w:tc>
          <w:tcPr>
            <w:tcW w:w="2466" w:type="dxa"/>
            <w:vAlign w:val="center"/>
          </w:tcPr>
          <w:p>
            <w:pPr>
              <w:pStyle w:val="28"/>
            </w:pPr>
            <w:r>
              <w:t>≤11月底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w:t>
            </w:r>
          </w:p>
        </w:tc>
        <w:tc>
          <w:tcPr>
            <w:tcW w:w="2466" w:type="dxa"/>
            <w:vAlign w:val="center"/>
          </w:tcPr>
          <w:p>
            <w:pPr>
              <w:pStyle w:val="28"/>
            </w:pPr>
            <w:r>
              <w:t>根据实际购置档案日常管理相关物品支付费用。</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新入职人员档案接收整理</w:t>
            </w:r>
          </w:p>
        </w:tc>
        <w:tc>
          <w:tcPr>
            <w:tcW w:w="2466" w:type="dxa"/>
            <w:vAlign w:val="center"/>
          </w:tcPr>
          <w:p>
            <w:pPr>
              <w:pStyle w:val="28"/>
            </w:pPr>
            <w:r>
              <w:t>及时完成新入职人员档案整理装订档案归档，进一步提高我区干部档案的规范化、科学化水平。</w:t>
            </w:r>
          </w:p>
        </w:tc>
        <w:tc>
          <w:tcPr>
            <w:tcW w:w="2466" w:type="dxa"/>
            <w:vAlign w:val="center"/>
          </w:tcPr>
          <w:p>
            <w:pPr>
              <w:pStyle w:val="28"/>
            </w:pPr>
            <w:r>
              <w:t>≥300卷</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各单位档案相关工作人员满意度。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5、副处级以上老干部春节期间慰问经费绩效目标表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1.体现区委、区政府对老干部的关爱，每年组织开展全区经济社会发展情况通报，及时向老干部通报有关情况。</w:t>
            </w:r>
          </w:p>
          <w:p>
            <w:pPr>
              <w:pStyle w:val="28"/>
            </w:pPr>
            <w:r>
              <w:t>2.结合传统节日开展走访慰问活动1-2次。</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副处级以上退休领导干部人数</w:t>
            </w:r>
          </w:p>
        </w:tc>
        <w:tc>
          <w:tcPr>
            <w:tcW w:w="2466" w:type="dxa"/>
            <w:vAlign w:val="center"/>
          </w:tcPr>
          <w:p>
            <w:pPr>
              <w:pStyle w:val="28"/>
            </w:pPr>
            <w:r>
              <w:t>2021年底副处级以上退休领导干部42人。</w:t>
            </w:r>
          </w:p>
        </w:tc>
        <w:tc>
          <w:tcPr>
            <w:tcW w:w="2466" w:type="dxa"/>
            <w:vAlign w:val="center"/>
          </w:tcPr>
          <w:p>
            <w:pPr>
              <w:pStyle w:val="28"/>
            </w:pPr>
            <w:r>
              <w:t>≥40人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开展情况通报、走访慰问</w:t>
            </w:r>
          </w:p>
        </w:tc>
        <w:tc>
          <w:tcPr>
            <w:tcW w:w="2466" w:type="dxa"/>
            <w:vAlign w:val="center"/>
          </w:tcPr>
          <w:p>
            <w:pPr>
              <w:pStyle w:val="28"/>
            </w:pPr>
            <w:r>
              <w:t>开展情况通报、传统节日开展走访慰问，为老领导送去组织上的关爱，引导他们为我区经济社会发展发挥积极作用。</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开展情况通报、结合传统节日走访慰问1-2次。</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年初预算</w:t>
            </w:r>
          </w:p>
        </w:tc>
        <w:tc>
          <w:tcPr>
            <w:tcW w:w="2466" w:type="dxa"/>
            <w:vAlign w:val="center"/>
          </w:tcPr>
          <w:p>
            <w:pPr>
              <w:pStyle w:val="28"/>
            </w:pPr>
            <w:r>
              <w:t>约724元/人。</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提高参政议政能力</w:t>
            </w:r>
          </w:p>
        </w:tc>
        <w:tc>
          <w:tcPr>
            <w:tcW w:w="2466" w:type="dxa"/>
            <w:vAlign w:val="center"/>
          </w:tcPr>
          <w:p>
            <w:pPr>
              <w:pStyle w:val="28"/>
            </w:pPr>
            <w:r>
              <w:t>通过开展情况通报、传统节日开展走访慰问提高了副处级以上退休领导干部参政议政的能力。</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42名副处级以上退休领导参政议政的满意程度。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6、干部教育培训费绩效目标表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1.按照省委组织部2018-2022培训规划要求对干部进行培训，以坚定理想信念为根本，全面增强执政本领。</w:t>
            </w:r>
          </w:p>
          <w:p>
            <w:pPr>
              <w:pStyle w:val="28"/>
            </w:pPr>
            <w:r>
              <w:t>2.提高政治能力、调查研究能力、科学决策能力、改革攻坚能力、应急处突能力、群众工作能力、抓落实能力。</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培训人数</w:t>
            </w:r>
          </w:p>
        </w:tc>
        <w:tc>
          <w:tcPr>
            <w:tcW w:w="2466" w:type="dxa"/>
            <w:vAlign w:val="center"/>
          </w:tcPr>
          <w:p>
            <w:pPr>
              <w:pStyle w:val="28"/>
            </w:pPr>
            <w:r>
              <w:t>计划培训乡科级干部、中青年干部、2021年招录四级联考录用公务员和党群系统事业单位公开招聘人员。</w:t>
            </w:r>
          </w:p>
        </w:tc>
        <w:tc>
          <w:tcPr>
            <w:tcW w:w="2466" w:type="dxa"/>
            <w:vAlign w:val="center"/>
          </w:tcPr>
          <w:p>
            <w:pPr>
              <w:pStyle w:val="28"/>
            </w:pPr>
            <w:r>
              <w:t>≥700人（次）</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干部素质能力得到提升</w:t>
            </w:r>
          </w:p>
        </w:tc>
        <w:tc>
          <w:tcPr>
            <w:tcW w:w="2466" w:type="dxa"/>
            <w:vAlign w:val="center"/>
          </w:tcPr>
          <w:p>
            <w:pPr>
              <w:pStyle w:val="28"/>
            </w:pPr>
            <w:r>
              <w:t>通过培训，参训干部理论政策水平和专业化能力得到提升比率。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聚焦中央省市会议精神，结合年初制定的工作要点，举办相应培训班次。</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按照每个培训项目的预算支付培训班次费用。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干部素质能力得到提升</w:t>
            </w:r>
          </w:p>
        </w:tc>
        <w:tc>
          <w:tcPr>
            <w:tcW w:w="2466" w:type="dxa"/>
            <w:vAlign w:val="center"/>
          </w:tcPr>
          <w:p>
            <w:pPr>
              <w:pStyle w:val="28"/>
            </w:pPr>
            <w:r>
              <w:t>通过培训，参训干部理论政策水平和专业化能力得到提升。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参训学员满意度</w:t>
            </w:r>
          </w:p>
        </w:tc>
        <w:tc>
          <w:tcPr>
            <w:tcW w:w="2466" w:type="dxa"/>
            <w:vAlign w:val="center"/>
          </w:tcPr>
          <w:p>
            <w:pPr>
              <w:pStyle w:val="28"/>
            </w:pPr>
            <w:r>
              <w:t>培训班参训学员平均满意度。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7、关工委工作经费绩效目标表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1.发挥离退休干部政治、威望、经验、时空优势和特殊作用。</w:t>
            </w:r>
          </w:p>
          <w:p>
            <w:pPr>
              <w:pStyle w:val="28"/>
            </w:pPr>
            <w:r>
              <w:t>2.培养青少年健康成长，实现老干部老有所为。</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爱国主义教育开展次数</w:t>
            </w:r>
          </w:p>
        </w:tc>
        <w:tc>
          <w:tcPr>
            <w:tcW w:w="2466" w:type="dxa"/>
            <w:vAlign w:val="center"/>
          </w:tcPr>
          <w:p>
            <w:pPr>
              <w:pStyle w:val="28"/>
            </w:pPr>
            <w:r>
              <w:t>结合学校教育对学生进行爱国主义教育，树立正确的世界观、人生观、价值观。</w:t>
            </w:r>
          </w:p>
        </w:tc>
        <w:tc>
          <w:tcPr>
            <w:tcW w:w="2466" w:type="dxa"/>
            <w:vAlign w:val="center"/>
          </w:tcPr>
          <w:p>
            <w:pPr>
              <w:pStyle w:val="28"/>
            </w:pPr>
            <w:r>
              <w:t>≥2次</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青少年能力素养得到提升率</w:t>
            </w:r>
          </w:p>
        </w:tc>
        <w:tc>
          <w:tcPr>
            <w:tcW w:w="2466" w:type="dxa"/>
            <w:vAlign w:val="center"/>
          </w:tcPr>
          <w:p>
            <w:pPr>
              <w:pStyle w:val="28"/>
            </w:pPr>
            <w:r>
              <w:t>通过开展爱国主义教育，受教育青少年各项能力素养得到全面提升。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根据上级关工委重点工作安排，开展爱国主义教育。</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按照项目预算支付各项费用。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青少年健康成长</w:t>
            </w:r>
          </w:p>
        </w:tc>
        <w:tc>
          <w:tcPr>
            <w:tcW w:w="2466" w:type="dxa"/>
            <w:vAlign w:val="center"/>
          </w:tcPr>
          <w:p>
            <w:pPr>
              <w:pStyle w:val="28"/>
            </w:pPr>
            <w:r>
              <w:t>培养全区青少年树立正确观念，成为品德、智力、体质等各方面优秀的人才。</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受教育青少年满意度。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8、建国前老党员生活补贴绩效目标表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1.落实好建国前入党的农村老党员和未享受离退休待遇的城镇老党员生活补贴发放。</w:t>
            </w:r>
          </w:p>
          <w:p>
            <w:pPr>
              <w:pStyle w:val="28"/>
            </w:pPr>
            <w:r>
              <w:t>2.让老党员安度晚年。</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老党员人数</w:t>
            </w:r>
          </w:p>
        </w:tc>
        <w:tc>
          <w:tcPr>
            <w:tcW w:w="2466" w:type="dxa"/>
            <w:vAlign w:val="center"/>
          </w:tcPr>
          <w:p>
            <w:pPr>
              <w:pStyle w:val="28"/>
            </w:pPr>
            <w:r>
              <w:t>享受老党员生活补贴人数44人。</w:t>
            </w:r>
          </w:p>
        </w:tc>
        <w:tc>
          <w:tcPr>
            <w:tcW w:w="2466" w:type="dxa"/>
            <w:vAlign w:val="center"/>
          </w:tcPr>
          <w:p>
            <w:pPr>
              <w:pStyle w:val="28"/>
            </w:pPr>
            <w:r>
              <w:t>44人</w:t>
            </w:r>
          </w:p>
        </w:tc>
        <w:tc>
          <w:tcPr>
            <w:tcW w:w="2466" w:type="dxa"/>
            <w:vAlign w:val="center"/>
          </w:tcPr>
          <w:p>
            <w:pPr>
              <w:pStyle w:val="28"/>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生活补贴发放率</w:t>
            </w:r>
          </w:p>
        </w:tc>
        <w:tc>
          <w:tcPr>
            <w:tcW w:w="2466" w:type="dxa"/>
            <w:vAlign w:val="center"/>
          </w:tcPr>
          <w:p>
            <w:pPr>
              <w:pStyle w:val="28"/>
            </w:pPr>
            <w:r>
              <w:t>实际发放老党员生活补贴人数占应发放人数比率。</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按照上级通知要求分两次发放。</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按照上级文件要求金额发放。</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生活改善率</w:t>
            </w:r>
          </w:p>
        </w:tc>
        <w:tc>
          <w:tcPr>
            <w:tcW w:w="2466" w:type="dxa"/>
            <w:vAlign w:val="center"/>
          </w:tcPr>
          <w:p>
            <w:pPr>
              <w:pStyle w:val="28"/>
            </w:pPr>
            <w:r>
              <w:t>领取补贴老党员日常生活改善比率。</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领取补贴老党员满意率。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9、老促会工作经费绩效目标表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1.弘扬和传承革命老区精神。</w:t>
            </w:r>
          </w:p>
          <w:p>
            <w:pPr>
              <w:pStyle w:val="28"/>
            </w:pPr>
            <w:r>
              <w:t>2.激发广大人民群众的有国热情。</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老区村数量</w:t>
            </w:r>
          </w:p>
        </w:tc>
        <w:tc>
          <w:tcPr>
            <w:tcW w:w="2466" w:type="dxa"/>
            <w:vAlign w:val="center"/>
          </w:tcPr>
          <w:p>
            <w:pPr>
              <w:pStyle w:val="28"/>
            </w:pPr>
            <w:r>
              <w:t>全区108个老区村。</w:t>
            </w:r>
          </w:p>
        </w:tc>
        <w:tc>
          <w:tcPr>
            <w:tcW w:w="2466" w:type="dxa"/>
            <w:vAlign w:val="center"/>
          </w:tcPr>
          <w:p>
            <w:pPr>
              <w:pStyle w:val="28"/>
            </w:pPr>
            <w:r>
              <w:t>≥100个</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重要人物、事件资料收集率</w:t>
            </w:r>
          </w:p>
        </w:tc>
        <w:tc>
          <w:tcPr>
            <w:tcW w:w="2466" w:type="dxa"/>
            <w:vAlign w:val="center"/>
          </w:tcPr>
          <w:p>
            <w:pPr>
              <w:pStyle w:val="28"/>
            </w:pPr>
            <w:r>
              <w:t>对老区村重要人物、时间资料收集覆盖率。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根据上级老促会重点工作安排，开展各项工作。</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按照项目预算支付各项费用。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老区村帮扶数</w:t>
            </w:r>
          </w:p>
        </w:tc>
        <w:tc>
          <w:tcPr>
            <w:tcW w:w="2466" w:type="dxa"/>
            <w:vAlign w:val="center"/>
          </w:tcPr>
          <w:p>
            <w:pPr>
              <w:pStyle w:val="28"/>
            </w:pPr>
            <w:r>
              <w:t>发挥离退休干部政治、威望、经验、时空优势和特殊作用，帮扶老区村发展。</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群众对老区村帮扶的整体满意度。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10、老干部活动经费绩效目标表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1.适应新形势新要求，满足老干部精神文化需求。</w:t>
            </w:r>
          </w:p>
          <w:p>
            <w:pPr>
              <w:pStyle w:val="28"/>
            </w:pPr>
            <w:r>
              <w:t>2.加强老干部活动中心阵地建设，开展文化娱乐、体育健身等各项文体活动。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老干部文体活动开展次数</w:t>
            </w:r>
          </w:p>
        </w:tc>
        <w:tc>
          <w:tcPr>
            <w:tcW w:w="2466" w:type="dxa"/>
            <w:vAlign w:val="center"/>
          </w:tcPr>
          <w:p>
            <w:pPr>
              <w:pStyle w:val="28"/>
            </w:pPr>
            <w:r>
              <w:t>每年定期举办老干部运动会及各项体育比赛，并结合七一、国庆节等适时举办书画展、文艺演出等丰富老干部精神文化生活。</w:t>
            </w:r>
          </w:p>
        </w:tc>
        <w:tc>
          <w:tcPr>
            <w:tcW w:w="2466" w:type="dxa"/>
            <w:vAlign w:val="center"/>
          </w:tcPr>
          <w:p>
            <w:pPr>
              <w:pStyle w:val="28"/>
            </w:pPr>
            <w:r>
              <w:t>≥3次</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参加活动老干部身心健康提升率</w:t>
            </w:r>
          </w:p>
        </w:tc>
        <w:tc>
          <w:tcPr>
            <w:tcW w:w="2466" w:type="dxa"/>
            <w:vAlign w:val="center"/>
          </w:tcPr>
          <w:p>
            <w:pPr>
              <w:pStyle w:val="28"/>
            </w:pPr>
            <w:r>
              <w:t>通过开展丰富多彩的文体活动，参加活动老干部展现了良好精神面貌和阳光心态，心身愉悦，健康程度得到提升。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按照省市老干部局通知要求，结合年初制定的工作要点，开展相应文体活动。</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按照项目预算支付开展各项文体活动费用。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老干部晚年生活质量提升率</w:t>
            </w:r>
          </w:p>
        </w:tc>
        <w:tc>
          <w:tcPr>
            <w:tcW w:w="2466" w:type="dxa"/>
            <w:vAlign w:val="center"/>
          </w:tcPr>
          <w:p>
            <w:pPr>
              <w:pStyle w:val="28"/>
            </w:pPr>
            <w:r>
              <w:t>通过开展各项文体活动，丰富老干部精神文化生活，让参加活动的老干部身心愉悦，健康程度得到提升，提高晚年生活质量。</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离退休干部对开展文化娱乐、体育健身等各项文体活动的满意程度。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11、老干部活动中心人员经费绩效目标表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1.组织管理区离退休干部开展学习交流，并提供相关服务。</w:t>
            </w:r>
          </w:p>
          <w:p>
            <w:pPr>
              <w:pStyle w:val="28"/>
            </w:pPr>
            <w:r>
              <w:t>2.组织管理区离退休干部开展文化娱乐等相关活动，并提供相关服务。</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发放人数</w:t>
            </w:r>
          </w:p>
        </w:tc>
        <w:tc>
          <w:tcPr>
            <w:tcW w:w="2466" w:type="dxa"/>
            <w:vAlign w:val="center"/>
          </w:tcPr>
          <w:p>
            <w:pPr>
              <w:pStyle w:val="28"/>
            </w:pPr>
            <w:r>
              <w:t>1名差额事业编制人员。</w:t>
            </w:r>
          </w:p>
        </w:tc>
        <w:tc>
          <w:tcPr>
            <w:tcW w:w="2466" w:type="dxa"/>
            <w:vAlign w:val="center"/>
          </w:tcPr>
          <w:p>
            <w:pPr>
              <w:pStyle w:val="28"/>
            </w:pPr>
            <w:r>
              <w:t>1人</w:t>
            </w:r>
          </w:p>
        </w:tc>
        <w:tc>
          <w:tcPr>
            <w:tcW w:w="2466" w:type="dxa"/>
            <w:vAlign w:val="center"/>
          </w:tcPr>
          <w:p>
            <w:pPr>
              <w:pStyle w:val="28"/>
            </w:pPr>
            <w:r>
              <w:t>调动审批表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工资、社保等按时足额缴纳率</w:t>
            </w:r>
          </w:p>
        </w:tc>
        <w:tc>
          <w:tcPr>
            <w:tcW w:w="2466" w:type="dxa"/>
            <w:vAlign w:val="center"/>
          </w:tcPr>
          <w:p>
            <w:pPr>
              <w:pStyle w:val="28"/>
            </w:pPr>
            <w:r>
              <w:t>确保活动中心差额事业编制人员每月工资、基础绩效及五险一金及时足额发放缴纳，奖励绩效按照通知要求及时发放。</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每月发放工资、基础绩效，缴纳五险一金，每年按照通知要求发放1次奖励绩效。</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工资、绩效、五险一金支出</w:t>
            </w:r>
          </w:p>
        </w:tc>
        <w:tc>
          <w:tcPr>
            <w:tcW w:w="2466" w:type="dxa"/>
            <w:vAlign w:val="center"/>
          </w:tcPr>
          <w:p>
            <w:pPr>
              <w:pStyle w:val="28"/>
            </w:pPr>
            <w:r>
              <w:t>按照工资审批表、奖励绩效审批表及五险一金征缴单发放缴纳。</w:t>
            </w:r>
          </w:p>
        </w:tc>
        <w:tc>
          <w:tcPr>
            <w:tcW w:w="2466" w:type="dxa"/>
            <w:vAlign w:val="center"/>
          </w:tcPr>
          <w:p>
            <w:pPr>
              <w:pStyle w:val="28"/>
            </w:pPr>
            <w:r>
              <w:t>≥90%</w:t>
            </w:r>
          </w:p>
        </w:tc>
        <w:tc>
          <w:tcPr>
            <w:tcW w:w="2466" w:type="dxa"/>
            <w:vAlign w:val="center"/>
          </w:tcPr>
          <w:p>
            <w:pPr>
              <w:pStyle w:val="28"/>
            </w:pPr>
            <w:r>
              <w:t>工资表、完税证明、征缴单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用心用情做好老干部工作</w:t>
            </w:r>
          </w:p>
        </w:tc>
        <w:tc>
          <w:tcPr>
            <w:tcW w:w="2466" w:type="dxa"/>
            <w:vAlign w:val="center"/>
          </w:tcPr>
          <w:p>
            <w:pPr>
              <w:pStyle w:val="28"/>
            </w:pPr>
            <w:r>
              <w:t>组织离退休干部开展更多丰富多彩的学习交流和文化娱乐等相关活动，让老干部身心愉悦。</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离退休干部对其所提供服务的满意程度。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12、老干部局业务费绩效目标表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1.维持老干部工作正常运转。</w:t>
            </w:r>
          </w:p>
          <w:p>
            <w:pPr>
              <w:pStyle w:val="28"/>
            </w:pPr>
            <w:r>
              <w:t>2.促进老干部工作有序开展。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业务费总量</w:t>
            </w:r>
          </w:p>
        </w:tc>
        <w:tc>
          <w:tcPr>
            <w:tcW w:w="2466" w:type="dxa"/>
            <w:vAlign w:val="center"/>
          </w:tcPr>
          <w:p>
            <w:pPr>
              <w:pStyle w:val="28"/>
            </w:pPr>
            <w:r>
              <w:t>老干部局业务费用于补充老干部活动中心日常办公等费用。</w:t>
            </w:r>
          </w:p>
        </w:tc>
        <w:tc>
          <w:tcPr>
            <w:tcW w:w="2466" w:type="dxa"/>
            <w:vAlign w:val="center"/>
          </w:tcPr>
          <w:p>
            <w:pPr>
              <w:pStyle w:val="28"/>
            </w:pPr>
            <w:r>
              <w:t>8万元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维护老干部活动中心正常运转率</w:t>
            </w:r>
          </w:p>
        </w:tc>
        <w:tc>
          <w:tcPr>
            <w:tcW w:w="2466" w:type="dxa"/>
            <w:vAlign w:val="center"/>
          </w:tcPr>
          <w:p>
            <w:pPr>
              <w:pStyle w:val="28"/>
            </w:pPr>
            <w:r>
              <w:t>业务费用于维护老干部工作正常运转，提升工作效率，打造整洁高效办公环境的比率。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用于及时支付老干部工作日常办公、通讯、水电、维修维护费等费用。</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按照项目预算支付各项费用。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保障日常活动正常开展率</w:t>
            </w:r>
          </w:p>
        </w:tc>
        <w:tc>
          <w:tcPr>
            <w:tcW w:w="2466" w:type="dxa"/>
            <w:vAlign w:val="center"/>
          </w:tcPr>
          <w:p>
            <w:pPr>
              <w:pStyle w:val="28"/>
            </w:pPr>
            <w:r>
              <w:t>为离退休干部提供整洁舒适的活动环境，让参加活动的老干部身心愉悦，健康程度得到提升，提高了晚年生活质量。</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离退休干部对活动中心提供服务的满意程度。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13、老干部特需费绩效目标表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1.按照上级有关政策规定，解决离退休干部特殊困难补助及思想政治建设、党支部建设、各类文体活动的经费开支。</w:t>
            </w:r>
          </w:p>
          <w:p>
            <w:pPr>
              <w:pStyle w:val="28"/>
            </w:pPr>
            <w:r>
              <w:t>2.关心照顾好他们的晚年生活。</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全区离退休干部人数</w:t>
            </w:r>
          </w:p>
        </w:tc>
        <w:tc>
          <w:tcPr>
            <w:tcW w:w="2466" w:type="dxa"/>
            <w:vAlign w:val="center"/>
          </w:tcPr>
          <w:p>
            <w:pPr>
              <w:pStyle w:val="28"/>
            </w:pPr>
            <w:r>
              <w:t>全区5000余名离退休老干部。</w:t>
            </w:r>
          </w:p>
        </w:tc>
        <w:tc>
          <w:tcPr>
            <w:tcW w:w="2466" w:type="dxa"/>
            <w:vAlign w:val="center"/>
          </w:tcPr>
          <w:p>
            <w:pPr>
              <w:pStyle w:val="28"/>
            </w:pPr>
            <w:r>
              <w:t>≥4500人</w:t>
            </w:r>
          </w:p>
        </w:tc>
        <w:tc>
          <w:tcPr>
            <w:tcW w:w="2466" w:type="dxa"/>
            <w:vAlign w:val="center"/>
          </w:tcPr>
          <w:p>
            <w:pPr>
              <w:pStyle w:val="28"/>
            </w:pPr>
            <w:r>
              <w:t>相关单位提供数据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政治、生活待遇落实率</w:t>
            </w:r>
          </w:p>
        </w:tc>
        <w:tc>
          <w:tcPr>
            <w:tcW w:w="2466" w:type="dxa"/>
            <w:vAlign w:val="center"/>
          </w:tcPr>
          <w:p>
            <w:pPr>
              <w:pStyle w:val="28"/>
            </w:pPr>
            <w:r>
              <w:t>落实离退休干部订阅报刊、走访慰问、参观考察等各项制度，结合元旦、春节等时间节点对全区老干部开展走访慰问，帮助解决工作生活上存在的问题。</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为离退休干部订阅报刊、开展走访慰问、举办运动会、书画展、文艺演出等活动。</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离休干部特需费1000元/人，退休干部100元/人。</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离退休干部身心健康愉悦率</w:t>
            </w:r>
          </w:p>
        </w:tc>
        <w:tc>
          <w:tcPr>
            <w:tcW w:w="2466" w:type="dxa"/>
            <w:vAlign w:val="center"/>
          </w:tcPr>
          <w:p>
            <w:pPr>
              <w:pStyle w:val="28"/>
            </w:pPr>
            <w:r>
              <w:t>落实好离退休干部政治生活待遇，让老同志及时了解党的重大方针政策，切身感受组织上的关怀。</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离退休干部对政治待遇、生活待遇、三个机制落实的满意程度。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14、领导干部探视费绩效目标表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1.按照冀办法〔2018〕35号文件要求，加大关心关爱力度，切实增强干部的荣誉感归属感获得感，逐步建立完善关心救助干部的长效机制。</w:t>
            </w:r>
          </w:p>
          <w:p>
            <w:pPr>
              <w:pStyle w:val="28"/>
            </w:pPr>
            <w:r>
              <w:t>2.关注干部身心健康，确保干部患病治疗期间能够充分感受组织关心关爱。</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探视人数</w:t>
            </w:r>
          </w:p>
        </w:tc>
        <w:tc>
          <w:tcPr>
            <w:tcW w:w="2466" w:type="dxa"/>
            <w:vAlign w:val="center"/>
          </w:tcPr>
          <w:p>
            <w:pPr>
              <w:pStyle w:val="28"/>
            </w:pPr>
            <w:r>
              <w:t>全区760名科级以上（含县处级）领导干部，按照15%比例核算人员数量计算约114人。</w:t>
            </w:r>
          </w:p>
        </w:tc>
        <w:tc>
          <w:tcPr>
            <w:tcW w:w="2466" w:type="dxa"/>
            <w:vAlign w:val="center"/>
          </w:tcPr>
          <w:p>
            <w:pPr>
              <w:pStyle w:val="28"/>
            </w:pPr>
            <w:r>
              <w:t>≥114人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使每名患病干部充分感受组织关爱。</w:t>
            </w:r>
          </w:p>
        </w:tc>
        <w:tc>
          <w:tcPr>
            <w:tcW w:w="2466" w:type="dxa"/>
            <w:vAlign w:val="center"/>
          </w:tcPr>
          <w:p>
            <w:pPr>
              <w:pStyle w:val="28"/>
            </w:pPr>
            <w:r>
              <w:t>干部身心健康，无后顾之忧，进一步确保党中央、国务院重大决策和各级工作部署落地落实。</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根据各单位申报、组织掌握等多途径了解掌握，适时开展。</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根据总工会文件，每人/次 1000元标准计算。</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干部身心健康，把全部精力投入干事创业上。</w:t>
            </w:r>
          </w:p>
        </w:tc>
        <w:tc>
          <w:tcPr>
            <w:tcW w:w="2466" w:type="dxa"/>
            <w:vAlign w:val="center"/>
          </w:tcPr>
          <w:p>
            <w:pPr>
              <w:pStyle w:val="28"/>
            </w:pPr>
            <w:r>
              <w:t>通过探视慰问，增强干部政治荣誉感和责任感，踏实工作。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探视慰问对象</w:t>
            </w:r>
          </w:p>
        </w:tc>
        <w:tc>
          <w:tcPr>
            <w:tcW w:w="2466" w:type="dxa"/>
            <w:vAlign w:val="center"/>
          </w:tcPr>
          <w:p>
            <w:pPr>
              <w:pStyle w:val="28"/>
            </w:pPr>
            <w:r>
              <w:t>探视慰问对象平均满意度。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15、年度考核工作经费绩效目标表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1.发挥考核“指挥棒”和“风向标”作用，激发干部争先创优的干劲，落实奖优罚劣的奖惩制度。</w:t>
            </w:r>
          </w:p>
          <w:p>
            <w:pPr>
              <w:pStyle w:val="28"/>
            </w:pPr>
            <w:r>
              <w:t>2.通过大督查，督促重点中心工作落地落实，落实督考合一的激励机制。</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编印各类资料、证书、表格等</w:t>
            </w:r>
          </w:p>
        </w:tc>
        <w:tc>
          <w:tcPr>
            <w:tcW w:w="2466" w:type="dxa"/>
            <w:vAlign w:val="center"/>
          </w:tcPr>
          <w:p>
            <w:pPr>
              <w:pStyle w:val="28"/>
            </w:pPr>
            <w:r>
              <w:t>印刷资料数量、证书数量、奖牌数量、考核表数量等。</w:t>
            </w:r>
          </w:p>
        </w:tc>
        <w:tc>
          <w:tcPr>
            <w:tcW w:w="2466" w:type="dxa"/>
            <w:vAlign w:val="center"/>
          </w:tcPr>
          <w:p>
            <w:pPr>
              <w:pStyle w:val="28"/>
            </w:pPr>
            <w:r>
              <w:t>≥25000（7000）本（张）</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年度考核奖金及时审批率</w:t>
            </w:r>
          </w:p>
        </w:tc>
        <w:tc>
          <w:tcPr>
            <w:tcW w:w="2466" w:type="dxa"/>
            <w:vAlign w:val="center"/>
          </w:tcPr>
          <w:p>
            <w:pPr>
              <w:pStyle w:val="28"/>
            </w:pPr>
            <w:r>
              <w:t>实际审批年度考核奖金的人数占审批奖金总人数比率。</w:t>
            </w:r>
          </w:p>
        </w:tc>
        <w:tc>
          <w:tcPr>
            <w:tcW w:w="2466" w:type="dxa"/>
            <w:vAlign w:val="center"/>
          </w:tcPr>
          <w:p>
            <w:pPr>
              <w:pStyle w:val="28"/>
            </w:pPr>
            <w:r>
              <w:t>≥95%</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印刷及时率、发放及时率</w:t>
            </w:r>
          </w:p>
        </w:tc>
        <w:tc>
          <w:tcPr>
            <w:tcW w:w="2466" w:type="dxa"/>
            <w:vAlign w:val="center"/>
          </w:tcPr>
          <w:p>
            <w:pPr>
              <w:pStyle w:val="28"/>
            </w:pPr>
            <w:r>
              <w:t>资料印刷及时程度、奖金发放及时程度。</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根据印制的资料、证书、奖牌费用标准支付费用。</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被考核对象满意率</w:t>
            </w:r>
          </w:p>
        </w:tc>
        <w:tc>
          <w:tcPr>
            <w:tcW w:w="2466" w:type="dxa"/>
            <w:vAlign w:val="center"/>
          </w:tcPr>
          <w:p>
            <w:pPr>
              <w:pStyle w:val="28"/>
            </w:pPr>
            <w:r>
              <w:t>采取走访、调查问卷，听取大家对考核工作的满意情况。</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16、特困离退休干部帮扶专项经费绩效目标表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1.对特困离退休干部实施专项帮扶。</w:t>
            </w:r>
          </w:p>
          <w:p>
            <w:pPr>
              <w:pStyle w:val="28"/>
            </w:pPr>
            <w:r>
              <w:t>2.让老干部切身感受组织上的关怀和温暖。</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帮扶资金发放人数</w:t>
            </w:r>
          </w:p>
        </w:tc>
        <w:tc>
          <w:tcPr>
            <w:tcW w:w="2466" w:type="dxa"/>
            <w:vAlign w:val="center"/>
          </w:tcPr>
          <w:p>
            <w:pPr>
              <w:pStyle w:val="28"/>
            </w:pPr>
            <w:r>
              <w:t>符合帮扶条件特困离退休干部20人。</w:t>
            </w:r>
          </w:p>
        </w:tc>
        <w:tc>
          <w:tcPr>
            <w:tcW w:w="2466" w:type="dxa"/>
            <w:vAlign w:val="center"/>
          </w:tcPr>
          <w:p>
            <w:pPr>
              <w:pStyle w:val="28"/>
            </w:pPr>
            <w:r>
              <w:t>≥18人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补助金发放率</w:t>
            </w:r>
          </w:p>
        </w:tc>
        <w:tc>
          <w:tcPr>
            <w:tcW w:w="2466" w:type="dxa"/>
            <w:vAlign w:val="center"/>
          </w:tcPr>
          <w:p>
            <w:pPr>
              <w:pStyle w:val="28"/>
            </w:pPr>
            <w:r>
              <w:t>实际发放的补助金额占计划发放金额的比率。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发放一次。</w:t>
            </w:r>
          </w:p>
        </w:tc>
        <w:tc>
          <w:tcPr>
            <w:tcW w:w="2466" w:type="dxa"/>
            <w:vAlign w:val="center"/>
          </w:tcPr>
          <w:p>
            <w:pPr>
              <w:pStyle w:val="28"/>
            </w:pPr>
            <w:r>
              <w:t>≤10月底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根据特困离退休干部帮扶文件，每人/次 2500元标准计算。</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得到帮扶后生活等方面改善率</w:t>
            </w:r>
          </w:p>
        </w:tc>
        <w:tc>
          <w:tcPr>
            <w:tcW w:w="2466" w:type="dxa"/>
            <w:vAlign w:val="center"/>
          </w:tcPr>
          <w:p>
            <w:pPr>
              <w:pStyle w:val="28"/>
            </w:pPr>
            <w:r>
              <w:t>通过开展特困帮扶，使特困离退休干部在生活、医疗、护理等方面得到改善，切身感受组织上的关怀和温暖。</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补助人群对在生活、医疗、护理等方面的改善情况的满意程度。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17、乡科级干部体检费绩效目标表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1.按照石组字〔2018〕50号文件要求，切实加强对干部的关心关爱，坚持预防为主，进一步保障和增进干部身心健康。</w:t>
            </w:r>
          </w:p>
          <w:p>
            <w:pPr>
              <w:pStyle w:val="28"/>
            </w:pPr>
            <w:r>
              <w:t>2.关心干部身心健康，切实加强医疗保健，提高干部健康体检质量。</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体检人数</w:t>
            </w:r>
          </w:p>
        </w:tc>
        <w:tc>
          <w:tcPr>
            <w:tcW w:w="2466" w:type="dxa"/>
            <w:vAlign w:val="center"/>
          </w:tcPr>
          <w:p>
            <w:pPr>
              <w:pStyle w:val="28"/>
            </w:pPr>
            <w:r>
              <w:t>全区760名科级以上（含县处级）领导干部。</w:t>
            </w:r>
          </w:p>
        </w:tc>
        <w:tc>
          <w:tcPr>
            <w:tcW w:w="2466" w:type="dxa"/>
            <w:vAlign w:val="center"/>
          </w:tcPr>
          <w:p>
            <w:pPr>
              <w:pStyle w:val="28"/>
            </w:pPr>
            <w:r>
              <w:t>≥760人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全区科级及以上干部干部</w:t>
            </w:r>
          </w:p>
        </w:tc>
        <w:tc>
          <w:tcPr>
            <w:tcW w:w="2466" w:type="dxa"/>
            <w:vAlign w:val="center"/>
          </w:tcPr>
          <w:p>
            <w:pPr>
              <w:pStyle w:val="28"/>
            </w:pPr>
            <w:r>
              <w:t>全区全体科级及以上干部干部参加体检率。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2020年内</w:t>
            </w:r>
          </w:p>
        </w:tc>
        <w:tc>
          <w:tcPr>
            <w:tcW w:w="2466" w:type="dxa"/>
            <w:vAlign w:val="center"/>
          </w:tcPr>
          <w:p>
            <w:pPr>
              <w:pStyle w:val="28"/>
            </w:pPr>
            <w:r>
              <w:t>2020年内开展一次。</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根据总工会文件，每人/次 300元标准计算。</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干部身心健康，把全部精力投入干事创业上。</w:t>
            </w:r>
          </w:p>
        </w:tc>
        <w:tc>
          <w:tcPr>
            <w:tcW w:w="2466" w:type="dxa"/>
            <w:vAlign w:val="center"/>
          </w:tcPr>
          <w:p>
            <w:pPr>
              <w:pStyle w:val="28"/>
            </w:pPr>
            <w:r>
              <w:t>通过健康体检，建立干部健康体检结果报告制度，完善干部健康体检档案管理，加强体检结果解读，促进疾病早诊早治。</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体检干部评价</w:t>
            </w:r>
          </w:p>
        </w:tc>
        <w:tc>
          <w:tcPr>
            <w:tcW w:w="2466" w:type="dxa"/>
            <w:vAlign w:val="center"/>
          </w:tcPr>
          <w:p>
            <w:pPr>
              <w:pStyle w:val="28"/>
            </w:pPr>
            <w:r>
              <w:t>体检干部平均满意度。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18、组织离退休干部健康体检经费绩效目标表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1.体现区委区政府对老干部的关心照顾，增强老干部保健意识。</w:t>
            </w:r>
          </w:p>
          <w:p>
            <w:pPr>
              <w:pStyle w:val="28"/>
            </w:pPr>
            <w:r>
              <w:t>2.切实加强医疗保健，确保老干部身体健康，安享晚年。</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体检人数</w:t>
            </w:r>
          </w:p>
        </w:tc>
        <w:tc>
          <w:tcPr>
            <w:tcW w:w="2466" w:type="dxa"/>
            <w:vAlign w:val="center"/>
          </w:tcPr>
          <w:p>
            <w:pPr>
              <w:pStyle w:val="28"/>
            </w:pPr>
            <w:r>
              <w:t>全区离休干部、副科级以上实职退休干部及处级老干部700余人。</w:t>
            </w:r>
          </w:p>
        </w:tc>
        <w:tc>
          <w:tcPr>
            <w:tcW w:w="2466" w:type="dxa"/>
            <w:vAlign w:val="center"/>
          </w:tcPr>
          <w:p>
            <w:pPr>
              <w:pStyle w:val="28"/>
            </w:pPr>
            <w:r>
              <w:t>≥650人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符合通知要求离退休干部体检率</w:t>
            </w:r>
          </w:p>
        </w:tc>
        <w:tc>
          <w:tcPr>
            <w:tcW w:w="2466" w:type="dxa"/>
            <w:vAlign w:val="center"/>
          </w:tcPr>
          <w:p>
            <w:pPr>
              <w:pStyle w:val="28"/>
            </w:pPr>
            <w:r>
              <w:t>符合通知要求的离退休干部参加健康体检的比率。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2季度完成健康体检。</w:t>
            </w:r>
          </w:p>
        </w:tc>
        <w:tc>
          <w:tcPr>
            <w:tcW w:w="2466" w:type="dxa"/>
            <w:vAlign w:val="center"/>
          </w:tcPr>
          <w:p>
            <w:pPr>
              <w:pStyle w:val="28"/>
            </w:pPr>
            <w:r>
              <w:t>≤6月底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按照上级文件执行</w:t>
            </w:r>
          </w:p>
        </w:tc>
        <w:tc>
          <w:tcPr>
            <w:tcW w:w="2466" w:type="dxa"/>
            <w:vAlign w:val="center"/>
          </w:tcPr>
          <w:p>
            <w:pPr>
              <w:pStyle w:val="28"/>
            </w:pPr>
            <w:r>
              <w:t>标准为离退休干部198元/人，处级老干部408元/人。</w:t>
            </w:r>
          </w:p>
        </w:tc>
        <w:tc>
          <w:tcPr>
            <w:tcW w:w="2466" w:type="dxa"/>
            <w:vAlign w:val="center"/>
          </w:tcPr>
          <w:p>
            <w:pPr>
              <w:pStyle w:val="28"/>
            </w:pPr>
            <w:r>
              <w:t>≥90%</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增强老干部保健意识</w:t>
            </w:r>
          </w:p>
        </w:tc>
        <w:tc>
          <w:tcPr>
            <w:tcW w:w="2466" w:type="dxa"/>
            <w:vAlign w:val="center"/>
          </w:tcPr>
          <w:p>
            <w:pPr>
              <w:pStyle w:val="28"/>
            </w:pPr>
            <w:r>
              <w:t>通过健康体检，完善离退休干部健康体检档案管理，加强体检结果解读，促进疾病早诊早治。</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老干部对健康体检满意率</w:t>
            </w:r>
          </w:p>
        </w:tc>
        <w:tc>
          <w:tcPr>
            <w:tcW w:w="2466" w:type="dxa"/>
            <w:vAlign w:val="center"/>
          </w:tcPr>
          <w:p>
            <w:pPr>
              <w:pStyle w:val="28"/>
            </w:pPr>
            <w:r>
              <w:t>参加体检的老干部对健康体检的满意程度。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19、 人才绿卡住房补贴绩效目标表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1.按照《藁城区人才绿卡管理办法》规定，及时为人才发放房租补贴。</w:t>
            </w:r>
          </w:p>
          <w:p>
            <w:pPr>
              <w:pStyle w:val="28"/>
            </w:pPr>
            <w:r>
              <w:t>2.按照《藁城区人才绿卡管理办法》规定，足额为人才发放房租补贴。</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发放人数</w:t>
            </w:r>
          </w:p>
        </w:tc>
        <w:tc>
          <w:tcPr>
            <w:tcW w:w="2466" w:type="dxa"/>
            <w:vAlign w:val="center"/>
          </w:tcPr>
          <w:p>
            <w:pPr>
              <w:pStyle w:val="28"/>
            </w:pPr>
            <w:r>
              <w:t>藁城区绿卡持卡人才。</w:t>
            </w:r>
          </w:p>
        </w:tc>
        <w:tc>
          <w:tcPr>
            <w:tcW w:w="2466" w:type="dxa"/>
            <w:vAlign w:val="center"/>
          </w:tcPr>
          <w:p>
            <w:pPr>
              <w:pStyle w:val="28"/>
            </w:pPr>
            <w:r>
              <w:t>≥1745人</w:t>
            </w:r>
          </w:p>
        </w:tc>
        <w:tc>
          <w:tcPr>
            <w:tcW w:w="2466" w:type="dxa"/>
            <w:vAlign w:val="center"/>
          </w:tcPr>
          <w:p>
            <w:pPr>
              <w:pStyle w:val="28"/>
            </w:pPr>
            <w:r>
              <w:t>区卡数量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按需发放房补</w:t>
            </w:r>
          </w:p>
        </w:tc>
        <w:tc>
          <w:tcPr>
            <w:tcW w:w="2466" w:type="dxa"/>
            <w:vAlign w:val="center"/>
          </w:tcPr>
          <w:p>
            <w:pPr>
              <w:pStyle w:val="28"/>
            </w:pPr>
            <w:r>
              <w:t>按每季度实际申请房租补贴人数足额发放。</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按时发放补贴</w:t>
            </w:r>
          </w:p>
        </w:tc>
        <w:tc>
          <w:tcPr>
            <w:tcW w:w="2466" w:type="dxa"/>
            <w:vAlign w:val="center"/>
          </w:tcPr>
          <w:p>
            <w:pPr>
              <w:pStyle w:val="28"/>
            </w:pPr>
            <w:r>
              <w:t>按季度发放人才绿卡房租补贴。</w:t>
            </w:r>
          </w:p>
        </w:tc>
        <w:tc>
          <w:tcPr>
            <w:tcW w:w="2466" w:type="dxa"/>
            <w:vAlign w:val="center"/>
          </w:tcPr>
          <w:p>
            <w:pPr>
              <w:pStyle w:val="28"/>
            </w:pPr>
            <w:r>
              <w:t>每个季度末发放本季度人才绿卡房租补贴</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按照项目预算每年度发放人才绿卡房租补贴人数占应申请人数比率。</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打造具有吸引力和竞争力的人才政策体系</w:t>
            </w:r>
          </w:p>
        </w:tc>
        <w:tc>
          <w:tcPr>
            <w:tcW w:w="2466" w:type="dxa"/>
            <w:vAlign w:val="center"/>
          </w:tcPr>
          <w:p>
            <w:pPr>
              <w:pStyle w:val="28"/>
            </w:pPr>
            <w:r>
              <w:t>落实人才绿卡制度，提高全区人才待遇，打造具有吸引力和竞争力的人才政策体系，构筑人才发展制度优势。</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区卡人才满意度</w:t>
            </w:r>
          </w:p>
        </w:tc>
        <w:tc>
          <w:tcPr>
            <w:tcW w:w="2466" w:type="dxa"/>
            <w:vAlign w:val="center"/>
          </w:tcPr>
          <w:p>
            <w:pPr>
              <w:pStyle w:val="28"/>
            </w:pPr>
            <w:r>
              <w:t>区卡人才平均满意度。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20、村干部基本补贴绩效目标表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1.按时足额发放，保障基本生活。</w:t>
            </w:r>
          </w:p>
          <w:p>
            <w:pPr>
              <w:pStyle w:val="28"/>
            </w:pPr>
            <w:r>
              <w:t>2.激发“两委”干部工作积极性。</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覆盖人数</w:t>
            </w:r>
          </w:p>
        </w:tc>
        <w:tc>
          <w:tcPr>
            <w:tcW w:w="2466" w:type="dxa"/>
            <w:vAlign w:val="center"/>
          </w:tcPr>
          <w:p>
            <w:pPr>
              <w:pStyle w:val="28"/>
            </w:pPr>
            <w:r>
              <w:t>发放基本补贴的人数。</w:t>
            </w:r>
          </w:p>
        </w:tc>
        <w:tc>
          <w:tcPr>
            <w:tcW w:w="2466" w:type="dxa"/>
            <w:vAlign w:val="center"/>
          </w:tcPr>
          <w:p>
            <w:pPr>
              <w:pStyle w:val="28"/>
            </w:pPr>
            <w:r>
              <w:t>1230人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工资发放率</w:t>
            </w:r>
          </w:p>
        </w:tc>
        <w:tc>
          <w:tcPr>
            <w:tcW w:w="2466" w:type="dxa"/>
            <w:vAlign w:val="center"/>
          </w:tcPr>
          <w:p>
            <w:pPr>
              <w:pStyle w:val="28"/>
            </w:pPr>
            <w:r>
              <w:t>实际发放基本补贴人数占应发放人数比率。</w:t>
            </w:r>
          </w:p>
        </w:tc>
        <w:tc>
          <w:tcPr>
            <w:tcW w:w="2466" w:type="dxa"/>
            <w:vAlign w:val="center"/>
          </w:tcPr>
          <w:p>
            <w:pPr>
              <w:pStyle w:val="28"/>
            </w:pPr>
            <w:r>
              <w:t>100%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发放及时率</w:t>
            </w:r>
          </w:p>
        </w:tc>
        <w:tc>
          <w:tcPr>
            <w:tcW w:w="2466" w:type="dxa"/>
            <w:vAlign w:val="center"/>
          </w:tcPr>
          <w:p>
            <w:pPr>
              <w:pStyle w:val="28"/>
            </w:pPr>
            <w:r>
              <w:t>定期发放村干部基本补贴。</w:t>
            </w:r>
          </w:p>
        </w:tc>
        <w:tc>
          <w:tcPr>
            <w:tcW w:w="2466" w:type="dxa"/>
            <w:vAlign w:val="center"/>
          </w:tcPr>
          <w:p>
            <w:pPr>
              <w:pStyle w:val="28"/>
            </w:pPr>
            <w:r>
              <w:t>按月发放基础职务补贴</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严控预算成本</w:t>
            </w:r>
          </w:p>
        </w:tc>
        <w:tc>
          <w:tcPr>
            <w:tcW w:w="2466" w:type="dxa"/>
            <w:vAlign w:val="center"/>
          </w:tcPr>
          <w:p>
            <w:pPr>
              <w:pStyle w:val="28"/>
            </w:pPr>
            <w:r>
              <w:t>按照标准执行，合理使用预算经费</w:t>
            </w:r>
          </w:p>
        </w:tc>
        <w:tc>
          <w:tcPr>
            <w:tcW w:w="2466" w:type="dxa"/>
            <w:vAlign w:val="center"/>
          </w:tcPr>
          <w:p>
            <w:pPr>
              <w:pStyle w:val="28"/>
            </w:pPr>
            <w:r>
              <w:t>≤712万元</w:t>
            </w:r>
          </w:p>
        </w:tc>
        <w:tc>
          <w:tcPr>
            <w:tcW w:w="2466" w:type="dxa"/>
            <w:vAlign w:val="center"/>
          </w:tcPr>
          <w:p>
            <w:pPr>
              <w:pStyle w:val="28"/>
            </w:pPr>
            <w:r>
              <w:t xml:space="preserve">预算编制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开展工作情况</w:t>
            </w:r>
          </w:p>
        </w:tc>
        <w:tc>
          <w:tcPr>
            <w:tcW w:w="2466" w:type="dxa"/>
            <w:vAlign w:val="center"/>
          </w:tcPr>
          <w:p>
            <w:pPr>
              <w:pStyle w:val="28"/>
            </w:pPr>
            <w:r>
              <w:t>“两委”干部正常开展工作。</w:t>
            </w:r>
          </w:p>
        </w:tc>
        <w:tc>
          <w:tcPr>
            <w:tcW w:w="2466" w:type="dxa"/>
            <w:vAlign w:val="center"/>
          </w:tcPr>
          <w:p>
            <w:pPr>
              <w:pStyle w:val="28"/>
            </w:pPr>
            <w:r>
              <w:t>正常开展工作</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21、村干部绩效工资补贴绩效目标表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1.根据省市相关文件，按照基础职务补贴30%足额保障绩效补贴。</w:t>
            </w:r>
          </w:p>
          <w:p>
            <w:pPr>
              <w:pStyle w:val="28"/>
            </w:pPr>
            <w:r>
              <w:t>2.根据村干部年度考核结果、评定等次等情况发放，切实解决“干多干少、干好干坏一个样”的问题。</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覆盖人数</w:t>
            </w:r>
          </w:p>
        </w:tc>
        <w:tc>
          <w:tcPr>
            <w:tcW w:w="2466" w:type="dxa"/>
            <w:vAlign w:val="center"/>
          </w:tcPr>
          <w:p>
            <w:pPr>
              <w:pStyle w:val="28"/>
            </w:pPr>
            <w:r>
              <w:t>发放绩效工资人数。</w:t>
            </w:r>
          </w:p>
        </w:tc>
        <w:tc>
          <w:tcPr>
            <w:tcW w:w="2466" w:type="dxa"/>
            <w:vAlign w:val="center"/>
          </w:tcPr>
          <w:p>
            <w:pPr>
              <w:pStyle w:val="28"/>
            </w:pPr>
            <w:r>
              <w:t>1230人</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工资发放率</w:t>
            </w:r>
          </w:p>
        </w:tc>
        <w:tc>
          <w:tcPr>
            <w:tcW w:w="2466" w:type="dxa"/>
            <w:vAlign w:val="center"/>
          </w:tcPr>
          <w:p>
            <w:pPr>
              <w:pStyle w:val="28"/>
            </w:pPr>
            <w:r>
              <w:t>实际发放人数占应发放人数的比例。</w:t>
            </w:r>
          </w:p>
        </w:tc>
        <w:tc>
          <w:tcPr>
            <w:tcW w:w="2466" w:type="dxa"/>
            <w:vAlign w:val="center"/>
          </w:tcPr>
          <w:p>
            <w:pPr>
              <w:pStyle w:val="28"/>
            </w:pPr>
            <w:r>
              <w:t>100%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根据考核结果发放到位。</w:t>
            </w:r>
          </w:p>
        </w:tc>
        <w:tc>
          <w:tcPr>
            <w:tcW w:w="2466" w:type="dxa"/>
            <w:vAlign w:val="center"/>
          </w:tcPr>
          <w:p>
            <w:pPr>
              <w:pStyle w:val="28"/>
            </w:pPr>
            <w:r>
              <w:t>6月底前按时发放到位</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项目总成本</w:t>
            </w:r>
          </w:p>
        </w:tc>
        <w:tc>
          <w:tcPr>
            <w:tcW w:w="2466" w:type="dxa"/>
            <w:vAlign w:val="center"/>
          </w:tcPr>
          <w:p>
            <w:pPr>
              <w:pStyle w:val="28"/>
            </w:pPr>
            <w:r>
              <w:t>严格按照标准执行，合理使用预算资金</w:t>
            </w:r>
          </w:p>
        </w:tc>
        <w:tc>
          <w:tcPr>
            <w:tcW w:w="2466" w:type="dxa"/>
            <w:vAlign w:val="center"/>
          </w:tcPr>
          <w:p>
            <w:pPr>
              <w:pStyle w:val="28"/>
            </w:pPr>
            <w:r>
              <w:t>≤1100万元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开展工作情况</w:t>
            </w:r>
          </w:p>
        </w:tc>
        <w:tc>
          <w:tcPr>
            <w:tcW w:w="2466" w:type="dxa"/>
            <w:vAlign w:val="center"/>
          </w:tcPr>
          <w:p>
            <w:pPr>
              <w:pStyle w:val="28"/>
            </w:pPr>
            <w:r>
              <w:t>“两委”干部正常开展工作。</w:t>
            </w:r>
          </w:p>
        </w:tc>
        <w:tc>
          <w:tcPr>
            <w:tcW w:w="2466" w:type="dxa"/>
            <w:vAlign w:val="center"/>
          </w:tcPr>
          <w:p>
            <w:pPr>
              <w:pStyle w:val="28"/>
            </w:pPr>
            <w:r>
              <w:t>正常开展工作</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22、村级办公经费绩效目标表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1.向各乡镇（区）发放村级办公经费。</w:t>
            </w:r>
          </w:p>
          <w:p>
            <w:pPr>
              <w:pStyle w:val="28"/>
            </w:pPr>
            <w:r>
              <w:t>2.保障必要办公用品、办公设施维护、水电暖、报刊征订等方面开支。</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覆盖全区所有村</w:t>
            </w:r>
          </w:p>
        </w:tc>
        <w:tc>
          <w:tcPr>
            <w:tcW w:w="2466" w:type="dxa"/>
            <w:vAlign w:val="center"/>
          </w:tcPr>
          <w:p>
            <w:pPr>
              <w:pStyle w:val="28"/>
            </w:pPr>
            <w:r>
              <w:t>保障226个村的村级办公的必要支出。</w:t>
            </w:r>
          </w:p>
        </w:tc>
        <w:tc>
          <w:tcPr>
            <w:tcW w:w="2466" w:type="dxa"/>
            <w:vAlign w:val="center"/>
          </w:tcPr>
          <w:p>
            <w:pPr>
              <w:pStyle w:val="28"/>
            </w:pPr>
            <w:r>
              <w:t>226个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足额拨付到村</w:t>
            </w:r>
          </w:p>
        </w:tc>
        <w:tc>
          <w:tcPr>
            <w:tcW w:w="2466" w:type="dxa"/>
            <w:vAlign w:val="center"/>
          </w:tcPr>
          <w:p>
            <w:pPr>
              <w:pStyle w:val="28"/>
            </w:pPr>
            <w:r>
              <w:t>按照上级文件要求标准全部拨付到村。</w:t>
            </w:r>
          </w:p>
        </w:tc>
        <w:tc>
          <w:tcPr>
            <w:tcW w:w="2466" w:type="dxa"/>
            <w:vAlign w:val="center"/>
          </w:tcPr>
          <w:p>
            <w:pPr>
              <w:pStyle w:val="28"/>
            </w:pPr>
            <w:r>
              <w:t>≥5000元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6月底前及时拨付到村。</w:t>
            </w:r>
          </w:p>
        </w:tc>
        <w:tc>
          <w:tcPr>
            <w:tcW w:w="2466" w:type="dxa"/>
            <w:vAlign w:val="center"/>
          </w:tcPr>
          <w:p>
            <w:pPr>
              <w:pStyle w:val="28"/>
            </w:pPr>
            <w:r>
              <w:t>≤6月底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严控成本，将成本控预算范围内。</w:t>
            </w:r>
          </w:p>
        </w:tc>
        <w:tc>
          <w:tcPr>
            <w:tcW w:w="2466" w:type="dxa"/>
            <w:vAlign w:val="center"/>
          </w:tcPr>
          <w:p>
            <w:pPr>
              <w:pStyle w:val="28"/>
            </w:pPr>
            <w:r>
              <w:t>≤113万元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保障村级组织正常办公</w:t>
            </w:r>
          </w:p>
        </w:tc>
        <w:tc>
          <w:tcPr>
            <w:tcW w:w="2466" w:type="dxa"/>
            <w:vAlign w:val="center"/>
          </w:tcPr>
          <w:p>
            <w:pPr>
              <w:pStyle w:val="28"/>
            </w:pPr>
            <w:r>
              <w:t>提供必要办公用品及设施保障。</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村干部满意率。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23、村级党组织活动经费绩效目标表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1.保障村党组织开展“三会一课”、主题党日、党员教育培训、救助困难党员、慰问老党员等活动所需开支。</w:t>
            </w:r>
          </w:p>
          <w:p>
            <w:pPr>
              <w:pStyle w:val="28"/>
            </w:pPr>
            <w:r>
              <w:t>2.增强党员党性，发挥先锋模范作用。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足额拨付给村党组织</w:t>
            </w:r>
          </w:p>
        </w:tc>
        <w:tc>
          <w:tcPr>
            <w:tcW w:w="2466" w:type="dxa"/>
            <w:vAlign w:val="center"/>
          </w:tcPr>
          <w:p>
            <w:pPr>
              <w:pStyle w:val="28"/>
            </w:pPr>
            <w:r>
              <w:t>补助农村党支部（总支）数量。</w:t>
            </w:r>
          </w:p>
        </w:tc>
        <w:tc>
          <w:tcPr>
            <w:tcW w:w="2466" w:type="dxa"/>
            <w:vAlign w:val="center"/>
          </w:tcPr>
          <w:p>
            <w:pPr>
              <w:pStyle w:val="28"/>
            </w:pPr>
            <w:r>
              <w:t>226个</w:t>
            </w:r>
          </w:p>
        </w:tc>
        <w:tc>
          <w:tcPr>
            <w:tcW w:w="2466"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村党组织党员正常开展活动</w:t>
            </w:r>
          </w:p>
        </w:tc>
        <w:tc>
          <w:tcPr>
            <w:tcW w:w="2466" w:type="dxa"/>
            <w:vAlign w:val="center"/>
          </w:tcPr>
          <w:p>
            <w:pPr>
              <w:pStyle w:val="28"/>
            </w:pPr>
            <w:r>
              <w:t>保障农村党组织党员正常开展活动。</w:t>
            </w:r>
          </w:p>
        </w:tc>
        <w:tc>
          <w:tcPr>
            <w:tcW w:w="2466" w:type="dxa"/>
            <w:vAlign w:val="center"/>
          </w:tcPr>
          <w:p>
            <w:pPr>
              <w:pStyle w:val="28"/>
            </w:pPr>
            <w:r>
              <w:t>22085人</w:t>
            </w:r>
          </w:p>
        </w:tc>
        <w:tc>
          <w:tcPr>
            <w:tcW w:w="2466"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6底前经乡镇拨付到村党组织。</w:t>
            </w:r>
          </w:p>
        </w:tc>
        <w:tc>
          <w:tcPr>
            <w:tcW w:w="2466" w:type="dxa"/>
            <w:vAlign w:val="center"/>
          </w:tcPr>
          <w:p>
            <w:pPr>
              <w:pStyle w:val="28"/>
            </w:pPr>
            <w:r>
              <w:t>≤6月底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项目总成本</w:t>
            </w:r>
          </w:p>
        </w:tc>
        <w:tc>
          <w:tcPr>
            <w:tcW w:w="2466" w:type="dxa"/>
            <w:vAlign w:val="center"/>
          </w:tcPr>
          <w:p>
            <w:pPr>
              <w:pStyle w:val="28"/>
            </w:pPr>
            <w:r>
              <w:t>按标准执行，合理使用预算资金</w:t>
            </w:r>
          </w:p>
        </w:tc>
        <w:tc>
          <w:tcPr>
            <w:tcW w:w="2466" w:type="dxa"/>
            <w:vAlign w:val="center"/>
          </w:tcPr>
          <w:p>
            <w:pPr>
              <w:pStyle w:val="28"/>
            </w:pPr>
            <w:r>
              <w:t>≤441.7万元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保障党员开展活动</w:t>
            </w:r>
          </w:p>
        </w:tc>
        <w:tc>
          <w:tcPr>
            <w:tcW w:w="2466" w:type="dxa"/>
            <w:vAlign w:val="center"/>
          </w:tcPr>
          <w:p>
            <w:pPr>
              <w:pStyle w:val="28"/>
            </w:pPr>
            <w:r>
              <w:t>保障226个农村党组织正常开展“三会一课”、主题党日、党员教育培训、救助困难党员、慰问老党员等活动所需开支。</w:t>
            </w:r>
          </w:p>
        </w:tc>
        <w:tc>
          <w:tcPr>
            <w:tcW w:w="2466" w:type="dxa"/>
            <w:vAlign w:val="center"/>
          </w:tcPr>
          <w:p>
            <w:pPr>
              <w:pStyle w:val="28"/>
            </w:pPr>
            <w:r>
              <w:t>226个</w:t>
            </w:r>
          </w:p>
        </w:tc>
        <w:tc>
          <w:tcPr>
            <w:tcW w:w="2466"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农村党组织满意率。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24、党建工作专项经费绩效目标表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1.用于支持村社区组织活动场所建设，给予后进村、党建示范村、工作优秀村等村的资金奖补等基层党建各项重点工作的资金保障。</w:t>
            </w:r>
          </w:p>
          <w:p>
            <w:pPr>
              <w:pStyle w:val="28"/>
            </w:pPr>
            <w:r>
              <w:t>2.用于保障制作基层党建展牌、标牌、标语，印发各类文件，以及上级到我区调研，组织村“两委”干部本地及域外观摩培训等费用。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足额拨付给村党组织</w:t>
            </w:r>
          </w:p>
        </w:tc>
        <w:tc>
          <w:tcPr>
            <w:tcW w:w="2466" w:type="dxa"/>
            <w:vAlign w:val="center"/>
          </w:tcPr>
          <w:p>
            <w:pPr>
              <w:pStyle w:val="28"/>
            </w:pPr>
            <w:r>
              <w:t>补助农村党支部（总支）数量。</w:t>
            </w:r>
          </w:p>
        </w:tc>
        <w:tc>
          <w:tcPr>
            <w:tcW w:w="2466" w:type="dxa"/>
            <w:vAlign w:val="center"/>
          </w:tcPr>
          <w:p>
            <w:pPr>
              <w:pStyle w:val="28"/>
            </w:pPr>
            <w:r>
              <w:t>226个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场所建设达标率</w:t>
            </w:r>
          </w:p>
        </w:tc>
        <w:tc>
          <w:tcPr>
            <w:tcW w:w="2466" w:type="dxa"/>
            <w:vAlign w:val="center"/>
          </w:tcPr>
          <w:p>
            <w:pPr>
              <w:pStyle w:val="28"/>
            </w:pPr>
            <w:r>
              <w:t>加大资金支持力度，提升村（社区）场所建设水平。</w:t>
            </w:r>
          </w:p>
        </w:tc>
        <w:tc>
          <w:tcPr>
            <w:tcW w:w="246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11月底前拨付到村。</w:t>
            </w:r>
          </w:p>
        </w:tc>
        <w:tc>
          <w:tcPr>
            <w:tcW w:w="2466" w:type="dxa"/>
            <w:vAlign w:val="center"/>
          </w:tcPr>
          <w:p>
            <w:pPr>
              <w:pStyle w:val="28"/>
            </w:pPr>
            <w:r>
              <w:t>≤11月</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按照标准拨付，合理使用预算资金</w:t>
            </w:r>
          </w:p>
        </w:tc>
        <w:tc>
          <w:tcPr>
            <w:tcW w:w="2466" w:type="dxa"/>
            <w:vAlign w:val="center"/>
          </w:tcPr>
          <w:p>
            <w:pPr>
              <w:pStyle w:val="28"/>
            </w:pPr>
            <w:r>
              <w:t>≤339万元</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更好服务群众</w:t>
            </w:r>
          </w:p>
        </w:tc>
        <w:tc>
          <w:tcPr>
            <w:tcW w:w="2466" w:type="dxa"/>
            <w:vAlign w:val="center"/>
          </w:tcPr>
          <w:p>
            <w:pPr>
              <w:pStyle w:val="28"/>
            </w:pPr>
            <w:r>
              <w:t>提升村（社区）场所建设水平。</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被帮扶村党员群众满意率。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25、党组织服务群众专项经费绩效目标表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1.向各社区发放服务群众专项经费。</w:t>
            </w:r>
          </w:p>
          <w:p>
            <w:pPr>
              <w:pStyle w:val="28"/>
            </w:pPr>
            <w:r>
              <w:t>2.结合社区党组织开展各项活动。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覆盖全区所有社区</w:t>
            </w:r>
          </w:p>
        </w:tc>
        <w:tc>
          <w:tcPr>
            <w:tcW w:w="2466" w:type="dxa"/>
            <w:vAlign w:val="center"/>
          </w:tcPr>
          <w:p>
            <w:pPr>
              <w:pStyle w:val="28"/>
            </w:pPr>
            <w:r>
              <w:t>保障每个社区服务群众的必要支出。</w:t>
            </w:r>
          </w:p>
        </w:tc>
        <w:tc>
          <w:tcPr>
            <w:tcW w:w="2466" w:type="dxa"/>
            <w:vAlign w:val="center"/>
          </w:tcPr>
          <w:p>
            <w:pPr>
              <w:pStyle w:val="28"/>
            </w:pPr>
            <w:r>
              <w:t>12个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w:t>
            </w:r>
          </w:p>
        </w:tc>
        <w:tc>
          <w:tcPr>
            <w:tcW w:w="2466" w:type="dxa"/>
            <w:vAlign w:val="center"/>
          </w:tcPr>
          <w:p>
            <w:pPr>
              <w:pStyle w:val="28"/>
            </w:pPr>
            <w:r>
              <w:t>按照上级文件要求，社区均20万元标准全部拨付到社区。</w:t>
            </w:r>
          </w:p>
        </w:tc>
        <w:tc>
          <w:tcPr>
            <w:tcW w:w="2466" w:type="dxa"/>
            <w:vAlign w:val="center"/>
          </w:tcPr>
          <w:p>
            <w:pPr>
              <w:pStyle w:val="28"/>
            </w:pPr>
            <w:r>
              <w:t>240万</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6月底前拨付到社区。</w:t>
            </w:r>
          </w:p>
        </w:tc>
        <w:tc>
          <w:tcPr>
            <w:tcW w:w="2466" w:type="dxa"/>
            <w:vAlign w:val="center"/>
          </w:tcPr>
          <w:p>
            <w:pPr>
              <w:pStyle w:val="28"/>
            </w:pPr>
            <w:r>
              <w:t>≤6月</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项目总成本</w:t>
            </w:r>
          </w:p>
        </w:tc>
        <w:tc>
          <w:tcPr>
            <w:tcW w:w="2466" w:type="dxa"/>
            <w:vAlign w:val="center"/>
          </w:tcPr>
          <w:p>
            <w:pPr>
              <w:pStyle w:val="28"/>
            </w:pPr>
            <w:r>
              <w:t>严控成本预算，合理使用预算资金</w:t>
            </w:r>
          </w:p>
        </w:tc>
        <w:tc>
          <w:tcPr>
            <w:tcW w:w="2466" w:type="dxa"/>
            <w:vAlign w:val="center"/>
          </w:tcPr>
          <w:p>
            <w:pPr>
              <w:pStyle w:val="28"/>
            </w:pPr>
            <w:r>
              <w:t>≤240万元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服务群众</w:t>
            </w:r>
          </w:p>
        </w:tc>
        <w:tc>
          <w:tcPr>
            <w:tcW w:w="2466" w:type="dxa"/>
            <w:vAlign w:val="center"/>
          </w:tcPr>
          <w:p>
            <w:pPr>
              <w:pStyle w:val="28"/>
            </w:pPr>
            <w:r>
              <w:t>保障社区组织服务群众，提升服务保障能力。</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社区群众满意率。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26、服务群众专项经费绩效目标表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1.向各乡镇（区）发放服务群众专项经费。</w:t>
            </w:r>
          </w:p>
          <w:p>
            <w:pPr>
              <w:pStyle w:val="28"/>
            </w:pPr>
            <w:r>
              <w:t>2.保障村综合服务站正常运转、公共设施维护、公共卫生防疫、村内治安、服务群众生产生活的临时用工等方面开支。</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覆盖全区所有村</w:t>
            </w:r>
          </w:p>
        </w:tc>
        <w:tc>
          <w:tcPr>
            <w:tcW w:w="2466" w:type="dxa"/>
            <w:vAlign w:val="center"/>
          </w:tcPr>
          <w:p>
            <w:pPr>
              <w:pStyle w:val="28"/>
            </w:pPr>
            <w:r>
              <w:t>保障226个村的村级组织服务群众的必要支出。</w:t>
            </w:r>
          </w:p>
        </w:tc>
        <w:tc>
          <w:tcPr>
            <w:tcW w:w="2466" w:type="dxa"/>
            <w:vAlign w:val="center"/>
          </w:tcPr>
          <w:p>
            <w:pPr>
              <w:pStyle w:val="28"/>
            </w:pPr>
            <w:r>
              <w:t>226个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足额拨付到村</w:t>
            </w:r>
          </w:p>
        </w:tc>
        <w:tc>
          <w:tcPr>
            <w:tcW w:w="2466" w:type="dxa"/>
            <w:vAlign w:val="center"/>
          </w:tcPr>
          <w:p>
            <w:pPr>
              <w:pStyle w:val="28"/>
            </w:pPr>
            <w:r>
              <w:t>按照上级文件要求，村均5万元标准全部拨付到村。</w:t>
            </w:r>
          </w:p>
        </w:tc>
        <w:tc>
          <w:tcPr>
            <w:tcW w:w="2466" w:type="dxa"/>
            <w:vAlign w:val="center"/>
          </w:tcPr>
          <w:p>
            <w:pPr>
              <w:pStyle w:val="28"/>
            </w:pPr>
            <w:r>
              <w:t>5万/村</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6月底前及时拨付到村。</w:t>
            </w:r>
          </w:p>
        </w:tc>
        <w:tc>
          <w:tcPr>
            <w:tcW w:w="2466" w:type="dxa"/>
            <w:vAlign w:val="center"/>
          </w:tcPr>
          <w:p>
            <w:pPr>
              <w:pStyle w:val="28"/>
            </w:pPr>
            <w:r>
              <w:t>≤6月底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严控项目成本，合理使用预算资金。</w:t>
            </w:r>
          </w:p>
        </w:tc>
        <w:tc>
          <w:tcPr>
            <w:tcW w:w="2466" w:type="dxa"/>
            <w:vAlign w:val="center"/>
          </w:tcPr>
          <w:p>
            <w:pPr>
              <w:pStyle w:val="28"/>
            </w:pPr>
            <w:r>
              <w:t>≤791万元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更好服务群众</w:t>
            </w:r>
          </w:p>
        </w:tc>
        <w:tc>
          <w:tcPr>
            <w:tcW w:w="2466" w:type="dxa"/>
            <w:vAlign w:val="center"/>
          </w:tcPr>
          <w:p>
            <w:pPr>
              <w:pStyle w:val="28"/>
            </w:pPr>
            <w:r>
              <w:t>更好保障村级组织服务群众，提升服务保障能力。</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农村群众满意率。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27、人才发展专项工作经费绩效目标表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1.做好区管拔尖人才津贴发放，按时走访慰问人才。</w:t>
            </w:r>
          </w:p>
          <w:p>
            <w:pPr>
              <w:pStyle w:val="28"/>
            </w:pPr>
            <w:r>
              <w:t>2.运营人才会客厅，做好绿卡办理、政策咨询、人才引进和服务、政策宣传工作，常态化组织开展人才活动。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人才工作经费以开展各类人才相关活动数量</w:t>
            </w:r>
          </w:p>
        </w:tc>
        <w:tc>
          <w:tcPr>
            <w:tcW w:w="2466" w:type="dxa"/>
            <w:vAlign w:val="center"/>
          </w:tcPr>
          <w:p>
            <w:pPr>
              <w:pStyle w:val="28"/>
            </w:pPr>
            <w:r>
              <w:t>举办人才培训、人才活动以及进百校次数。</w:t>
            </w:r>
          </w:p>
        </w:tc>
        <w:tc>
          <w:tcPr>
            <w:tcW w:w="2466" w:type="dxa"/>
            <w:vAlign w:val="center"/>
          </w:tcPr>
          <w:p>
            <w:pPr>
              <w:pStyle w:val="28"/>
            </w:pPr>
            <w:r>
              <w:t>≥30次</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区管拔尖人才津贴发放人数</w:t>
            </w:r>
          </w:p>
        </w:tc>
        <w:tc>
          <w:tcPr>
            <w:tcW w:w="2466" w:type="dxa"/>
            <w:vAlign w:val="center"/>
          </w:tcPr>
          <w:p>
            <w:pPr>
              <w:pStyle w:val="28"/>
            </w:pPr>
            <w:r>
              <w:t>第21批藁城区管拔尖人才人数。</w:t>
            </w:r>
          </w:p>
        </w:tc>
        <w:tc>
          <w:tcPr>
            <w:tcW w:w="2466" w:type="dxa"/>
            <w:vAlign w:val="center"/>
          </w:tcPr>
          <w:p>
            <w:pPr>
              <w:pStyle w:val="28"/>
            </w:pPr>
            <w:r>
              <w:t>≤17人</w:t>
            </w:r>
          </w:p>
        </w:tc>
        <w:tc>
          <w:tcPr>
            <w:tcW w:w="2466" w:type="dxa"/>
            <w:vAlign w:val="center"/>
          </w:tcPr>
          <w:p>
            <w:pPr>
              <w:pStyle w:val="28"/>
            </w:pPr>
            <w:r>
              <w:t>选拔人数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开展走访慰问</w:t>
            </w:r>
          </w:p>
        </w:tc>
        <w:tc>
          <w:tcPr>
            <w:tcW w:w="2466" w:type="dxa"/>
            <w:vAlign w:val="center"/>
          </w:tcPr>
          <w:p>
            <w:pPr>
              <w:pStyle w:val="28"/>
            </w:pPr>
            <w:r>
              <w:t>走访慰问专家人才数。</w:t>
            </w:r>
          </w:p>
        </w:tc>
        <w:tc>
          <w:tcPr>
            <w:tcW w:w="2466" w:type="dxa"/>
            <w:vAlign w:val="center"/>
          </w:tcPr>
          <w:p>
            <w:pPr>
              <w:pStyle w:val="28"/>
            </w:pPr>
            <w:r>
              <w:t>≥50人</w:t>
            </w:r>
          </w:p>
        </w:tc>
        <w:tc>
          <w:tcPr>
            <w:tcW w:w="2466" w:type="dxa"/>
            <w:vAlign w:val="center"/>
          </w:tcPr>
          <w:p>
            <w:pPr>
              <w:pStyle w:val="28"/>
            </w:pPr>
            <w:r>
              <w:t>实际专家人才数量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人才会客厅办公经费</w:t>
            </w:r>
          </w:p>
        </w:tc>
        <w:tc>
          <w:tcPr>
            <w:tcW w:w="2466" w:type="dxa"/>
            <w:vAlign w:val="center"/>
          </w:tcPr>
          <w:p>
            <w:pPr>
              <w:pStyle w:val="28"/>
            </w:pPr>
            <w:r>
              <w:t>办理绿卡数量，政策咨询数量，服务人才次数，政策宣传数量，人才引进数量、进百校宣讲次数等。</w:t>
            </w:r>
          </w:p>
        </w:tc>
        <w:tc>
          <w:tcPr>
            <w:tcW w:w="2466" w:type="dxa"/>
            <w:vAlign w:val="center"/>
          </w:tcPr>
          <w:p>
            <w:pPr>
              <w:pStyle w:val="28"/>
            </w:pPr>
            <w:r>
              <w:t>≥600次</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人才会客厅房屋租用面积</w:t>
            </w:r>
          </w:p>
        </w:tc>
        <w:tc>
          <w:tcPr>
            <w:tcW w:w="2466" w:type="dxa"/>
            <w:vAlign w:val="center"/>
          </w:tcPr>
          <w:p>
            <w:pPr>
              <w:pStyle w:val="28"/>
            </w:pPr>
            <w:r>
              <w:t>人才会客厅房屋租用面积。</w:t>
            </w:r>
          </w:p>
        </w:tc>
        <w:tc>
          <w:tcPr>
            <w:tcW w:w="2466" w:type="dxa"/>
            <w:vAlign w:val="center"/>
          </w:tcPr>
          <w:p>
            <w:pPr>
              <w:pStyle w:val="28"/>
            </w:pPr>
            <w:r>
              <w:t>293.54平方米</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人才工作经费以开展各类人才相关活动</w:t>
            </w:r>
          </w:p>
        </w:tc>
        <w:tc>
          <w:tcPr>
            <w:tcW w:w="2466" w:type="dxa"/>
            <w:vAlign w:val="center"/>
          </w:tcPr>
          <w:p>
            <w:pPr>
              <w:pStyle w:val="28"/>
            </w:pPr>
            <w:r>
              <w:t>活动取得显著成效的比率。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激励人才</w:t>
            </w:r>
          </w:p>
        </w:tc>
        <w:tc>
          <w:tcPr>
            <w:tcW w:w="2466" w:type="dxa"/>
            <w:vAlign w:val="center"/>
          </w:tcPr>
          <w:p>
            <w:pPr>
              <w:pStyle w:val="28"/>
            </w:pPr>
            <w:r>
              <w:t>激发人才干事创业的积极性占绿卡人数的比率。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慰问每一名专家人才</w:t>
            </w:r>
          </w:p>
        </w:tc>
        <w:tc>
          <w:tcPr>
            <w:tcW w:w="2466" w:type="dxa"/>
            <w:vAlign w:val="center"/>
          </w:tcPr>
          <w:p>
            <w:pPr>
              <w:pStyle w:val="28"/>
            </w:pPr>
            <w:r>
              <w:t>区委四大班子领导走访慰问到每个人。</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人才会客厅服务平台运营良好</w:t>
            </w:r>
          </w:p>
        </w:tc>
        <w:tc>
          <w:tcPr>
            <w:tcW w:w="2466" w:type="dxa"/>
            <w:vAlign w:val="center"/>
          </w:tcPr>
          <w:p>
            <w:pPr>
              <w:pStyle w:val="28"/>
            </w:pPr>
            <w:r>
              <w:t>人才绿卡及时办理，人才服务落实到位率。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人才会客厅后期维护、使用</w:t>
            </w:r>
          </w:p>
        </w:tc>
        <w:tc>
          <w:tcPr>
            <w:tcW w:w="2466" w:type="dxa"/>
            <w:vAlign w:val="center"/>
          </w:tcPr>
          <w:p>
            <w:pPr>
              <w:pStyle w:val="28"/>
            </w:pPr>
            <w:r>
              <w:t>后期维护、使用房屋完好率。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人才工作经费，各类活动分散到每个月开展</w:t>
            </w:r>
          </w:p>
        </w:tc>
        <w:tc>
          <w:tcPr>
            <w:tcW w:w="2466" w:type="dxa"/>
            <w:vAlign w:val="center"/>
          </w:tcPr>
          <w:p>
            <w:pPr>
              <w:pStyle w:val="28"/>
            </w:pPr>
            <w:r>
              <w:t>根据不同的时间要求开展相关活动。</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按时发放区管拔尖人才补贴</w:t>
            </w:r>
          </w:p>
        </w:tc>
        <w:tc>
          <w:tcPr>
            <w:tcW w:w="2466" w:type="dxa"/>
            <w:vAlign w:val="center"/>
          </w:tcPr>
          <w:p>
            <w:pPr>
              <w:pStyle w:val="28"/>
            </w:pPr>
            <w:r>
              <w:t>按季度发放第21批藁城区管拔尖人才补贴。</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按要求时间走访慰问专家人才</w:t>
            </w:r>
          </w:p>
        </w:tc>
        <w:tc>
          <w:tcPr>
            <w:tcW w:w="2466" w:type="dxa"/>
            <w:vAlign w:val="center"/>
          </w:tcPr>
          <w:p>
            <w:pPr>
              <w:pStyle w:val="28"/>
            </w:pPr>
            <w:r>
              <w:t>春节前区委四大班子领导走访慰问专家人才。</w:t>
            </w:r>
          </w:p>
        </w:tc>
        <w:tc>
          <w:tcPr>
            <w:tcW w:w="2466" w:type="dxa"/>
            <w:vAlign w:val="center"/>
          </w:tcPr>
          <w:p>
            <w:pPr>
              <w:pStyle w:val="28"/>
            </w:pPr>
            <w:r>
              <w:t>≤2月</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人才会客厅服务项目及时率</w:t>
            </w:r>
          </w:p>
        </w:tc>
        <w:tc>
          <w:tcPr>
            <w:tcW w:w="2466" w:type="dxa"/>
            <w:vAlign w:val="center"/>
          </w:tcPr>
          <w:p>
            <w:pPr>
              <w:pStyle w:val="28"/>
            </w:pPr>
            <w:r>
              <w:t>办理绿卡及时率，政策解答及时率，各类服务项目及时率。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按照合同租用人才会客厅</w:t>
            </w:r>
          </w:p>
        </w:tc>
        <w:tc>
          <w:tcPr>
            <w:tcW w:w="2466" w:type="dxa"/>
            <w:vAlign w:val="center"/>
          </w:tcPr>
          <w:p>
            <w:pPr>
              <w:pStyle w:val="28"/>
            </w:pPr>
            <w:r>
              <w:t>按照合同时效租用。</w:t>
            </w:r>
          </w:p>
        </w:tc>
        <w:tc>
          <w:tcPr>
            <w:tcW w:w="2466" w:type="dxa"/>
            <w:vAlign w:val="center"/>
          </w:tcPr>
          <w:p>
            <w:pPr>
              <w:pStyle w:val="28"/>
            </w:pPr>
            <w:r>
              <w:t>≤12月</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人才工作经费用来举办活动的成本</w:t>
            </w:r>
          </w:p>
        </w:tc>
        <w:tc>
          <w:tcPr>
            <w:tcW w:w="2466" w:type="dxa"/>
            <w:vAlign w:val="center"/>
          </w:tcPr>
          <w:p>
            <w:pPr>
              <w:pStyle w:val="28"/>
            </w:pPr>
            <w:r>
              <w:t>举办相关活动所需金额。</w:t>
            </w:r>
          </w:p>
        </w:tc>
        <w:tc>
          <w:tcPr>
            <w:tcW w:w="2466" w:type="dxa"/>
            <w:vAlign w:val="center"/>
          </w:tcPr>
          <w:p>
            <w:pPr>
              <w:pStyle w:val="28"/>
            </w:pPr>
            <w:r>
              <w:t>≥50000元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区管拔尖人才津贴按项目预算执行</w:t>
            </w:r>
          </w:p>
        </w:tc>
        <w:tc>
          <w:tcPr>
            <w:tcW w:w="2466" w:type="dxa"/>
            <w:vAlign w:val="center"/>
          </w:tcPr>
          <w:p>
            <w:pPr>
              <w:pStyle w:val="28"/>
            </w:pPr>
            <w:r>
              <w:t>按照项目预算每季度发放拔尖人才津贴。</w:t>
            </w:r>
          </w:p>
        </w:tc>
        <w:tc>
          <w:tcPr>
            <w:tcW w:w="2466" w:type="dxa"/>
            <w:vAlign w:val="center"/>
          </w:tcPr>
          <w:p>
            <w:pPr>
              <w:pStyle w:val="28"/>
            </w:pPr>
            <w:r>
              <w:t>102000元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走访慰问专家人才资金</w:t>
            </w:r>
          </w:p>
        </w:tc>
        <w:tc>
          <w:tcPr>
            <w:tcW w:w="2466" w:type="dxa"/>
            <w:vAlign w:val="center"/>
          </w:tcPr>
          <w:p>
            <w:pPr>
              <w:pStyle w:val="28"/>
            </w:pPr>
            <w:r>
              <w:t>慰问资金数量。</w:t>
            </w:r>
          </w:p>
        </w:tc>
        <w:tc>
          <w:tcPr>
            <w:tcW w:w="2466" w:type="dxa"/>
            <w:vAlign w:val="center"/>
          </w:tcPr>
          <w:p>
            <w:pPr>
              <w:pStyle w:val="28"/>
            </w:pPr>
            <w:r>
              <w:t>≥65000元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办公经费</w:t>
            </w:r>
          </w:p>
        </w:tc>
        <w:tc>
          <w:tcPr>
            <w:tcW w:w="2466" w:type="dxa"/>
            <w:vAlign w:val="center"/>
          </w:tcPr>
          <w:p>
            <w:pPr>
              <w:pStyle w:val="28"/>
            </w:pPr>
            <w:r>
              <w:t>设备运行及人才服务方面各项费用。</w:t>
            </w:r>
          </w:p>
        </w:tc>
        <w:tc>
          <w:tcPr>
            <w:tcW w:w="2466" w:type="dxa"/>
            <w:vAlign w:val="center"/>
          </w:tcPr>
          <w:p>
            <w:pPr>
              <w:pStyle w:val="28"/>
            </w:pPr>
            <w:r>
              <w:t>≥150000元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会客厅租金</w:t>
            </w:r>
          </w:p>
        </w:tc>
        <w:tc>
          <w:tcPr>
            <w:tcW w:w="2466" w:type="dxa"/>
            <w:vAlign w:val="center"/>
          </w:tcPr>
          <w:p>
            <w:pPr>
              <w:pStyle w:val="28"/>
            </w:pPr>
            <w:r>
              <w:t>会客厅实际租金。</w:t>
            </w:r>
          </w:p>
        </w:tc>
        <w:tc>
          <w:tcPr>
            <w:tcW w:w="2466" w:type="dxa"/>
            <w:vAlign w:val="center"/>
          </w:tcPr>
          <w:p>
            <w:pPr>
              <w:pStyle w:val="28"/>
            </w:pPr>
            <w:r>
              <w:t>250000元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营造人才良好生态系统</w:t>
            </w:r>
          </w:p>
        </w:tc>
        <w:tc>
          <w:tcPr>
            <w:tcW w:w="2466" w:type="dxa"/>
            <w:vAlign w:val="center"/>
          </w:tcPr>
          <w:p>
            <w:pPr>
              <w:pStyle w:val="28"/>
            </w:pPr>
            <w:r>
              <w:t>让各类人才创新创造活力竞相迸发、聪明才智充分涌流，形成人才近悦远来良好生态。</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人才满意度</w:t>
            </w:r>
          </w:p>
        </w:tc>
        <w:tc>
          <w:tcPr>
            <w:tcW w:w="2466" w:type="dxa"/>
            <w:vAlign w:val="center"/>
          </w:tcPr>
          <w:p>
            <w:pPr>
              <w:pStyle w:val="28"/>
            </w:pPr>
            <w:r>
              <w:t>人才及服务对象满意程度。</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28、社区工作经费绩效目标表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1.向各社区发放社区工作经费。</w:t>
            </w:r>
          </w:p>
          <w:p>
            <w:pPr>
              <w:pStyle w:val="28"/>
            </w:pPr>
            <w:r>
              <w:t>2.保障社区日常运转和党建方面的开支。</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覆盖全区所有社区</w:t>
            </w:r>
          </w:p>
        </w:tc>
        <w:tc>
          <w:tcPr>
            <w:tcW w:w="2466" w:type="dxa"/>
            <w:vAlign w:val="center"/>
          </w:tcPr>
          <w:p>
            <w:pPr>
              <w:pStyle w:val="28"/>
            </w:pPr>
            <w:r>
              <w:t>保障每个社区服务群众的必要支出。</w:t>
            </w:r>
          </w:p>
        </w:tc>
        <w:tc>
          <w:tcPr>
            <w:tcW w:w="2466" w:type="dxa"/>
            <w:vAlign w:val="center"/>
          </w:tcPr>
          <w:p>
            <w:pPr>
              <w:pStyle w:val="28"/>
            </w:pPr>
            <w:r>
              <w:t>12个</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w:t>
            </w:r>
          </w:p>
        </w:tc>
        <w:tc>
          <w:tcPr>
            <w:tcW w:w="2466" w:type="dxa"/>
            <w:vAlign w:val="center"/>
          </w:tcPr>
          <w:p>
            <w:pPr>
              <w:pStyle w:val="28"/>
            </w:pPr>
            <w:r>
              <w:t>按照上级文件要求，社区均10万元标准全部拨付到社区。</w:t>
            </w:r>
          </w:p>
        </w:tc>
        <w:tc>
          <w:tcPr>
            <w:tcW w:w="2466" w:type="dxa"/>
            <w:vAlign w:val="center"/>
          </w:tcPr>
          <w:p>
            <w:pPr>
              <w:pStyle w:val="28"/>
            </w:pPr>
            <w:r>
              <w:t>120万</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6月底前拨付到社区。</w:t>
            </w:r>
          </w:p>
        </w:tc>
        <w:tc>
          <w:tcPr>
            <w:tcW w:w="2466" w:type="dxa"/>
            <w:vAlign w:val="center"/>
          </w:tcPr>
          <w:p>
            <w:pPr>
              <w:pStyle w:val="28"/>
            </w:pPr>
            <w:r>
              <w:t>≤6月</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严控预算成本</w:t>
            </w:r>
          </w:p>
        </w:tc>
        <w:tc>
          <w:tcPr>
            <w:tcW w:w="2466" w:type="dxa"/>
            <w:vAlign w:val="center"/>
          </w:tcPr>
          <w:p>
            <w:pPr>
              <w:pStyle w:val="28"/>
            </w:pPr>
            <w:r>
              <w:t>按照标准执行，合理使用预算经费</w:t>
            </w:r>
          </w:p>
        </w:tc>
        <w:tc>
          <w:tcPr>
            <w:tcW w:w="2466" w:type="dxa"/>
            <w:vAlign w:val="center"/>
          </w:tcPr>
          <w:p>
            <w:pPr>
              <w:pStyle w:val="28"/>
            </w:pPr>
            <w:r>
              <w:t>≤120万元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服务群众</w:t>
            </w:r>
          </w:p>
        </w:tc>
        <w:tc>
          <w:tcPr>
            <w:tcW w:w="2466" w:type="dxa"/>
            <w:vAlign w:val="center"/>
          </w:tcPr>
          <w:p>
            <w:pPr>
              <w:pStyle w:val="28"/>
            </w:pPr>
            <w:r>
              <w:t>保障社区组织服务群众，提升服务保障能力。</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社区群众满意率。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29、石财行[2020]51号关于提前下达2021年度下派选调生到村工作中央财政补助资金的通知（省级下派选调生到村工作中央财政补助资金）绩效目标表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1.按要求组织开展国情调研，组织到村任职选调生多参与化解复杂矛盾和问题。</w:t>
            </w:r>
          </w:p>
          <w:p>
            <w:pPr>
              <w:pStyle w:val="28"/>
            </w:pPr>
            <w:r>
              <w:t>2.让到村任职大学生村官在基层真正经受时间锻炼，更好发挥作用。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30、石财行[2020]52号关于提前下达2021年选聘高校毕业生到村任职（选聘高校毕业生到村任职中央补助资金）绩效目标表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1.要求组织开展国情调研，组织到村任职选调生多参与化解复杂矛盾和问题。</w:t>
            </w:r>
          </w:p>
          <w:p>
            <w:pPr>
              <w:pStyle w:val="28"/>
            </w:pPr>
            <w:r>
              <w:t>2.让到村任职大学生村官在基层真正经受时间锻炼，更好发挥作用。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31、石财行[2021]45号关于结算下达2021年选调生到村工作中央财政补助资金的通知绩效目标表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1.按要求组织开展国情调研，组织到村任职选调生多参与化解复杂矛盾和问题。</w:t>
            </w:r>
          </w:p>
          <w:p>
            <w:pPr>
              <w:pStyle w:val="28"/>
            </w:pPr>
            <w:r>
              <w:t>2.让到村任职大学生村官在基层真正经受时间锻炼，更好发挥作用。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32、石财行[2021]46号石家庄市财政局关于结算下达到村任职高校毕业生中央财政补助资金的通知绩效目标表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1.按要求组织开展国情调研，组织到村任职选调生多参与化解复杂矛盾和问题。</w:t>
            </w:r>
          </w:p>
          <w:p>
            <w:pPr>
              <w:pStyle w:val="28"/>
            </w:pPr>
            <w:r>
              <w:t>2.让到村任职大学生村官在基层真正经受时间锻炼，更好发挥作用。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33、石财行[2021]47号关于提前下达2022年度下派选调生到村工作中央财政补助资金的通知绩效目标表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1.加强对到村任职选调生的教育培训，按要求组织开展国情调研，组织到村任职选调生多参与化解复杂矛盾和问题，让到村任职大学生村官在基层真正经受时间锻炼，更好发挥作用。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≤11月底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34、石财行[2021]51号关于下达2021年老党员生活补贴实际补助资金的通知绩效目标表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1.落实好建国前入党的农村老党员和未享受离退休待遇的城镇老党员生活补贴发放。</w:t>
            </w:r>
          </w:p>
          <w:p>
            <w:pPr>
              <w:pStyle w:val="28"/>
            </w:pPr>
            <w:r>
              <w:t>2.让老党员安度晚年。</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老党员人数</w:t>
            </w:r>
          </w:p>
        </w:tc>
        <w:tc>
          <w:tcPr>
            <w:tcW w:w="2466" w:type="dxa"/>
            <w:vAlign w:val="center"/>
          </w:tcPr>
          <w:p>
            <w:pPr>
              <w:pStyle w:val="28"/>
            </w:pPr>
            <w:r>
              <w:t>享受老党员生活补贴人数44人。</w:t>
            </w:r>
          </w:p>
        </w:tc>
        <w:tc>
          <w:tcPr>
            <w:tcW w:w="2466" w:type="dxa"/>
            <w:vAlign w:val="center"/>
          </w:tcPr>
          <w:p>
            <w:pPr>
              <w:pStyle w:val="28"/>
            </w:pPr>
            <w:r>
              <w:t>44人</w:t>
            </w:r>
          </w:p>
        </w:tc>
        <w:tc>
          <w:tcPr>
            <w:tcW w:w="2466" w:type="dxa"/>
            <w:vAlign w:val="center"/>
          </w:tcPr>
          <w:p>
            <w:pPr>
              <w:pStyle w:val="28"/>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生活补贴发放率</w:t>
            </w:r>
          </w:p>
        </w:tc>
        <w:tc>
          <w:tcPr>
            <w:tcW w:w="2466" w:type="dxa"/>
            <w:vAlign w:val="center"/>
          </w:tcPr>
          <w:p>
            <w:pPr>
              <w:pStyle w:val="28"/>
            </w:pPr>
            <w:r>
              <w:t>实际发放老党员生活补贴人数占应发放人数比率。</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按照上级通知要求分两次发放。</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按照上级文件要求金额发放。</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生活改善率</w:t>
            </w:r>
          </w:p>
        </w:tc>
        <w:tc>
          <w:tcPr>
            <w:tcW w:w="2466" w:type="dxa"/>
            <w:vAlign w:val="center"/>
          </w:tcPr>
          <w:p>
            <w:pPr>
              <w:pStyle w:val="28"/>
            </w:pPr>
            <w:r>
              <w:t>领取补贴老党员日常生活改善比率。</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领取补贴老党员满意率。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35、石财预[2021]47号石家庄市财政局关于提前下达2022年均衡性转移支付的通知（中央）村干部基本补贴绩效目标表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1.按时足额发放，保障基本生活。</w:t>
            </w:r>
          </w:p>
          <w:p>
            <w:pPr>
              <w:pStyle w:val="28"/>
            </w:pPr>
            <w:r>
              <w:t>2.激发“两委”干部工作积极性。</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覆盖人数</w:t>
            </w:r>
          </w:p>
        </w:tc>
        <w:tc>
          <w:tcPr>
            <w:tcW w:w="2466" w:type="dxa"/>
            <w:vAlign w:val="center"/>
          </w:tcPr>
          <w:p>
            <w:pPr>
              <w:pStyle w:val="28"/>
            </w:pPr>
            <w:r>
              <w:t>发放基本补贴的人数。</w:t>
            </w:r>
          </w:p>
        </w:tc>
        <w:tc>
          <w:tcPr>
            <w:tcW w:w="2466" w:type="dxa"/>
            <w:vAlign w:val="center"/>
          </w:tcPr>
          <w:p>
            <w:pPr>
              <w:pStyle w:val="28"/>
            </w:pPr>
            <w:r>
              <w:t>1230人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工资发放率</w:t>
            </w:r>
          </w:p>
        </w:tc>
        <w:tc>
          <w:tcPr>
            <w:tcW w:w="2466" w:type="dxa"/>
            <w:vAlign w:val="center"/>
          </w:tcPr>
          <w:p>
            <w:pPr>
              <w:pStyle w:val="28"/>
            </w:pPr>
            <w:r>
              <w:t>实际发放基本补贴人数占应发放人数比率。</w:t>
            </w:r>
          </w:p>
        </w:tc>
        <w:tc>
          <w:tcPr>
            <w:tcW w:w="2466" w:type="dxa"/>
            <w:vAlign w:val="center"/>
          </w:tcPr>
          <w:p>
            <w:pPr>
              <w:pStyle w:val="28"/>
            </w:pPr>
            <w:r>
              <w:t>100%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发放及时率</w:t>
            </w:r>
          </w:p>
        </w:tc>
        <w:tc>
          <w:tcPr>
            <w:tcW w:w="2466" w:type="dxa"/>
            <w:vAlign w:val="center"/>
          </w:tcPr>
          <w:p>
            <w:pPr>
              <w:pStyle w:val="28"/>
            </w:pPr>
            <w:r>
              <w:t>定期发放村干部基本补贴。</w:t>
            </w:r>
          </w:p>
        </w:tc>
        <w:tc>
          <w:tcPr>
            <w:tcW w:w="2466" w:type="dxa"/>
            <w:vAlign w:val="center"/>
          </w:tcPr>
          <w:p>
            <w:pPr>
              <w:pStyle w:val="28"/>
            </w:pPr>
            <w:r>
              <w:t>按月发放基础职务补贴</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严控预算成本</w:t>
            </w:r>
          </w:p>
        </w:tc>
        <w:tc>
          <w:tcPr>
            <w:tcW w:w="2466" w:type="dxa"/>
            <w:vAlign w:val="center"/>
          </w:tcPr>
          <w:p>
            <w:pPr>
              <w:pStyle w:val="28"/>
            </w:pPr>
            <w:r>
              <w:t>按照标准执行，合理使用预算经费</w:t>
            </w:r>
          </w:p>
        </w:tc>
        <w:tc>
          <w:tcPr>
            <w:tcW w:w="2466" w:type="dxa"/>
            <w:vAlign w:val="center"/>
          </w:tcPr>
          <w:p>
            <w:pPr>
              <w:pStyle w:val="28"/>
            </w:pPr>
            <w:r>
              <w:t>≤712万元</w:t>
            </w:r>
          </w:p>
        </w:tc>
        <w:tc>
          <w:tcPr>
            <w:tcW w:w="2466" w:type="dxa"/>
            <w:vAlign w:val="center"/>
          </w:tcPr>
          <w:p>
            <w:pPr>
              <w:pStyle w:val="28"/>
            </w:pPr>
            <w:r>
              <w:t xml:space="preserve">预算编制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开展工作情况</w:t>
            </w:r>
          </w:p>
        </w:tc>
        <w:tc>
          <w:tcPr>
            <w:tcW w:w="2466" w:type="dxa"/>
            <w:vAlign w:val="center"/>
          </w:tcPr>
          <w:p>
            <w:pPr>
              <w:pStyle w:val="28"/>
            </w:pPr>
            <w:r>
              <w:t>“两委”干部正常开展工作。</w:t>
            </w:r>
          </w:p>
        </w:tc>
        <w:tc>
          <w:tcPr>
            <w:tcW w:w="2466" w:type="dxa"/>
            <w:vAlign w:val="center"/>
          </w:tcPr>
          <w:p>
            <w:pPr>
              <w:pStyle w:val="28"/>
            </w:pPr>
            <w:r>
              <w:t>正常开展工作</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36、石财预[2021]47号石家庄市财政局关于提前下达2022年均衡性转移支付的通知（中央）服务群众专项经费绩效目标表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1.向各乡镇（区）发放服务群众专项经费。</w:t>
            </w:r>
          </w:p>
          <w:p>
            <w:pPr>
              <w:pStyle w:val="28"/>
            </w:pPr>
            <w:r>
              <w:t>2.保障村综合服务站正常运转、公共设施维护、公共卫生防疫、村内治安、服务群众生产生活的临时用工等方面开支。</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覆盖全区所有村</w:t>
            </w:r>
          </w:p>
        </w:tc>
        <w:tc>
          <w:tcPr>
            <w:tcW w:w="2466" w:type="dxa"/>
            <w:vAlign w:val="center"/>
          </w:tcPr>
          <w:p>
            <w:pPr>
              <w:pStyle w:val="28"/>
            </w:pPr>
            <w:r>
              <w:t>保障226个村的村级组织服务群众的必要支出。</w:t>
            </w:r>
          </w:p>
        </w:tc>
        <w:tc>
          <w:tcPr>
            <w:tcW w:w="2466" w:type="dxa"/>
            <w:vAlign w:val="center"/>
          </w:tcPr>
          <w:p>
            <w:pPr>
              <w:pStyle w:val="28"/>
            </w:pPr>
            <w:r>
              <w:t>226个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足额拨付到村</w:t>
            </w:r>
          </w:p>
        </w:tc>
        <w:tc>
          <w:tcPr>
            <w:tcW w:w="2466" w:type="dxa"/>
            <w:vAlign w:val="center"/>
          </w:tcPr>
          <w:p>
            <w:pPr>
              <w:pStyle w:val="28"/>
            </w:pPr>
            <w:r>
              <w:t>按照上级文件要求，村均5万元标准全部拨付到村。</w:t>
            </w:r>
          </w:p>
        </w:tc>
        <w:tc>
          <w:tcPr>
            <w:tcW w:w="2466" w:type="dxa"/>
            <w:vAlign w:val="center"/>
          </w:tcPr>
          <w:p>
            <w:pPr>
              <w:pStyle w:val="28"/>
            </w:pPr>
            <w:r>
              <w:t>5万/村</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6月底前及时拨付到村。</w:t>
            </w:r>
          </w:p>
        </w:tc>
        <w:tc>
          <w:tcPr>
            <w:tcW w:w="2466" w:type="dxa"/>
            <w:vAlign w:val="center"/>
          </w:tcPr>
          <w:p>
            <w:pPr>
              <w:pStyle w:val="28"/>
            </w:pPr>
            <w:r>
              <w:t>≤6月底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严控项目成本，合理使用预算资金。</w:t>
            </w:r>
          </w:p>
        </w:tc>
        <w:tc>
          <w:tcPr>
            <w:tcW w:w="2466" w:type="dxa"/>
            <w:vAlign w:val="center"/>
          </w:tcPr>
          <w:p>
            <w:pPr>
              <w:pStyle w:val="28"/>
            </w:pPr>
            <w:r>
              <w:t>≤791万元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更好服务群众</w:t>
            </w:r>
          </w:p>
        </w:tc>
        <w:tc>
          <w:tcPr>
            <w:tcW w:w="2466" w:type="dxa"/>
            <w:vAlign w:val="center"/>
          </w:tcPr>
          <w:p>
            <w:pPr>
              <w:pStyle w:val="28"/>
            </w:pPr>
            <w:r>
              <w:t>更好保障村级组织服务群众，提升服务保障能力。</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农村群众满意率。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37、选调生到村任职补助绩效目标表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1.加强对到村任职选调生的教育培训，按要求组织开展国情调研。</w:t>
            </w:r>
          </w:p>
          <w:p>
            <w:pPr>
              <w:pStyle w:val="28"/>
            </w:pPr>
            <w:r>
              <w:t>2.组织到村任职选调生多参与化解复杂矛盾和问题，让到村任职大学生村官在基层真正经受时间锻炼，更好发挥作用。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到村任职选调生人数</w:t>
            </w:r>
          </w:p>
        </w:tc>
        <w:tc>
          <w:tcPr>
            <w:tcW w:w="2466" w:type="dxa"/>
            <w:vAlign w:val="center"/>
          </w:tcPr>
          <w:p>
            <w:pPr>
              <w:pStyle w:val="28"/>
            </w:pPr>
            <w:r>
              <w:t>当前我区现有到村任职选调生79名，其中2020届34名，2021届45名。</w:t>
            </w:r>
          </w:p>
        </w:tc>
        <w:tc>
          <w:tcPr>
            <w:tcW w:w="2466" w:type="dxa"/>
            <w:vAlign w:val="center"/>
          </w:tcPr>
          <w:p>
            <w:pPr>
              <w:pStyle w:val="28"/>
            </w:pPr>
            <w:r>
              <w:t>79人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形成一批较高水平的优秀调研成果。</w:t>
            </w:r>
          </w:p>
        </w:tc>
        <w:tc>
          <w:tcPr>
            <w:tcW w:w="2466" w:type="dxa"/>
            <w:vAlign w:val="center"/>
          </w:tcPr>
          <w:p>
            <w:pPr>
              <w:pStyle w:val="28"/>
            </w:pPr>
            <w:r>
              <w:t>按照上级文件要求完成上级安排的一次性补助、教育培训、国情调研、服务群众等规定动作，形成一批高水平调研成果。</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2022年内</w:t>
            </w:r>
          </w:p>
        </w:tc>
        <w:tc>
          <w:tcPr>
            <w:tcW w:w="2466" w:type="dxa"/>
            <w:vAlign w:val="center"/>
          </w:tcPr>
          <w:p>
            <w:pPr>
              <w:pStyle w:val="28"/>
            </w:pPr>
            <w:r>
              <w:t>按时完成一次性补助发放、教育培训、国情调研、开展服务群众工作等。</w:t>
            </w:r>
          </w:p>
        </w:tc>
        <w:tc>
          <w:tcPr>
            <w:tcW w:w="2466" w:type="dxa"/>
            <w:vAlign w:val="center"/>
          </w:tcPr>
          <w:p>
            <w:pPr>
              <w:pStyle w:val="28"/>
            </w:pPr>
            <w:r>
              <w:t>≤11月底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按上级文件执行</w:t>
            </w:r>
          </w:p>
        </w:tc>
        <w:tc>
          <w:tcPr>
            <w:tcW w:w="2466" w:type="dxa"/>
            <w:vAlign w:val="center"/>
          </w:tcPr>
          <w:p>
            <w:pPr>
              <w:pStyle w:val="28"/>
            </w:pPr>
            <w:r>
              <w:t>根据文件要求，每人/年22000元。</w:t>
            </w:r>
          </w:p>
        </w:tc>
        <w:tc>
          <w:tcPr>
            <w:tcW w:w="2466" w:type="dxa"/>
            <w:vAlign w:val="center"/>
          </w:tcPr>
          <w:p>
            <w:pPr>
              <w:pStyle w:val="28"/>
            </w:pPr>
            <w:r>
              <w:t>≥80%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到村任职选调生得到镇村认可</w:t>
            </w:r>
          </w:p>
        </w:tc>
        <w:tc>
          <w:tcPr>
            <w:tcW w:w="2466" w:type="dxa"/>
            <w:vAlign w:val="center"/>
          </w:tcPr>
          <w:p>
            <w:pPr>
              <w:pStyle w:val="28"/>
            </w:pPr>
            <w:r>
              <w:t>到村任职选调生在农村干事创业，农村基层党建工作水平逐步提高。</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对政策落实情况满意的到村任职选调生占应保人数之比。</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38、正常离任干部生活补贴绩效目标表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1.按时足额发放离任生活补贴。</w:t>
            </w:r>
          </w:p>
          <w:p>
            <w:pPr>
              <w:pStyle w:val="28"/>
            </w:pPr>
            <w:r>
              <w:t>2.为农村稳定发展贡献力量。</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发放覆盖人数</w:t>
            </w:r>
          </w:p>
        </w:tc>
        <w:tc>
          <w:tcPr>
            <w:tcW w:w="2466" w:type="dxa"/>
            <w:vAlign w:val="center"/>
          </w:tcPr>
          <w:p>
            <w:pPr>
              <w:pStyle w:val="28"/>
            </w:pPr>
            <w:r>
              <w:t>确保符合条件离任村干部均能领取到离任补贴。</w:t>
            </w:r>
          </w:p>
        </w:tc>
        <w:tc>
          <w:tcPr>
            <w:tcW w:w="2466" w:type="dxa"/>
            <w:vAlign w:val="center"/>
          </w:tcPr>
          <w:p>
            <w:pPr>
              <w:pStyle w:val="28"/>
            </w:pPr>
            <w:r>
              <w:t>≥620人</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补贴到位率</w:t>
            </w:r>
          </w:p>
        </w:tc>
        <w:tc>
          <w:tcPr>
            <w:tcW w:w="2466" w:type="dxa"/>
            <w:vAlign w:val="center"/>
          </w:tcPr>
          <w:p>
            <w:pPr>
              <w:pStyle w:val="28"/>
            </w:pPr>
            <w:r>
              <w:t>实际领取离任支部书记（村主任）人数占应领补贴人数比例。</w:t>
            </w:r>
          </w:p>
        </w:tc>
        <w:tc>
          <w:tcPr>
            <w:tcW w:w="2466" w:type="dxa"/>
            <w:vAlign w:val="center"/>
          </w:tcPr>
          <w:p>
            <w:pPr>
              <w:pStyle w:val="28"/>
            </w:pPr>
            <w:r>
              <w:t>100%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6底前经乡镇拨付到离任干部手中。</w:t>
            </w:r>
          </w:p>
        </w:tc>
        <w:tc>
          <w:tcPr>
            <w:tcW w:w="2466" w:type="dxa"/>
            <w:vAlign w:val="center"/>
          </w:tcPr>
          <w:p>
            <w:pPr>
              <w:pStyle w:val="28"/>
            </w:pPr>
            <w:r>
              <w:t>≤6月底</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项目预算成本</w:t>
            </w:r>
          </w:p>
        </w:tc>
        <w:tc>
          <w:tcPr>
            <w:tcW w:w="2466" w:type="dxa"/>
            <w:vAlign w:val="center"/>
          </w:tcPr>
          <w:p>
            <w:pPr>
              <w:pStyle w:val="28"/>
            </w:pPr>
            <w:r>
              <w:t>按照文件规定发放，合理使用预算经费。</w:t>
            </w:r>
          </w:p>
        </w:tc>
        <w:tc>
          <w:tcPr>
            <w:tcW w:w="2466" w:type="dxa"/>
            <w:vAlign w:val="center"/>
          </w:tcPr>
          <w:p>
            <w:pPr>
              <w:pStyle w:val="28"/>
            </w:pPr>
            <w:r>
              <w:t>≤275万元</w:t>
            </w:r>
          </w:p>
        </w:tc>
        <w:tc>
          <w:tcPr>
            <w:tcW w:w="2466"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开展工作情况</w:t>
            </w:r>
          </w:p>
        </w:tc>
        <w:tc>
          <w:tcPr>
            <w:tcW w:w="2466" w:type="dxa"/>
            <w:vAlign w:val="center"/>
          </w:tcPr>
          <w:p>
            <w:pPr>
              <w:pStyle w:val="28"/>
            </w:pPr>
            <w:r>
              <w:t>离任村干部支持村级工作。</w:t>
            </w:r>
          </w:p>
        </w:tc>
        <w:tc>
          <w:tcPr>
            <w:tcW w:w="2466" w:type="dxa"/>
            <w:vAlign w:val="center"/>
          </w:tcPr>
          <w:p>
            <w:pPr>
              <w:pStyle w:val="28"/>
            </w:pPr>
            <w:r>
              <w:t>离任村干部支持村“两委”工作</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领取补贴人员满意率。</w:t>
            </w:r>
          </w:p>
        </w:tc>
        <w:tc>
          <w:tcPr>
            <w:tcW w:w="2466" w:type="dxa"/>
            <w:vAlign w:val="center"/>
          </w:tcPr>
          <w:p>
            <w:pPr>
              <w:pStyle w:val="28"/>
            </w:pPr>
            <w:r>
              <w:t>≥80%</w:t>
            </w:r>
          </w:p>
        </w:tc>
        <w:tc>
          <w:tcPr>
            <w:tcW w:w="2466" w:type="dxa"/>
            <w:vAlign w:val="center"/>
          </w:tcPr>
          <w:p>
            <w:pPr>
              <w:pStyle w:val="28"/>
            </w:pPr>
            <w:r>
              <w:t>抽样调查</w:t>
            </w:r>
          </w:p>
        </w:tc>
      </w:tr>
    </w:tbl>
    <w:p>
      <w:pPr>
        <w:pStyle w:val="26"/>
      </w:pPr>
    </w:p>
    <w:p>
      <w:pPr>
        <w:pStyle w:val="26"/>
        <w:ind w:firstLine="560"/>
      </w:pPr>
      <w:r>
        <w:rPr>
          <w:rFonts w:ascii="方正仿宋_GBK" w:hAnsi="方正仿宋_GBK" w:eastAsia="方正仿宋_GBK" w:cs="方正仿宋_GBK"/>
          <w:b/>
          <w:color w:val="000000"/>
          <w:sz w:val="28"/>
        </w:rPr>
        <w:t>39、藁城区支持科技创新和人才引进培养政策18条奖励资金绩效目标表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1.按照《藁城区支持科技创新和人才引进培养政策18条》要求，对符合条件的人才做好奖励基金发放工作。</w:t>
            </w:r>
          </w:p>
          <w:p>
            <w:pPr>
              <w:pStyle w:val="28"/>
            </w:pPr>
            <w:r>
              <w:t>2.按照《藁城区支持科技创新和人才引进培养政策18条》要求，对符合条件的用人单位做好奖励基金发放工作。</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发放金额</w:t>
            </w:r>
          </w:p>
        </w:tc>
        <w:tc>
          <w:tcPr>
            <w:tcW w:w="2466" w:type="dxa"/>
            <w:vAlign w:val="center"/>
          </w:tcPr>
          <w:p>
            <w:pPr>
              <w:pStyle w:val="28"/>
            </w:pPr>
            <w:r>
              <w:t>区财政安排奖励资金总数。</w:t>
            </w:r>
          </w:p>
        </w:tc>
        <w:tc>
          <w:tcPr>
            <w:tcW w:w="2466" w:type="dxa"/>
            <w:vAlign w:val="center"/>
          </w:tcPr>
          <w:p>
            <w:pPr>
              <w:pStyle w:val="28"/>
            </w:pPr>
            <w:r>
              <w:t>100万元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激励用人单位和人才</w:t>
            </w:r>
          </w:p>
        </w:tc>
        <w:tc>
          <w:tcPr>
            <w:tcW w:w="2466" w:type="dxa"/>
            <w:vAlign w:val="center"/>
          </w:tcPr>
          <w:p>
            <w:pPr>
              <w:pStyle w:val="28"/>
            </w:pPr>
            <w:r>
              <w:t>受鼓励企业和获得奖励人才引领导科技创新、提高干事创业的积极性比率。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按时发放奖励基金</w:t>
            </w:r>
          </w:p>
        </w:tc>
        <w:tc>
          <w:tcPr>
            <w:tcW w:w="2466" w:type="dxa"/>
            <w:vAlign w:val="center"/>
          </w:tcPr>
          <w:p>
            <w:pPr>
              <w:pStyle w:val="28"/>
            </w:pPr>
            <w:r>
              <w:t>按年度发放。</w:t>
            </w:r>
          </w:p>
        </w:tc>
        <w:tc>
          <w:tcPr>
            <w:tcW w:w="2466" w:type="dxa"/>
            <w:vAlign w:val="center"/>
          </w:tcPr>
          <w:p>
            <w:pPr>
              <w:pStyle w:val="28"/>
            </w:pPr>
            <w:r>
              <w:t>≤12月底</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按项目预算执行</w:t>
            </w:r>
          </w:p>
        </w:tc>
        <w:tc>
          <w:tcPr>
            <w:tcW w:w="2466" w:type="dxa"/>
            <w:vAlign w:val="center"/>
          </w:tcPr>
          <w:p>
            <w:pPr>
              <w:pStyle w:val="28"/>
            </w:pPr>
            <w:r>
              <w:t>按照项目预算每年度发放奖励资金占应发放比率。</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加强战略人才力量</w:t>
            </w:r>
          </w:p>
        </w:tc>
        <w:tc>
          <w:tcPr>
            <w:tcW w:w="2466" w:type="dxa"/>
            <w:vAlign w:val="center"/>
          </w:tcPr>
          <w:p>
            <w:pPr>
              <w:pStyle w:val="28"/>
            </w:pPr>
            <w:r>
              <w:t>引进科技领军人才和创新团队，打造一流科技创新高地。</w:t>
            </w:r>
          </w:p>
        </w:tc>
        <w:tc>
          <w:tcPr>
            <w:tcW w:w="2466" w:type="dxa"/>
            <w:vAlign w:val="center"/>
          </w:tcPr>
          <w:p>
            <w:pPr>
              <w:pStyle w:val="28"/>
            </w:pPr>
            <w:r>
              <w:t>≥90%</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企业及高层次人才满意度</w:t>
            </w:r>
          </w:p>
        </w:tc>
        <w:tc>
          <w:tcPr>
            <w:tcW w:w="2466" w:type="dxa"/>
            <w:vAlign w:val="center"/>
          </w:tcPr>
          <w:p>
            <w:pPr>
              <w:pStyle w:val="28"/>
            </w:pPr>
            <w:r>
              <w:t>企业及优秀人才平均满意度。</w:t>
            </w:r>
          </w:p>
        </w:tc>
        <w:tc>
          <w:tcPr>
            <w:tcW w:w="2466" w:type="dxa"/>
            <w:vAlign w:val="center"/>
          </w:tcPr>
          <w:p>
            <w:pPr>
              <w:pStyle w:val="28"/>
            </w:pPr>
            <w:r>
              <w:t>≥80%</w:t>
            </w:r>
          </w:p>
        </w:tc>
        <w:tc>
          <w:tcPr>
            <w:tcW w:w="2466" w:type="dxa"/>
            <w:vAlign w:val="center"/>
          </w:tcPr>
          <w:p>
            <w:pPr>
              <w:pStyle w:val="28"/>
            </w:pPr>
            <w:r>
              <w:t>满意度调查</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2022年，中国共产党石家庄市藁城区委员会组织部本级安排政府采购预算8.41万元。具体内容见下表。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203001中国共产党石家庄市藁城区委员会组织部本级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8.41</w:t>
            </w:r>
          </w:p>
        </w:tc>
        <w:tc>
          <w:tcPr>
            <w:tcW w:w="924" w:type="dxa"/>
            <w:vAlign w:val="center"/>
          </w:tcPr>
          <w:p>
            <w:pPr>
              <w:pStyle w:val="17"/>
            </w:pPr>
            <w:r>
              <w:t>8.41</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中国共产党石家庄市藁城区委员会组织部本级小计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8.41</w:t>
            </w:r>
          </w:p>
        </w:tc>
        <w:tc>
          <w:tcPr>
            <w:tcW w:w="924" w:type="dxa"/>
            <w:vAlign w:val="center"/>
          </w:tcPr>
          <w:p>
            <w:pPr>
              <w:pStyle w:val="17"/>
            </w:pPr>
            <w:r>
              <w:t>8.41</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大组工网、干部档案信息管理系统运维费</w:t>
            </w:r>
          </w:p>
        </w:tc>
        <w:tc>
          <w:tcPr>
            <w:tcW w:w="924" w:type="dxa"/>
            <w:vAlign w:val="center"/>
          </w:tcPr>
          <w:p>
            <w:pPr>
              <w:pStyle w:val="13"/>
            </w:pPr>
            <w:r>
              <w:t>3.05</w:t>
            </w:r>
          </w:p>
        </w:tc>
        <w:tc>
          <w:tcPr>
            <w:tcW w:w="924" w:type="dxa"/>
            <w:vAlign w:val="center"/>
          </w:tcPr>
          <w:p>
            <w:pPr>
              <w:pStyle w:val="14"/>
            </w:pPr>
            <w:r>
              <w:t>其他运行维护服务</w:t>
            </w:r>
          </w:p>
        </w:tc>
        <w:tc>
          <w:tcPr>
            <w:tcW w:w="924" w:type="dxa"/>
            <w:vAlign w:val="center"/>
          </w:tcPr>
          <w:p>
            <w:pPr>
              <w:pStyle w:val="14"/>
            </w:pPr>
            <w:r>
              <w:t>C020699</w:t>
            </w:r>
          </w:p>
        </w:tc>
        <w:tc>
          <w:tcPr>
            <w:tcW w:w="924" w:type="dxa"/>
            <w:vAlign w:val="center"/>
          </w:tcPr>
          <w:p>
            <w:pPr>
              <w:pStyle w:val="15"/>
            </w:pPr>
            <w:r>
              <w:t>次</w:t>
            </w:r>
          </w:p>
        </w:tc>
        <w:tc>
          <w:tcPr>
            <w:tcW w:w="924" w:type="dxa"/>
            <w:vAlign w:val="center"/>
          </w:tcPr>
          <w:p>
            <w:pPr>
              <w:pStyle w:val="13"/>
            </w:pPr>
            <w:r>
              <w:t>1</w:t>
            </w:r>
          </w:p>
        </w:tc>
        <w:tc>
          <w:tcPr>
            <w:tcW w:w="924" w:type="dxa"/>
            <w:vAlign w:val="center"/>
          </w:tcPr>
          <w:p>
            <w:pPr>
              <w:pStyle w:val="13"/>
            </w:pPr>
            <w:r>
              <w:t>2.05</w:t>
            </w:r>
          </w:p>
        </w:tc>
        <w:tc>
          <w:tcPr>
            <w:tcW w:w="924" w:type="dxa"/>
            <w:vAlign w:val="center"/>
          </w:tcPr>
          <w:p>
            <w:pPr>
              <w:pStyle w:val="13"/>
            </w:pPr>
            <w:r>
              <w:t>2.05</w:t>
            </w:r>
          </w:p>
        </w:tc>
        <w:tc>
          <w:tcPr>
            <w:tcW w:w="924" w:type="dxa"/>
            <w:vAlign w:val="center"/>
          </w:tcPr>
          <w:p>
            <w:pPr>
              <w:pStyle w:val="13"/>
            </w:pPr>
            <w:r>
              <w:t>2.05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党员干部远程教育基层站点运行费</w:t>
            </w:r>
          </w:p>
        </w:tc>
        <w:tc>
          <w:tcPr>
            <w:tcW w:w="924" w:type="dxa"/>
            <w:vAlign w:val="center"/>
          </w:tcPr>
          <w:p>
            <w:pPr>
              <w:pStyle w:val="13"/>
            </w:pPr>
            <w:r>
              <w:t>4.86</w:t>
            </w:r>
          </w:p>
        </w:tc>
        <w:tc>
          <w:tcPr>
            <w:tcW w:w="924" w:type="dxa"/>
            <w:vAlign w:val="center"/>
          </w:tcPr>
          <w:p>
            <w:pPr>
              <w:pStyle w:val="14"/>
            </w:pPr>
            <w:r>
              <w:t>增值电信服务</w:t>
            </w:r>
          </w:p>
        </w:tc>
        <w:tc>
          <w:tcPr>
            <w:tcW w:w="924" w:type="dxa"/>
            <w:vAlign w:val="center"/>
          </w:tcPr>
          <w:p>
            <w:pPr>
              <w:pStyle w:val="14"/>
            </w:pPr>
            <w:r>
              <w:t>C030102</w:t>
            </w:r>
          </w:p>
        </w:tc>
        <w:tc>
          <w:tcPr>
            <w:tcW w:w="924" w:type="dxa"/>
            <w:vAlign w:val="center"/>
          </w:tcPr>
          <w:p>
            <w:pPr>
              <w:pStyle w:val="15"/>
            </w:pPr>
            <w:r>
              <w:t>批</w:t>
            </w:r>
          </w:p>
        </w:tc>
        <w:tc>
          <w:tcPr>
            <w:tcW w:w="924" w:type="dxa"/>
            <w:vAlign w:val="center"/>
          </w:tcPr>
          <w:p>
            <w:pPr>
              <w:pStyle w:val="13"/>
            </w:pPr>
            <w:r>
              <w:t>1</w:t>
            </w:r>
          </w:p>
        </w:tc>
        <w:tc>
          <w:tcPr>
            <w:tcW w:w="924" w:type="dxa"/>
            <w:vAlign w:val="center"/>
          </w:tcPr>
          <w:p>
            <w:pPr>
              <w:pStyle w:val="13"/>
            </w:pPr>
            <w:r>
              <w:t>4.86</w:t>
            </w:r>
          </w:p>
        </w:tc>
        <w:tc>
          <w:tcPr>
            <w:tcW w:w="924" w:type="dxa"/>
            <w:vAlign w:val="center"/>
          </w:tcPr>
          <w:p>
            <w:pPr>
              <w:pStyle w:val="13"/>
            </w:pPr>
            <w:r>
              <w:t>4.86</w:t>
            </w:r>
          </w:p>
        </w:tc>
        <w:tc>
          <w:tcPr>
            <w:tcW w:w="924" w:type="dxa"/>
            <w:vAlign w:val="center"/>
          </w:tcPr>
          <w:p>
            <w:pPr>
              <w:pStyle w:val="13"/>
            </w:pPr>
            <w:r>
              <w:t>4.86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人才发展专项工作经费</w:t>
            </w:r>
          </w:p>
        </w:tc>
        <w:tc>
          <w:tcPr>
            <w:tcW w:w="924" w:type="dxa"/>
            <w:vAlign w:val="center"/>
          </w:tcPr>
          <w:p>
            <w:pPr>
              <w:pStyle w:val="13"/>
            </w:pPr>
            <w:r>
              <w:t>61.70</w:t>
            </w:r>
          </w:p>
        </w:tc>
        <w:tc>
          <w:tcPr>
            <w:tcW w:w="924" w:type="dxa"/>
            <w:vAlign w:val="center"/>
          </w:tcPr>
          <w:p>
            <w:pPr>
              <w:pStyle w:val="14"/>
            </w:pPr>
            <w:r>
              <w:t>物业管理服务</w:t>
            </w:r>
          </w:p>
        </w:tc>
        <w:tc>
          <w:tcPr>
            <w:tcW w:w="924" w:type="dxa"/>
            <w:vAlign w:val="center"/>
          </w:tcPr>
          <w:p>
            <w:pPr>
              <w:pStyle w:val="14"/>
            </w:pPr>
            <w:r>
              <w:t>C1204</w:t>
            </w:r>
          </w:p>
        </w:tc>
        <w:tc>
          <w:tcPr>
            <w:tcW w:w="924" w:type="dxa"/>
            <w:vAlign w:val="center"/>
          </w:tcPr>
          <w:p>
            <w:pPr>
              <w:pStyle w:val="15"/>
            </w:pPr>
            <w:r>
              <w:t>平方米</w:t>
            </w:r>
          </w:p>
        </w:tc>
        <w:tc>
          <w:tcPr>
            <w:tcW w:w="924" w:type="dxa"/>
            <w:vAlign w:val="center"/>
          </w:tcPr>
          <w:p>
            <w:pPr>
              <w:pStyle w:val="13"/>
            </w:pPr>
            <w:r>
              <w:t>1</w:t>
            </w:r>
          </w:p>
        </w:tc>
        <w:tc>
          <w:tcPr>
            <w:tcW w:w="924" w:type="dxa"/>
            <w:vAlign w:val="center"/>
          </w:tcPr>
          <w:p>
            <w:pPr>
              <w:pStyle w:val="13"/>
            </w:pPr>
            <w:r>
              <w:t>1.50</w:t>
            </w:r>
          </w:p>
        </w:tc>
        <w:tc>
          <w:tcPr>
            <w:tcW w:w="924" w:type="dxa"/>
            <w:vAlign w:val="center"/>
          </w:tcPr>
          <w:p>
            <w:pPr>
              <w:pStyle w:val="13"/>
            </w:pPr>
            <w:r>
              <w:t>1.50</w:t>
            </w:r>
          </w:p>
        </w:tc>
        <w:tc>
          <w:tcPr>
            <w:tcW w:w="924" w:type="dxa"/>
            <w:vAlign w:val="center"/>
          </w:tcPr>
          <w:p>
            <w:pPr>
              <w:pStyle w:val="13"/>
            </w:pPr>
            <w:r>
              <w:t>1.50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ind w:firstLine="560" w:firstLineChars="200"/>
        <w:rPr>
          <w:rFonts w:ascii="宋体" w:hAnsi="宋体" w:eastAsia="宋体" w:cs="宋体"/>
          <w:sz w:val="18"/>
          <w:szCs w:val="18"/>
          <w:lang w:eastAsia="zh-CN"/>
        </w:rPr>
      </w:pPr>
      <w:r>
        <w:rPr>
          <w:rFonts w:eastAsia="方正仿宋_GBK" w:cs="Times New Roman"/>
          <w:color w:val="000000"/>
          <w:sz w:val="28"/>
        </w:rPr>
        <w:t>中国共产党石家庄市藁城区委员会组织部（含所属单位）上年末固定资产金额为</w:t>
      </w:r>
      <w:r>
        <w:rPr>
          <w:rFonts w:hint="eastAsia" w:eastAsia="方正仿宋_GBK" w:cs="Times New Roman"/>
          <w:color w:val="000000"/>
          <w:sz w:val="28"/>
        </w:rPr>
        <w:t>42</w:t>
      </w:r>
      <w:r>
        <w:rPr>
          <w:rFonts w:hint="eastAsia" w:cs="Times New Roman" w:eastAsiaTheme="minorEastAsia"/>
          <w:color w:val="000000"/>
          <w:sz w:val="28"/>
          <w:lang w:eastAsia="zh-CN"/>
        </w:rPr>
        <w:t>1.</w:t>
      </w:r>
      <w:r>
        <w:rPr>
          <w:rFonts w:hint="eastAsia" w:eastAsia="方正仿宋_GBK" w:cs="Times New Roman"/>
          <w:color w:val="000000"/>
          <w:sz w:val="28"/>
        </w:rPr>
        <w:t>5</w:t>
      </w:r>
      <w:r>
        <w:rPr>
          <w:rFonts w:hint="eastAsia" w:cs="Times New Roman" w:eastAsiaTheme="minorEastAsia"/>
          <w:color w:val="000000"/>
          <w:sz w:val="28"/>
          <w:lang w:eastAsia="zh-CN"/>
        </w:rPr>
        <w:t>8</w:t>
      </w:r>
      <w:r>
        <w:rPr>
          <w:rFonts w:eastAsia="方正仿宋_GBK" w:cs="Times New Roman"/>
          <w:color w:val="000000"/>
          <w:sz w:val="28"/>
        </w:rPr>
        <w:t>万元（详见下表）。本年度拟购置固定资产总额为0.00万元</w:t>
      </w:r>
      <w:r>
        <w:rPr>
          <w:rFonts w:hint="eastAsia" w:eastAsia="方正仿宋_GBK" w:cs="Times New Roman"/>
          <w:color w:val="000000"/>
          <w:sz w:val="28"/>
        </w:rPr>
        <w:t>，</w:t>
      </w:r>
      <w:r>
        <w:rPr>
          <w:rFonts w:hint="eastAsia" w:eastAsia="方正仿宋_GBK" w:cs="Times New Roman"/>
          <w:color w:val="000000"/>
          <w:sz w:val="28"/>
          <w:lang w:eastAsia="zh-CN"/>
        </w:rPr>
        <w:t>已按要求</w:t>
      </w:r>
      <w:r>
        <w:rPr>
          <w:rFonts w:eastAsia="方正仿宋_GBK" w:cs="Times New Roman"/>
          <w:color w:val="000000"/>
          <w:sz w:val="28"/>
        </w:rPr>
        <w:t>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203中国共产党石家庄市藁城区委员会组织部</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eastAsia="zh-CN"/>
              </w:rPr>
            </w:pPr>
            <w:r>
              <w:rPr>
                <w:rFonts w:hint="eastAsia"/>
                <w:lang w:eastAsia="zh-CN"/>
              </w:rP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421.58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val="en-US" w:eastAsia="zh-CN"/>
              </w:rPr>
            </w:pPr>
            <w:r>
              <w:rPr>
                <w:rFonts w:hint="eastAsia"/>
                <w:lang w:val="en-US" w:eastAsia="zh-CN"/>
              </w:rPr>
              <w:t>1、房屋（平方米）</w:t>
            </w:r>
          </w:p>
        </w:tc>
        <w:tc>
          <w:tcPr>
            <w:tcW w:w="4933" w:type="dxa"/>
            <w:vAlign w:val="center"/>
          </w:tcPr>
          <w:p>
            <w:pPr>
              <w:pStyle w:val="15"/>
              <w:rPr>
                <w:rFonts w:hint="default" w:eastAsia="方正书宋_GBK"/>
                <w:lang w:val="en-US" w:eastAsia="zh-CN"/>
              </w:rPr>
            </w:pPr>
            <w:r>
              <w:rPr>
                <w:rFonts w:hint="eastAsia"/>
                <w:lang w:val="en-US" w:eastAsia="zh-CN"/>
              </w:rPr>
              <w:t>2959</w:t>
            </w:r>
          </w:p>
        </w:tc>
        <w:tc>
          <w:tcPr>
            <w:tcW w:w="4933" w:type="dxa"/>
            <w:vAlign w:val="center"/>
          </w:tcPr>
          <w:p>
            <w:pPr>
              <w:pStyle w:val="13"/>
              <w:rPr>
                <w:rFonts w:hint="default" w:eastAsia="方正书宋_GBK"/>
                <w:lang w:val="en-US" w:eastAsia="zh-CN"/>
              </w:rPr>
            </w:pPr>
            <w:r>
              <w:rPr>
                <w:rFonts w:hint="eastAsia"/>
                <w:lang w:val="en-US" w:eastAsia="zh-CN"/>
              </w:rPr>
              <w:t>174.76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ind w:firstLine="352" w:firstLineChars="0"/>
              <w:rPr>
                <w:rFonts w:hint="eastAsia" w:eastAsia="方正书宋_GBK"/>
                <w:lang w:eastAsia="zh-CN"/>
              </w:rPr>
            </w:pPr>
            <w:r>
              <w:rPr>
                <w:rFonts w:hint="eastAsia"/>
                <w:lang w:eastAsia="zh-CN"/>
              </w:rPr>
              <w:t>其中：办公用房（平方米）</w:t>
            </w:r>
          </w:p>
        </w:tc>
        <w:tc>
          <w:tcPr>
            <w:tcW w:w="4933" w:type="dxa"/>
            <w:vAlign w:val="center"/>
          </w:tcPr>
          <w:p>
            <w:pPr>
              <w:pStyle w:val="15"/>
              <w:rPr>
                <w:rFonts w:hint="default" w:eastAsia="方正书宋_GBK"/>
                <w:lang w:val="en-US" w:eastAsia="zh-CN"/>
              </w:rPr>
            </w:pPr>
            <w:r>
              <w:rPr>
                <w:rFonts w:hint="eastAsia"/>
                <w:lang w:val="en-US" w:eastAsia="zh-CN"/>
              </w:rPr>
              <w:t>50</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val="en-US" w:eastAsia="zh-CN"/>
              </w:rPr>
            </w:pPr>
            <w:r>
              <w:rPr>
                <w:rFonts w:hint="eastAsia"/>
                <w:lang w:val="en-US" w:eastAsia="zh-CN"/>
              </w:rPr>
              <w:t>2、车辆（台、辆）</w:t>
            </w:r>
          </w:p>
        </w:tc>
        <w:tc>
          <w:tcPr>
            <w:tcW w:w="4933" w:type="dxa"/>
            <w:vAlign w:val="center"/>
          </w:tcPr>
          <w:p>
            <w:pPr>
              <w:pStyle w:val="15"/>
              <w:rPr>
                <w:rFonts w:hint="eastAsia" w:eastAsia="方正书宋_GBK"/>
                <w:lang w:val="en-US" w:eastAsia="zh-CN"/>
              </w:rPr>
            </w:pPr>
            <w:r>
              <w:rPr>
                <w:rFonts w:hint="eastAsia"/>
                <w:lang w:val="en-US" w:eastAsia="zh-CN"/>
              </w:rPr>
              <w:t>1</w:t>
            </w:r>
          </w:p>
        </w:tc>
        <w:tc>
          <w:tcPr>
            <w:tcW w:w="4933" w:type="dxa"/>
            <w:vAlign w:val="center"/>
          </w:tcPr>
          <w:p>
            <w:pPr>
              <w:pStyle w:val="13"/>
              <w:rPr>
                <w:rFonts w:hint="default" w:eastAsia="方正书宋_GBK"/>
                <w:lang w:val="en-US" w:eastAsia="zh-CN"/>
              </w:rPr>
            </w:pPr>
            <w:r>
              <w:rPr>
                <w:rFonts w:hint="eastAsia"/>
                <w:lang w:val="en-US" w:eastAsia="zh-CN"/>
              </w:rPr>
              <w:t>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default" w:eastAsia="方正书宋_GBK"/>
                <w:lang w:val="en-US" w:eastAsia="zh-CN"/>
              </w:rPr>
            </w:pPr>
            <w:r>
              <w:rPr>
                <w:rFonts w:hint="eastAsia"/>
                <w:lang w:val="en-US" w:eastAsia="zh-CN"/>
              </w:rP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rPr>
                <w:rFonts w:hint="eastAsia" w:eastAsia="方正书宋_GBK"/>
                <w:lang w:val="en-US" w:eastAsia="zh-CN"/>
              </w:rPr>
            </w:pPr>
            <w:r>
              <w:rPr>
                <w:rFonts w:hint="eastAsia"/>
                <w:lang w:val="en-US" w:eastAsia="zh-CN"/>
              </w:rPr>
              <w:t>4、其他固定资产</w:t>
            </w:r>
          </w:p>
        </w:tc>
        <w:tc>
          <w:tcPr>
            <w:tcW w:w="4933" w:type="dxa"/>
            <w:vAlign w:val="center"/>
          </w:tcPr>
          <w:p>
            <w:pPr>
              <w:pStyle w:val="15"/>
              <w:rPr>
                <w:rFonts w:hint="default" w:eastAsia="方正书宋_GBK"/>
                <w:lang w:val="en-US" w:eastAsia="zh-CN"/>
              </w:rPr>
            </w:pPr>
            <w:r>
              <w:rPr>
                <w:rFonts w:hint="eastAsia"/>
                <w:lang w:val="en-US" w:eastAsia="zh-CN"/>
              </w:rPr>
              <w:t>646</w:t>
            </w:r>
          </w:p>
        </w:tc>
        <w:tc>
          <w:tcPr>
            <w:tcW w:w="4933" w:type="dxa"/>
            <w:vAlign w:val="center"/>
          </w:tcPr>
          <w:p>
            <w:pPr>
              <w:pStyle w:val="13"/>
              <w:rPr>
                <w:rFonts w:hint="default" w:eastAsia="方正书宋_GBK"/>
                <w:lang w:val="en-US" w:eastAsia="zh-CN"/>
              </w:rPr>
            </w:pPr>
            <w:r>
              <w:rPr>
                <w:rFonts w:hint="eastAsia"/>
                <w:lang w:val="en-US" w:eastAsia="zh-CN"/>
              </w:rPr>
              <w:t>232.44</w:t>
            </w:r>
          </w:p>
        </w:tc>
      </w:tr>
    </w:tbl>
    <w:p>
      <w:pPr>
        <w:spacing w:line="500" w:lineRule="exact"/>
        <w:rPr>
          <w:rFonts w:eastAsia="方正仿宋_GBK" w:cs="Times New Roman"/>
          <w:color w:val="000000"/>
          <w:sz w:val="28"/>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区县级</w:t>
      </w:r>
      <w:r>
        <w:rPr>
          <w:rFonts w:eastAsia="方正仿宋_GBK" w:cs="Times New Roman"/>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BCF69E"/>
    <w:multiLevelType w:val="singleLevel"/>
    <w:tmpl w:val="8BBCF69E"/>
    <w:lvl w:ilvl="0" w:tentative="0">
      <w:start w:val="3"/>
      <w:numFmt w:val="chineseCounting"/>
      <w:suff w:val="nothing"/>
      <w:lvlText w:val="%1、"/>
      <w:lvlJc w:val="left"/>
      <w:rPr>
        <w:rFonts w:hint="eastAsia"/>
      </w:rPr>
    </w:lvl>
  </w:abstractNum>
  <w:abstractNum w:abstractNumId="1">
    <w:nsid w:val="32B32C11"/>
    <w:multiLevelType w:val="singleLevel"/>
    <w:tmpl w:val="32B32C11"/>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B7F6C"/>
    <w:rsid w:val="00202B4F"/>
    <w:rsid w:val="00457D67"/>
    <w:rsid w:val="00547B4D"/>
    <w:rsid w:val="006C35F9"/>
    <w:rsid w:val="00753C24"/>
    <w:rsid w:val="00755BF5"/>
    <w:rsid w:val="007B7F6C"/>
    <w:rsid w:val="007D7327"/>
    <w:rsid w:val="007E6B06"/>
    <w:rsid w:val="008937C4"/>
    <w:rsid w:val="00967E9C"/>
    <w:rsid w:val="009E1247"/>
    <w:rsid w:val="00A8240D"/>
    <w:rsid w:val="00D012D0"/>
    <w:rsid w:val="00DB0CF7"/>
    <w:rsid w:val="00DE35A4"/>
    <w:rsid w:val="00F64E42"/>
    <w:rsid w:val="1C91696A"/>
    <w:rsid w:val="1FA4377C"/>
    <w:rsid w:val="238153B7"/>
    <w:rsid w:val="23B90A13"/>
    <w:rsid w:val="260A05A4"/>
    <w:rsid w:val="280C2F51"/>
    <w:rsid w:val="2FE14059"/>
    <w:rsid w:val="30AF334A"/>
    <w:rsid w:val="343878E0"/>
    <w:rsid w:val="38624FC2"/>
    <w:rsid w:val="42FC1DAB"/>
    <w:rsid w:val="54933DD5"/>
    <w:rsid w:val="5BB63DBC"/>
    <w:rsid w:val="62FF2A13"/>
    <w:rsid w:val="68C74AB9"/>
    <w:rsid w:val="6AF93092"/>
    <w:rsid w:val="6F4605A9"/>
    <w:rsid w:val="71206F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Normal_ec81cfba-e49b-4871-a682-c4f1c8b534c1"/>
    <w:qFormat/>
    <w:uiPriority w:val="0"/>
    <w:rPr>
      <w:rFonts w:ascii="Times New Roman" w:hAnsi="Times New Roman" w:eastAsia="Times New Roman" w:cstheme="minorBidi"/>
      <w:sz w:val="24"/>
      <w:szCs w:val="24"/>
      <w:lang w:val="en-US" w:eastAsia="uk-UA" w:bidi="ar-SA"/>
    </w:rPr>
  </w:style>
  <w:style w:type="paragraph" w:customStyle="1" w:styleId="27">
    <w:name w:val="单元格样式1_2c835a66-4d4e-413d-84bc-f2dcb49411a7"/>
    <w:basedOn w:val="1"/>
    <w:qFormat/>
    <w:uiPriority w:val="0"/>
    <w:pPr>
      <w:jc w:val="center"/>
    </w:pPr>
    <w:rPr>
      <w:rFonts w:ascii="方正书宋_GBK" w:hAnsi="方正书宋_GBK" w:eastAsia="方正书宋_GBK" w:cs="方正书宋_GBK"/>
      <w:b/>
      <w:sz w:val="21"/>
    </w:rPr>
  </w:style>
  <w:style w:type="paragraph" w:customStyle="1" w:styleId="28">
    <w:name w:val="单元格样式2_80b202ea-14b3-453a-919c-5bfc2192f8f6"/>
    <w:basedOn w:val="1"/>
    <w:qFormat/>
    <w:uiPriority w:val="0"/>
    <w:rPr>
      <w:rFonts w:ascii="方正书宋_GBK" w:hAnsi="方正书宋_GBK" w:eastAsia="方正书宋_GBK" w:cs="方正书宋_GBK"/>
      <w:sz w:val="21"/>
    </w:rPr>
  </w:style>
  <w:style w:type="paragraph" w:customStyle="1" w:styleId="29">
    <w:name w:val="单元格样式3_2072ccf2-c800-4685-9d34-736f07001502"/>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2022-02-14T17:23:12Z</dcterms:created>
  <dcterms:modified xsi:type="dcterms:W3CDTF">2022-02-14T09:23:12Z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2022-02-14T17:21:32Z</dcterms:created>
  <dcterms:modified xsi:type="dcterms:W3CDTF">2022-02-14T09:21:32Z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2022-02-14T17:21:51Z</dcterms:created>
  <dcterms:modified xsi:type="dcterms:W3CDTF">2022-02-14T09:21:50Z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2022-02-14T17:20:00Z</dcterms:created>
  <dcterms:modified xsi:type="dcterms:W3CDTF">2022-02-14T09:19:59Z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6917638-703B-4748-B943-A8116E3BFA32}">
  <ds:schemaRefs/>
</ds:datastoreItem>
</file>

<file path=customXml/itemProps3.xml><?xml version="1.0" encoding="utf-8"?>
<ds:datastoreItem xmlns:ds="http://schemas.openxmlformats.org/officeDocument/2006/customXml" ds:itemID="{C4F7C128-8BB9-4477-91D5-18045140B861}">
  <ds:schemaRefs/>
</ds:datastoreItem>
</file>

<file path=customXml/itemProps4.xml><?xml version="1.0" encoding="utf-8"?>
<ds:datastoreItem xmlns:ds="http://schemas.openxmlformats.org/officeDocument/2006/customXml" ds:itemID="{9DC52BEF-4839-474B-966A-4D47C2BDF6DB}">
  <ds:schemaRefs/>
</ds:datastoreItem>
</file>

<file path=customXml/itemProps5.xml><?xml version="1.0" encoding="utf-8"?>
<ds:datastoreItem xmlns:ds="http://schemas.openxmlformats.org/officeDocument/2006/customXml" ds:itemID="{AF765533-D505-4ED7-84BB-82F2F57C369A}">
  <ds:schemaRefs/>
</ds:datastoreItem>
</file>

<file path=customXml/itemProps6.xml><?xml version="1.0" encoding="utf-8"?>
<ds:datastoreItem xmlns:ds="http://schemas.openxmlformats.org/officeDocument/2006/customXml" ds:itemID="{9A99289D-B60A-48AA-A788-3A857CFF82A9}">
  <ds:schemaRefs/>
</ds:datastoreItem>
</file>

<file path=customXml/itemProps7.xml><?xml version="1.0" encoding="utf-8"?>
<ds:datastoreItem xmlns:ds="http://schemas.openxmlformats.org/officeDocument/2006/customXml" ds:itemID="{1F7E1979-376F-4E95-8E40-BD156CD2347D}">
  <ds:schemaRefs/>
</ds:datastoreItem>
</file>

<file path=customXml/itemProps8.xml><?xml version="1.0" encoding="utf-8"?>
<ds:datastoreItem xmlns:ds="http://schemas.openxmlformats.org/officeDocument/2006/customXml" ds:itemID="{54E8B3B6-914B-49F9-8D8D-D25F3B9B3350}">
  <ds:schemaRefs/>
</ds:datastoreItem>
</file>

<file path=customXml/itemProps9.xml><?xml version="1.0" encoding="utf-8"?>
<ds:datastoreItem xmlns:ds="http://schemas.openxmlformats.org/officeDocument/2006/customXml" ds:itemID="{5732A4E7-C1FD-47CE-A5E9-15F759B9298D}">
  <ds:schemaRefs/>
</ds:datastoreItem>
</file>

<file path=docProps/app.xml><?xml version="1.0" encoding="utf-8"?>
<Properties xmlns="http://schemas.openxmlformats.org/officeDocument/2006/extended-properties" xmlns:vt="http://schemas.openxmlformats.org/officeDocument/2006/docPropsVTypes">
  <Template>Normal</Template>
  <Company>HP</Company>
  <Pages>153</Pages>
  <Words>8788</Words>
  <Characters>50093</Characters>
  <Lines>417</Lines>
  <Paragraphs>117</Paragraphs>
  <TotalTime>4</TotalTime>
  <ScaleCrop>false</ScaleCrop>
  <LinksUpToDate>false</LinksUpToDate>
  <CharactersWithSpaces>58764</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2022-02-14T17:23:00Z</dcterms:created>
  <dc:creator>Administrator</dc:creator>
  <cp:lastModifiedBy>Administrator</cp:lastModifiedBy>
  <dcterms:modified xsi:type="dcterms:W3CDTF">2023-09-04T07:37:02Z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B93B01DF3E214266914CA824F27C7DB0</vt:lpwstr>
  </property>
</Properties>
</file>