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72"/>
        </w:tabs>
      </w:pPr>
      <w:r>
        <w:fldChar w:fldCharType="begin"/>
      </w:r>
      <w:r>
        <w:instrText xml:space="preserve">TOC \o "2-2" \h \z \u</w:instrText>
      </w:r>
      <w:r>
        <w:fldChar w:fldCharType="separate"/>
      </w:r>
      <w:r>
        <w:fldChar w:fldCharType="begin"/>
      </w:r>
      <w:r>
        <w:instrText xml:space="preserve"> HYPERLINK \l _Toc8920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_Toc8920 \h </w:instrText>
      </w:r>
      <w:r>
        <w:fldChar w:fldCharType="separate"/>
      </w:r>
      <w:r>
        <w:t>2</w:t>
      </w:r>
      <w:r>
        <w:fldChar w:fldCharType="end"/>
      </w:r>
      <w:r>
        <w:fldChar w:fldCharType="end"/>
      </w:r>
    </w:p>
    <w:p>
      <w:pPr>
        <w:pStyle w:val="5"/>
        <w:tabs>
          <w:tab w:val="right" w:leader="dot" w:pos="14572"/>
        </w:tabs>
      </w:pPr>
      <w:r>
        <w:fldChar w:fldCharType="begin"/>
      </w:r>
      <w:r>
        <w:instrText xml:space="preserve"> HYPERLINK \l _Toc21179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_Toc21179 \h </w:instrText>
      </w:r>
      <w:r>
        <w:fldChar w:fldCharType="separate"/>
      </w:r>
      <w:r>
        <w:t>5</w:t>
      </w:r>
      <w:r>
        <w:fldChar w:fldCharType="end"/>
      </w:r>
      <w:r>
        <w:fldChar w:fldCharType="end"/>
      </w:r>
    </w:p>
    <w:p>
      <w:pPr>
        <w:pStyle w:val="5"/>
        <w:tabs>
          <w:tab w:val="right" w:leader="dot" w:pos="14572"/>
        </w:tabs>
      </w:pPr>
      <w:r>
        <w:fldChar w:fldCharType="begin"/>
      </w:r>
      <w:r>
        <w:instrText xml:space="preserve"> HYPERLINK \l _Toc16544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_Toc16544 \h </w:instrText>
      </w:r>
      <w:r>
        <w:fldChar w:fldCharType="separate"/>
      </w:r>
      <w:r>
        <w:t>6</w:t>
      </w:r>
      <w:r>
        <w:fldChar w:fldCharType="end"/>
      </w:r>
      <w:r>
        <w:fldChar w:fldCharType="end"/>
      </w:r>
    </w:p>
    <w:p>
      <w:pPr>
        <w:pStyle w:val="5"/>
        <w:tabs>
          <w:tab w:val="right" w:leader="dot" w:pos="14572"/>
        </w:tabs>
      </w:pPr>
      <w:r>
        <w:fldChar w:fldCharType="begin"/>
      </w:r>
      <w:r>
        <w:instrText xml:space="preserve"> HYPERLINK \l _Toc31287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_Toc31287 \h </w:instrText>
      </w:r>
      <w:r>
        <w:fldChar w:fldCharType="separate"/>
      </w:r>
      <w:r>
        <w:t>7</w:t>
      </w:r>
      <w:r>
        <w:fldChar w:fldCharType="end"/>
      </w:r>
      <w:r>
        <w:fldChar w:fldCharType="end"/>
      </w:r>
    </w:p>
    <w:p>
      <w:pPr>
        <w:pStyle w:val="5"/>
        <w:tabs>
          <w:tab w:val="right" w:leader="dot" w:pos="14572"/>
        </w:tabs>
      </w:pPr>
      <w:r>
        <w:fldChar w:fldCharType="begin"/>
      </w:r>
      <w:r>
        <w:instrText xml:space="preserve"> HYPERLINK \l _Toc4049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_Toc4049 \h </w:instrText>
      </w:r>
      <w:r>
        <w:fldChar w:fldCharType="separate"/>
      </w:r>
      <w:r>
        <w:t>13</w:t>
      </w:r>
      <w:r>
        <w:fldChar w:fldCharType="end"/>
      </w:r>
      <w:r>
        <w:fldChar w:fldCharType="end"/>
      </w:r>
    </w:p>
    <w:p>
      <w:pPr>
        <w:pStyle w:val="5"/>
        <w:tabs>
          <w:tab w:val="right" w:leader="dot" w:pos="14572"/>
        </w:tabs>
      </w:pPr>
      <w:r>
        <w:fldChar w:fldCharType="begin"/>
      </w:r>
      <w:r>
        <w:instrText xml:space="preserve"> HYPERLINK \l _Toc25428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_Toc25428 \h </w:instrText>
      </w:r>
      <w:r>
        <w:fldChar w:fldCharType="separate"/>
      </w:r>
      <w:r>
        <w:t>14</w:t>
      </w:r>
      <w:r>
        <w:fldChar w:fldCharType="end"/>
      </w:r>
      <w:r>
        <w:fldChar w:fldCharType="end"/>
      </w:r>
    </w:p>
    <w:p>
      <w:pPr>
        <w:pStyle w:val="5"/>
        <w:tabs>
          <w:tab w:val="right" w:leader="dot" w:pos="14572"/>
        </w:tabs>
      </w:pPr>
      <w:r>
        <w:fldChar w:fldCharType="begin"/>
      </w:r>
      <w:r>
        <w:instrText xml:space="preserve"> HYPERLINK \l _Toc22924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_Toc22924 \h </w:instrText>
      </w:r>
      <w:r>
        <w:fldChar w:fldCharType="separate"/>
      </w:r>
      <w:r>
        <w:t>16</w:t>
      </w:r>
      <w:r>
        <w:fldChar w:fldCharType="end"/>
      </w:r>
      <w:r>
        <w:fldChar w:fldCharType="end"/>
      </w:r>
    </w:p>
    <w:p>
      <w:pPr>
        <w:pStyle w:val="5"/>
        <w:tabs>
          <w:tab w:val="right" w:leader="dot" w:pos="14572"/>
        </w:tabs>
      </w:pPr>
      <w:r>
        <w:fldChar w:fldCharType="begin"/>
      </w:r>
      <w:r>
        <w:instrText xml:space="preserve"> HYPERLINK \l _Toc23440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_Toc23440 \h </w:instrText>
      </w:r>
      <w:r>
        <w:fldChar w:fldCharType="separate"/>
      </w:r>
      <w:r>
        <w:t>17</w:t>
      </w:r>
      <w:r>
        <w:fldChar w:fldCharType="end"/>
      </w:r>
      <w:r>
        <w:fldChar w:fldCharType="end"/>
      </w:r>
    </w:p>
    <w:p>
      <w:pPr>
        <w:pStyle w:val="5"/>
        <w:tabs>
          <w:tab w:val="right" w:leader="dot" w:pos="14572"/>
        </w:tabs>
      </w:pPr>
      <w:r>
        <w:fldChar w:fldCharType="begin"/>
      </w:r>
      <w:r>
        <w:instrText xml:space="preserve"> HYPERLINK \l _Toc17069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_Toc17069 \h </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72"/>
        </w:tabs>
        <w:rPr>
          <w:rFonts w:hint="eastAsia" w:ascii="黑体" w:hAnsi="黑体" w:eastAsia="黑体" w:cs="黑体"/>
          <w:lang w:eastAsia="zh-CN"/>
        </w:rPr>
      </w:pPr>
      <w:bookmarkStart w:id="13" w:name="_GoBack"/>
      <w:r>
        <w:rPr>
          <w:rFonts w:hint="eastAsia" w:ascii="黑体" w:hAnsi="黑体" w:eastAsia="黑体" w:cs="黑体"/>
        </w:rPr>
        <w:t>一、部门职责及机构设置情况</w:t>
      </w:r>
      <w:r>
        <w:rPr>
          <w:rFonts w:hint="eastAsia" w:ascii="黑体" w:hAnsi="黑体" w:eastAsia="黑体" w:cs="黑体"/>
        </w:rPr>
        <w:tab/>
      </w:r>
      <w:r>
        <w:rPr>
          <w:rFonts w:hint="eastAsia" w:ascii="黑体" w:hAnsi="黑体" w:eastAsia="黑体" w:cs="黑体"/>
        </w:rPr>
        <w:t>1</w:t>
      </w:r>
      <w:r>
        <w:rPr>
          <w:rFonts w:hint="eastAsia" w:ascii="黑体" w:hAnsi="黑体" w:eastAsia="黑体" w:cs="黑体"/>
          <w:lang w:val="en-US" w:eastAsia="zh-CN"/>
        </w:rPr>
        <w:t>9</w:t>
      </w:r>
    </w:p>
    <w:p>
      <w:pPr>
        <w:pStyle w:val="2"/>
        <w:tabs>
          <w:tab w:val="right" w:leader="dot" w:pos="14572"/>
        </w:tabs>
        <w:rPr>
          <w:rFonts w:hint="eastAsia" w:ascii="黑体" w:hAnsi="黑体" w:eastAsia="黑体" w:cs="黑体"/>
          <w:lang w:eastAsia="zh-CN"/>
        </w:rPr>
      </w:pPr>
      <w:r>
        <w:rPr>
          <w:rFonts w:hint="eastAsia" w:ascii="黑体" w:hAnsi="黑体" w:eastAsia="黑体" w:cs="黑体"/>
        </w:rPr>
        <w:t>二、部门预算安排的总体情况</w:t>
      </w:r>
      <w:r>
        <w:rPr>
          <w:rFonts w:hint="eastAsia" w:ascii="黑体" w:hAnsi="黑体" w:eastAsia="黑体" w:cs="黑体"/>
        </w:rPr>
        <w:tab/>
      </w:r>
      <w:r>
        <w:rPr>
          <w:rFonts w:hint="eastAsia" w:ascii="黑体" w:hAnsi="黑体" w:eastAsia="黑体" w:cs="黑体"/>
          <w:lang w:val="en-US" w:eastAsia="zh-CN"/>
        </w:rPr>
        <w:t>20</w:t>
      </w:r>
    </w:p>
    <w:p>
      <w:pPr>
        <w:pStyle w:val="2"/>
        <w:tabs>
          <w:tab w:val="right" w:leader="dot" w:pos="14572"/>
        </w:tabs>
        <w:rPr>
          <w:rFonts w:hint="default" w:ascii="黑体" w:hAnsi="黑体" w:eastAsia="黑体" w:cs="黑体"/>
          <w:lang w:val="en-US" w:eastAsia="zh-CN"/>
        </w:rPr>
      </w:pPr>
      <w:r>
        <w:rPr>
          <w:rFonts w:hint="eastAsia" w:ascii="黑体" w:hAnsi="黑体" w:eastAsia="黑体" w:cs="黑体"/>
        </w:rPr>
        <w:t>三、机关运行经费安排情况</w:t>
      </w:r>
      <w:r>
        <w:rPr>
          <w:rFonts w:hint="eastAsia" w:ascii="黑体" w:hAnsi="黑体" w:eastAsia="黑体" w:cs="黑体"/>
        </w:rPr>
        <w:tab/>
      </w:r>
      <w:r>
        <w:rPr>
          <w:rFonts w:hint="eastAsia" w:ascii="黑体" w:hAnsi="黑体" w:eastAsia="黑体" w:cs="黑体"/>
          <w:lang w:val="en-US" w:eastAsia="zh-CN"/>
        </w:rPr>
        <w:t>21</w:t>
      </w:r>
    </w:p>
    <w:p>
      <w:pPr>
        <w:pStyle w:val="2"/>
        <w:tabs>
          <w:tab w:val="right" w:leader="dot" w:pos="14572"/>
        </w:tabs>
        <w:rPr>
          <w:rFonts w:hint="default" w:ascii="黑体" w:hAnsi="黑体" w:eastAsia="黑体" w:cs="黑体"/>
          <w:lang w:val="en-US" w:eastAsia="zh-CN"/>
        </w:rPr>
      </w:pPr>
      <w:r>
        <w:rPr>
          <w:rFonts w:hint="eastAsia" w:ascii="黑体" w:hAnsi="黑体" w:eastAsia="黑体" w:cs="黑体"/>
        </w:rPr>
        <w:t>四、财政拨款“三公”经费预算情况及增减变化原因</w:t>
      </w:r>
      <w:r>
        <w:rPr>
          <w:rFonts w:hint="eastAsia" w:ascii="黑体" w:hAnsi="黑体" w:eastAsia="黑体" w:cs="黑体"/>
        </w:rPr>
        <w:tab/>
      </w:r>
      <w:r>
        <w:rPr>
          <w:rFonts w:hint="eastAsia" w:ascii="黑体" w:hAnsi="黑体" w:eastAsia="黑体" w:cs="黑体"/>
          <w:lang w:val="en-US" w:eastAsia="zh-CN"/>
        </w:rPr>
        <w:t>22</w:t>
      </w:r>
    </w:p>
    <w:p>
      <w:pPr>
        <w:pStyle w:val="2"/>
        <w:tabs>
          <w:tab w:val="right" w:leader="dot" w:pos="14572"/>
        </w:tabs>
        <w:rPr>
          <w:rFonts w:hint="default" w:ascii="黑体" w:hAnsi="黑体" w:eastAsia="黑体" w:cs="黑体"/>
          <w:lang w:val="en-US" w:eastAsia="zh-CN"/>
        </w:rPr>
      </w:pPr>
      <w:r>
        <w:rPr>
          <w:rFonts w:hint="eastAsia" w:ascii="黑体" w:hAnsi="黑体" w:eastAsia="黑体" w:cs="黑体"/>
        </w:rPr>
        <w:t>五、预算绩效信息</w:t>
      </w:r>
      <w:r>
        <w:rPr>
          <w:rFonts w:hint="eastAsia" w:ascii="黑体" w:hAnsi="黑体" w:eastAsia="黑体" w:cs="黑体"/>
        </w:rPr>
        <w:tab/>
      </w:r>
      <w:r>
        <w:rPr>
          <w:rFonts w:hint="eastAsia" w:ascii="黑体" w:hAnsi="黑体" w:eastAsia="黑体" w:cs="黑体"/>
          <w:lang w:val="en-US" w:eastAsia="zh-CN"/>
        </w:rPr>
        <w:t>23</w:t>
      </w:r>
    </w:p>
    <w:bookmarkEnd w:id="13"/>
    <w:p>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_Toc18260 </w:instrText>
      </w:r>
      <w:r>
        <w:fldChar w:fldCharType="separate"/>
      </w:r>
      <w:r>
        <w:rPr>
          <w:rFonts w:ascii="黑体" w:hAnsi="黑体" w:eastAsia="黑体" w:cs="黑体"/>
        </w:rPr>
        <w:t>六、政府采购预算情况</w:t>
      </w:r>
      <w:r>
        <w:tab/>
      </w:r>
      <w:r>
        <w:fldChar w:fldCharType="begin"/>
      </w:r>
      <w:r>
        <w:instrText xml:space="preserve"> PAGEREF _Toc18260 \h </w:instrText>
      </w:r>
      <w:r>
        <w:fldChar w:fldCharType="separate"/>
      </w:r>
      <w:r>
        <w:t>25</w:t>
      </w:r>
      <w:r>
        <w:fldChar w:fldCharType="end"/>
      </w:r>
      <w:r>
        <w:fldChar w:fldCharType="end"/>
      </w:r>
    </w:p>
    <w:p>
      <w:pPr>
        <w:pStyle w:val="2"/>
        <w:tabs>
          <w:tab w:val="right" w:leader="dot" w:pos="14572"/>
        </w:tabs>
      </w:pPr>
      <w:r>
        <w:fldChar w:fldCharType="begin"/>
      </w:r>
      <w:r>
        <w:instrText xml:space="preserve"> HYPERLINK \l _Toc15869 </w:instrText>
      </w:r>
      <w:r>
        <w:fldChar w:fldCharType="separate"/>
      </w:r>
      <w:r>
        <w:rPr>
          <w:rFonts w:ascii="黑体" w:hAnsi="黑体" w:eastAsia="黑体" w:cs="黑体"/>
        </w:rPr>
        <w:t>七、国有资产信息</w:t>
      </w:r>
      <w:r>
        <w:tab/>
      </w:r>
      <w:r>
        <w:fldChar w:fldCharType="begin"/>
      </w:r>
      <w:r>
        <w:instrText xml:space="preserve"> PAGEREF _Toc15869 \h </w:instrText>
      </w:r>
      <w:r>
        <w:fldChar w:fldCharType="separate"/>
      </w:r>
      <w:r>
        <w:t>25</w:t>
      </w:r>
      <w:r>
        <w:fldChar w:fldCharType="end"/>
      </w:r>
      <w:r>
        <w:fldChar w:fldCharType="end"/>
      </w:r>
    </w:p>
    <w:p>
      <w:pPr>
        <w:pStyle w:val="2"/>
        <w:tabs>
          <w:tab w:val="right" w:leader="dot" w:pos="14572"/>
        </w:tabs>
      </w:pPr>
      <w:r>
        <w:fldChar w:fldCharType="begin"/>
      </w:r>
      <w:r>
        <w:instrText xml:space="preserve"> HYPERLINK \l _Toc18296 </w:instrText>
      </w:r>
      <w:r>
        <w:fldChar w:fldCharType="separate"/>
      </w:r>
      <w:r>
        <w:rPr>
          <w:rFonts w:ascii="黑体" w:hAnsi="黑体" w:eastAsia="黑体" w:cs="黑体"/>
        </w:rPr>
        <w:t>八、名词解释</w:t>
      </w:r>
      <w:r>
        <w:tab/>
      </w:r>
      <w:r>
        <w:fldChar w:fldCharType="begin"/>
      </w:r>
      <w:r>
        <w:instrText xml:space="preserve"> PAGEREF _Toc18296 \h </w:instrText>
      </w:r>
      <w:r>
        <w:fldChar w:fldCharType="separate"/>
      </w:r>
      <w:r>
        <w:t>26</w:t>
      </w:r>
      <w:r>
        <w:fldChar w:fldCharType="end"/>
      </w:r>
      <w:r>
        <w:fldChar w:fldCharType="end"/>
      </w:r>
    </w:p>
    <w:p>
      <w:pPr>
        <w:pStyle w:val="2"/>
        <w:tabs>
          <w:tab w:val="right" w:leader="dot" w:pos="14572"/>
        </w:tabs>
      </w:pPr>
      <w:r>
        <w:fldChar w:fldCharType="begin"/>
      </w:r>
      <w:r>
        <w:instrText xml:space="preserve"> HYPERLINK \l _Toc5010 </w:instrText>
      </w:r>
      <w:r>
        <w:fldChar w:fldCharType="separate"/>
      </w:r>
      <w:r>
        <w:rPr>
          <w:rFonts w:ascii="黑体" w:hAnsi="黑体" w:eastAsia="黑体" w:cs="黑体"/>
        </w:rPr>
        <w:t>九、其他需要说明的事项</w:t>
      </w:r>
      <w:r>
        <w:tab/>
      </w:r>
      <w:r>
        <w:fldChar w:fldCharType="begin"/>
      </w:r>
      <w:r>
        <w:instrText xml:space="preserve"> PAGEREF _Toc5010 \h </w:instrText>
      </w:r>
      <w:r>
        <w:fldChar w:fldCharType="separate"/>
      </w:r>
      <w:r>
        <w:t>27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spacing w:before="0" w:after="0" w:line="240" w:lineRule="auto"/>
        <w:ind w:firstLine="0"/>
        <w:jc w:val="center"/>
        <w:outlineLvl w:val="1"/>
      </w:pPr>
      <w:bookmarkStart w:id="0" w:name="_Toc8920"/>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98.67</w:t>
            </w:r>
          </w:p>
        </w:tc>
        <w:tc>
          <w:tcPr>
            <w:tcW w:w="4535" w:type="dxa"/>
            <w:vAlign w:val="center"/>
          </w:tcPr>
          <w:p>
            <w:pPr>
              <w:pStyle w:val="14"/>
            </w:pPr>
            <w:r>
              <w:t>一、一般公共服务支出</w:t>
            </w:r>
          </w:p>
        </w:tc>
        <w:tc>
          <w:tcPr>
            <w:tcW w:w="2126" w:type="dxa"/>
            <w:vAlign w:val="center"/>
          </w:tcPr>
          <w:p>
            <w:pPr>
              <w:pStyle w:val="13"/>
            </w:pPr>
            <w:r>
              <w:t>98.67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98.67</w:t>
            </w:r>
          </w:p>
        </w:tc>
        <w:tc>
          <w:tcPr>
            <w:tcW w:w="4535" w:type="dxa"/>
            <w:vAlign w:val="center"/>
          </w:tcPr>
          <w:p>
            <w:pPr>
              <w:pStyle w:val="16"/>
            </w:pPr>
            <w:r>
              <w:t>本年支出合计</w:t>
            </w:r>
          </w:p>
        </w:tc>
        <w:tc>
          <w:tcPr>
            <w:tcW w:w="2126" w:type="dxa"/>
            <w:vAlign w:val="center"/>
          </w:tcPr>
          <w:p>
            <w:pPr>
              <w:pStyle w:val="17"/>
            </w:pPr>
            <w:r>
              <w:t>98.67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98.67</w:t>
            </w:r>
          </w:p>
        </w:tc>
        <w:tc>
          <w:tcPr>
            <w:tcW w:w="4535" w:type="dxa"/>
            <w:vAlign w:val="center"/>
          </w:tcPr>
          <w:p>
            <w:pPr>
              <w:pStyle w:val="16"/>
            </w:pPr>
            <w:r>
              <w:t>支出总计</w:t>
            </w:r>
          </w:p>
        </w:tc>
        <w:tc>
          <w:tcPr>
            <w:tcW w:w="2126" w:type="dxa"/>
            <w:vAlign w:val="center"/>
          </w:tcPr>
          <w:p>
            <w:pPr>
              <w:pStyle w:val="17"/>
            </w:pPr>
            <w:r>
              <w:t>98.67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21179"/>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98.67</w:t>
            </w:r>
          </w:p>
        </w:tc>
        <w:tc>
          <w:tcPr>
            <w:tcW w:w="1134" w:type="dxa"/>
            <w:vAlign w:val="center"/>
          </w:tcPr>
          <w:p>
            <w:pPr>
              <w:pStyle w:val="17"/>
            </w:pPr>
            <w:r>
              <w:t>98.67</w:t>
            </w:r>
          </w:p>
        </w:tc>
        <w:tc>
          <w:tcPr>
            <w:tcW w:w="1134" w:type="dxa"/>
            <w:vAlign w:val="center"/>
          </w:tcPr>
          <w:p>
            <w:pPr>
              <w:pStyle w:val="17"/>
            </w:pPr>
            <w:r>
              <w:t>98.67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98.67</w:t>
            </w:r>
          </w:p>
        </w:tc>
        <w:tc>
          <w:tcPr>
            <w:tcW w:w="1134" w:type="dxa"/>
            <w:vAlign w:val="center"/>
          </w:tcPr>
          <w:p>
            <w:pPr>
              <w:pStyle w:val="13"/>
            </w:pPr>
            <w:r>
              <w:t>98.67</w:t>
            </w:r>
          </w:p>
        </w:tc>
        <w:tc>
          <w:tcPr>
            <w:tcW w:w="1134" w:type="dxa"/>
            <w:vAlign w:val="center"/>
          </w:tcPr>
          <w:p>
            <w:pPr>
              <w:pStyle w:val="13"/>
            </w:pPr>
            <w:r>
              <w:t>98.67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20128</w:t>
            </w:r>
          </w:p>
        </w:tc>
        <w:tc>
          <w:tcPr>
            <w:tcW w:w="1559" w:type="dxa"/>
            <w:vAlign w:val="center"/>
          </w:tcPr>
          <w:p>
            <w:pPr>
              <w:pStyle w:val="14"/>
            </w:pPr>
            <w:r>
              <w:t>民主党派及工商联事务</w:t>
            </w:r>
          </w:p>
        </w:tc>
        <w:tc>
          <w:tcPr>
            <w:tcW w:w="1134" w:type="dxa"/>
            <w:vAlign w:val="center"/>
          </w:tcPr>
          <w:p>
            <w:pPr>
              <w:pStyle w:val="13"/>
            </w:pPr>
            <w:r>
              <w:t>98.67</w:t>
            </w:r>
          </w:p>
        </w:tc>
        <w:tc>
          <w:tcPr>
            <w:tcW w:w="1134" w:type="dxa"/>
            <w:vAlign w:val="center"/>
          </w:tcPr>
          <w:p>
            <w:pPr>
              <w:pStyle w:val="13"/>
            </w:pPr>
            <w:r>
              <w:t>98.67</w:t>
            </w:r>
          </w:p>
        </w:tc>
        <w:tc>
          <w:tcPr>
            <w:tcW w:w="1134" w:type="dxa"/>
            <w:vAlign w:val="center"/>
          </w:tcPr>
          <w:p>
            <w:pPr>
              <w:pStyle w:val="13"/>
            </w:pPr>
            <w:r>
              <w:t>98.67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2012801</w:t>
            </w:r>
          </w:p>
        </w:tc>
        <w:tc>
          <w:tcPr>
            <w:tcW w:w="1559" w:type="dxa"/>
            <w:vAlign w:val="center"/>
          </w:tcPr>
          <w:p>
            <w:pPr>
              <w:pStyle w:val="14"/>
            </w:pPr>
            <w:r>
              <w:t>行政运行</w:t>
            </w:r>
          </w:p>
        </w:tc>
        <w:tc>
          <w:tcPr>
            <w:tcW w:w="1134" w:type="dxa"/>
            <w:vAlign w:val="center"/>
          </w:tcPr>
          <w:p>
            <w:pPr>
              <w:pStyle w:val="13"/>
            </w:pPr>
            <w:r>
              <w:t>93.13</w:t>
            </w:r>
          </w:p>
        </w:tc>
        <w:tc>
          <w:tcPr>
            <w:tcW w:w="1134" w:type="dxa"/>
            <w:vAlign w:val="center"/>
          </w:tcPr>
          <w:p>
            <w:pPr>
              <w:pStyle w:val="13"/>
            </w:pPr>
            <w:r>
              <w:t>93.13</w:t>
            </w:r>
          </w:p>
        </w:tc>
        <w:tc>
          <w:tcPr>
            <w:tcW w:w="1134" w:type="dxa"/>
            <w:vAlign w:val="center"/>
          </w:tcPr>
          <w:p>
            <w:pPr>
              <w:pStyle w:val="13"/>
            </w:pPr>
            <w:r>
              <w:t>93.13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2012802</w:t>
            </w:r>
          </w:p>
        </w:tc>
        <w:tc>
          <w:tcPr>
            <w:tcW w:w="1559" w:type="dxa"/>
            <w:vAlign w:val="center"/>
          </w:tcPr>
          <w:p>
            <w:pPr>
              <w:pStyle w:val="14"/>
            </w:pPr>
            <w:r>
              <w:t>一般行政管理事务</w:t>
            </w:r>
          </w:p>
        </w:tc>
        <w:tc>
          <w:tcPr>
            <w:tcW w:w="1134" w:type="dxa"/>
            <w:vAlign w:val="center"/>
          </w:tcPr>
          <w:p>
            <w:pPr>
              <w:pStyle w:val="13"/>
            </w:pPr>
            <w:r>
              <w:t>5.54</w:t>
            </w:r>
          </w:p>
        </w:tc>
        <w:tc>
          <w:tcPr>
            <w:tcW w:w="1134" w:type="dxa"/>
            <w:vAlign w:val="center"/>
          </w:tcPr>
          <w:p>
            <w:pPr>
              <w:pStyle w:val="13"/>
            </w:pPr>
            <w:r>
              <w:t>5.54</w:t>
            </w:r>
          </w:p>
        </w:tc>
        <w:tc>
          <w:tcPr>
            <w:tcW w:w="1134" w:type="dxa"/>
            <w:vAlign w:val="center"/>
          </w:tcPr>
          <w:p>
            <w:pPr>
              <w:pStyle w:val="13"/>
            </w:pPr>
            <w:r>
              <w:t>5.54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16544"/>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98.67</w:t>
            </w:r>
          </w:p>
        </w:tc>
        <w:tc>
          <w:tcPr>
            <w:tcW w:w="1361" w:type="dxa"/>
            <w:vAlign w:val="center"/>
          </w:tcPr>
          <w:p>
            <w:pPr>
              <w:pStyle w:val="17"/>
            </w:pPr>
            <w:r>
              <w:t>93.13</w:t>
            </w:r>
          </w:p>
        </w:tc>
        <w:tc>
          <w:tcPr>
            <w:tcW w:w="1361" w:type="dxa"/>
            <w:vAlign w:val="center"/>
          </w:tcPr>
          <w:p>
            <w:pPr>
              <w:pStyle w:val="17"/>
            </w:pPr>
            <w:r>
              <w:t>5.54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98.67</w:t>
            </w:r>
          </w:p>
        </w:tc>
        <w:tc>
          <w:tcPr>
            <w:tcW w:w="1361" w:type="dxa"/>
            <w:vAlign w:val="center"/>
          </w:tcPr>
          <w:p>
            <w:pPr>
              <w:pStyle w:val="13"/>
            </w:pPr>
            <w:r>
              <w:t>93.13</w:t>
            </w: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20128</w:t>
            </w:r>
          </w:p>
        </w:tc>
        <w:tc>
          <w:tcPr>
            <w:tcW w:w="4535" w:type="dxa"/>
            <w:vAlign w:val="center"/>
          </w:tcPr>
          <w:p>
            <w:pPr>
              <w:pStyle w:val="14"/>
            </w:pPr>
            <w:r>
              <w:t>民主党派及工商联事务</w:t>
            </w:r>
          </w:p>
        </w:tc>
        <w:tc>
          <w:tcPr>
            <w:tcW w:w="1361" w:type="dxa"/>
            <w:vAlign w:val="center"/>
          </w:tcPr>
          <w:p>
            <w:pPr>
              <w:pStyle w:val="13"/>
            </w:pPr>
            <w:r>
              <w:t>98.67</w:t>
            </w:r>
          </w:p>
        </w:tc>
        <w:tc>
          <w:tcPr>
            <w:tcW w:w="1361" w:type="dxa"/>
            <w:vAlign w:val="center"/>
          </w:tcPr>
          <w:p>
            <w:pPr>
              <w:pStyle w:val="13"/>
            </w:pPr>
            <w:r>
              <w:t>93.13</w:t>
            </w: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2012801</w:t>
            </w:r>
          </w:p>
        </w:tc>
        <w:tc>
          <w:tcPr>
            <w:tcW w:w="4535" w:type="dxa"/>
            <w:vAlign w:val="center"/>
          </w:tcPr>
          <w:p>
            <w:pPr>
              <w:pStyle w:val="14"/>
            </w:pPr>
            <w:r>
              <w:t>行政运行</w:t>
            </w:r>
          </w:p>
        </w:tc>
        <w:tc>
          <w:tcPr>
            <w:tcW w:w="1361" w:type="dxa"/>
            <w:vAlign w:val="center"/>
          </w:tcPr>
          <w:p>
            <w:pPr>
              <w:pStyle w:val="13"/>
            </w:pPr>
            <w:r>
              <w:t>93.13</w:t>
            </w:r>
          </w:p>
        </w:tc>
        <w:tc>
          <w:tcPr>
            <w:tcW w:w="1361" w:type="dxa"/>
            <w:vAlign w:val="center"/>
          </w:tcPr>
          <w:p>
            <w:pPr>
              <w:pStyle w:val="13"/>
            </w:pPr>
            <w:r>
              <w:t>93.13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2012802</w:t>
            </w:r>
          </w:p>
        </w:tc>
        <w:tc>
          <w:tcPr>
            <w:tcW w:w="4535" w:type="dxa"/>
            <w:vAlign w:val="center"/>
          </w:tcPr>
          <w:p>
            <w:pPr>
              <w:pStyle w:val="14"/>
            </w:pPr>
            <w:r>
              <w:t>一般行政管理事务</w:t>
            </w: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31287"/>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98.67</w:t>
            </w:r>
          </w:p>
        </w:tc>
        <w:tc>
          <w:tcPr>
            <w:tcW w:w="3402" w:type="dxa"/>
            <w:vAlign w:val="center"/>
          </w:tcPr>
          <w:p>
            <w:pPr>
              <w:pStyle w:val="14"/>
            </w:pPr>
            <w:r>
              <w:t>一、一般公共服务支出</w:t>
            </w:r>
          </w:p>
        </w:tc>
        <w:tc>
          <w:tcPr>
            <w:tcW w:w="1474" w:type="dxa"/>
            <w:vAlign w:val="center"/>
          </w:tcPr>
          <w:p>
            <w:pPr>
              <w:pStyle w:val="13"/>
            </w:pPr>
            <w:r>
              <w:t>98.67</w:t>
            </w:r>
          </w:p>
        </w:tc>
        <w:tc>
          <w:tcPr>
            <w:tcW w:w="1474" w:type="dxa"/>
            <w:vAlign w:val="center"/>
          </w:tcPr>
          <w:p>
            <w:pPr>
              <w:pStyle w:val="13"/>
            </w:pPr>
            <w:r>
              <w:t>98.67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98.67</w:t>
            </w:r>
          </w:p>
        </w:tc>
        <w:tc>
          <w:tcPr>
            <w:tcW w:w="3402" w:type="dxa"/>
            <w:vAlign w:val="center"/>
          </w:tcPr>
          <w:p>
            <w:pPr>
              <w:pStyle w:val="16"/>
            </w:pPr>
            <w:r>
              <w:t>本年支出合计</w:t>
            </w:r>
          </w:p>
        </w:tc>
        <w:tc>
          <w:tcPr>
            <w:tcW w:w="1474" w:type="dxa"/>
            <w:vAlign w:val="center"/>
          </w:tcPr>
          <w:p>
            <w:pPr>
              <w:pStyle w:val="17"/>
            </w:pPr>
            <w:r>
              <w:t>98.67</w:t>
            </w:r>
          </w:p>
        </w:tc>
        <w:tc>
          <w:tcPr>
            <w:tcW w:w="1474" w:type="dxa"/>
            <w:vAlign w:val="center"/>
          </w:tcPr>
          <w:p>
            <w:pPr>
              <w:pStyle w:val="17"/>
            </w:pPr>
            <w:r>
              <w:t>98.67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98.67</w:t>
            </w:r>
          </w:p>
        </w:tc>
        <w:tc>
          <w:tcPr>
            <w:tcW w:w="3402" w:type="dxa"/>
            <w:vAlign w:val="center"/>
          </w:tcPr>
          <w:p>
            <w:pPr>
              <w:pStyle w:val="16"/>
            </w:pPr>
            <w:r>
              <w:t>支出总计</w:t>
            </w:r>
          </w:p>
        </w:tc>
        <w:tc>
          <w:tcPr>
            <w:tcW w:w="1474" w:type="dxa"/>
            <w:vAlign w:val="center"/>
          </w:tcPr>
          <w:p>
            <w:pPr>
              <w:pStyle w:val="17"/>
            </w:pPr>
            <w:r>
              <w:t>98.67</w:t>
            </w:r>
          </w:p>
        </w:tc>
        <w:tc>
          <w:tcPr>
            <w:tcW w:w="1474" w:type="dxa"/>
            <w:vAlign w:val="center"/>
          </w:tcPr>
          <w:p>
            <w:pPr>
              <w:pStyle w:val="17"/>
            </w:pPr>
            <w:r>
              <w:t>98.67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4049"/>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98.67</w:t>
            </w:r>
          </w:p>
        </w:tc>
        <w:tc>
          <w:tcPr>
            <w:tcW w:w="2551" w:type="dxa"/>
            <w:vAlign w:val="center"/>
          </w:tcPr>
          <w:p>
            <w:pPr>
              <w:pStyle w:val="17"/>
            </w:pPr>
            <w:r>
              <w:t>93.13</w:t>
            </w:r>
          </w:p>
        </w:tc>
        <w:tc>
          <w:tcPr>
            <w:tcW w:w="2551" w:type="dxa"/>
            <w:vAlign w:val="center"/>
          </w:tcPr>
          <w:p>
            <w:pPr>
              <w:pStyle w:val="17"/>
            </w:pPr>
            <w:r>
              <w:t>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98.67</w:t>
            </w:r>
          </w:p>
        </w:tc>
        <w:tc>
          <w:tcPr>
            <w:tcW w:w="2551" w:type="dxa"/>
            <w:vAlign w:val="center"/>
          </w:tcPr>
          <w:p>
            <w:pPr>
              <w:pStyle w:val="13"/>
            </w:pPr>
            <w:r>
              <w:t>93.13</w:t>
            </w:r>
          </w:p>
        </w:tc>
        <w:tc>
          <w:tcPr>
            <w:tcW w:w="2551" w:type="dxa"/>
            <w:vAlign w:val="center"/>
          </w:tcPr>
          <w:p>
            <w:pPr>
              <w:pStyle w:val="13"/>
            </w:pPr>
            <w:r>
              <w:t>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20128</w:t>
            </w:r>
          </w:p>
        </w:tc>
        <w:tc>
          <w:tcPr>
            <w:tcW w:w="4535" w:type="dxa"/>
            <w:vAlign w:val="center"/>
          </w:tcPr>
          <w:p>
            <w:pPr>
              <w:pStyle w:val="14"/>
            </w:pPr>
            <w:r>
              <w:t>民主党派及工商联事务</w:t>
            </w:r>
          </w:p>
        </w:tc>
        <w:tc>
          <w:tcPr>
            <w:tcW w:w="2551" w:type="dxa"/>
            <w:vAlign w:val="center"/>
          </w:tcPr>
          <w:p>
            <w:pPr>
              <w:pStyle w:val="13"/>
            </w:pPr>
            <w:r>
              <w:t>98.67</w:t>
            </w:r>
          </w:p>
        </w:tc>
        <w:tc>
          <w:tcPr>
            <w:tcW w:w="2551" w:type="dxa"/>
            <w:vAlign w:val="center"/>
          </w:tcPr>
          <w:p>
            <w:pPr>
              <w:pStyle w:val="13"/>
            </w:pPr>
            <w:r>
              <w:t>93.13</w:t>
            </w:r>
          </w:p>
        </w:tc>
        <w:tc>
          <w:tcPr>
            <w:tcW w:w="2551" w:type="dxa"/>
            <w:vAlign w:val="center"/>
          </w:tcPr>
          <w:p>
            <w:pPr>
              <w:pStyle w:val="13"/>
            </w:pPr>
            <w:r>
              <w:t>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2012801</w:t>
            </w:r>
          </w:p>
        </w:tc>
        <w:tc>
          <w:tcPr>
            <w:tcW w:w="4535" w:type="dxa"/>
            <w:vAlign w:val="center"/>
          </w:tcPr>
          <w:p>
            <w:pPr>
              <w:pStyle w:val="14"/>
            </w:pPr>
            <w:r>
              <w:t>行政运行</w:t>
            </w:r>
          </w:p>
        </w:tc>
        <w:tc>
          <w:tcPr>
            <w:tcW w:w="2551" w:type="dxa"/>
            <w:vAlign w:val="center"/>
          </w:tcPr>
          <w:p>
            <w:pPr>
              <w:pStyle w:val="13"/>
            </w:pPr>
            <w:r>
              <w:t>93.13</w:t>
            </w:r>
          </w:p>
        </w:tc>
        <w:tc>
          <w:tcPr>
            <w:tcW w:w="2551" w:type="dxa"/>
            <w:vAlign w:val="center"/>
          </w:tcPr>
          <w:p>
            <w:pPr>
              <w:pStyle w:val="13"/>
            </w:pPr>
            <w:r>
              <w:t>93.13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2012802</w:t>
            </w:r>
          </w:p>
        </w:tc>
        <w:tc>
          <w:tcPr>
            <w:tcW w:w="4535" w:type="dxa"/>
            <w:vAlign w:val="center"/>
          </w:tcPr>
          <w:p>
            <w:pPr>
              <w:pStyle w:val="14"/>
            </w:pPr>
            <w:r>
              <w:t>一般行政管理事务</w:t>
            </w:r>
          </w:p>
        </w:tc>
        <w:tc>
          <w:tcPr>
            <w:tcW w:w="2551" w:type="dxa"/>
            <w:vAlign w:val="center"/>
          </w:tcPr>
          <w:p>
            <w:pPr>
              <w:pStyle w:val="13"/>
            </w:pPr>
            <w:r>
              <w:t>5.54</w:t>
            </w:r>
          </w:p>
        </w:tc>
        <w:tc>
          <w:tcPr>
            <w:tcW w:w="2551" w:type="dxa"/>
            <w:vAlign w:val="center"/>
          </w:tcPr>
          <w:p>
            <w:pPr>
              <w:pStyle w:val="13"/>
            </w:pPr>
          </w:p>
        </w:tc>
        <w:tc>
          <w:tcPr>
            <w:tcW w:w="2551" w:type="dxa"/>
            <w:vAlign w:val="center"/>
          </w:tcPr>
          <w:p>
            <w:pPr>
              <w:pStyle w:val="13"/>
            </w:pPr>
            <w:r>
              <w:t>5.54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25428"/>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93.13</w:t>
            </w:r>
          </w:p>
        </w:tc>
        <w:tc>
          <w:tcPr>
            <w:tcW w:w="2551" w:type="dxa"/>
            <w:vAlign w:val="center"/>
          </w:tcPr>
          <w:p>
            <w:pPr>
              <w:pStyle w:val="17"/>
            </w:pPr>
            <w:r>
              <w:t>84.11</w:t>
            </w:r>
          </w:p>
        </w:tc>
        <w:tc>
          <w:tcPr>
            <w:tcW w:w="2551" w:type="dxa"/>
            <w:vAlign w:val="center"/>
          </w:tcPr>
          <w:p>
            <w:pPr>
              <w:pStyle w:val="17"/>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84.11</w:t>
            </w:r>
          </w:p>
        </w:tc>
        <w:tc>
          <w:tcPr>
            <w:tcW w:w="2551" w:type="dxa"/>
            <w:vAlign w:val="center"/>
          </w:tcPr>
          <w:p>
            <w:pPr>
              <w:pStyle w:val="13"/>
            </w:pPr>
            <w:r>
              <w:t>84.11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19.93</w:t>
            </w:r>
          </w:p>
        </w:tc>
        <w:tc>
          <w:tcPr>
            <w:tcW w:w="2551" w:type="dxa"/>
            <w:vAlign w:val="center"/>
          </w:tcPr>
          <w:p>
            <w:pPr>
              <w:pStyle w:val="13"/>
            </w:pPr>
            <w:r>
              <w:t>19.93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35.36</w:t>
            </w:r>
          </w:p>
        </w:tc>
        <w:tc>
          <w:tcPr>
            <w:tcW w:w="2551" w:type="dxa"/>
            <w:vAlign w:val="center"/>
          </w:tcPr>
          <w:p>
            <w:pPr>
              <w:pStyle w:val="13"/>
            </w:pPr>
            <w:r>
              <w:t>35.36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1.66</w:t>
            </w:r>
          </w:p>
        </w:tc>
        <w:tc>
          <w:tcPr>
            <w:tcW w:w="2551" w:type="dxa"/>
            <w:vAlign w:val="center"/>
          </w:tcPr>
          <w:p>
            <w:pPr>
              <w:pStyle w:val="13"/>
            </w:pPr>
            <w:r>
              <w:t>1.66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7.46</w:t>
            </w:r>
          </w:p>
        </w:tc>
        <w:tc>
          <w:tcPr>
            <w:tcW w:w="2551" w:type="dxa"/>
            <w:vAlign w:val="center"/>
          </w:tcPr>
          <w:p>
            <w:pPr>
              <w:pStyle w:val="13"/>
            </w:pPr>
            <w:r>
              <w:t>7.46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3.92</w:t>
            </w:r>
          </w:p>
        </w:tc>
        <w:tc>
          <w:tcPr>
            <w:tcW w:w="2551" w:type="dxa"/>
            <w:vAlign w:val="center"/>
          </w:tcPr>
          <w:p>
            <w:pPr>
              <w:pStyle w:val="13"/>
            </w:pPr>
            <w:r>
              <w:t>3.92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3.03</w:t>
            </w:r>
          </w:p>
        </w:tc>
        <w:tc>
          <w:tcPr>
            <w:tcW w:w="2551" w:type="dxa"/>
            <w:vAlign w:val="center"/>
          </w:tcPr>
          <w:p>
            <w:pPr>
              <w:pStyle w:val="13"/>
            </w:pPr>
            <w:r>
              <w:t>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6.56</w:t>
            </w:r>
          </w:p>
        </w:tc>
        <w:tc>
          <w:tcPr>
            <w:tcW w:w="2551" w:type="dxa"/>
            <w:vAlign w:val="center"/>
          </w:tcPr>
          <w:p>
            <w:pPr>
              <w:pStyle w:val="13"/>
            </w:pPr>
            <w:r>
              <w:t>6.56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6.19</w:t>
            </w:r>
          </w:p>
        </w:tc>
        <w:tc>
          <w:tcPr>
            <w:tcW w:w="2551" w:type="dxa"/>
            <w:vAlign w:val="center"/>
          </w:tcPr>
          <w:p>
            <w:pPr>
              <w:pStyle w:val="13"/>
            </w:pPr>
            <w:r>
              <w:t>6.19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9.02</w:t>
            </w:r>
          </w:p>
        </w:tc>
        <w:tc>
          <w:tcPr>
            <w:tcW w:w="2551" w:type="dxa"/>
            <w:vAlign w:val="center"/>
          </w:tcPr>
          <w:p>
            <w:pPr>
              <w:pStyle w:val="13"/>
            </w:pPr>
          </w:p>
        </w:tc>
        <w:tc>
          <w:tcPr>
            <w:tcW w:w="2551" w:type="dxa"/>
            <w:vAlign w:val="center"/>
          </w:tcPr>
          <w:p>
            <w:pPr>
              <w:pStyle w:val="13"/>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2.76</w:t>
            </w:r>
          </w:p>
        </w:tc>
        <w:tc>
          <w:tcPr>
            <w:tcW w:w="2551" w:type="dxa"/>
            <w:vAlign w:val="center"/>
          </w:tcPr>
          <w:p>
            <w:pPr>
              <w:pStyle w:val="13"/>
            </w:pPr>
          </w:p>
        </w:tc>
        <w:tc>
          <w:tcPr>
            <w:tcW w:w="2551"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3.54</w:t>
            </w:r>
          </w:p>
        </w:tc>
        <w:tc>
          <w:tcPr>
            <w:tcW w:w="2551" w:type="dxa"/>
            <w:vAlign w:val="center"/>
          </w:tcPr>
          <w:p>
            <w:pPr>
              <w:pStyle w:val="13"/>
            </w:pPr>
          </w:p>
        </w:tc>
        <w:tc>
          <w:tcPr>
            <w:tcW w:w="2551" w:type="dxa"/>
            <w:vAlign w:val="center"/>
          </w:tcPr>
          <w:p>
            <w:pPr>
              <w:pStyle w:val="13"/>
            </w:pPr>
            <w:r>
              <w:t>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22924"/>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23440"/>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706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石家庄市藁城区工商业联合会2022年部门预算信息公开情况说明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石家庄市藁城区工商业联合会2022年部门预算信息公开情况说明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按照《预算法》、《地方预决算公开操作规程》和《关于进一步推进预算公开工作的实施意见》规定，现将石家庄市藁城区工商业联合会2022年部门预算公开如下：</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一、部门职责及机构设置情况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藁城区工商联的主要工作职责是：</w:t>
      </w:r>
    </w:p>
    <w:p>
      <w:pPr>
        <w:pStyle w:val="19"/>
      </w:pPr>
      <w:r>
        <w:t>(一)团结、服务、引导、教育非公有制经济人士爱国、敬业、诚信、守法、贡献，培养拥护党的领导、走中国特色社会主义道路的非公有制经济人士队伍。</w:t>
      </w:r>
    </w:p>
    <w:p>
      <w:pPr>
        <w:pStyle w:val="19"/>
      </w:pPr>
      <w:r>
        <w:t>(二)做好非公有制经济代表人士政治安排的推荐工作。参与政治协商，发挥民主监督作用，积极参政议政。</w:t>
      </w:r>
    </w:p>
    <w:p>
      <w:pPr>
        <w:pStyle w:val="19"/>
      </w:pPr>
      <w:r>
        <w:t>(三)参与政府相关的经济活动，广泛联系各地工商界人士，开展民间外交，推动经贸交流和协作，促进经济社会发展。</w:t>
      </w:r>
    </w:p>
    <w:p>
      <w:pPr>
        <w:pStyle w:val="19"/>
      </w:pPr>
      <w:r>
        <w:t>(四)参与协调劳动关系，促进和谐社会建设。</w:t>
      </w:r>
    </w:p>
    <w:p>
      <w:pPr>
        <w:pStyle w:val="19"/>
      </w:pPr>
      <w:r>
        <w:t>(五)指导本会直属商会工作，积极参与社会组织建设工作，促进行业协会商会改革发展。</w:t>
      </w:r>
    </w:p>
    <w:p>
      <w:pPr>
        <w:pStyle w:val="19"/>
      </w:pPr>
      <w:r>
        <w:t xml:space="preserve">(六)反映非公有制企业和非公有制经济人士利益诉求维护其合法权益。 </w:t>
      </w:r>
    </w:p>
    <w:p>
      <w:pPr>
        <w:pStyle w:val="19"/>
      </w:pPr>
      <w:r>
        <w:t>(七)为会员提供政策信息、人才交流培训等服务。组织会员企业参加各类经贸活动，外出参观考察，帮助会员企业拓展市场。</w:t>
      </w:r>
    </w:p>
    <w:p>
      <w:pPr>
        <w:pStyle w:val="19"/>
      </w:pPr>
      <w:r>
        <w:t>(八)配合有关部门开展非公有制会员企业党建工作。</w:t>
      </w:r>
    </w:p>
    <w:p>
      <w:pPr>
        <w:pStyle w:val="19"/>
      </w:pPr>
      <w:r>
        <w:t>(九)积极引导非公有制企业及其非公有制经济人士承担社会责任，大力支持慈善公益事业发展，积极投身光彩事业。</w:t>
      </w:r>
    </w:p>
    <w:p>
      <w:pPr>
        <w:pStyle w:val="19"/>
      </w:pPr>
      <w:r>
        <w:t>(十)承办区委、区政府和上级工商联交办的其它任务。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石家庄市藁城区工商业联合会本级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二、部门预算安排的总体情况</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按照预算管理有关规定，目前我省部门预算的编制实行综合预算管理，即全部收入和支出都反映在预算中。石家庄市藁城区工商业联合会机关及所属事业单位的收支包含在部门预算中。</w:t>
      </w:r>
    </w:p>
    <w:p>
      <w:pPr>
        <w:pStyle w:val="19"/>
        <w:rPr>
          <w:highlight w:val="none"/>
        </w:rPr>
      </w:pPr>
      <w:r>
        <w:rPr>
          <w:rFonts w:hint="eastAsia"/>
          <w:highlight w:val="none"/>
        </w:rPr>
        <w:t>1、</w:t>
      </w:r>
      <w:r>
        <w:rPr>
          <w:highlight w:val="none"/>
        </w:rPr>
        <w:t>收入说明</w:t>
      </w:r>
    </w:p>
    <w:p>
      <w:pPr>
        <w:pStyle w:val="19"/>
        <w:rPr>
          <w:highlight w:val="none"/>
        </w:rPr>
      </w:pPr>
      <w:r>
        <w:rPr>
          <w:rFonts w:hint="eastAsia"/>
          <w:highlight w:val="none"/>
        </w:rPr>
        <w:t>反映本部门当年全部收入。2022年预算收入</w:t>
      </w:r>
      <w:r>
        <w:rPr>
          <w:rFonts w:hint="eastAsia"/>
          <w:highlight w:val="none"/>
          <w:lang w:val="en-US" w:eastAsia="zh-CN"/>
        </w:rPr>
        <w:t>98.67</w:t>
      </w:r>
      <w:r>
        <w:rPr>
          <w:rFonts w:hint="eastAsia"/>
          <w:highlight w:val="none"/>
        </w:rPr>
        <w:t>万元，其中：一般公共预算收入</w:t>
      </w:r>
      <w:r>
        <w:rPr>
          <w:rFonts w:hint="eastAsia"/>
          <w:highlight w:val="none"/>
          <w:lang w:val="en-US" w:eastAsia="zh-CN"/>
        </w:rPr>
        <w:t>98.67</w:t>
      </w:r>
      <w:r>
        <w:rPr>
          <w:rFonts w:hint="eastAsia"/>
          <w:highlight w:val="none"/>
        </w:rPr>
        <w:t>万元，基金预算收入0万元，财政专户核拨收入0万元，其他来源收入0万元。</w:t>
      </w:r>
    </w:p>
    <w:p>
      <w:pPr>
        <w:pStyle w:val="19"/>
        <w:rPr>
          <w:highlight w:val="none"/>
        </w:rPr>
      </w:pPr>
      <w:r>
        <w:rPr>
          <w:rFonts w:hint="eastAsia"/>
          <w:highlight w:val="none"/>
        </w:rPr>
        <w:t>2、</w:t>
      </w:r>
      <w:r>
        <w:rPr>
          <w:highlight w:val="none"/>
        </w:rPr>
        <w:t>支出说明</w:t>
      </w:r>
    </w:p>
    <w:p>
      <w:pPr>
        <w:pStyle w:val="19"/>
        <w:rPr>
          <w:highlight w:val="none"/>
        </w:rPr>
      </w:pPr>
      <w:r>
        <w:rPr>
          <w:rFonts w:hint="eastAsia"/>
          <w:highlight w:val="none"/>
        </w:rPr>
        <w:t>收支预算总表支出栏、基本支出表、项目支出表按经济分类和支出功能分类科目编制，反映本部门预算中支出预算的总体情况。2022年部门支出预算为</w:t>
      </w:r>
      <w:r>
        <w:rPr>
          <w:rFonts w:hint="eastAsia"/>
          <w:highlight w:val="none"/>
          <w:lang w:val="en-US" w:eastAsia="zh-CN"/>
        </w:rPr>
        <w:t>98.67</w:t>
      </w:r>
      <w:r>
        <w:rPr>
          <w:rFonts w:hint="eastAsia"/>
          <w:highlight w:val="none"/>
        </w:rPr>
        <w:t>万元，其中基本支出</w:t>
      </w:r>
      <w:r>
        <w:rPr>
          <w:rFonts w:hint="eastAsia"/>
          <w:highlight w:val="none"/>
          <w:lang w:val="en-US" w:eastAsia="zh-CN"/>
        </w:rPr>
        <w:t>93.13</w:t>
      </w:r>
      <w:r>
        <w:rPr>
          <w:rFonts w:hint="eastAsia"/>
          <w:highlight w:val="none"/>
        </w:rPr>
        <w:t>万元，包括人员经费</w:t>
      </w:r>
      <w:r>
        <w:rPr>
          <w:rFonts w:hint="eastAsia"/>
          <w:highlight w:val="none"/>
          <w:lang w:val="en-US" w:eastAsia="zh-CN"/>
        </w:rPr>
        <w:t>84.11</w:t>
      </w:r>
      <w:r>
        <w:rPr>
          <w:rFonts w:hint="eastAsia"/>
          <w:highlight w:val="none"/>
        </w:rPr>
        <w:t>万元和日常公用经费</w:t>
      </w:r>
      <w:r>
        <w:rPr>
          <w:rFonts w:hint="eastAsia"/>
          <w:highlight w:val="none"/>
          <w:lang w:val="en-US" w:eastAsia="zh-CN"/>
        </w:rPr>
        <w:t>9.02</w:t>
      </w:r>
      <w:r>
        <w:rPr>
          <w:rFonts w:hint="eastAsia"/>
          <w:highlight w:val="none"/>
        </w:rPr>
        <w:t>万元；项目支出</w:t>
      </w:r>
      <w:r>
        <w:rPr>
          <w:rFonts w:hint="eastAsia"/>
          <w:highlight w:val="none"/>
          <w:lang w:val="en-US" w:eastAsia="zh-CN"/>
        </w:rPr>
        <w:t>5.54</w:t>
      </w:r>
      <w:r>
        <w:rPr>
          <w:rFonts w:hint="eastAsia"/>
          <w:highlight w:val="none"/>
        </w:rPr>
        <w:t>万元，主要为</w:t>
      </w:r>
      <w:r>
        <w:rPr>
          <w:rFonts w:hint="eastAsia"/>
          <w:highlight w:val="none"/>
          <w:lang w:val="en-US" w:eastAsia="zh-CN"/>
        </w:rPr>
        <w:t>执委活动经费</w:t>
      </w:r>
      <w:r>
        <w:rPr>
          <w:rFonts w:hint="eastAsia"/>
          <w:highlight w:val="none"/>
        </w:rPr>
        <w:t>；其他支出0万元。</w:t>
      </w:r>
    </w:p>
    <w:p>
      <w:pPr>
        <w:pStyle w:val="19"/>
        <w:rPr>
          <w:highlight w:val="none"/>
        </w:rPr>
      </w:pPr>
      <w:r>
        <w:rPr>
          <w:rFonts w:hint="eastAsia"/>
          <w:highlight w:val="none"/>
        </w:rPr>
        <w:t>3、</w:t>
      </w:r>
      <w:r>
        <w:rPr>
          <w:highlight w:val="none"/>
        </w:rPr>
        <w:t>比上年增减情况</w:t>
      </w:r>
    </w:p>
    <w:p>
      <w:pPr>
        <w:pStyle w:val="19"/>
        <w:rPr>
          <w:highlight w:val="none"/>
        </w:rPr>
      </w:pPr>
      <w:r>
        <w:rPr>
          <w:rFonts w:hint="eastAsia"/>
          <w:highlight w:val="none"/>
        </w:rPr>
        <w:t>2022年部门预算收支安排</w:t>
      </w:r>
      <w:r>
        <w:rPr>
          <w:rFonts w:hint="eastAsia"/>
          <w:highlight w:val="none"/>
          <w:lang w:val="en-US" w:eastAsia="zh-CN"/>
        </w:rPr>
        <w:t>98.67</w:t>
      </w:r>
      <w:r>
        <w:rPr>
          <w:rFonts w:hint="eastAsia"/>
          <w:highlight w:val="none"/>
        </w:rPr>
        <w:t>万元，较2021年增加</w:t>
      </w:r>
      <w:r>
        <w:rPr>
          <w:rFonts w:hint="eastAsia"/>
          <w:highlight w:val="none"/>
          <w:lang w:val="en-US" w:eastAsia="zh-CN"/>
        </w:rPr>
        <w:t>45.1</w:t>
      </w:r>
      <w:r>
        <w:rPr>
          <w:rFonts w:hint="eastAsia"/>
          <w:highlight w:val="none"/>
        </w:rPr>
        <w:t>万元，主要是人员</w:t>
      </w:r>
      <w:r>
        <w:rPr>
          <w:rFonts w:hint="eastAsia"/>
          <w:highlight w:val="none"/>
          <w:lang w:val="en-US" w:eastAsia="zh-CN"/>
        </w:rPr>
        <w:t>增加</w:t>
      </w:r>
      <w:r>
        <w:rPr>
          <w:rFonts w:hint="eastAsia"/>
          <w:highlight w:val="none"/>
        </w:rPr>
        <w:t>，相应</w:t>
      </w:r>
      <w:r>
        <w:rPr>
          <w:rFonts w:hint="eastAsia"/>
          <w:highlight w:val="none"/>
          <w:lang w:val="en-US" w:eastAsia="zh-CN"/>
        </w:rPr>
        <w:t>增加</w:t>
      </w:r>
      <w:r>
        <w:rPr>
          <w:rFonts w:hint="eastAsia"/>
          <w:highlight w:val="none"/>
        </w:rPr>
        <w:t>人员经费和日常公用经费。</w:t>
      </w:r>
    </w:p>
    <w:p>
      <w:p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val="en-US" w:eastAsia="uk-UA"/>
        </w:rPr>
        <w:t>三、机关运</w:t>
      </w:r>
      <w:r>
        <w:rPr>
          <w:rFonts w:ascii="黑体" w:hAnsi="黑体" w:eastAsia="黑体" w:cs="黑体"/>
          <w:color w:val="000000"/>
          <w:sz w:val="32"/>
        </w:rPr>
        <w:t>行经费安排情况</w:t>
      </w:r>
    </w:p>
    <w:p>
      <w:pPr>
        <w:pStyle w:val="19"/>
        <w:rPr>
          <w:rFonts w:hint="eastAsia"/>
          <w:highlight w:val="none"/>
        </w:rPr>
      </w:pPr>
      <w:r>
        <w:rPr>
          <w:rFonts w:hint="eastAsia"/>
          <w:highlight w:val="none"/>
        </w:rPr>
        <w:t>2022年，我部门机关运行经费共计安排</w:t>
      </w:r>
      <w:r>
        <w:rPr>
          <w:rFonts w:hint="eastAsia"/>
          <w:highlight w:val="none"/>
          <w:lang w:val="en-US" w:eastAsia="zh-CN"/>
        </w:rPr>
        <w:t>9.02</w:t>
      </w:r>
      <w:r>
        <w:rPr>
          <w:rFonts w:hint="eastAsia"/>
          <w:highlight w:val="none"/>
        </w:rPr>
        <w:t>万元，主要用于保证机关正常运转的办公费、</w:t>
      </w:r>
      <w:r>
        <w:rPr>
          <w:rFonts w:hint="eastAsia"/>
          <w:highlight w:val="none"/>
          <w:lang w:val="en-US" w:eastAsia="zh-CN"/>
        </w:rPr>
        <w:t>邮电费</w:t>
      </w:r>
      <w:r>
        <w:rPr>
          <w:rFonts w:hint="eastAsia"/>
          <w:highlight w:val="none"/>
        </w:rPr>
        <w:t>等支出。</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22"/>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highlight w:val="none"/>
          <w:lang w:val="en-US" w:eastAsia="uk-UA" w:bidi="ar-SA"/>
        </w:rPr>
        <w:t>2022年，我部门财政拨款“三公”经费预算安排</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万元，其中：因公出国（境）费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万元；公务用车购置及运维费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万元（其中：公务用车购置费0万元，公务用车运行维护费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万元)；公务接待费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万元。“三公”经费与上年持平，无增减变化。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藁城区工商联坚持以习近平新时代中国特色社会主义思想为指导，认真学习贯彻党的十九大和十九届二中、三中、四中、五中、六中全会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（一）为民营企业提供各种培训和服务。</w:t>
      </w:r>
    </w:p>
    <w:p>
      <w:pPr>
        <w:pStyle w:val="24"/>
      </w:pPr>
      <w:r>
        <w:t>绩效目标：结合民营经济发展需要，举办研修班和各种类型的培训活动，采取多种途径为企业发展提供法律、金融、经贸、科技等服务，引导企业履行社会责任。</w:t>
      </w:r>
    </w:p>
    <w:p>
      <w:pPr>
        <w:pStyle w:val="24"/>
      </w:pPr>
      <w:r>
        <w:t>绩效指标：组织各类培训、服务不少于4次。</w:t>
      </w:r>
    </w:p>
    <w:p>
      <w:pPr>
        <w:pStyle w:val="24"/>
      </w:pPr>
      <w:r>
        <w:t>（二）深入企业调研了解民营企业发展状况。</w:t>
      </w:r>
    </w:p>
    <w:p>
      <w:pPr>
        <w:pStyle w:val="24"/>
      </w:pPr>
      <w:r>
        <w:t>绩效目标：开展民企大走访活动，通过对民企集中走访座谈调研，切实为企业解决生产、经营中遇到的各类问题。</w:t>
      </w:r>
    </w:p>
    <w:p>
      <w:pPr>
        <w:pStyle w:val="24"/>
      </w:pPr>
      <w:r>
        <w:t>绩效指标：深入企业调研每月不少于3次，撰写调研报告1篇。</w:t>
      </w:r>
    </w:p>
    <w:p>
      <w:pPr>
        <w:pStyle w:val="24"/>
      </w:pPr>
      <w:r>
        <w:t>（三）做好非公有制经济人士理想信念教育工作。</w:t>
      </w:r>
    </w:p>
    <w:p>
      <w:pPr>
        <w:pStyle w:val="24"/>
      </w:pPr>
      <w:r>
        <w:t>绩效目标：深化民营经济人士理想信念实践教育，加大对民营经济人士特别是新生代民营经济人士的理想信念实践教育，提高思想政治觉悟。</w:t>
      </w:r>
    </w:p>
    <w:p>
      <w:pPr>
        <w:pStyle w:val="24"/>
      </w:pPr>
      <w:r>
        <w:t>绩效指标：开展理想信念教育活动不少于2次。</w:t>
      </w:r>
    </w:p>
    <w:p>
      <w:pPr>
        <w:pStyle w:val="24"/>
      </w:pPr>
      <w:r>
        <w:t>（四）积极推进乡镇商会登记注册工作。</w:t>
      </w:r>
    </w:p>
    <w:p>
      <w:pPr>
        <w:pStyle w:val="24"/>
      </w:pPr>
      <w:r>
        <w:t>绩效目标：开展乡镇商会注册试点，指导符合条件的商会尽快完成登记。使乡镇商会能够更好地为乡镇企业服务，成为乡镇企业抱团发展的重要平台。</w:t>
      </w:r>
    </w:p>
    <w:p>
      <w:pPr>
        <w:pStyle w:val="24"/>
      </w:pPr>
      <w:r>
        <w:t>绩效指标：争取完成2个乡镇商会注册。</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5"/>
      </w:pPr>
      <w:r>
        <w:t>（二）加强支出管理。以项目预算绩效为依据，优化支出结构，预算编制做细做实，支出执行有章可循。资金支出安排科学合理，为项目组织实施保驾护航。</w:t>
      </w:r>
    </w:p>
    <w:p>
      <w:pPr>
        <w:pStyle w:val="25"/>
      </w:pPr>
      <w:r>
        <w:t>（三）加强绩效运行监控。按要求开展绩效运行监控，发现问题及时采取措施，确保绩效目标如期保质实现。</w:t>
      </w:r>
    </w:p>
    <w:p>
      <w:pPr>
        <w:pStyle w:val="25"/>
      </w:pPr>
      <w:r>
        <w:t>（四）做好绩效自评。按要求开展上年度部门预算绩效自评和重点评价工作，对评价中发现的问题及时整改，调整优化项目支出结构，提高财政资金使用效益。</w:t>
      </w:r>
    </w:p>
    <w:p>
      <w:pPr>
        <w:pStyle w:val="25"/>
      </w:pPr>
      <w:r>
        <w:t>（五）规范财务资产管理。完善财务管理制度，严格审批程序，加强固定资产登记、使用和报废处置管理，做到支出合理，物尽其用。</w:t>
      </w:r>
    </w:p>
    <w:p>
      <w:pPr>
        <w:pStyle w:val="25"/>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26"/>
        <w:spacing w:before="0" w:after="0" w:line="240" w:lineRule="auto"/>
        <w:ind w:firstLine="640"/>
        <w:jc w:val="left"/>
        <w:outlineLvl w:val="9"/>
        <w:rPr>
          <w:rFonts w:ascii="方正楷体_GBK" w:hAnsi="方正楷体_GBK" w:eastAsia="方正楷体_GBK" w:cs="方正楷体_GBK"/>
          <w:b/>
          <w:color w:val="000000"/>
          <w:sz w:val="32"/>
        </w:rPr>
      </w:pPr>
    </w:p>
    <w:p>
      <w:pPr>
        <w:pStyle w:val="26"/>
        <w:spacing w:before="0" w:after="0" w:line="240" w:lineRule="auto"/>
        <w:ind w:firstLine="640"/>
        <w:jc w:val="left"/>
        <w:outlineLvl w:val="9"/>
        <w:rPr>
          <w:rFonts w:ascii="方正楷体_GBK" w:hAnsi="方正楷体_GBK" w:eastAsia="方正楷体_GBK" w:cs="方正楷体_GBK"/>
          <w:b/>
          <w:color w:val="000000"/>
          <w:sz w:val="32"/>
        </w:rPr>
      </w:pPr>
    </w:p>
    <w:p>
      <w:pPr>
        <w:pStyle w:val="26"/>
        <w:spacing w:before="0" w:after="0" w:line="240" w:lineRule="auto"/>
        <w:ind w:firstLine="640"/>
        <w:jc w:val="left"/>
        <w:outlineLvl w:val="9"/>
        <w:rPr>
          <w:rFonts w:ascii="方正楷体_GBK" w:hAnsi="方正楷体_GBK" w:eastAsia="方正楷体_GBK" w:cs="方正楷体_GBK"/>
          <w:b/>
          <w:color w:val="000000"/>
          <w:sz w:val="32"/>
        </w:rPr>
      </w:pP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1、执委活动经费绩效目标表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1.1、召开执委会议1次。 2、调研5次，培训1次。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各类会议召开的次数</w:t>
            </w:r>
          </w:p>
        </w:tc>
        <w:tc>
          <w:tcPr>
            <w:tcW w:w="2835" w:type="dxa"/>
            <w:vAlign w:val="center"/>
          </w:tcPr>
          <w:p>
            <w:pPr>
              <w:pStyle w:val="28"/>
            </w:pPr>
            <w:r>
              <w:t>召开会议的次数，调研次数，培训次数</w:t>
            </w:r>
          </w:p>
        </w:tc>
        <w:tc>
          <w:tcPr>
            <w:tcW w:w="2551" w:type="dxa"/>
            <w:vAlign w:val="center"/>
          </w:tcPr>
          <w:p>
            <w:pPr>
              <w:pStyle w:val="28"/>
            </w:pPr>
            <w:r>
              <w:t>≥7次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质量指标</w:t>
            </w:r>
          </w:p>
        </w:tc>
        <w:tc>
          <w:tcPr>
            <w:tcW w:w="2835" w:type="dxa"/>
            <w:vAlign w:val="center"/>
          </w:tcPr>
          <w:p>
            <w:pPr>
              <w:pStyle w:val="28"/>
            </w:pPr>
            <w:r>
              <w:t>培训人员的参训率</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支付完成率</w:t>
            </w:r>
          </w:p>
        </w:tc>
        <w:tc>
          <w:tcPr>
            <w:tcW w:w="2835" w:type="dxa"/>
            <w:vAlign w:val="center"/>
          </w:tcPr>
          <w:p>
            <w:pPr>
              <w:pStyle w:val="28"/>
            </w:pPr>
            <w:r>
              <w:t>按照进度完成支出</w:t>
            </w:r>
          </w:p>
        </w:tc>
        <w:tc>
          <w:tcPr>
            <w:tcW w:w="2551" w:type="dxa"/>
            <w:vAlign w:val="center"/>
          </w:tcPr>
          <w:p>
            <w:pPr>
              <w:pStyle w:val="28"/>
            </w:pPr>
            <w:r>
              <w:t>2022-12-31之前完成</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项目总成本</w:t>
            </w:r>
          </w:p>
        </w:tc>
        <w:tc>
          <w:tcPr>
            <w:tcW w:w="2835" w:type="dxa"/>
            <w:vAlign w:val="center"/>
          </w:tcPr>
          <w:p>
            <w:pPr>
              <w:pStyle w:val="28"/>
            </w:pPr>
            <w:r>
              <w:t>项目控制预算数</w:t>
            </w:r>
          </w:p>
        </w:tc>
        <w:tc>
          <w:tcPr>
            <w:tcW w:w="2551" w:type="dxa"/>
            <w:vAlign w:val="center"/>
          </w:tcPr>
          <w:p>
            <w:pPr>
              <w:pStyle w:val="28"/>
            </w:pPr>
            <w:r>
              <w:t>≤5.54万元</w:t>
            </w:r>
          </w:p>
        </w:tc>
        <w:tc>
          <w:tcPr>
            <w:tcW w:w="2268"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社会效益指标</w:t>
            </w:r>
          </w:p>
        </w:tc>
        <w:tc>
          <w:tcPr>
            <w:tcW w:w="2835" w:type="dxa"/>
            <w:vAlign w:val="center"/>
          </w:tcPr>
          <w:p>
            <w:pPr>
              <w:pStyle w:val="28"/>
            </w:pPr>
            <w:r>
              <w:t>持续优化营商环境，构建亲清政商关系</w:t>
            </w:r>
          </w:p>
        </w:tc>
        <w:tc>
          <w:tcPr>
            <w:tcW w:w="2551" w:type="dxa"/>
            <w:vAlign w:val="center"/>
          </w:tcPr>
          <w:p>
            <w:pPr>
              <w:pStyle w:val="28"/>
            </w:pPr>
            <w:r>
              <w:t>持续优化营商环境，构建亲清政商关系</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参加培训人员的满意度</w:t>
            </w:r>
          </w:p>
        </w:tc>
        <w:tc>
          <w:tcPr>
            <w:tcW w:w="2551" w:type="dxa"/>
            <w:vAlign w:val="center"/>
          </w:tcPr>
          <w:p>
            <w:pPr>
              <w:pStyle w:val="28"/>
            </w:pPr>
            <w:r>
              <w:t>≥90%</w:t>
            </w:r>
          </w:p>
        </w:tc>
        <w:tc>
          <w:tcPr>
            <w:tcW w:w="2268"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9" w:name="_Toc18260"/>
      <w:r>
        <w:rPr>
          <w:rFonts w:ascii="黑体" w:hAnsi="黑体" w:eastAsia="黑体" w:cs="黑体"/>
          <w:color w:val="000000"/>
          <w:sz w:val="32"/>
        </w:rPr>
        <w:t>六、政府采购预算情况</w:t>
      </w:r>
      <w:bookmarkEnd w:id="9"/>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2022年，石家庄市藁城区工商业联合会安排政府采购预算0.00万元。具体内容见下表。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0" w:name="_Toc15869"/>
      <w:r>
        <w:rPr>
          <w:rFonts w:ascii="黑体" w:hAnsi="黑体" w:eastAsia="黑体" w:cs="黑体"/>
          <w:color w:val="000000"/>
          <w:sz w:val="32"/>
        </w:rPr>
        <w:t>七、国有资产信息</w:t>
      </w:r>
      <w:bookmarkEnd w:id="10"/>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石家庄市藁城区工商业联合会（含所属单位）上年末固定资产金额为8.55万元（详见下表）。本年度拟购置固定资产总额为0.00万元，已按要求列入政府采购预算，详见政府采购预算表。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714石家庄市藁城区工商业联合会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145.60</w:t>
            </w:r>
          </w:p>
        </w:tc>
        <w:tc>
          <w:tcPr>
            <w:tcW w:w="2835"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21</w:t>
            </w:r>
          </w:p>
        </w:tc>
        <w:tc>
          <w:tcPr>
            <w:tcW w:w="2835" w:type="dxa"/>
            <w:vAlign w:val="center"/>
          </w:tcPr>
          <w:p>
            <w:pPr>
              <w:pStyle w:val="13"/>
            </w:pPr>
            <w:r>
              <w:t>5.75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1" w:name="_Toc18296"/>
      <w:r>
        <w:rPr>
          <w:rFonts w:ascii="黑体" w:hAnsi="黑体" w:eastAsia="黑体" w:cs="黑体"/>
          <w:color w:val="000000"/>
          <w:sz w:val="32"/>
        </w:rPr>
        <w:t>八、名词解释</w:t>
      </w:r>
      <w:bookmarkEnd w:id="11"/>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2" w:name="_Toc5010"/>
      <w:r>
        <w:rPr>
          <w:rFonts w:ascii="黑体" w:hAnsi="黑体" w:eastAsia="黑体" w:cs="黑体"/>
          <w:color w:val="000000"/>
          <w:sz w:val="32"/>
        </w:rPr>
        <w:t>九、其他需要说明的事项</w:t>
      </w:r>
      <w:bookmarkEnd w:id="12"/>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hiYzlhYWM1YzBhYzBjYzI1MDI3YWMzNTZiMGQ2NzYifQ=="/>
  </w:docVars>
  <w:rsids>
    <w:rsidRoot w:val="00000000"/>
    <w:rsid w:val="04745E9D"/>
    <w:rsid w:val="06AC47CF"/>
    <w:rsid w:val="0725071F"/>
    <w:rsid w:val="152E5528"/>
    <w:rsid w:val="1884727F"/>
    <w:rsid w:val="1B62536B"/>
    <w:rsid w:val="230A4AFC"/>
    <w:rsid w:val="23175768"/>
    <w:rsid w:val="23FA23DE"/>
    <w:rsid w:val="2ADE552F"/>
    <w:rsid w:val="2E9D7DED"/>
    <w:rsid w:val="3A956CAE"/>
    <w:rsid w:val="3D4F1A8E"/>
    <w:rsid w:val="40C255B3"/>
    <w:rsid w:val="416E27E2"/>
    <w:rsid w:val="49897C8A"/>
    <w:rsid w:val="4B981910"/>
    <w:rsid w:val="4C047D5E"/>
    <w:rsid w:val="4C4A198C"/>
    <w:rsid w:val="57CE763E"/>
    <w:rsid w:val="6571331E"/>
    <w:rsid w:val="791667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fe0b62d9-c395-4270-8ecf-0194aaa124fe"/>
    <w:qFormat/>
    <w:uiPriority w:val="0"/>
    <w:rPr>
      <w:rFonts w:ascii="Times New Roman" w:hAnsi="Times New Roman" w:eastAsia="Times New Roman" w:cstheme="minorBidi"/>
      <w:sz w:val="24"/>
      <w:szCs w:val="24"/>
      <w:lang w:val="en-US" w:eastAsia="uk-UA" w:bidi="ar-SA"/>
    </w:rPr>
  </w:style>
  <w:style w:type="paragraph" w:customStyle="1" w:styleId="27">
    <w:name w:val="单元格样式1_82ed6544-b681-41e9-b99e-fb08f8f11789"/>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0a373d47-6baf-401b-a41c-7f0f5d41505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eb3a0d55-5449-48b9-a944-1935b911b46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2022-02-14T17:47:56Z</dcterms:created>
  <dcterms:modified xsi:type="dcterms:W3CDTF">2022-02-14T09:47:55Z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2022-02-14T17:48:02Z</dcterms:created>
  <dcterms:modified xsi:type="dcterms:W3CDTF">2022-02-14T09:48:02Z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2022-02-14T17:48:01Z</dcterms:created>
  <dcterms:modified xsi:type="dcterms:W3CDTF">2022-02-14T09:48:01Z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2022-02-14T17:47:57Z</dcterms:created>
  <dcterms:modified xsi:type="dcterms:W3CDTF">2022-02-14T09:47:57Z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8928d8e-72ce-4eaa-b997-c6f7e32eee54}">
  <ds:schemaRefs/>
</ds:datastoreItem>
</file>

<file path=customXml/itemProps2.xml><?xml version="1.0" encoding="utf-8"?>
<ds:datastoreItem xmlns:ds="http://schemas.openxmlformats.org/officeDocument/2006/customXml" ds:itemID="{4b8cc813-ac7f-49b4-b070-0328532bc8ff}">
  <ds:schemaRefs/>
</ds:datastoreItem>
</file>

<file path=customXml/itemProps3.xml><?xml version="1.0" encoding="utf-8"?>
<ds:datastoreItem xmlns:ds="http://schemas.openxmlformats.org/officeDocument/2006/customXml" ds:itemID="{2c4026d9-9c2b-44c7-a88b-37de95afa064}">
  <ds:schemaRefs/>
</ds:datastoreItem>
</file>

<file path=customXml/itemProps4.xml><?xml version="1.0" encoding="utf-8"?>
<ds:datastoreItem xmlns:ds="http://schemas.openxmlformats.org/officeDocument/2006/customXml" ds:itemID="{ddbeacfb-961b-4696-b357-9fed24d4a4d9}">
  <ds:schemaRefs/>
</ds:datastoreItem>
</file>

<file path=customXml/itemProps5.xml><?xml version="1.0" encoding="utf-8"?>
<ds:datastoreItem xmlns:ds="http://schemas.openxmlformats.org/officeDocument/2006/customXml" ds:itemID="{17625917-fa22-45f3-855f-bca114115682}">
  <ds:schemaRefs/>
</ds:datastoreItem>
</file>

<file path=customXml/itemProps6.xml><?xml version="1.0" encoding="utf-8"?>
<ds:datastoreItem xmlns:ds="http://schemas.openxmlformats.org/officeDocument/2006/customXml" ds:itemID="{0e7d3578-3a3c-46be-95d8-d2b03c4e105b}">
  <ds:schemaRefs/>
</ds:datastoreItem>
</file>

<file path=customXml/itemProps7.xml><?xml version="1.0" encoding="utf-8"?>
<ds:datastoreItem xmlns:ds="http://schemas.openxmlformats.org/officeDocument/2006/customXml" ds:itemID="{13d45cfb-5ca6-462b-8b5e-f4d1506d24ae}">
  <ds:schemaRefs/>
</ds:datastoreItem>
</file>

<file path=customXml/itemProps8.xml><?xml version="1.0" encoding="utf-8"?>
<ds:datastoreItem xmlns:ds="http://schemas.openxmlformats.org/officeDocument/2006/customXml" ds:itemID="{9d32f9ac-31f8-4cc7-9a14-20ea6ee8b6a0}">
  <ds:schemaRefs/>
</ds:datastoreItem>
</file>

<file path=docProps/app.xml><?xml version="1.0" encoding="utf-8"?>
<Properties xmlns="http://schemas.openxmlformats.org/officeDocument/2006/extended-properties" xmlns:vt="http://schemas.openxmlformats.org/officeDocument/2006/docPropsVTypes">
  <Pages>30</Pages>
  <Words>6229</Words>
  <Characters>6917</Characters>
  <TotalTime>29</TotalTime>
  <ScaleCrop>false</ScaleCrop>
  <LinksUpToDate>false</LinksUpToDate>
  <CharactersWithSpaces>7241</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2022-02-14T17:48:00Z</dcterms:created>
  <dc:creator>00</dc:creator>
  <cp:lastModifiedBy>HP</cp:lastModifiedBy>
  <dcterms:modified xsi:type="dcterms:W3CDTF">2023-09-05T08:21:50Z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FA841F73BC4B46649A1CD8AC66BE1C20</vt:lpwstr>
  </property>
</Properties>
</file>