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_Toc21090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_Toc21090 \h </w:instrText>
      </w:r>
      <w:r>
        <w:fldChar w:fldCharType="separate"/>
      </w:r>
      <w:r>
        <w:t>2</w:t>
      </w:r>
      <w:r>
        <w:fldChar w:fldCharType="end"/>
      </w:r>
      <w:r>
        <w:fldChar w:fldCharType="end"/>
      </w:r>
    </w:p>
    <w:p>
      <w:pPr>
        <w:pStyle w:val="4"/>
        <w:tabs>
          <w:tab w:val="right" w:leader="dot" w:pos="14800"/>
        </w:tabs>
      </w:pPr>
      <w:r>
        <w:fldChar w:fldCharType="begin"/>
      </w:r>
      <w:r>
        <w:instrText xml:space="preserve"> HYPERLINK \l _Toc26946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_Toc26946 \h </w:instrText>
      </w:r>
      <w:r>
        <w:fldChar w:fldCharType="separate"/>
      </w:r>
      <w:r>
        <w:t>5</w:t>
      </w:r>
      <w:r>
        <w:fldChar w:fldCharType="end"/>
      </w:r>
      <w:r>
        <w:fldChar w:fldCharType="end"/>
      </w:r>
    </w:p>
    <w:p>
      <w:pPr>
        <w:pStyle w:val="4"/>
        <w:tabs>
          <w:tab w:val="right" w:leader="dot" w:pos="14800"/>
        </w:tabs>
      </w:pPr>
      <w:r>
        <w:fldChar w:fldCharType="begin"/>
      </w:r>
      <w:r>
        <w:instrText xml:space="preserve"> HYPERLINK \l _Toc14310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_Toc14310 \h </w:instrText>
      </w:r>
      <w:r>
        <w:fldChar w:fldCharType="separate"/>
      </w:r>
      <w:r>
        <w:t>6</w:t>
      </w:r>
      <w:r>
        <w:fldChar w:fldCharType="end"/>
      </w:r>
      <w:r>
        <w:fldChar w:fldCharType="end"/>
      </w:r>
    </w:p>
    <w:p>
      <w:pPr>
        <w:pStyle w:val="4"/>
        <w:tabs>
          <w:tab w:val="right" w:leader="dot" w:pos="14800"/>
        </w:tabs>
      </w:pPr>
      <w:r>
        <w:fldChar w:fldCharType="begin"/>
      </w:r>
      <w:r>
        <w:instrText xml:space="preserve"> HYPERLINK \l _Toc9436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_Toc9436 \h </w:instrText>
      </w:r>
      <w:r>
        <w:fldChar w:fldCharType="separate"/>
      </w:r>
      <w:r>
        <w:t>7</w:t>
      </w:r>
      <w:r>
        <w:fldChar w:fldCharType="end"/>
      </w:r>
      <w:r>
        <w:fldChar w:fldCharType="end"/>
      </w:r>
    </w:p>
    <w:p>
      <w:pPr>
        <w:pStyle w:val="4"/>
        <w:tabs>
          <w:tab w:val="right" w:leader="dot" w:pos="14800"/>
        </w:tabs>
      </w:pPr>
      <w:r>
        <w:fldChar w:fldCharType="begin"/>
      </w:r>
      <w:r>
        <w:instrText xml:space="preserve"> HYPERLINK \l _Toc23368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_Toc23368 \h </w:instrText>
      </w:r>
      <w:r>
        <w:fldChar w:fldCharType="separate"/>
      </w:r>
      <w:r>
        <w:t>13</w:t>
      </w:r>
      <w:r>
        <w:fldChar w:fldCharType="end"/>
      </w:r>
      <w:r>
        <w:fldChar w:fldCharType="end"/>
      </w:r>
    </w:p>
    <w:p>
      <w:pPr>
        <w:pStyle w:val="4"/>
        <w:tabs>
          <w:tab w:val="right" w:leader="dot" w:pos="14800"/>
        </w:tabs>
      </w:pPr>
      <w:r>
        <w:fldChar w:fldCharType="begin"/>
      </w:r>
      <w:r>
        <w:instrText xml:space="preserve"> HYPERLINK \l _Toc26703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_Toc26703 \h </w:instrText>
      </w:r>
      <w:r>
        <w:fldChar w:fldCharType="separate"/>
      </w:r>
      <w:r>
        <w:t>14</w:t>
      </w:r>
      <w:r>
        <w:fldChar w:fldCharType="end"/>
      </w:r>
      <w:r>
        <w:fldChar w:fldCharType="end"/>
      </w:r>
    </w:p>
    <w:p>
      <w:pPr>
        <w:pStyle w:val="4"/>
        <w:tabs>
          <w:tab w:val="right" w:leader="dot" w:pos="14800"/>
        </w:tabs>
      </w:pPr>
      <w:r>
        <w:fldChar w:fldCharType="begin"/>
      </w:r>
      <w:r>
        <w:instrText xml:space="preserve"> HYPERLINK \l _Toc30664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_Toc30664 \h </w:instrText>
      </w:r>
      <w:r>
        <w:fldChar w:fldCharType="separate"/>
      </w:r>
      <w:r>
        <w:t>16</w:t>
      </w:r>
      <w:r>
        <w:fldChar w:fldCharType="end"/>
      </w:r>
      <w:r>
        <w:fldChar w:fldCharType="end"/>
      </w:r>
    </w:p>
    <w:p>
      <w:pPr>
        <w:pStyle w:val="4"/>
        <w:tabs>
          <w:tab w:val="right" w:leader="dot" w:pos="14800"/>
        </w:tabs>
      </w:pPr>
      <w:r>
        <w:fldChar w:fldCharType="begin"/>
      </w:r>
      <w:r>
        <w:instrText xml:space="preserve"> HYPERLINK \l _Toc3936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_Toc3936 \h </w:instrText>
      </w:r>
      <w:r>
        <w:fldChar w:fldCharType="separate"/>
      </w:r>
      <w:r>
        <w:t>17</w:t>
      </w:r>
      <w:r>
        <w:fldChar w:fldCharType="end"/>
      </w:r>
      <w:r>
        <w:fldChar w:fldCharType="end"/>
      </w:r>
    </w:p>
    <w:p>
      <w:pPr>
        <w:pStyle w:val="4"/>
        <w:tabs>
          <w:tab w:val="right" w:leader="dot" w:pos="14800"/>
        </w:tabs>
      </w:pPr>
      <w:r>
        <w:fldChar w:fldCharType="begin"/>
      </w:r>
      <w:r>
        <w:instrText xml:space="preserve"> HYPERLINK \l _Toc31100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_Toc31100 \h </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_Toc30915 </w:instrText>
      </w:r>
      <w:r>
        <w:fldChar w:fldCharType="separate"/>
      </w:r>
      <w:r>
        <w:rPr>
          <w:rFonts w:ascii="黑体" w:hAnsi="黑体" w:eastAsia="黑体" w:cs="黑体"/>
        </w:rPr>
        <w:t>一、部门职责及机构设置情况</w:t>
      </w:r>
      <w:r>
        <w:tab/>
      </w:r>
      <w:r>
        <w:fldChar w:fldCharType="begin"/>
      </w:r>
      <w:r>
        <w:instrText xml:space="preserve"> PAGEREF _Toc30915 \h </w:instrText>
      </w:r>
      <w:r>
        <w:fldChar w:fldCharType="separate"/>
      </w:r>
      <w:r>
        <w:t>20</w:t>
      </w:r>
      <w:r>
        <w:fldChar w:fldCharType="end"/>
      </w:r>
      <w:r>
        <w:fldChar w:fldCharType="end"/>
      </w:r>
    </w:p>
    <w:p>
      <w:pPr>
        <w:pStyle w:val="2"/>
        <w:tabs>
          <w:tab w:val="right" w:leader="dot" w:pos="14800"/>
        </w:tabs>
      </w:pPr>
      <w:r>
        <w:fldChar w:fldCharType="begin"/>
      </w:r>
      <w:r>
        <w:instrText xml:space="preserve"> HYPERLINK \l _Toc27028 </w:instrText>
      </w:r>
      <w:r>
        <w:fldChar w:fldCharType="separate"/>
      </w:r>
      <w:r>
        <w:rPr>
          <w:rFonts w:ascii="黑体" w:hAnsi="黑体" w:eastAsia="黑体" w:cs="黑体"/>
        </w:rPr>
        <w:t>二、部门预算安排的总体情况</w:t>
      </w:r>
      <w:r>
        <w:tab/>
      </w:r>
      <w:r>
        <w:fldChar w:fldCharType="begin"/>
      </w:r>
      <w:r>
        <w:instrText xml:space="preserve"> PAGEREF _Toc27028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_Toc30122 </w:instrText>
      </w:r>
      <w:r>
        <w:fldChar w:fldCharType="separate"/>
      </w:r>
      <w:r>
        <w:rPr>
          <w:rFonts w:ascii="黑体" w:hAnsi="黑体" w:eastAsia="黑体" w:cs="黑体"/>
        </w:rPr>
        <w:t>三、机关运行经费安排情况</w:t>
      </w:r>
      <w:r>
        <w:tab/>
      </w:r>
      <w:r>
        <w:fldChar w:fldCharType="begin"/>
      </w:r>
      <w:r>
        <w:instrText xml:space="preserve"> PAGEREF _Toc30122 \h </w:instrText>
      </w:r>
      <w:r>
        <w:fldChar w:fldCharType="separate"/>
      </w:r>
      <w:r>
        <w:t>23</w:t>
      </w:r>
      <w:r>
        <w:fldChar w:fldCharType="end"/>
      </w:r>
      <w:r>
        <w:fldChar w:fldCharType="end"/>
      </w:r>
    </w:p>
    <w:p>
      <w:pPr>
        <w:pStyle w:val="2"/>
        <w:tabs>
          <w:tab w:val="right" w:leader="dot" w:pos="14800"/>
        </w:tabs>
      </w:pPr>
      <w:r>
        <w:fldChar w:fldCharType="begin"/>
      </w:r>
      <w:r>
        <w:instrText xml:space="preserve"> HYPERLINK \l _Toc9277 </w:instrText>
      </w:r>
      <w:r>
        <w:fldChar w:fldCharType="separate"/>
      </w:r>
      <w:r>
        <w:rPr>
          <w:rFonts w:ascii="黑体" w:hAnsi="黑体" w:eastAsia="黑体" w:cs="黑体"/>
        </w:rPr>
        <w:t>四、财政拨款“三公”经费预算情况及增减变化原因</w:t>
      </w:r>
      <w:r>
        <w:tab/>
      </w:r>
      <w:r>
        <w:fldChar w:fldCharType="begin"/>
      </w:r>
      <w:r>
        <w:instrText xml:space="preserve"> PAGEREF _Toc9277 \h </w:instrText>
      </w:r>
      <w:r>
        <w:fldChar w:fldCharType="separate"/>
      </w:r>
      <w:r>
        <w:t>23</w:t>
      </w:r>
      <w:r>
        <w:fldChar w:fldCharType="end"/>
      </w:r>
      <w:r>
        <w:fldChar w:fldCharType="end"/>
      </w:r>
    </w:p>
    <w:p>
      <w:pPr>
        <w:pStyle w:val="2"/>
        <w:tabs>
          <w:tab w:val="right" w:leader="dot" w:pos="14800"/>
        </w:tabs>
      </w:pPr>
      <w:r>
        <w:fldChar w:fldCharType="begin"/>
      </w:r>
      <w:r>
        <w:instrText xml:space="preserve"> HYPERLINK \l _Toc5298 </w:instrText>
      </w:r>
      <w:r>
        <w:fldChar w:fldCharType="separate"/>
      </w:r>
      <w:r>
        <w:rPr>
          <w:rFonts w:ascii="黑体" w:hAnsi="黑体" w:eastAsia="黑体" w:cs="黑体"/>
        </w:rPr>
        <w:t>五、预算绩效信息</w:t>
      </w:r>
      <w:r>
        <w:tab/>
      </w:r>
      <w:r>
        <w:fldChar w:fldCharType="begin"/>
      </w:r>
      <w:r>
        <w:instrText xml:space="preserve"> PAGEREF _Toc5298 \h </w:instrText>
      </w:r>
      <w:r>
        <w:fldChar w:fldCharType="separate"/>
      </w:r>
      <w:r>
        <w:t>23</w:t>
      </w:r>
      <w:r>
        <w:fldChar w:fldCharType="end"/>
      </w:r>
      <w:r>
        <w:fldChar w:fldCharType="end"/>
      </w:r>
    </w:p>
    <w:p>
      <w:pPr>
        <w:pStyle w:val="2"/>
        <w:tabs>
          <w:tab w:val="right" w:leader="dot" w:pos="14800"/>
        </w:tabs>
      </w:pPr>
      <w:r>
        <w:fldChar w:fldCharType="begin"/>
      </w:r>
      <w:r>
        <w:instrText xml:space="preserve"> HYPERLINK \l _Toc12467 </w:instrText>
      </w:r>
      <w:r>
        <w:fldChar w:fldCharType="separate"/>
      </w:r>
      <w:r>
        <w:rPr>
          <w:rFonts w:ascii="黑体" w:hAnsi="黑体" w:eastAsia="黑体" w:cs="黑体"/>
        </w:rPr>
        <w:t>六、政府采购预算情况</w:t>
      </w:r>
      <w:r>
        <w:tab/>
      </w:r>
      <w:r>
        <w:fldChar w:fldCharType="begin"/>
      </w:r>
      <w:r>
        <w:instrText xml:space="preserve"> PAGEREF _Toc12467 \h </w:instrText>
      </w:r>
      <w:r>
        <w:fldChar w:fldCharType="separate"/>
      </w:r>
      <w:r>
        <w:t>30</w:t>
      </w:r>
      <w:r>
        <w:fldChar w:fldCharType="end"/>
      </w:r>
      <w:r>
        <w:fldChar w:fldCharType="end"/>
      </w:r>
    </w:p>
    <w:p>
      <w:pPr>
        <w:pStyle w:val="2"/>
        <w:tabs>
          <w:tab w:val="right" w:leader="dot" w:pos="14800"/>
        </w:tabs>
      </w:pPr>
      <w:r>
        <w:fldChar w:fldCharType="begin"/>
      </w:r>
      <w:r>
        <w:instrText xml:space="preserve"> HYPERLINK \l _Toc11967 </w:instrText>
      </w:r>
      <w:r>
        <w:fldChar w:fldCharType="separate"/>
      </w:r>
      <w:r>
        <w:rPr>
          <w:rFonts w:ascii="黑体" w:hAnsi="黑体" w:eastAsia="黑体" w:cs="黑体"/>
        </w:rPr>
        <w:t>七、国有资产信息</w:t>
      </w:r>
      <w:r>
        <w:tab/>
      </w:r>
      <w:r>
        <w:fldChar w:fldCharType="begin"/>
      </w:r>
      <w:r>
        <w:instrText xml:space="preserve"> PAGEREF _Toc11967 \h </w:instrText>
      </w:r>
      <w:r>
        <w:fldChar w:fldCharType="separate"/>
      </w:r>
      <w:r>
        <w:t>30</w:t>
      </w:r>
      <w:r>
        <w:fldChar w:fldCharType="end"/>
      </w:r>
      <w:r>
        <w:fldChar w:fldCharType="end"/>
      </w:r>
    </w:p>
    <w:p>
      <w:pPr>
        <w:pStyle w:val="2"/>
        <w:tabs>
          <w:tab w:val="right" w:leader="dot" w:pos="14800"/>
        </w:tabs>
      </w:pPr>
      <w:r>
        <w:fldChar w:fldCharType="begin"/>
      </w:r>
      <w:r>
        <w:instrText xml:space="preserve"> HYPERLINK \l _Toc12258 </w:instrText>
      </w:r>
      <w:r>
        <w:fldChar w:fldCharType="separate"/>
      </w:r>
      <w:r>
        <w:rPr>
          <w:rFonts w:ascii="黑体" w:hAnsi="黑体" w:eastAsia="黑体" w:cs="黑体"/>
        </w:rPr>
        <w:t>八、名词解释</w:t>
      </w:r>
      <w:r>
        <w:tab/>
      </w:r>
      <w:r>
        <w:fldChar w:fldCharType="begin"/>
      </w:r>
      <w:r>
        <w:instrText xml:space="preserve"> PAGEREF _Toc12258 \h </w:instrText>
      </w:r>
      <w:r>
        <w:fldChar w:fldCharType="separate"/>
      </w:r>
      <w:r>
        <w:t>31</w:t>
      </w:r>
      <w:r>
        <w:fldChar w:fldCharType="end"/>
      </w:r>
      <w:r>
        <w:fldChar w:fldCharType="end"/>
      </w:r>
    </w:p>
    <w:p>
      <w:pPr>
        <w:pStyle w:val="2"/>
        <w:tabs>
          <w:tab w:val="right" w:leader="dot" w:pos="14800"/>
        </w:tabs>
      </w:pPr>
      <w:r>
        <w:fldChar w:fldCharType="begin"/>
      </w:r>
      <w:r>
        <w:instrText xml:space="preserve"> HYPERLINK \l _Toc9811 </w:instrText>
      </w:r>
      <w:r>
        <w:fldChar w:fldCharType="separate"/>
      </w:r>
      <w:r>
        <w:rPr>
          <w:rFonts w:ascii="黑体" w:hAnsi="黑体" w:eastAsia="黑体" w:cs="黑体"/>
        </w:rPr>
        <w:t>九、其他需要说明的事项</w:t>
      </w:r>
      <w:r>
        <w:tab/>
      </w:r>
      <w:r>
        <w:fldChar w:fldCharType="begin"/>
      </w:r>
      <w:r>
        <w:instrText xml:space="preserve"> PAGEREF _Toc9811 \h </w:instrText>
      </w:r>
      <w:r>
        <w:fldChar w:fldCharType="separate"/>
      </w:r>
      <w:r>
        <w:t>32</w:t>
      </w:r>
      <w:r>
        <w:fldChar w:fldCharType="end"/>
      </w:r>
      <w:r>
        <w:fldChar w:fldCharType="end"/>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fldChar w:fldCharType="end"/>
      </w:r>
      <w:bookmarkStart w:id="18" w:name="_GoBack"/>
      <w:bookmarkEnd w:id="18"/>
    </w:p>
    <w:p>
      <w:pPr>
        <w:spacing w:before="0" w:after="0" w:line="240" w:lineRule="auto"/>
        <w:ind w:firstLine="0"/>
        <w:jc w:val="center"/>
        <w:outlineLvl w:val="1"/>
      </w:pPr>
      <w:bookmarkStart w:id="0" w:name="_Toc21090"/>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7"/>
            </w:pPr>
            <w:r>
              <w:t>319石家庄市藁城区审计局</w:t>
            </w:r>
          </w:p>
        </w:tc>
        <w:tc>
          <w:tcPr>
            <w:tcW w:w="1971" w:type="dxa"/>
            <w:tcBorders>
              <w:top w:val="single" w:color="FFFFFF" w:sz="6" w:space="0"/>
              <w:left w:val="single" w:color="FFFFFF" w:sz="6" w:space="0"/>
              <w:right w:val="single" w:color="FFFFFF" w:sz="6" w:space="0"/>
            </w:tcBorders>
            <w:vAlign w:val="center"/>
          </w:tcPr>
          <w:p>
            <w:pPr>
              <w:pStyle w:val="8"/>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0"/>
            </w:pPr>
            <w:r>
              <w:t>序号</w:t>
            </w:r>
          </w:p>
        </w:tc>
        <w:tc>
          <w:tcPr>
            <w:tcW w:w="3942" w:type="dxa"/>
            <w:gridSpan w:val="2"/>
            <w:vAlign w:val="center"/>
          </w:tcPr>
          <w:p>
            <w:pPr>
              <w:pStyle w:val="10"/>
            </w:pPr>
            <w:r>
              <w:t>收入</w:t>
            </w:r>
          </w:p>
        </w:tc>
        <w:tc>
          <w:tcPr>
            <w:tcW w:w="3942"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0"/>
            </w:pPr>
            <w:r>
              <w:t>项  目</w:t>
            </w:r>
          </w:p>
        </w:tc>
        <w:tc>
          <w:tcPr>
            <w:tcW w:w="1971" w:type="dxa"/>
            <w:vAlign w:val="center"/>
          </w:tcPr>
          <w:p>
            <w:pPr>
              <w:pStyle w:val="10"/>
            </w:pPr>
            <w:r>
              <w:t>预算数</w:t>
            </w:r>
          </w:p>
        </w:tc>
        <w:tc>
          <w:tcPr>
            <w:tcW w:w="1971" w:type="dxa"/>
            <w:vAlign w:val="center"/>
          </w:tcPr>
          <w:p>
            <w:pPr>
              <w:pStyle w:val="10"/>
            </w:pPr>
            <w:r>
              <w:t>项  目</w:t>
            </w:r>
          </w:p>
        </w:tc>
        <w:tc>
          <w:tcPr>
            <w:tcW w:w="1971"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0"/>
            </w:pPr>
            <w:r>
              <w:t>栏次</w:t>
            </w:r>
          </w:p>
        </w:tc>
        <w:tc>
          <w:tcPr>
            <w:tcW w:w="1971" w:type="dxa"/>
            <w:vAlign w:val="center"/>
          </w:tcPr>
          <w:p>
            <w:pPr>
              <w:pStyle w:val="10"/>
            </w:pPr>
            <w:r>
              <w:t>1</w:t>
            </w:r>
          </w:p>
        </w:tc>
        <w:tc>
          <w:tcPr>
            <w:tcW w:w="1971" w:type="dxa"/>
            <w:vAlign w:val="center"/>
          </w:tcPr>
          <w:p>
            <w:pPr>
              <w:pStyle w:val="10"/>
            </w:pPr>
            <w:r>
              <w:t>2</w:t>
            </w:r>
          </w:p>
        </w:tc>
        <w:tc>
          <w:tcPr>
            <w:tcW w:w="1971" w:type="dxa"/>
            <w:vAlign w:val="center"/>
          </w:tcPr>
          <w:p>
            <w:pPr>
              <w:pStyle w:val="10"/>
            </w:pPr>
            <w:r>
              <w:t>3</w:t>
            </w:r>
          </w:p>
        </w:tc>
        <w:tc>
          <w:tcPr>
            <w:tcW w:w="1971"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w:t>
            </w:r>
          </w:p>
        </w:tc>
        <w:tc>
          <w:tcPr>
            <w:tcW w:w="1971" w:type="dxa"/>
            <w:vAlign w:val="center"/>
          </w:tcPr>
          <w:p>
            <w:pPr>
              <w:pStyle w:val="12"/>
            </w:pPr>
            <w:r>
              <w:t>一、一般公共预算拨款收入</w:t>
            </w:r>
          </w:p>
        </w:tc>
        <w:tc>
          <w:tcPr>
            <w:tcW w:w="1971" w:type="dxa"/>
            <w:vAlign w:val="center"/>
          </w:tcPr>
          <w:p>
            <w:pPr>
              <w:pStyle w:val="13"/>
            </w:pPr>
            <w:r>
              <w:t>485.35</w:t>
            </w:r>
          </w:p>
        </w:tc>
        <w:tc>
          <w:tcPr>
            <w:tcW w:w="1971" w:type="dxa"/>
            <w:vAlign w:val="center"/>
          </w:tcPr>
          <w:p>
            <w:pPr>
              <w:pStyle w:val="12"/>
            </w:pPr>
            <w:r>
              <w:t>一、一般公共服务支出</w:t>
            </w:r>
          </w:p>
        </w:tc>
        <w:tc>
          <w:tcPr>
            <w:tcW w:w="1971" w:type="dxa"/>
            <w:vAlign w:val="center"/>
          </w:tcPr>
          <w:p>
            <w:pPr>
              <w:pStyle w:val="13"/>
            </w:pPr>
            <w:r>
              <w:t>485.35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w:t>
            </w:r>
          </w:p>
        </w:tc>
        <w:tc>
          <w:tcPr>
            <w:tcW w:w="1971" w:type="dxa"/>
            <w:vAlign w:val="center"/>
          </w:tcPr>
          <w:p>
            <w:pPr>
              <w:pStyle w:val="12"/>
            </w:pPr>
            <w:r>
              <w:t>二、政府性基金预算拨款收入</w:t>
            </w:r>
          </w:p>
        </w:tc>
        <w:tc>
          <w:tcPr>
            <w:tcW w:w="1971" w:type="dxa"/>
            <w:vAlign w:val="center"/>
          </w:tcPr>
          <w:p>
            <w:pPr>
              <w:pStyle w:val="13"/>
            </w:pPr>
          </w:p>
        </w:tc>
        <w:tc>
          <w:tcPr>
            <w:tcW w:w="1971" w:type="dxa"/>
            <w:vAlign w:val="center"/>
          </w:tcPr>
          <w:p>
            <w:pPr>
              <w:pStyle w:val="12"/>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w:t>
            </w:r>
          </w:p>
        </w:tc>
        <w:tc>
          <w:tcPr>
            <w:tcW w:w="1971" w:type="dxa"/>
            <w:vAlign w:val="center"/>
          </w:tcPr>
          <w:p>
            <w:pPr>
              <w:pStyle w:val="12"/>
            </w:pPr>
            <w:r>
              <w:t>三、国有资本经营预算拨款收入</w:t>
            </w:r>
          </w:p>
        </w:tc>
        <w:tc>
          <w:tcPr>
            <w:tcW w:w="1971" w:type="dxa"/>
            <w:vAlign w:val="center"/>
          </w:tcPr>
          <w:p>
            <w:pPr>
              <w:pStyle w:val="13"/>
            </w:pPr>
          </w:p>
        </w:tc>
        <w:tc>
          <w:tcPr>
            <w:tcW w:w="1971" w:type="dxa"/>
            <w:vAlign w:val="center"/>
          </w:tcPr>
          <w:p>
            <w:pPr>
              <w:pStyle w:val="12"/>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4</w:t>
            </w:r>
          </w:p>
        </w:tc>
        <w:tc>
          <w:tcPr>
            <w:tcW w:w="1971" w:type="dxa"/>
            <w:vAlign w:val="center"/>
          </w:tcPr>
          <w:p>
            <w:pPr>
              <w:pStyle w:val="12"/>
            </w:pPr>
            <w:r>
              <w:t>四、财政专户管理资金收入</w:t>
            </w:r>
          </w:p>
        </w:tc>
        <w:tc>
          <w:tcPr>
            <w:tcW w:w="1971" w:type="dxa"/>
            <w:vAlign w:val="center"/>
          </w:tcPr>
          <w:p>
            <w:pPr>
              <w:pStyle w:val="13"/>
            </w:pPr>
          </w:p>
        </w:tc>
        <w:tc>
          <w:tcPr>
            <w:tcW w:w="1971" w:type="dxa"/>
            <w:vAlign w:val="center"/>
          </w:tcPr>
          <w:p>
            <w:pPr>
              <w:pStyle w:val="12"/>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5</w:t>
            </w:r>
          </w:p>
        </w:tc>
        <w:tc>
          <w:tcPr>
            <w:tcW w:w="1971" w:type="dxa"/>
            <w:vAlign w:val="center"/>
          </w:tcPr>
          <w:p>
            <w:pPr>
              <w:pStyle w:val="12"/>
            </w:pPr>
            <w:r>
              <w:t>五、事业收入</w:t>
            </w:r>
          </w:p>
        </w:tc>
        <w:tc>
          <w:tcPr>
            <w:tcW w:w="1971" w:type="dxa"/>
            <w:vAlign w:val="center"/>
          </w:tcPr>
          <w:p>
            <w:pPr>
              <w:pStyle w:val="13"/>
            </w:pPr>
          </w:p>
        </w:tc>
        <w:tc>
          <w:tcPr>
            <w:tcW w:w="1971" w:type="dxa"/>
            <w:vAlign w:val="center"/>
          </w:tcPr>
          <w:p>
            <w:pPr>
              <w:pStyle w:val="12"/>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6</w:t>
            </w:r>
          </w:p>
        </w:tc>
        <w:tc>
          <w:tcPr>
            <w:tcW w:w="1971" w:type="dxa"/>
            <w:vAlign w:val="center"/>
          </w:tcPr>
          <w:p>
            <w:pPr>
              <w:pStyle w:val="12"/>
            </w:pPr>
            <w:r>
              <w:t>六、事业单位经营收入</w:t>
            </w:r>
          </w:p>
        </w:tc>
        <w:tc>
          <w:tcPr>
            <w:tcW w:w="1971" w:type="dxa"/>
            <w:vAlign w:val="center"/>
          </w:tcPr>
          <w:p>
            <w:pPr>
              <w:pStyle w:val="13"/>
            </w:pPr>
          </w:p>
        </w:tc>
        <w:tc>
          <w:tcPr>
            <w:tcW w:w="1971" w:type="dxa"/>
            <w:vAlign w:val="center"/>
          </w:tcPr>
          <w:p>
            <w:pPr>
              <w:pStyle w:val="12"/>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7</w:t>
            </w:r>
          </w:p>
        </w:tc>
        <w:tc>
          <w:tcPr>
            <w:tcW w:w="1971" w:type="dxa"/>
            <w:vAlign w:val="center"/>
          </w:tcPr>
          <w:p>
            <w:pPr>
              <w:pStyle w:val="12"/>
            </w:pPr>
            <w:r>
              <w:t>七、上级补助收入</w:t>
            </w:r>
          </w:p>
        </w:tc>
        <w:tc>
          <w:tcPr>
            <w:tcW w:w="1971" w:type="dxa"/>
            <w:vAlign w:val="center"/>
          </w:tcPr>
          <w:p>
            <w:pPr>
              <w:pStyle w:val="13"/>
            </w:pPr>
          </w:p>
        </w:tc>
        <w:tc>
          <w:tcPr>
            <w:tcW w:w="1971" w:type="dxa"/>
            <w:vAlign w:val="center"/>
          </w:tcPr>
          <w:p>
            <w:pPr>
              <w:pStyle w:val="12"/>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8</w:t>
            </w:r>
          </w:p>
        </w:tc>
        <w:tc>
          <w:tcPr>
            <w:tcW w:w="1971" w:type="dxa"/>
            <w:vAlign w:val="center"/>
          </w:tcPr>
          <w:p>
            <w:pPr>
              <w:pStyle w:val="12"/>
            </w:pPr>
            <w:r>
              <w:t>八、附属单位上缴收入</w:t>
            </w:r>
          </w:p>
        </w:tc>
        <w:tc>
          <w:tcPr>
            <w:tcW w:w="1971" w:type="dxa"/>
            <w:vAlign w:val="center"/>
          </w:tcPr>
          <w:p>
            <w:pPr>
              <w:pStyle w:val="13"/>
            </w:pPr>
          </w:p>
        </w:tc>
        <w:tc>
          <w:tcPr>
            <w:tcW w:w="1971" w:type="dxa"/>
            <w:vAlign w:val="center"/>
          </w:tcPr>
          <w:p>
            <w:pPr>
              <w:pStyle w:val="12"/>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9</w:t>
            </w:r>
          </w:p>
        </w:tc>
        <w:tc>
          <w:tcPr>
            <w:tcW w:w="1971" w:type="dxa"/>
            <w:vAlign w:val="center"/>
          </w:tcPr>
          <w:p>
            <w:pPr>
              <w:pStyle w:val="12"/>
            </w:pPr>
            <w:r>
              <w:t>九、其他收入</w:t>
            </w:r>
          </w:p>
        </w:tc>
        <w:tc>
          <w:tcPr>
            <w:tcW w:w="1971" w:type="dxa"/>
            <w:vAlign w:val="center"/>
          </w:tcPr>
          <w:p>
            <w:pPr>
              <w:pStyle w:val="13"/>
            </w:pPr>
          </w:p>
        </w:tc>
        <w:tc>
          <w:tcPr>
            <w:tcW w:w="1971" w:type="dxa"/>
            <w:vAlign w:val="center"/>
          </w:tcPr>
          <w:p>
            <w:pPr>
              <w:pStyle w:val="12"/>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31</w:t>
            </w:r>
          </w:p>
        </w:tc>
        <w:tc>
          <w:tcPr>
            <w:tcW w:w="1971" w:type="dxa"/>
            <w:vAlign w:val="center"/>
          </w:tcPr>
          <w:p>
            <w:pPr>
              <w:pStyle w:val="14"/>
            </w:pPr>
            <w:r>
              <w:t>本年收入合计</w:t>
            </w:r>
          </w:p>
        </w:tc>
        <w:tc>
          <w:tcPr>
            <w:tcW w:w="1971" w:type="dxa"/>
            <w:vAlign w:val="center"/>
          </w:tcPr>
          <w:p>
            <w:pPr>
              <w:pStyle w:val="15"/>
            </w:pPr>
            <w:r>
              <w:t>485.35</w:t>
            </w:r>
          </w:p>
        </w:tc>
        <w:tc>
          <w:tcPr>
            <w:tcW w:w="1971" w:type="dxa"/>
            <w:vAlign w:val="center"/>
          </w:tcPr>
          <w:p>
            <w:pPr>
              <w:pStyle w:val="14"/>
            </w:pPr>
            <w:r>
              <w:t>本年支出合计</w:t>
            </w:r>
          </w:p>
        </w:tc>
        <w:tc>
          <w:tcPr>
            <w:tcW w:w="1971" w:type="dxa"/>
            <w:vAlign w:val="center"/>
          </w:tcPr>
          <w:p>
            <w:pPr>
              <w:pStyle w:val="15"/>
            </w:pPr>
            <w:r>
              <w:t>485.35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32</w:t>
            </w:r>
          </w:p>
        </w:tc>
        <w:tc>
          <w:tcPr>
            <w:tcW w:w="1971" w:type="dxa"/>
            <w:vAlign w:val="center"/>
          </w:tcPr>
          <w:p>
            <w:pPr>
              <w:pStyle w:val="12"/>
            </w:pPr>
            <w:r>
              <w:t>上年结转结余</w:t>
            </w:r>
          </w:p>
        </w:tc>
        <w:tc>
          <w:tcPr>
            <w:tcW w:w="1971" w:type="dxa"/>
            <w:vAlign w:val="center"/>
          </w:tcPr>
          <w:p>
            <w:pPr>
              <w:pStyle w:val="13"/>
            </w:pPr>
          </w:p>
        </w:tc>
        <w:tc>
          <w:tcPr>
            <w:tcW w:w="1971" w:type="dxa"/>
            <w:vAlign w:val="center"/>
          </w:tcPr>
          <w:p>
            <w:pPr>
              <w:pStyle w:val="12"/>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33</w:t>
            </w:r>
          </w:p>
        </w:tc>
        <w:tc>
          <w:tcPr>
            <w:tcW w:w="1971" w:type="dxa"/>
            <w:vAlign w:val="center"/>
          </w:tcPr>
          <w:p>
            <w:pPr>
              <w:pStyle w:val="14"/>
            </w:pPr>
            <w:r>
              <w:t>收入总计</w:t>
            </w:r>
          </w:p>
        </w:tc>
        <w:tc>
          <w:tcPr>
            <w:tcW w:w="1971" w:type="dxa"/>
            <w:vAlign w:val="center"/>
          </w:tcPr>
          <w:p>
            <w:pPr>
              <w:pStyle w:val="15"/>
            </w:pPr>
            <w:r>
              <w:t>485.35</w:t>
            </w:r>
          </w:p>
        </w:tc>
        <w:tc>
          <w:tcPr>
            <w:tcW w:w="1971" w:type="dxa"/>
            <w:vAlign w:val="center"/>
          </w:tcPr>
          <w:p>
            <w:pPr>
              <w:pStyle w:val="14"/>
            </w:pPr>
            <w:r>
              <w:t>支出总计</w:t>
            </w:r>
          </w:p>
        </w:tc>
        <w:tc>
          <w:tcPr>
            <w:tcW w:w="1971" w:type="dxa"/>
            <w:vAlign w:val="center"/>
          </w:tcPr>
          <w:p>
            <w:pPr>
              <w:pStyle w:val="15"/>
            </w:pPr>
            <w:r>
              <w:t>485.35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26946"/>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7"/>
            </w:pPr>
            <w:r>
              <w:t>319石家庄市藁城区审计局</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485.35</w:t>
            </w:r>
          </w:p>
        </w:tc>
        <w:tc>
          <w:tcPr>
            <w:tcW w:w="758" w:type="dxa"/>
            <w:vAlign w:val="center"/>
          </w:tcPr>
          <w:p>
            <w:pPr>
              <w:pStyle w:val="15"/>
            </w:pPr>
            <w:r>
              <w:t>485.35</w:t>
            </w:r>
          </w:p>
        </w:tc>
        <w:tc>
          <w:tcPr>
            <w:tcW w:w="758" w:type="dxa"/>
            <w:vAlign w:val="center"/>
          </w:tcPr>
          <w:p>
            <w:pPr>
              <w:pStyle w:val="15"/>
            </w:pPr>
            <w:r>
              <w:t>485.35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3"/>
            </w:pPr>
            <w:r>
              <w:t>485.35</w:t>
            </w:r>
          </w:p>
        </w:tc>
        <w:tc>
          <w:tcPr>
            <w:tcW w:w="758" w:type="dxa"/>
            <w:vAlign w:val="center"/>
          </w:tcPr>
          <w:p>
            <w:pPr>
              <w:pStyle w:val="13"/>
            </w:pPr>
            <w:r>
              <w:t>485.35</w:t>
            </w:r>
          </w:p>
        </w:tc>
        <w:tc>
          <w:tcPr>
            <w:tcW w:w="758" w:type="dxa"/>
            <w:vAlign w:val="center"/>
          </w:tcPr>
          <w:p>
            <w:pPr>
              <w:pStyle w:val="13"/>
            </w:pPr>
            <w:r>
              <w:t>485.35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758" w:type="dxa"/>
            <w:vAlign w:val="center"/>
          </w:tcPr>
          <w:p>
            <w:pPr>
              <w:pStyle w:val="12"/>
            </w:pPr>
            <w:r>
              <w:t>20108</w:t>
            </w:r>
          </w:p>
        </w:tc>
        <w:tc>
          <w:tcPr>
            <w:tcW w:w="758" w:type="dxa"/>
            <w:vAlign w:val="center"/>
          </w:tcPr>
          <w:p>
            <w:pPr>
              <w:pStyle w:val="12"/>
            </w:pPr>
            <w:r>
              <w:t>审计事务</w:t>
            </w:r>
          </w:p>
        </w:tc>
        <w:tc>
          <w:tcPr>
            <w:tcW w:w="758" w:type="dxa"/>
            <w:vAlign w:val="center"/>
          </w:tcPr>
          <w:p>
            <w:pPr>
              <w:pStyle w:val="13"/>
            </w:pPr>
            <w:r>
              <w:t>485.35</w:t>
            </w:r>
          </w:p>
        </w:tc>
        <w:tc>
          <w:tcPr>
            <w:tcW w:w="758" w:type="dxa"/>
            <w:vAlign w:val="center"/>
          </w:tcPr>
          <w:p>
            <w:pPr>
              <w:pStyle w:val="13"/>
            </w:pPr>
            <w:r>
              <w:t>485.35</w:t>
            </w:r>
          </w:p>
        </w:tc>
        <w:tc>
          <w:tcPr>
            <w:tcW w:w="758" w:type="dxa"/>
            <w:vAlign w:val="center"/>
          </w:tcPr>
          <w:p>
            <w:pPr>
              <w:pStyle w:val="13"/>
            </w:pPr>
            <w:r>
              <w:t>485.35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758" w:type="dxa"/>
            <w:vAlign w:val="center"/>
          </w:tcPr>
          <w:p>
            <w:pPr>
              <w:pStyle w:val="12"/>
            </w:pPr>
            <w:r>
              <w:t>2010801</w:t>
            </w:r>
          </w:p>
        </w:tc>
        <w:tc>
          <w:tcPr>
            <w:tcW w:w="758" w:type="dxa"/>
            <w:vAlign w:val="center"/>
          </w:tcPr>
          <w:p>
            <w:pPr>
              <w:pStyle w:val="12"/>
            </w:pPr>
            <w:r>
              <w:t>行政运行</w:t>
            </w:r>
          </w:p>
        </w:tc>
        <w:tc>
          <w:tcPr>
            <w:tcW w:w="758" w:type="dxa"/>
            <w:vAlign w:val="center"/>
          </w:tcPr>
          <w:p>
            <w:pPr>
              <w:pStyle w:val="13"/>
            </w:pPr>
            <w:r>
              <w:t>415.85</w:t>
            </w:r>
          </w:p>
        </w:tc>
        <w:tc>
          <w:tcPr>
            <w:tcW w:w="758" w:type="dxa"/>
            <w:vAlign w:val="center"/>
          </w:tcPr>
          <w:p>
            <w:pPr>
              <w:pStyle w:val="13"/>
            </w:pPr>
            <w:r>
              <w:t>415.85</w:t>
            </w:r>
          </w:p>
        </w:tc>
        <w:tc>
          <w:tcPr>
            <w:tcW w:w="758" w:type="dxa"/>
            <w:vAlign w:val="center"/>
          </w:tcPr>
          <w:p>
            <w:pPr>
              <w:pStyle w:val="13"/>
            </w:pPr>
            <w:r>
              <w:t>415.85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5</w:t>
            </w:r>
          </w:p>
        </w:tc>
        <w:tc>
          <w:tcPr>
            <w:tcW w:w="758" w:type="dxa"/>
            <w:vAlign w:val="center"/>
          </w:tcPr>
          <w:p>
            <w:pPr>
              <w:pStyle w:val="12"/>
            </w:pPr>
            <w:r>
              <w:t>2010804</w:t>
            </w:r>
          </w:p>
        </w:tc>
        <w:tc>
          <w:tcPr>
            <w:tcW w:w="758" w:type="dxa"/>
            <w:vAlign w:val="center"/>
          </w:tcPr>
          <w:p>
            <w:pPr>
              <w:pStyle w:val="12"/>
            </w:pPr>
            <w:r>
              <w:t>审计业务</w:t>
            </w:r>
          </w:p>
        </w:tc>
        <w:tc>
          <w:tcPr>
            <w:tcW w:w="758" w:type="dxa"/>
            <w:vAlign w:val="center"/>
          </w:tcPr>
          <w:p>
            <w:pPr>
              <w:pStyle w:val="13"/>
            </w:pPr>
            <w:r>
              <w:t>59.50</w:t>
            </w:r>
          </w:p>
        </w:tc>
        <w:tc>
          <w:tcPr>
            <w:tcW w:w="758" w:type="dxa"/>
            <w:vAlign w:val="center"/>
          </w:tcPr>
          <w:p>
            <w:pPr>
              <w:pStyle w:val="13"/>
            </w:pPr>
            <w:r>
              <w:t>59.50</w:t>
            </w:r>
          </w:p>
        </w:tc>
        <w:tc>
          <w:tcPr>
            <w:tcW w:w="758" w:type="dxa"/>
            <w:vAlign w:val="center"/>
          </w:tcPr>
          <w:p>
            <w:pPr>
              <w:pStyle w:val="13"/>
            </w:pPr>
            <w:r>
              <w:t>59.50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6</w:t>
            </w:r>
          </w:p>
        </w:tc>
        <w:tc>
          <w:tcPr>
            <w:tcW w:w="758" w:type="dxa"/>
            <w:vAlign w:val="center"/>
          </w:tcPr>
          <w:p>
            <w:pPr>
              <w:pStyle w:val="12"/>
            </w:pPr>
            <w:r>
              <w:t>2010806</w:t>
            </w:r>
          </w:p>
        </w:tc>
        <w:tc>
          <w:tcPr>
            <w:tcW w:w="758" w:type="dxa"/>
            <w:vAlign w:val="center"/>
          </w:tcPr>
          <w:p>
            <w:pPr>
              <w:pStyle w:val="12"/>
            </w:pPr>
            <w:r>
              <w:t>信息化建设</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14310"/>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7"/>
            </w:pPr>
            <w:r>
              <w:t>319石家庄市藁城区审计局</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485.35</w:t>
            </w:r>
          </w:p>
        </w:tc>
        <w:tc>
          <w:tcPr>
            <w:tcW w:w="1095" w:type="dxa"/>
            <w:vAlign w:val="center"/>
          </w:tcPr>
          <w:p>
            <w:pPr>
              <w:pStyle w:val="15"/>
            </w:pPr>
            <w:r>
              <w:t>415.85</w:t>
            </w:r>
          </w:p>
        </w:tc>
        <w:tc>
          <w:tcPr>
            <w:tcW w:w="1095" w:type="dxa"/>
            <w:vAlign w:val="center"/>
          </w:tcPr>
          <w:p>
            <w:pPr>
              <w:pStyle w:val="15"/>
            </w:pPr>
            <w:r>
              <w:t>69.50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3"/>
            </w:pPr>
            <w:r>
              <w:t>485.35</w:t>
            </w:r>
          </w:p>
        </w:tc>
        <w:tc>
          <w:tcPr>
            <w:tcW w:w="1095" w:type="dxa"/>
            <w:vAlign w:val="center"/>
          </w:tcPr>
          <w:p>
            <w:pPr>
              <w:pStyle w:val="13"/>
            </w:pPr>
            <w:r>
              <w:t>415.85</w:t>
            </w:r>
          </w:p>
        </w:tc>
        <w:tc>
          <w:tcPr>
            <w:tcW w:w="1095" w:type="dxa"/>
            <w:vAlign w:val="center"/>
          </w:tcPr>
          <w:p>
            <w:pPr>
              <w:pStyle w:val="13"/>
            </w:pPr>
            <w:r>
              <w:t>69.50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20108</w:t>
            </w:r>
          </w:p>
        </w:tc>
        <w:tc>
          <w:tcPr>
            <w:tcW w:w="1095" w:type="dxa"/>
            <w:vAlign w:val="center"/>
          </w:tcPr>
          <w:p>
            <w:pPr>
              <w:pStyle w:val="12"/>
            </w:pPr>
            <w:r>
              <w:t>审计事务</w:t>
            </w:r>
          </w:p>
        </w:tc>
        <w:tc>
          <w:tcPr>
            <w:tcW w:w="1095" w:type="dxa"/>
            <w:vAlign w:val="center"/>
          </w:tcPr>
          <w:p>
            <w:pPr>
              <w:pStyle w:val="13"/>
            </w:pPr>
            <w:r>
              <w:t>485.35</w:t>
            </w:r>
          </w:p>
        </w:tc>
        <w:tc>
          <w:tcPr>
            <w:tcW w:w="1095" w:type="dxa"/>
            <w:vAlign w:val="center"/>
          </w:tcPr>
          <w:p>
            <w:pPr>
              <w:pStyle w:val="13"/>
            </w:pPr>
            <w:r>
              <w:t>415.85</w:t>
            </w:r>
          </w:p>
        </w:tc>
        <w:tc>
          <w:tcPr>
            <w:tcW w:w="1095" w:type="dxa"/>
            <w:vAlign w:val="center"/>
          </w:tcPr>
          <w:p>
            <w:pPr>
              <w:pStyle w:val="13"/>
            </w:pPr>
            <w:r>
              <w:t>69.50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2010801</w:t>
            </w:r>
          </w:p>
        </w:tc>
        <w:tc>
          <w:tcPr>
            <w:tcW w:w="1095" w:type="dxa"/>
            <w:vAlign w:val="center"/>
          </w:tcPr>
          <w:p>
            <w:pPr>
              <w:pStyle w:val="12"/>
            </w:pPr>
            <w:r>
              <w:t>行政运行</w:t>
            </w:r>
          </w:p>
        </w:tc>
        <w:tc>
          <w:tcPr>
            <w:tcW w:w="1095" w:type="dxa"/>
            <w:vAlign w:val="center"/>
          </w:tcPr>
          <w:p>
            <w:pPr>
              <w:pStyle w:val="13"/>
            </w:pPr>
            <w:r>
              <w:t>415.85</w:t>
            </w:r>
          </w:p>
        </w:tc>
        <w:tc>
          <w:tcPr>
            <w:tcW w:w="1095" w:type="dxa"/>
            <w:vAlign w:val="center"/>
          </w:tcPr>
          <w:p>
            <w:pPr>
              <w:pStyle w:val="13"/>
            </w:pPr>
            <w:r>
              <w:t>415.85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5</w:t>
            </w:r>
          </w:p>
        </w:tc>
        <w:tc>
          <w:tcPr>
            <w:tcW w:w="1095" w:type="dxa"/>
            <w:vAlign w:val="center"/>
          </w:tcPr>
          <w:p>
            <w:pPr>
              <w:pStyle w:val="12"/>
            </w:pPr>
            <w:r>
              <w:t>2010804</w:t>
            </w:r>
          </w:p>
        </w:tc>
        <w:tc>
          <w:tcPr>
            <w:tcW w:w="1095" w:type="dxa"/>
            <w:vAlign w:val="center"/>
          </w:tcPr>
          <w:p>
            <w:pPr>
              <w:pStyle w:val="12"/>
            </w:pPr>
            <w:r>
              <w:t>审计业务</w:t>
            </w:r>
          </w:p>
        </w:tc>
        <w:tc>
          <w:tcPr>
            <w:tcW w:w="1095" w:type="dxa"/>
            <w:vAlign w:val="center"/>
          </w:tcPr>
          <w:p>
            <w:pPr>
              <w:pStyle w:val="13"/>
            </w:pPr>
            <w:r>
              <w:t>59.50</w:t>
            </w:r>
          </w:p>
        </w:tc>
        <w:tc>
          <w:tcPr>
            <w:tcW w:w="1095" w:type="dxa"/>
            <w:vAlign w:val="center"/>
          </w:tcPr>
          <w:p>
            <w:pPr>
              <w:pStyle w:val="13"/>
            </w:pPr>
          </w:p>
        </w:tc>
        <w:tc>
          <w:tcPr>
            <w:tcW w:w="1095" w:type="dxa"/>
            <w:vAlign w:val="center"/>
          </w:tcPr>
          <w:p>
            <w:pPr>
              <w:pStyle w:val="13"/>
            </w:pPr>
            <w:r>
              <w:t>59.50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6</w:t>
            </w:r>
          </w:p>
        </w:tc>
        <w:tc>
          <w:tcPr>
            <w:tcW w:w="1095" w:type="dxa"/>
            <w:vAlign w:val="center"/>
          </w:tcPr>
          <w:p>
            <w:pPr>
              <w:pStyle w:val="12"/>
            </w:pPr>
            <w:r>
              <w:t>2010806</w:t>
            </w:r>
          </w:p>
        </w:tc>
        <w:tc>
          <w:tcPr>
            <w:tcW w:w="1095" w:type="dxa"/>
            <w:vAlign w:val="center"/>
          </w:tcPr>
          <w:p>
            <w:pPr>
              <w:pStyle w:val="12"/>
            </w:pPr>
            <w:r>
              <w:t>信息化建设</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9436"/>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7"/>
            </w:pPr>
            <w:r>
              <w:t>319石家庄市藁城区审计局</w:t>
            </w:r>
          </w:p>
        </w:tc>
        <w:tc>
          <w:tcPr>
            <w:tcW w:w="1232" w:type="dxa"/>
            <w:tcBorders>
              <w:top w:val="single" w:color="FFFFFF" w:sz="6" w:space="0"/>
              <w:left w:val="single" w:color="FFFFFF" w:sz="6" w:space="0"/>
              <w:right w:val="single" w:color="FFFFFF" w:sz="6" w:space="0"/>
            </w:tcBorders>
            <w:vAlign w:val="center"/>
          </w:tcPr>
          <w:p>
            <w:pPr>
              <w:pStyle w:val="8"/>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1232" w:type="dxa"/>
            <w:vAlign w:val="center"/>
          </w:tcPr>
          <w:p>
            <w:pPr>
              <w:pStyle w:val="12"/>
            </w:pPr>
            <w:r>
              <w:t>一、一般公共预算拨款</w:t>
            </w:r>
          </w:p>
        </w:tc>
        <w:tc>
          <w:tcPr>
            <w:tcW w:w="1232" w:type="dxa"/>
            <w:vAlign w:val="center"/>
          </w:tcPr>
          <w:p>
            <w:pPr>
              <w:pStyle w:val="13"/>
            </w:pPr>
            <w:r>
              <w:t>485.35</w:t>
            </w:r>
          </w:p>
        </w:tc>
        <w:tc>
          <w:tcPr>
            <w:tcW w:w="1232" w:type="dxa"/>
            <w:vAlign w:val="center"/>
          </w:tcPr>
          <w:p>
            <w:pPr>
              <w:pStyle w:val="12"/>
            </w:pPr>
            <w:r>
              <w:t>一、一般公共服务支出</w:t>
            </w:r>
          </w:p>
        </w:tc>
        <w:tc>
          <w:tcPr>
            <w:tcW w:w="1232" w:type="dxa"/>
            <w:vAlign w:val="center"/>
          </w:tcPr>
          <w:p>
            <w:pPr>
              <w:pStyle w:val="13"/>
            </w:pPr>
            <w:r>
              <w:t>485.35</w:t>
            </w:r>
          </w:p>
        </w:tc>
        <w:tc>
          <w:tcPr>
            <w:tcW w:w="1232" w:type="dxa"/>
            <w:vAlign w:val="center"/>
          </w:tcPr>
          <w:p>
            <w:pPr>
              <w:pStyle w:val="13"/>
            </w:pPr>
            <w:r>
              <w:t>485.35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1232" w:type="dxa"/>
            <w:vAlign w:val="center"/>
          </w:tcPr>
          <w:p>
            <w:pPr>
              <w:pStyle w:val="14"/>
            </w:pPr>
            <w:r>
              <w:t>本年收入合计</w:t>
            </w:r>
          </w:p>
        </w:tc>
        <w:tc>
          <w:tcPr>
            <w:tcW w:w="1232" w:type="dxa"/>
            <w:vAlign w:val="center"/>
          </w:tcPr>
          <w:p>
            <w:pPr>
              <w:pStyle w:val="15"/>
            </w:pPr>
            <w:r>
              <w:t>485.35</w:t>
            </w:r>
          </w:p>
        </w:tc>
        <w:tc>
          <w:tcPr>
            <w:tcW w:w="1232" w:type="dxa"/>
            <w:vAlign w:val="center"/>
          </w:tcPr>
          <w:p>
            <w:pPr>
              <w:pStyle w:val="14"/>
            </w:pPr>
            <w:r>
              <w:t>本年支出合计</w:t>
            </w:r>
          </w:p>
        </w:tc>
        <w:tc>
          <w:tcPr>
            <w:tcW w:w="1232" w:type="dxa"/>
            <w:vAlign w:val="center"/>
          </w:tcPr>
          <w:p>
            <w:pPr>
              <w:pStyle w:val="15"/>
            </w:pPr>
            <w:r>
              <w:t>485.35</w:t>
            </w:r>
          </w:p>
        </w:tc>
        <w:tc>
          <w:tcPr>
            <w:tcW w:w="1232" w:type="dxa"/>
            <w:vAlign w:val="center"/>
          </w:tcPr>
          <w:p>
            <w:pPr>
              <w:pStyle w:val="15"/>
            </w:pPr>
            <w:r>
              <w:t>485.35</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1232" w:type="dxa"/>
            <w:vAlign w:val="center"/>
          </w:tcPr>
          <w:p>
            <w:pPr>
              <w:pStyle w:val="12"/>
            </w:pPr>
            <w:r>
              <w:t>年初财政拨款结转和结余</w:t>
            </w:r>
          </w:p>
        </w:tc>
        <w:tc>
          <w:tcPr>
            <w:tcW w:w="1232" w:type="dxa"/>
            <w:vAlign w:val="center"/>
          </w:tcPr>
          <w:p>
            <w:pPr>
              <w:pStyle w:val="13"/>
            </w:pPr>
          </w:p>
        </w:tc>
        <w:tc>
          <w:tcPr>
            <w:tcW w:w="1232"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1232" w:type="dxa"/>
            <w:vAlign w:val="center"/>
          </w:tcPr>
          <w:p>
            <w:pPr>
              <w:pStyle w:val="12"/>
            </w:pPr>
            <w:r>
              <w:t>一、一般公共预算拨款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1232" w:type="dxa"/>
            <w:vAlign w:val="center"/>
          </w:tcPr>
          <w:p>
            <w:pPr>
              <w:pStyle w:val="14"/>
            </w:pPr>
            <w:r>
              <w:t>收入总计</w:t>
            </w:r>
          </w:p>
        </w:tc>
        <w:tc>
          <w:tcPr>
            <w:tcW w:w="1232" w:type="dxa"/>
            <w:vAlign w:val="center"/>
          </w:tcPr>
          <w:p>
            <w:pPr>
              <w:pStyle w:val="15"/>
            </w:pPr>
            <w:r>
              <w:t>485.35</w:t>
            </w:r>
          </w:p>
        </w:tc>
        <w:tc>
          <w:tcPr>
            <w:tcW w:w="1232" w:type="dxa"/>
            <w:vAlign w:val="center"/>
          </w:tcPr>
          <w:p>
            <w:pPr>
              <w:pStyle w:val="14"/>
            </w:pPr>
            <w:r>
              <w:t>支出总计</w:t>
            </w:r>
          </w:p>
        </w:tc>
        <w:tc>
          <w:tcPr>
            <w:tcW w:w="1232" w:type="dxa"/>
            <w:vAlign w:val="center"/>
          </w:tcPr>
          <w:p>
            <w:pPr>
              <w:pStyle w:val="15"/>
            </w:pPr>
            <w:r>
              <w:t>485.35</w:t>
            </w:r>
          </w:p>
        </w:tc>
        <w:tc>
          <w:tcPr>
            <w:tcW w:w="1232" w:type="dxa"/>
            <w:vAlign w:val="center"/>
          </w:tcPr>
          <w:p>
            <w:pPr>
              <w:pStyle w:val="15"/>
            </w:pPr>
            <w:r>
              <w:t>485.35</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23368"/>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319石家庄市藁城区审计局</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485.35</w:t>
            </w:r>
          </w:p>
        </w:tc>
        <w:tc>
          <w:tcPr>
            <w:tcW w:w="1643" w:type="dxa"/>
            <w:vAlign w:val="center"/>
          </w:tcPr>
          <w:p>
            <w:pPr>
              <w:pStyle w:val="15"/>
            </w:pPr>
            <w:r>
              <w:t>415.85</w:t>
            </w:r>
          </w:p>
        </w:tc>
        <w:tc>
          <w:tcPr>
            <w:tcW w:w="1643" w:type="dxa"/>
            <w:vAlign w:val="center"/>
          </w:tcPr>
          <w:p>
            <w:pPr>
              <w:pStyle w:val="15"/>
            </w:pPr>
            <w:r>
              <w:t>69.50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3"/>
            </w:pPr>
            <w:r>
              <w:t>485.35</w:t>
            </w:r>
          </w:p>
        </w:tc>
        <w:tc>
          <w:tcPr>
            <w:tcW w:w="1643" w:type="dxa"/>
            <w:vAlign w:val="center"/>
          </w:tcPr>
          <w:p>
            <w:pPr>
              <w:pStyle w:val="13"/>
            </w:pPr>
            <w:r>
              <w:t>415.85</w:t>
            </w:r>
          </w:p>
        </w:tc>
        <w:tc>
          <w:tcPr>
            <w:tcW w:w="1643" w:type="dxa"/>
            <w:vAlign w:val="center"/>
          </w:tcPr>
          <w:p>
            <w:pPr>
              <w:pStyle w:val="13"/>
            </w:pPr>
            <w:r>
              <w:t>69.50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20108</w:t>
            </w:r>
          </w:p>
        </w:tc>
        <w:tc>
          <w:tcPr>
            <w:tcW w:w="1643" w:type="dxa"/>
            <w:vAlign w:val="center"/>
          </w:tcPr>
          <w:p>
            <w:pPr>
              <w:pStyle w:val="12"/>
            </w:pPr>
            <w:r>
              <w:t>审计事务</w:t>
            </w:r>
          </w:p>
        </w:tc>
        <w:tc>
          <w:tcPr>
            <w:tcW w:w="1643" w:type="dxa"/>
            <w:vAlign w:val="center"/>
          </w:tcPr>
          <w:p>
            <w:pPr>
              <w:pStyle w:val="13"/>
            </w:pPr>
            <w:r>
              <w:t>485.35</w:t>
            </w:r>
          </w:p>
        </w:tc>
        <w:tc>
          <w:tcPr>
            <w:tcW w:w="1643" w:type="dxa"/>
            <w:vAlign w:val="center"/>
          </w:tcPr>
          <w:p>
            <w:pPr>
              <w:pStyle w:val="13"/>
            </w:pPr>
            <w:r>
              <w:t>415.85</w:t>
            </w:r>
          </w:p>
        </w:tc>
        <w:tc>
          <w:tcPr>
            <w:tcW w:w="1643" w:type="dxa"/>
            <w:vAlign w:val="center"/>
          </w:tcPr>
          <w:p>
            <w:pPr>
              <w:pStyle w:val="13"/>
            </w:pPr>
            <w:r>
              <w:t>69.50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2010801</w:t>
            </w:r>
          </w:p>
        </w:tc>
        <w:tc>
          <w:tcPr>
            <w:tcW w:w="1643" w:type="dxa"/>
            <w:vAlign w:val="center"/>
          </w:tcPr>
          <w:p>
            <w:pPr>
              <w:pStyle w:val="12"/>
            </w:pPr>
            <w:r>
              <w:t>行政运行</w:t>
            </w:r>
          </w:p>
        </w:tc>
        <w:tc>
          <w:tcPr>
            <w:tcW w:w="1643" w:type="dxa"/>
            <w:vAlign w:val="center"/>
          </w:tcPr>
          <w:p>
            <w:pPr>
              <w:pStyle w:val="13"/>
            </w:pPr>
            <w:r>
              <w:t>415.85</w:t>
            </w:r>
          </w:p>
        </w:tc>
        <w:tc>
          <w:tcPr>
            <w:tcW w:w="1643" w:type="dxa"/>
            <w:vAlign w:val="center"/>
          </w:tcPr>
          <w:p>
            <w:pPr>
              <w:pStyle w:val="13"/>
            </w:pPr>
            <w:r>
              <w:t>415.85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2010804</w:t>
            </w:r>
          </w:p>
        </w:tc>
        <w:tc>
          <w:tcPr>
            <w:tcW w:w="1643" w:type="dxa"/>
            <w:vAlign w:val="center"/>
          </w:tcPr>
          <w:p>
            <w:pPr>
              <w:pStyle w:val="12"/>
            </w:pPr>
            <w:r>
              <w:t>审计业务</w:t>
            </w:r>
          </w:p>
        </w:tc>
        <w:tc>
          <w:tcPr>
            <w:tcW w:w="1643" w:type="dxa"/>
            <w:vAlign w:val="center"/>
          </w:tcPr>
          <w:p>
            <w:pPr>
              <w:pStyle w:val="13"/>
            </w:pPr>
            <w:r>
              <w:t>59.50</w:t>
            </w:r>
          </w:p>
        </w:tc>
        <w:tc>
          <w:tcPr>
            <w:tcW w:w="1643" w:type="dxa"/>
            <w:vAlign w:val="center"/>
          </w:tcPr>
          <w:p>
            <w:pPr>
              <w:pStyle w:val="13"/>
            </w:pPr>
          </w:p>
        </w:tc>
        <w:tc>
          <w:tcPr>
            <w:tcW w:w="1643" w:type="dxa"/>
            <w:vAlign w:val="center"/>
          </w:tcPr>
          <w:p>
            <w:pPr>
              <w:pStyle w:val="13"/>
            </w:pPr>
            <w:r>
              <w:t>59.50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2010806</w:t>
            </w:r>
          </w:p>
        </w:tc>
        <w:tc>
          <w:tcPr>
            <w:tcW w:w="1643" w:type="dxa"/>
            <w:vAlign w:val="center"/>
          </w:tcPr>
          <w:p>
            <w:pPr>
              <w:pStyle w:val="12"/>
            </w:pPr>
            <w:r>
              <w:t>信息化建设</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26703"/>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319石家庄市藁城区审计局</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415.85</w:t>
            </w:r>
          </w:p>
        </w:tc>
        <w:tc>
          <w:tcPr>
            <w:tcW w:w="1643" w:type="dxa"/>
            <w:vAlign w:val="center"/>
          </w:tcPr>
          <w:p>
            <w:pPr>
              <w:pStyle w:val="15"/>
            </w:pPr>
            <w:r>
              <w:t>376.76</w:t>
            </w:r>
          </w:p>
        </w:tc>
        <w:tc>
          <w:tcPr>
            <w:tcW w:w="1643" w:type="dxa"/>
            <w:vAlign w:val="center"/>
          </w:tcPr>
          <w:p>
            <w:pPr>
              <w:pStyle w:val="15"/>
            </w:pPr>
            <w:r>
              <w:t>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3"/>
            </w:pPr>
            <w:r>
              <w:t>375.84</w:t>
            </w:r>
          </w:p>
        </w:tc>
        <w:tc>
          <w:tcPr>
            <w:tcW w:w="1643" w:type="dxa"/>
            <w:vAlign w:val="center"/>
          </w:tcPr>
          <w:p>
            <w:pPr>
              <w:pStyle w:val="13"/>
            </w:pPr>
            <w:r>
              <w:t>375.84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3"/>
            </w:pPr>
            <w:r>
              <w:t>88.32</w:t>
            </w:r>
          </w:p>
        </w:tc>
        <w:tc>
          <w:tcPr>
            <w:tcW w:w="1643" w:type="dxa"/>
            <w:vAlign w:val="center"/>
          </w:tcPr>
          <w:p>
            <w:pPr>
              <w:pStyle w:val="13"/>
            </w:pPr>
            <w:r>
              <w:t>88.32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3"/>
            </w:pPr>
            <w:r>
              <w:t>158.69</w:t>
            </w:r>
          </w:p>
        </w:tc>
        <w:tc>
          <w:tcPr>
            <w:tcW w:w="1643" w:type="dxa"/>
            <w:vAlign w:val="center"/>
          </w:tcPr>
          <w:p>
            <w:pPr>
              <w:pStyle w:val="13"/>
            </w:pPr>
            <w:r>
              <w:t>158.69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3"/>
            </w:pPr>
            <w:r>
              <w:t>7.36</w:t>
            </w:r>
          </w:p>
        </w:tc>
        <w:tc>
          <w:tcPr>
            <w:tcW w:w="1643" w:type="dxa"/>
            <w:vAlign w:val="center"/>
          </w:tcPr>
          <w:p>
            <w:pPr>
              <w:pStyle w:val="13"/>
            </w:pPr>
            <w:r>
              <w:t>7.36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3"/>
            </w:pPr>
            <w:r>
              <w:t>33.54</w:t>
            </w:r>
          </w:p>
        </w:tc>
        <w:tc>
          <w:tcPr>
            <w:tcW w:w="1643" w:type="dxa"/>
            <w:vAlign w:val="center"/>
          </w:tcPr>
          <w:p>
            <w:pPr>
              <w:pStyle w:val="13"/>
            </w:pPr>
            <w:r>
              <w:t>33.54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3"/>
            </w:pPr>
            <w:r>
              <w:t>17.61</w:t>
            </w:r>
          </w:p>
        </w:tc>
        <w:tc>
          <w:tcPr>
            <w:tcW w:w="1643" w:type="dxa"/>
            <w:vAlign w:val="center"/>
          </w:tcPr>
          <w:p>
            <w:pPr>
              <w:pStyle w:val="13"/>
            </w:pPr>
            <w:r>
              <w:t>17.61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3"/>
            </w:pPr>
            <w:r>
              <w:t>13.62</w:t>
            </w:r>
          </w:p>
        </w:tc>
        <w:tc>
          <w:tcPr>
            <w:tcW w:w="1643" w:type="dxa"/>
            <w:vAlign w:val="center"/>
          </w:tcPr>
          <w:p>
            <w:pPr>
              <w:pStyle w:val="13"/>
            </w:pPr>
            <w:r>
              <w:t>13.62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3"/>
            </w:pPr>
            <w:r>
              <w:t>28.92</w:t>
            </w:r>
          </w:p>
        </w:tc>
        <w:tc>
          <w:tcPr>
            <w:tcW w:w="1643" w:type="dxa"/>
            <w:vAlign w:val="center"/>
          </w:tcPr>
          <w:p>
            <w:pPr>
              <w:pStyle w:val="13"/>
            </w:pPr>
            <w:r>
              <w:t>28.92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3"/>
            </w:pPr>
            <w:r>
              <w:t>27.79</w:t>
            </w:r>
          </w:p>
        </w:tc>
        <w:tc>
          <w:tcPr>
            <w:tcW w:w="1643" w:type="dxa"/>
            <w:vAlign w:val="center"/>
          </w:tcPr>
          <w:p>
            <w:pPr>
              <w:pStyle w:val="13"/>
            </w:pPr>
            <w:r>
              <w:t>27.79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3"/>
            </w:pPr>
            <w:r>
              <w:t>39.10</w:t>
            </w:r>
          </w:p>
        </w:tc>
        <w:tc>
          <w:tcPr>
            <w:tcW w:w="1643" w:type="dxa"/>
            <w:vAlign w:val="center"/>
          </w:tcPr>
          <w:p>
            <w:pPr>
              <w:pStyle w:val="13"/>
            </w:pPr>
          </w:p>
        </w:tc>
        <w:tc>
          <w:tcPr>
            <w:tcW w:w="1643" w:type="dxa"/>
            <w:vAlign w:val="center"/>
          </w:tcPr>
          <w:p>
            <w:pPr>
              <w:pStyle w:val="13"/>
            </w:pPr>
            <w:r>
              <w:t>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3"/>
            </w:pPr>
            <w:r>
              <w:t>6.60</w:t>
            </w:r>
          </w:p>
        </w:tc>
        <w:tc>
          <w:tcPr>
            <w:tcW w:w="1643" w:type="dxa"/>
            <w:vAlign w:val="center"/>
          </w:tcPr>
          <w:p>
            <w:pPr>
              <w:pStyle w:val="13"/>
            </w:pPr>
          </w:p>
        </w:tc>
        <w:tc>
          <w:tcPr>
            <w:tcW w:w="1643" w:type="dxa"/>
            <w:vAlign w:val="center"/>
          </w:tcPr>
          <w:p>
            <w:pPr>
              <w:pStyle w:val="13"/>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3"/>
            </w:pPr>
            <w:r>
              <w:t>11.40</w:t>
            </w:r>
          </w:p>
        </w:tc>
        <w:tc>
          <w:tcPr>
            <w:tcW w:w="1643" w:type="dxa"/>
            <w:vAlign w:val="center"/>
          </w:tcPr>
          <w:p>
            <w:pPr>
              <w:pStyle w:val="13"/>
            </w:pPr>
          </w:p>
        </w:tc>
        <w:tc>
          <w:tcPr>
            <w:tcW w:w="1643" w:type="dxa"/>
            <w:vAlign w:val="center"/>
          </w:tcPr>
          <w:p>
            <w:pPr>
              <w:pStyle w:val="13"/>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3"/>
            </w:pPr>
            <w:r>
              <w:t>1.90</w:t>
            </w:r>
          </w:p>
        </w:tc>
        <w:tc>
          <w:tcPr>
            <w:tcW w:w="1643" w:type="dxa"/>
            <w:vAlign w:val="center"/>
          </w:tcPr>
          <w:p>
            <w:pPr>
              <w:pStyle w:val="13"/>
            </w:pPr>
          </w:p>
        </w:tc>
        <w:tc>
          <w:tcPr>
            <w:tcW w:w="1643" w:type="dxa"/>
            <w:vAlign w:val="center"/>
          </w:tcPr>
          <w:p>
            <w:pPr>
              <w:pStyle w:val="13"/>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3"/>
            </w:pPr>
            <w:r>
              <w:t>2.21</w:t>
            </w:r>
          </w:p>
        </w:tc>
        <w:tc>
          <w:tcPr>
            <w:tcW w:w="1643" w:type="dxa"/>
            <w:vAlign w:val="center"/>
          </w:tcPr>
          <w:p>
            <w:pPr>
              <w:pStyle w:val="13"/>
            </w:pPr>
          </w:p>
        </w:tc>
        <w:tc>
          <w:tcPr>
            <w:tcW w:w="1643" w:type="dxa"/>
            <w:vAlign w:val="center"/>
          </w:tcPr>
          <w:p>
            <w:pPr>
              <w:pStyle w:val="13"/>
            </w:pPr>
            <w:r>
              <w:t>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3"/>
            </w:pPr>
            <w:r>
              <w:t>14.34</w:t>
            </w:r>
          </w:p>
        </w:tc>
        <w:tc>
          <w:tcPr>
            <w:tcW w:w="1643" w:type="dxa"/>
            <w:vAlign w:val="center"/>
          </w:tcPr>
          <w:p>
            <w:pPr>
              <w:pStyle w:val="13"/>
            </w:pPr>
          </w:p>
        </w:tc>
        <w:tc>
          <w:tcPr>
            <w:tcW w:w="1643" w:type="dxa"/>
            <w:vAlign w:val="center"/>
          </w:tcPr>
          <w:p>
            <w:pPr>
              <w:pStyle w:val="13"/>
            </w:pPr>
            <w:r>
              <w:t>14.34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3"/>
            </w:pPr>
            <w:r>
              <w:t>2.65</w:t>
            </w:r>
          </w:p>
        </w:tc>
        <w:tc>
          <w:tcPr>
            <w:tcW w:w="1643" w:type="dxa"/>
            <w:vAlign w:val="center"/>
          </w:tcPr>
          <w:p>
            <w:pPr>
              <w:pStyle w:val="13"/>
            </w:pPr>
          </w:p>
        </w:tc>
        <w:tc>
          <w:tcPr>
            <w:tcW w:w="1643" w:type="dxa"/>
            <w:vAlign w:val="center"/>
          </w:tcPr>
          <w:p>
            <w:pPr>
              <w:pStyle w:val="13"/>
            </w:pPr>
            <w:r>
              <w:t>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18</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3"/>
            </w:pPr>
            <w:r>
              <w:t>0.92</w:t>
            </w:r>
          </w:p>
        </w:tc>
        <w:tc>
          <w:tcPr>
            <w:tcW w:w="1643" w:type="dxa"/>
            <w:vAlign w:val="center"/>
          </w:tcPr>
          <w:p>
            <w:pPr>
              <w:pStyle w:val="13"/>
            </w:pPr>
            <w:r>
              <w:t>0.92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19</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3"/>
            </w:pPr>
            <w:r>
              <w:t>0.92</w:t>
            </w:r>
          </w:p>
        </w:tc>
        <w:tc>
          <w:tcPr>
            <w:tcW w:w="1643" w:type="dxa"/>
            <w:vAlign w:val="center"/>
          </w:tcPr>
          <w:p>
            <w:pPr>
              <w:pStyle w:val="13"/>
            </w:pPr>
            <w:r>
              <w:t>0.92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30664"/>
      <w:r>
        <w:rPr>
          <w:rFonts w:ascii="方正小标宋_GBK" w:hAnsi="方正小标宋_GBK" w:eastAsia="方正小标宋_GBK" w:cs="方正小标宋_GBK"/>
          <w:color w:val="000000"/>
          <w:sz w:val="36"/>
        </w:rPr>
        <w:t>部门预算政府基金预算财政拨款支出表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319石家庄市藁城区审计局</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3936"/>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319石家庄市藁城区审计局</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31100"/>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319石家庄市藁城区审计局</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石家庄市藁城区审计局2022年部门预算信息公开情况说明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石家庄市藁城区审计局2022年部门预算信息公开情况说明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按照《预算法》、《地方预决算公开操作规程》和《关于进一步推进预算公开工作的实施意见》规定，现将石家庄市藁城区审计局2022年部门预算公开如下：</w:t>
      </w:r>
    </w:p>
    <w:p>
      <w:pPr>
        <w:spacing w:before="10" w:after="10" w:line="360" w:lineRule="auto"/>
        <w:ind w:firstLine="640"/>
        <w:jc w:val="left"/>
        <w:outlineLvl w:val="2"/>
      </w:pPr>
      <w:bookmarkStart w:id="9" w:name="_Toc30915"/>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一）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市、区党委、政府有关重大政策措施贯彻落实情况进行跟踪审计。对审计、专项审计调查和核查社会审计机构相关审计报告的结果承担责任，并负有督促被审计单位整改的责任。</w:t>
      </w:r>
    </w:p>
    <w:p>
      <w:pPr>
        <w:pStyle w:val="17"/>
      </w:pPr>
      <w:r>
        <w:t>（二）贯彻执行审计法律、法规和方针、政策和政府规章，拟订审计工作发展规划、专业领域审计工作规划，以及拟定年度审计计划并组织实施，对直接审计、调查和核查的事项依法进行审计评价，作出审计决定或提出审计建议。</w:t>
      </w:r>
    </w:p>
    <w:p>
      <w:pPr>
        <w:pStyle w:val="17"/>
      </w:pPr>
      <w:r>
        <w:t>（三）向中共石家庄市冀城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pPr>
        <w:pStyle w:val="17"/>
      </w:pPr>
      <w: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w:t>
      </w:r>
    </w:p>
    <w:p>
      <w:pPr>
        <w:pStyle w:val="17"/>
      </w:pPr>
      <w:r>
        <w:t>财务收支；有关社会保障基金、社会捐赠资金和其他基金、资金的财务收支；上级授权审计的国际组织和外国政府援助、贷款项目的财务收支；法律法规规定的其他事项。</w:t>
      </w:r>
    </w:p>
    <w:p>
      <w:pPr>
        <w:pStyle w:val="17"/>
      </w:pPr>
      <w:r>
        <w:t>（五）按规定对区管党政主要领导干部及其他单位主要负责人实施经济责任审计和自然资源资产离任审计。</w:t>
      </w:r>
    </w:p>
    <w:p>
      <w:pPr>
        <w:pStyle w:val="17"/>
      </w:pPr>
      <w:r>
        <w:t>（六）组织实施对财经法律法规、规章、政策和宏观调控措施执行情况、财政预算管理及国有资产管理使用等与财政收支有关的特定事项进行专项审计调查。</w:t>
      </w:r>
    </w:p>
    <w:p>
      <w:pPr>
        <w:pStyle w:val="17"/>
      </w:pPr>
      <w:r>
        <w:t>（七）依法检查审计决定执行情况，督促整改审计查出的问题，依法办理被审计单位对审计决定提请行政复议、行政诉讼或区政府裁决中的有关事项；协助配合有关部门查处相关重大案件。</w:t>
      </w:r>
    </w:p>
    <w:p>
      <w:pPr>
        <w:pStyle w:val="17"/>
      </w:pPr>
      <w:r>
        <w:t>（八）指导和监督内部审计工作，核查社会审计机构对依法属于审计监督对象的单位出具的相关审计报告。</w:t>
      </w:r>
    </w:p>
    <w:p>
      <w:pPr>
        <w:pStyle w:val="17"/>
      </w:pPr>
      <w:r>
        <w:t>（九）会同区委机构编制委员会办公室，对党政机关及直属事业机构的机构设置、编制使用，以及有关机构编制规定的执行情况进行审计调查。</w:t>
      </w:r>
    </w:p>
    <w:p>
      <w:pPr>
        <w:pStyle w:val="17"/>
      </w:pPr>
      <w:r>
        <w:t>（十）组织开展审计领域的交流与合作，负责审计信息系统建设，指导和推广信息技术在审计领域的应用。</w:t>
      </w:r>
    </w:p>
    <w:p>
      <w:pPr>
        <w:pStyle w:val="17"/>
      </w:pPr>
      <w:r>
        <w:t>（十一）完成区委、区政府和上级审计机关交办的其他任务。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石家庄市藁城区审计局本级</w:t>
            </w:r>
          </w:p>
        </w:tc>
        <w:tc>
          <w:tcPr>
            <w:tcW w:w="2464" w:type="dxa"/>
            <w:vAlign w:val="center"/>
          </w:tcPr>
          <w:p>
            <w:pPr>
              <w:pStyle w:val="11"/>
            </w:pPr>
            <w:r>
              <w:t>行政</w:t>
            </w:r>
          </w:p>
        </w:tc>
        <w:tc>
          <w:tcPr>
            <w:tcW w:w="2464" w:type="dxa"/>
            <w:vAlign w:val="center"/>
          </w:tcPr>
          <w:p>
            <w:pPr>
              <w:pStyle w:val="11"/>
            </w:pPr>
            <w:r>
              <w:t>正科级</w:t>
            </w:r>
          </w:p>
        </w:tc>
        <w:tc>
          <w:tcPr>
            <w:tcW w:w="2464" w:type="dxa"/>
            <w:vAlign w:val="center"/>
          </w:tcPr>
          <w:p>
            <w:pPr>
              <w:pStyle w:val="11"/>
            </w:pPr>
            <w:r>
              <w:t>财政拨款</w:t>
            </w:r>
          </w:p>
        </w:tc>
      </w:tr>
    </w:tbl>
    <w:p>
      <w:pPr>
        <w:spacing w:before="10" w:after="10" w:line="360" w:lineRule="auto"/>
        <w:ind w:firstLine="640"/>
        <w:jc w:val="left"/>
        <w:outlineLvl w:val="2"/>
      </w:pPr>
      <w:bookmarkStart w:id="10" w:name="_Toc27028"/>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按照预算管理有关规定，目前我省部门预算的编制实行综合预算管理，即全部收入和支出都反映在预算中。石家庄市藁城区审计局机关及所属事业单位的收支包含在部门预算中。</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反映本部门当年全部收入。2022年预算收入</w:t>
      </w:r>
      <w:r>
        <w:rPr>
          <w:rFonts w:hint="eastAsia" w:eastAsia="仿宋" w:cs="Times New Roman"/>
          <w:sz w:val="32"/>
          <w:szCs w:val="32"/>
          <w:lang w:val="en-US" w:eastAsia="zh-CN"/>
        </w:rPr>
        <w:t>485.35</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485.35</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收支预算总表支出栏、基本支出表、项目支出表按经济分类和支出功能分类科目编制，反映本部门预算中支出预算的总体情况。2022年部门支出预算为</w:t>
      </w:r>
      <w:r>
        <w:rPr>
          <w:rFonts w:hint="eastAsia" w:eastAsia="仿宋" w:cs="Times New Roman"/>
          <w:sz w:val="32"/>
          <w:szCs w:val="32"/>
          <w:lang w:val="en-US" w:eastAsia="zh-CN"/>
        </w:rPr>
        <w:t>485.35</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415.85</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376.76</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39.1</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69.5</w:t>
      </w:r>
      <w:r>
        <w:rPr>
          <w:rFonts w:hint="eastAsia" w:ascii="Times New Roman" w:hAnsi="Times New Roman" w:eastAsia="仿宋" w:cs="Times New Roman"/>
          <w:sz w:val="32"/>
          <w:szCs w:val="32"/>
        </w:rPr>
        <w:t>万元，主要为</w:t>
      </w:r>
      <w:r>
        <w:rPr>
          <w:rFonts w:hint="eastAsia" w:eastAsia="仿宋" w:cs="Times New Roman"/>
          <w:sz w:val="32"/>
          <w:szCs w:val="32"/>
          <w:lang w:eastAsia="zh-CN"/>
        </w:rPr>
        <w:t>本级审计业务费</w:t>
      </w:r>
      <w:r>
        <w:rPr>
          <w:rFonts w:hint="eastAsia" w:eastAsia="仿宋" w:cs="Times New Roman"/>
          <w:sz w:val="32"/>
          <w:szCs w:val="32"/>
          <w:lang w:val="en-US" w:eastAsia="zh-CN"/>
        </w:rPr>
        <w:t>22.5</w:t>
      </w:r>
      <w:r>
        <w:rPr>
          <w:rFonts w:hint="eastAsia" w:ascii="Times New Roman" w:hAnsi="Times New Roman" w:eastAsia="仿宋" w:cs="Times New Roman"/>
          <w:sz w:val="32"/>
          <w:szCs w:val="32"/>
        </w:rPr>
        <w:t>万元，</w:t>
      </w:r>
      <w:r>
        <w:rPr>
          <w:rFonts w:hint="eastAsia" w:eastAsia="仿宋" w:cs="Times New Roman"/>
          <w:sz w:val="32"/>
          <w:szCs w:val="32"/>
          <w:lang w:eastAsia="zh-CN"/>
        </w:rPr>
        <w:t>审计署安排审计业务专项经费</w:t>
      </w:r>
      <w:r>
        <w:rPr>
          <w:rFonts w:hint="eastAsia" w:eastAsia="仿宋" w:cs="Times New Roman"/>
          <w:sz w:val="32"/>
          <w:szCs w:val="32"/>
          <w:lang w:val="en-US" w:eastAsia="zh-CN"/>
        </w:rPr>
        <w:t>14</w:t>
      </w:r>
      <w:r>
        <w:rPr>
          <w:rFonts w:hint="eastAsia" w:ascii="Times New Roman" w:hAnsi="Times New Roman" w:eastAsia="仿宋" w:cs="Times New Roman"/>
          <w:sz w:val="32"/>
          <w:szCs w:val="32"/>
        </w:rPr>
        <w:t>万元，</w:t>
      </w:r>
      <w:r>
        <w:rPr>
          <w:rFonts w:hint="eastAsia" w:eastAsia="仿宋" w:cs="Times New Roman"/>
          <w:sz w:val="32"/>
          <w:szCs w:val="32"/>
          <w:lang w:eastAsia="zh-CN"/>
        </w:rPr>
        <w:t>网络运行维护费</w:t>
      </w:r>
      <w:r>
        <w:rPr>
          <w:rFonts w:hint="eastAsia" w:eastAsia="仿宋" w:cs="Times New Roman"/>
          <w:sz w:val="32"/>
          <w:szCs w:val="32"/>
          <w:lang w:val="en-US" w:eastAsia="zh-CN"/>
        </w:rPr>
        <w:t>10</w:t>
      </w:r>
      <w:r>
        <w:rPr>
          <w:rFonts w:hint="eastAsia" w:ascii="Times New Roman" w:hAnsi="Times New Roman" w:eastAsia="仿宋" w:cs="Times New Roman"/>
          <w:sz w:val="32"/>
          <w:szCs w:val="32"/>
        </w:rPr>
        <w:t>万元，</w:t>
      </w:r>
      <w:r>
        <w:rPr>
          <w:rFonts w:hint="eastAsia" w:eastAsia="仿宋" w:cs="Times New Roman"/>
          <w:sz w:val="32"/>
          <w:szCs w:val="32"/>
          <w:lang w:eastAsia="zh-CN"/>
        </w:rPr>
        <w:t>政府投资项目跟踪审计、聘请专业机构参与国家建设项目审计业务费</w:t>
      </w:r>
      <w:r>
        <w:rPr>
          <w:rFonts w:hint="eastAsia" w:eastAsia="仿宋" w:cs="Times New Roman"/>
          <w:sz w:val="32"/>
          <w:szCs w:val="32"/>
          <w:lang w:val="en-US" w:eastAsia="zh-CN"/>
        </w:rPr>
        <w:t>23万元</w:t>
      </w:r>
      <w:r>
        <w:rPr>
          <w:rFonts w:hint="eastAsia" w:ascii="Times New Roman" w:hAnsi="Times New Roman" w:eastAsia="仿宋" w:cs="Times New Roman"/>
          <w:sz w:val="32"/>
          <w:szCs w:val="32"/>
        </w:rPr>
        <w:t>；其他支出0万元。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2022年部门预算收支安排</w:t>
      </w:r>
      <w:r>
        <w:rPr>
          <w:rFonts w:hint="eastAsia" w:eastAsia="仿宋" w:cs="Times New Roman"/>
          <w:sz w:val="32"/>
          <w:szCs w:val="32"/>
          <w:lang w:val="en-US" w:eastAsia="zh-CN"/>
        </w:rPr>
        <w:t>485.35</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60.01</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34.76</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25.25</w:t>
      </w:r>
      <w:r>
        <w:rPr>
          <w:rFonts w:hint="eastAsia" w:ascii="Times New Roman" w:hAnsi="Times New Roman" w:eastAsia="仿宋" w:cs="Times New Roman"/>
          <w:sz w:val="32"/>
          <w:szCs w:val="32"/>
        </w:rPr>
        <w:t>万元，主要是增加</w:t>
      </w:r>
      <w:r>
        <w:rPr>
          <w:rFonts w:hint="eastAsia" w:eastAsia="仿宋" w:cs="Times New Roman"/>
          <w:sz w:val="32"/>
          <w:szCs w:val="32"/>
          <w:lang w:eastAsia="zh-CN"/>
        </w:rPr>
        <w:t>本级审计业务费、政府投资项目跟踪审计、聘请专业机构参与国家建设项目审计业务费</w:t>
      </w:r>
      <w:r>
        <w:rPr>
          <w:rFonts w:hint="eastAsia" w:ascii="Times New Roman" w:hAnsi="Times New Roman" w:eastAsia="仿宋" w:cs="Times New Roman"/>
          <w:sz w:val="32"/>
          <w:szCs w:val="32"/>
        </w:rPr>
        <w:t>；其他支出无增减变化。</w:t>
      </w:r>
    </w:p>
    <w:p>
      <w:pPr>
        <w:pStyle w:val="18"/>
      </w:pPr>
    </w:p>
    <w:p>
      <w:pPr>
        <w:spacing w:before="10" w:after="10" w:line="360" w:lineRule="auto"/>
        <w:ind w:firstLine="640"/>
        <w:jc w:val="left"/>
        <w:outlineLvl w:val="2"/>
      </w:pPr>
      <w:bookmarkStart w:id="11" w:name="_Toc30122"/>
      <w:r>
        <w:rPr>
          <w:rFonts w:ascii="黑体" w:hAnsi="黑体" w:eastAsia="黑体" w:cs="黑体"/>
          <w:color w:val="000000"/>
          <w:sz w:val="32"/>
        </w:rPr>
        <w:t>三、机关运行经费安排情况</w:t>
      </w:r>
      <w:bookmarkEnd w:id="11"/>
    </w:p>
    <w:p>
      <w:p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2022年，我部门机关运行经费共计安排</w:t>
      </w:r>
      <w:r>
        <w:rPr>
          <w:rFonts w:hint="eastAsia" w:eastAsia="仿宋" w:cs="Times New Roman"/>
          <w:sz w:val="32"/>
          <w:szCs w:val="32"/>
          <w:lang w:val="en-US" w:eastAsia="zh-CN"/>
        </w:rPr>
        <w:t>39.1</w:t>
      </w:r>
      <w:r>
        <w:rPr>
          <w:rFonts w:hint="eastAsia" w:ascii="Times New Roman" w:hAnsi="Times New Roman" w:eastAsia="仿宋" w:cs="Times New Roman"/>
          <w:sz w:val="32"/>
          <w:szCs w:val="32"/>
        </w:rPr>
        <w:t>万元，主要用于保证机关正常运转的办公及印刷费、邮电费、差旅费、福利费、专用材料及一般设备购置费、日常维修费等支出。</w:t>
      </w:r>
    </w:p>
    <w:p>
      <w:pPr>
        <w:spacing w:line="460" w:lineRule="exact"/>
        <w:ind w:firstLine="640" w:firstLineChars="200"/>
        <w:rPr>
          <w:rFonts w:hint="eastAsia" w:ascii="Times New Roman" w:hAnsi="Times New Roman" w:eastAsia="仿宋" w:cs="Times New Roman"/>
          <w:sz w:val="32"/>
          <w:szCs w:val="32"/>
        </w:rPr>
      </w:pPr>
    </w:p>
    <w:p>
      <w:pPr>
        <w:spacing w:before="10" w:after="10" w:line="360" w:lineRule="auto"/>
        <w:ind w:firstLine="640"/>
        <w:jc w:val="left"/>
        <w:outlineLvl w:val="2"/>
      </w:pPr>
      <w:bookmarkStart w:id="12" w:name="_Toc9277"/>
      <w:r>
        <w:rPr>
          <w:rFonts w:ascii="黑体" w:hAnsi="黑体" w:eastAsia="黑体" w:cs="黑体"/>
          <w:color w:val="000000"/>
          <w:sz w:val="32"/>
        </w:rPr>
        <w:t>四、财政拨款“三公”经费预算情况及增减变化原因</w:t>
      </w:r>
      <w:bookmarkEnd w:id="12"/>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2022年，我部门财政拨款“三公”经费预算安排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万元，其中：因公出国（境）费35.31万元；公务用车购置及运维费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pStyle w:val="19"/>
      </w:pPr>
    </w:p>
    <w:p>
      <w:pPr>
        <w:spacing w:before="10" w:after="10" w:line="360" w:lineRule="auto"/>
        <w:ind w:firstLine="640"/>
        <w:jc w:val="left"/>
        <w:outlineLvl w:val="2"/>
      </w:pPr>
      <w:bookmarkStart w:id="13" w:name="_Toc5298"/>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0"/>
      </w:pPr>
      <w:r>
        <w:t>一、总体绩效目标</w:t>
      </w:r>
    </w:p>
    <w:p>
      <w:pPr>
        <w:pStyle w:val="20"/>
      </w:pPr>
      <w:r>
        <w:t>以习近平新时代中国特色社会主义思想为指导，坚持审计“促改革、促发展”，做到“应审尽审、凡审必严、严肃问责”，努力构建集中统一、全面覆盖、权威高效的审计监督体系。通过财政财务收支审计真实、合法和效益情况，维护国家财政经济秩序，促进廉政建设，保障国民经济的健康运行。充分发挥参谋助手作用和综合协调作用，推进审计事业科学协调发展。科学合理制定2022年审计项目计划，提出审计领域坚持党的领导、加强党的建设的政策建议，组织研究全区审计工作2022年发展规划、重大政策和改革方案，建设一支信念坚定、业务精通、作风务实、清正廉洁的高素质专业化审计干部队伍。协调内部审计和国家审计间工作，保障内部审计工作的顺利进行，进行内部审计管理和审计法制管理，通过建立健全法规，加大内部审计管理制度提高审计质量和审计机关法制管理水平。信息保障安全快速有效，信息化建设稳步推进。加强宣传引导，提高人员业务水平，促进审计文化研究，推动审计事业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1"/>
      </w:pPr>
      <w:r>
        <w:t>二、分项绩效目标</w:t>
      </w:r>
    </w:p>
    <w:p>
      <w:pPr>
        <w:pStyle w:val="21"/>
      </w:pPr>
      <w:r>
        <w:t>（一）加强本级审计业务</w:t>
      </w:r>
    </w:p>
    <w:p>
      <w:pPr>
        <w:pStyle w:val="21"/>
      </w:pPr>
      <w:r>
        <w:t>绩效目标：通过审计，促进廉政建设，保障国民经济健康发展。</w:t>
      </w:r>
      <w:r>
        <w:tab/>
      </w:r>
    </w:p>
    <w:p>
      <w:pPr>
        <w:pStyle w:val="21"/>
      </w:pPr>
      <w:r>
        <w:t>绩效指标：稳步推进本级审计工作，年内开展预算执行审计、金融机构审计11个以上，形成审计报告数量12份以上，在审计中发现问题，并使审计问题整改率达到90%及以上。</w:t>
      </w:r>
    </w:p>
    <w:p>
      <w:pPr>
        <w:pStyle w:val="21"/>
      </w:pPr>
      <w:r>
        <w:t>（二）推进信息化审计建设</w:t>
      </w:r>
    </w:p>
    <w:p>
      <w:pPr>
        <w:pStyle w:val="21"/>
      </w:pPr>
      <w:r>
        <w:t>绩效目标：通过网络建设，提高审计效率，维护国家财政经济秩序，促进廉政建设，保障国民经济健康发展。</w:t>
      </w:r>
    </w:p>
    <w:p>
      <w:pPr>
        <w:pStyle w:val="21"/>
      </w:pPr>
      <w:r>
        <w:t>绩效指标：积极推进数字化审计，使得办公自动化覆盖率达到80%及以上。运用大数据等信息化手段，使得业务处理及时性达到80%及以上，档案录入时间的节省率达到20%及以上。审计人员项目实施后对工作效率提高的满意度达到80%及以上。</w:t>
      </w:r>
    </w:p>
    <w:p>
      <w:pPr>
        <w:pStyle w:val="21"/>
      </w:pPr>
      <w:r>
        <w:t>（三）提高审计管理水平</w:t>
      </w:r>
    </w:p>
    <w:p>
      <w:pPr>
        <w:pStyle w:val="21"/>
      </w:pPr>
      <w:r>
        <w:t>绩效目标：通过建立健全法规，加大内部审计管理制度，提高审计质量和审计机关法制管理水平。</w:t>
      </w:r>
    </w:p>
    <w:p>
      <w:pPr>
        <w:pStyle w:val="21"/>
      </w:pPr>
      <w:r>
        <w:t>绩效指标：实施开展监督检查后，使得监督检查覆盖率达到80%及以上。对被审计单位的审计建议采纳率达到90%及以上。在审计中发现问题，并使审计问题整改率达到90%及以上。</w:t>
      </w:r>
    </w:p>
    <w:p>
      <w:pPr>
        <w:pStyle w:val="21"/>
      </w:pPr>
      <w:r>
        <w:t>（四）完成上级安排审计任务</w:t>
      </w:r>
    </w:p>
    <w:p>
      <w:pPr>
        <w:pStyle w:val="21"/>
      </w:pPr>
      <w:r>
        <w:t>绩效目标：通过审计，维护国家财政经济秩序，促进廉政建设，保障国民经济健康发展。</w:t>
      </w:r>
    </w:p>
    <w:p>
      <w:pPr>
        <w:pStyle w:val="21"/>
      </w:pPr>
      <w:r>
        <w:t>绩效指标：开展审计署安排项目审计的单位5家以上，形成审计报告的数量5份以上。在审计中发现问题，并使审计问题整改率达到90%及以上。</w:t>
      </w:r>
    </w:p>
    <w:p>
      <w:pPr>
        <w:pStyle w:val="21"/>
      </w:pPr>
      <w:r>
        <w:t>（五）完成国家建设项目审计</w:t>
      </w:r>
    </w:p>
    <w:p>
      <w:pPr>
        <w:pStyle w:val="21"/>
      </w:pPr>
      <w:r>
        <w:t>绩效目标：通过审计国家建设项目，促进廉政建设，保障国民经济健康发展。</w:t>
      </w:r>
    </w:p>
    <w:p>
      <w:pPr>
        <w:pStyle w:val="21"/>
      </w:pPr>
      <w:r>
        <w:t>绩效指标：实施开展监督检查后，使得监督检查覆盖率达到70%及以上。通过审计工程决算审减工程造价，挽回经济损失大于1万元。。在审计中发现问题，并使审计问题整改率达到90%及以上。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2"/>
      </w:pPr>
      <w:r>
        <w:t>三、工作保障措施</w:t>
      </w:r>
    </w:p>
    <w:p>
      <w:pPr>
        <w:pStyle w:val="22"/>
      </w:pPr>
      <w:r>
        <w:t>（一）完善制度建设。制定完善预算绩效管理制度、搭建绩效管理运行体系，科学合理地设定绩效指标和目标，从源头上保障绩效管理的有效落实，制定各类资金使用和管理办法，确保资金支出有序进行，为全年预算绩效目标的实现奠定制度基础。</w:t>
      </w:r>
    </w:p>
    <w:p>
      <w:pPr>
        <w:pStyle w:val="22"/>
      </w:pPr>
      <w:r>
        <w:t>（二）加强支出管理。依照“谁花钱、谁负责、谁举证”的原则，实现花钱必问效，确保财务与业务工作紧密衔接。并按要求积极开展预算绩效评价，根据评价结果进行整改，确保绩效目标顺利实现，确保支出进度达标。</w:t>
      </w:r>
    </w:p>
    <w:p>
      <w:pPr>
        <w:pStyle w:val="22"/>
      </w:pPr>
      <w:r>
        <w:t>（三）加强绩效运行监控。按要求开展绩效运行监控，全程跟踪预算执行进度。加强监控结果应用，对执行中发现的问题及时采取积极有效的措施，确保绩效目标如期保质实现。</w:t>
      </w:r>
    </w:p>
    <w:p>
      <w:pPr>
        <w:pStyle w:val="22"/>
      </w:pPr>
      <w:r>
        <w:t>（四）做好绩效自评。按要求积极开展年度部门预算绩效自评工作，对自评中发现的问题及时整改解决，及时调整优化支出结构，提高财政资金使用效益。</w:t>
      </w:r>
    </w:p>
    <w:p>
      <w:pPr>
        <w:pStyle w:val="22"/>
      </w:pPr>
      <w:r>
        <w:t>（五）规范财务资产管理。完善财务管理制度，加强会计核算工作，严格执行财务资产管理相关制度，确保账面数字真实、完整，加强程序管理，严格审批程序，依照政府采购目录进行政府采购，加强固定资产登记、使用和报废处置管理，做到支出合理，物尽其用。</w:t>
      </w:r>
    </w:p>
    <w:p>
      <w:pPr>
        <w:pStyle w:val="22"/>
      </w:pPr>
      <w:r>
        <w:t>（六）加强内部监督。注重内部监督制度建设，对绩效运行情况、重大支出决策等重要项目支出的决策和执行进行督导，对会计资料进行内部审计，并配合上级审计部门、财政纪委监督工作，确保财政资金安全有效，最大限度发挥财政资金使用效益。</w:t>
      </w:r>
    </w:p>
    <w:p>
      <w:pPr>
        <w:pStyle w:val="22"/>
      </w:pPr>
      <w:r>
        <w:t>（七）加强审计干部队伍建设。进一步加强干部队伍建设，不断强化审计机关自身建设，转变审计工作思路，创新审计理念和工作方法，善于运用新技术、新手段，坚持科技强审，积极推进数字化审计，运用大数据等信息化手段，以资金分配依据、标准、程序等环节为抓手，密切跟踪资金流向，提高审计发现问题的精准度和效率，及时揭示和反映经济社会各领域的新情况、新问题、新趋势，提出行之有效的审计建议，更好发挥审计在党和国家监督体系中的重要作用，为全区建设贡献审计力量。</w:t>
      </w:r>
    </w:p>
    <w:p>
      <w:pPr>
        <w:pStyle w:val="23"/>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3"/>
        <w:spacing w:before="0" w:after="0"/>
        <w:ind w:firstLine="560"/>
        <w:jc w:val="left"/>
        <w:outlineLvl w:val="9"/>
      </w:pPr>
      <w:r>
        <w:rPr>
          <w:rFonts w:ascii="方正仿宋_GBK" w:hAnsi="方正仿宋_GBK" w:eastAsia="方正仿宋_GBK" w:cs="方正仿宋_GBK"/>
          <w:b/>
          <w:color w:val="000000"/>
          <w:sz w:val="28"/>
        </w:rPr>
        <w:t>1、审计业务费绩效目标表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1.通过财政、财务收支审计，维护国家经济秩序，促进廉政建设，保障国民经济的健康运行。</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计划开展审计单位数量</w:t>
            </w:r>
          </w:p>
        </w:tc>
        <w:tc>
          <w:tcPr>
            <w:tcW w:w="2466" w:type="dxa"/>
            <w:vAlign w:val="center"/>
          </w:tcPr>
          <w:p>
            <w:pPr>
              <w:pStyle w:val="25"/>
            </w:pPr>
            <w:r>
              <w:t>开展本级预算执行审计、经济责任审计等</w:t>
            </w:r>
          </w:p>
        </w:tc>
        <w:tc>
          <w:tcPr>
            <w:tcW w:w="2466" w:type="dxa"/>
            <w:vAlign w:val="center"/>
          </w:tcPr>
          <w:p>
            <w:pPr>
              <w:pStyle w:val="25"/>
            </w:pPr>
            <w:r>
              <w:t>≥3个</w:t>
            </w:r>
          </w:p>
        </w:tc>
        <w:tc>
          <w:tcPr>
            <w:tcW w:w="2466" w:type="dxa"/>
            <w:vAlign w:val="center"/>
          </w:tcPr>
          <w:p>
            <w:pPr>
              <w:pStyle w:val="25"/>
            </w:pPr>
            <w:r>
              <w:t>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审计业务合格率</w:t>
            </w:r>
          </w:p>
        </w:tc>
        <w:tc>
          <w:tcPr>
            <w:tcW w:w="2466" w:type="dxa"/>
            <w:vAlign w:val="center"/>
          </w:tcPr>
          <w:p>
            <w:pPr>
              <w:pStyle w:val="25"/>
            </w:pPr>
            <w:r>
              <w:t>合格的审计报告占审计报告总数的比例</w:t>
            </w:r>
          </w:p>
        </w:tc>
        <w:tc>
          <w:tcPr>
            <w:tcW w:w="2466" w:type="dxa"/>
            <w:vAlign w:val="center"/>
          </w:tcPr>
          <w:p>
            <w:pPr>
              <w:pStyle w:val="25"/>
            </w:pPr>
            <w:r>
              <w:t>≥100%</w:t>
            </w:r>
          </w:p>
        </w:tc>
        <w:tc>
          <w:tcPr>
            <w:tcW w:w="2466" w:type="dxa"/>
            <w:vAlign w:val="center"/>
          </w:tcPr>
          <w:p>
            <w:pPr>
              <w:pStyle w:val="25"/>
            </w:pPr>
            <w:r>
              <w:t>审计台账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审计项目完成率</w:t>
            </w:r>
          </w:p>
        </w:tc>
        <w:tc>
          <w:tcPr>
            <w:tcW w:w="2466" w:type="dxa"/>
            <w:vAlign w:val="center"/>
          </w:tcPr>
          <w:p>
            <w:pPr>
              <w:pStyle w:val="25"/>
            </w:pPr>
            <w:r>
              <w:t>按时保质保量完成审计项目</w:t>
            </w:r>
          </w:p>
        </w:tc>
        <w:tc>
          <w:tcPr>
            <w:tcW w:w="2466" w:type="dxa"/>
            <w:vAlign w:val="center"/>
          </w:tcPr>
          <w:p>
            <w:pPr>
              <w:pStyle w:val="25"/>
            </w:pPr>
            <w:r>
              <w:t>≥3份</w:t>
            </w:r>
          </w:p>
        </w:tc>
        <w:tc>
          <w:tcPr>
            <w:tcW w:w="2466" w:type="dxa"/>
            <w:vAlign w:val="center"/>
          </w:tcPr>
          <w:p>
            <w:pPr>
              <w:pStyle w:val="25"/>
            </w:pPr>
            <w:r>
              <w:t>审计台账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项目实施成本</w:t>
            </w:r>
          </w:p>
        </w:tc>
        <w:tc>
          <w:tcPr>
            <w:tcW w:w="2466" w:type="dxa"/>
            <w:vAlign w:val="center"/>
          </w:tcPr>
          <w:p>
            <w:pPr>
              <w:pStyle w:val="25"/>
            </w:pPr>
            <w:r>
              <w:t>开展本级预算执行审计、经济责任审计等实际花销经费占项目经费的比率</w:t>
            </w:r>
          </w:p>
        </w:tc>
        <w:tc>
          <w:tcPr>
            <w:tcW w:w="2466" w:type="dxa"/>
            <w:vAlign w:val="center"/>
          </w:tcPr>
          <w:p>
            <w:pPr>
              <w:pStyle w:val="25"/>
            </w:pPr>
            <w:r>
              <w:t>≥80%</w:t>
            </w:r>
          </w:p>
        </w:tc>
        <w:tc>
          <w:tcPr>
            <w:tcW w:w="2466" w:type="dxa"/>
            <w:vAlign w:val="center"/>
          </w:tcPr>
          <w:p>
            <w:pPr>
              <w:pStyle w:val="25"/>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可持续影响指标</w:t>
            </w:r>
          </w:p>
        </w:tc>
        <w:tc>
          <w:tcPr>
            <w:tcW w:w="2466" w:type="dxa"/>
            <w:vAlign w:val="center"/>
          </w:tcPr>
          <w:p>
            <w:pPr>
              <w:pStyle w:val="25"/>
            </w:pPr>
            <w:r>
              <w:t>问题整改率</w:t>
            </w:r>
          </w:p>
        </w:tc>
        <w:tc>
          <w:tcPr>
            <w:tcW w:w="2466" w:type="dxa"/>
            <w:vAlign w:val="center"/>
          </w:tcPr>
          <w:p>
            <w:pPr>
              <w:pStyle w:val="25"/>
            </w:pPr>
            <w:r>
              <w:t>已整改问题数量占发现问题总数的比率</w:t>
            </w:r>
          </w:p>
        </w:tc>
        <w:tc>
          <w:tcPr>
            <w:tcW w:w="2466" w:type="dxa"/>
            <w:vAlign w:val="center"/>
          </w:tcPr>
          <w:p>
            <w:pPr>
              <w:pStyle w:val="25"/>
            </w:pPr>
            <w:r>
              <w:t>≥90%</w:t>
            </w:r>
          </w:p>
        </w:tc>
        <w:tc>
          <w:tcPr>
            <w:tcW w:w="2466" w:type="dxa"/>
            <w:vAlign w:val="center"/>
          </w:tcPr>
          <w:p>
            <w:pPr>
              <w:pStyle w:val="25"/>
            </w:pPr>
            <w:r>
              <w:t>审计整改台账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审计报告征求意见</w:t>
            </w:r>
          </w:p>
        </w:tc>
        <w:tc>
          <w:tcPr>
            <w:tcW w:w="2466" w:type="dxa"/>
            <w:vAlign w:val="center"/>
          </w:tcPr>
          <w:p>
            <w:pPr>
              <w:pStyle w:val="25"/>
            </w:pPr>
            <w:r>
              <w:t>征求被审计单位对审计报告的意见反馈情况</w:t>
            </w:r>
          </w:p>
        </w:tc>
        <w:tc>
          <w:tcPr>
            <w:tcW w:w="2466" w:type="dxa"/>
            <w:vAlign w:val="center"/>
          </w:tcPr>
          <w:p>
            <w:pPr>
              <w:pStyle w:val="25"/>
            </w:pPr>
            <w:r>
              <w:t>≥90%</w:t>
            </w:r>
          </w:p>
        </w:tc>
        <w:tc>
          <w:tcPr>
            <w:tcW w:w="2466" w:type="dxa"/>
            <w:vAlign w:val="center"/>
          </w:tcPr>
          <w:p>
            <w:pPr>
              <w:pStyle w:val="25"/>
            </w:pPr>
            <w:r>
              <w:t>征求意见稿</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2、网络运行维护费绩效目标表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1.通过网络建设，提高审计效率。维护国家财政经济秩序，促进廉政建设，保障国民经济健康发展。</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办公自动化覆盖数</w:t>
            </w:r>
          </w:p>
        </w:tc>
        <w:tc>
          <w:tcPr>
            <w:tcW w:w="2466" w:type="dxa"/>
            <w:vAlign w:val="center"/>
          </w:tcPr>
          <w:p>
            <w:pPr>
              <w:pStyle w:val="25"/>
            </w:pPr>
            <w:r>
              <w:t>办公自动化实际数量</w:t>
            </w:r>
          </w:p>
        </w:tc>
        <w:tc>
          <w:tcPr>
            <w:tcW w:w="2466" w:type="dxa"/>
            <w:vAlign w:val="center"/>
          </w:tcPr>
          <w:p>
            <w:pPr>
              <w:pStyle w:val="25"/>
            </w:pPr>
            <w:r>
              <w:t>≥20个</w:t>
            </w:r>
          </w:p>
        </w:tc>
        <w:tc>
          <w:tcPr>
            <w:tcW w:w="2466" w:type="dxa"/>
            <w:vAlign w:val="center"/>
          </w:tcPr>
          <w:p>
            <w:pPr>
              <w:pStyle w:val="2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办公自动化覆盖率</w:t>
            </w:r>
          </w:p>
        </w:tc>
        <w:tc>
          <w:tcPr>
            <w:tcW w:w="2466" w:type="dxa"/>
            <w:vAlign w:val="center"/>
          </w:tcPr>
          <w:p>
            <w:pPr>
              <w:pStyle w:val="25"/>
            </w:pPr>
            <w:r>
              <w:t>办公自动化覆盖范围占应覆盖范围</w:t>
            </w:r>
          </w:p>
        </w:tc>
        <w:tc>
          <w:tcPr>
            <w:tcW w:w="2466" w:type="dxa"/>
            <w:vAlign w:val="center"/>
          </w:tcPr>
          <w:p>
            <w:pPr>
              <w:pStyle w:val="25"/>
            </w:pPr>
            <w:r>
              <w:t>≥90%</w:t>
            </w:r>
          </w:p>
        </w:tc>
        <w:tc>
          <w:tcPr>
            <w:tcW w:w="2466" w:type="dxa"/>
            <w:vAlign w:val="center"/>
          </w:tcPr>
          <w:p>
            <w:pPr>
              <w:pStyle w:val="2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业务处理及时性</w:t>
            </w:r>
          </w:p>
        </w:tc>
        <w:tc>
          <w:tcPr>
            <w:tcW w:w="2466" w:type="dxa"/>
            <w:vAlign w:val="center"/>
          </w:tcPr>
          <w:p>
            <w:pPr>
              <w:pStyle w:val="25"/>
            </w:pPr>
            <w:r>
              <w:t>及时处理业务数占总处理数的比率</w:t>
            </w:r>
          </w:p>
        </w:tc>
        <w:tc>
          <w:tcPr>
            <w:tcW w:w="2466" w:type="dxa"/>
            <w:vAlign w:val="center"/>
          </w:tcPr>
          <w:p>
            <w:pPr>
              <w:pStyle w:val="25"/>
            </w:pPr>
            <w:r>
              <w:t>≥80%</w:t>
            </w:r>
          </w:p>
        </w:tc>
        <w:tc>
          <w:tcPr>
            <w:tcW w:w="2466" w:type="dxa"/>
            <w:vAlign w:val="center"/>
          </w:tcPr>
          <w:p>
            <w:pPr>
              <w:pStyle w:val="2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项目实施成本</w:t>
            </w:r>
          </w:p>
        </w:tc>
        <w:tc>
          <w:tcPr>
            <w:tcW w:w="2466" w:type="dxa"/>
            <w:vAlign w:val="center"/>
          </w:tcPr>
          <w:p>
            <w:pPr>
              <w:pStyle w:val="25"/>
            </w:pPr>
            <w:r>
              <w:t>办公自动化实际花销经费占项目经费的比率</w:t>
            </w:r>
          </w:p>
        </w:tc>
        <w:tc>
          <w:tcPr>
            <w:tcW w:w="2466" w:type="dxa"/>
            <w:vAlign w:val="center"/>
          </w:tcPr>
          <w:p>
            <w:pPr>
              <w:pStyle w:val="25"/>
            </w:pPr>
            <w:r>
              <w:t>≥80%</w:t>
            </w:r>
          </w:p>
        </w:tc>
        <w:tc>
          <w:tcPr>
            <w:tcW w:w="2466" w:type="dxa"/>
            <w:vAlign w:val="center"/>
          </w:tcPr>
          <w:p>
            <w:pPr>
              <w:pStyle w:val="2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经济效益指标</w:t>
            </w:r>
          </w:p>
        </w:tc>
        <w:tc>
          <w:tcPr>
            <w:tcW w:w="2466" w:type="dxa"/>
            <w:vAlign w:val="center"/>
          </w:tcPr>
          <w:p>
            <w:pPr>
              <w:pStyle w:val="25"/>
            </w:pPr>
            <w:r>
              <w:t>档案录入时间节省率</w:t>
            </w:r>
          </w:p>
        </w:tc>
        <w:tc>
          <w:tcPr>
            <w:tcW w:w="2466" w:type="dxa"/>
            <w:vAlign w:val="center"/>
          </w:tcPr>
          <w:p>
            <w:pPr>
              <w:pStyle w:val="25"/>
            </w:pPr>
            <w:r>
              <w:t>项目实施前后每份档案平均录入时间节省量与项目实施前每份档案平均录入时间的比率</w:t>
            </w:r>
          </w:p>
        </w:tc>
        <w:tc>
          <w:tcPr>
            <w:tcW w:w="2466" w:type="dxa"/>
            <w:vAlign w:val="center"/>
          </w:tcPr>
          <w:p>
            <w:pPr>
              <w:pStyle w:val="25"/>
            </w:pPr>
            <w:r>
              <w:t>≥20%</w:t>
            </w:r>
          </w:p>
        </w:tc>
        <w:tc>
          <w:tcPr>
            <w:tcW w:w="2466" w:type="dxa"/>
            <w:vAlign w:val="center"/>
          </w:tcPr>
          <w:p>
            <w:pPr>
              <w:pStyle w:val="2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业务人员满意度</w:t>
            </w:r>
          </w:p>
        </w:tc>
        <w:tc>
          <w:tcPr>
            <w:tcW w:w="2466" w:type="dxa"/>
            <w:vAlign w:val="center"/>
          </w:tcPr>
          <w:p>
            <w:pPr>
              <w:pStyle w:val="25"/>
            </w:pPr>
            <w:r>
              <w:t>通过调查，反映满意的用户数占调查数比例</w:t>
            </w:r>
          </w:p>
        </w:tc>
        <w:tc>
          <w:tcPr>
            <w:tcW w:w="2466" w:type="dxa"/>
            <w:vAlign w:val="center"/>
          </w:tcPr>
          <w:p>
            <w:pPr>
              <w:pStyle w:val="25"/>
            </w:pPr>
            <w:r>
              <w:t>≥90%</w:t>
            </w:r>
          </w:p>
        </w:tc>
        <w:tc>
          <w:tcPr>
            <w:tcW w:w="2466" w:type="dxa"/>
            <w:vAlign w:val="center"/>
          </w:tcPr>
          <w:p>
            <w:pPr>
              <w:pStyle w:val="25"/>
            </w:pPr>
            <w:r>
              <w:t>调查问卷</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3、审计署安排审计业务专项经费绩效目标表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1.通过审计，维护国家财政经济秩序，促进廉政建设，保障国民经济健康发展。</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审计业务完成率</w:t>
            </w:r>
          </w:p>
        </w:tc>
        <w:tc>
          <w:tcPr>
            <w:tcW w:w="2466" w:type="dxa"/>
            <w:vAlign w:val="center"/>
          </w:tcPr>
          <w:p>
            <w:pPr>
              <w:pStyle w:val="25"/>
            </w:pPr>
            <w:r>
              <w:t>审计业务完成数量</w:t>
            </w:r>
          </w:p>
        </w:tc>
        <w:tc>
          <w:tcPr>
            <w:tcW w:w="2466" w:type="dxa"/>
            <w:vAlign w:val="center"/>
          </w:tcPr>
          <w:p>
            <w:pPr>
              <w:pStyle w:val="25"/>
            </w:pPr>
            <w:r>
              <w:t>≥5个</w:t>
            </w:r>
          </w:p>
        </w:tc>
        <w:tc>
          <w:tcPr>
            <w:tcW w:w="2466" w:type="dxa"/>
            <w:vAlign w:val="center"/>
          </w:tcPr>
          <w:p>
            <w:pPr>
              <w:pStyle w:val="25"/>
            </w:pPr>
            <w:r>
              <w:t>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审计项目报告合格率</w:t>
            </w:r>
          </w:p>
        </w:tc>
        <w:tc>
          <w:tcPr>
            <w:tcW w:w="2466" w:type="dxa"/>
            <w:vAlign w:val="center"/>
          </w:tcPr>
          <w:p>
            <w:pPr>
              <w:pStyle w:val="25"/>
            </w:pPr>
            <w:r>
              <w:t>合格的审计报告占审计报告总数的比例</w:t>
            </w:r>
          </w:p>
        </w:tc>
        <w:tc>
          <w:tcPr>
            <w:tcW w:w="2466" w:type="dxa"/>
            <w:vAlign w:val="center"/>
          </w:tcPr>
          <w:p>
            <w:pPr>
              <w:pStyle w:val="25"/>
            </w:pPr>
            <w:r>
              <w:t>≥100%</w:t>
            </w:r>
          </w:p>
        </w:tc>
        <w:tc>
          <w:tcPr>
            <w:tcW w:w="2466" w:type="dxa"/>
            <w:vAlign w:val="center"/>
          </w:tcPr>
          <w:p>
            <w:pPr>
              <w:pStyle w:val="25"/>
            </w:pPr>
            <w:r>
              <w:t>审计台账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审计业务完成及时率</w:t>
            </w:r>
          </w:p>
        </w:tc>
        <w:tc>
          <w:tcPr>
            <w:tcW w:w="2466" w:type="dxa"/>
            <w:vAlign w:val="center"/>
          </w:tcPr>
          <w:p>
            <w:pPr>
              <w:pStyle w:val="25"/>
            </w:pPr>
            <w:r>
              <w:t>按时保质保量完成审计项目</w:t>
            </w:r>
          </w:p>
        </w:tc>
        <w:tc>
          <w:tcPr>
            <w:tcW w:w="2466" w:type="dxa"/>
            <w:vAlign w:val="center"/>
          </w:tcPr>
          <w:p>
            <w:pPr>
              <w:pStyle w:val="25"/>
            </w:pPr>
            <w:r>
              <w:t>≥5份</w:t>
            </w:r>
          </w:p>
        </w:tc>
        <w:tc>
          <w:tcPr>
            <w:tcW w:w="2466" w:type="dxa"/>
            <w:vAlign w:val="center"/>
          </w:tcPr>
          <w:p>
            <w:pPr>
              <w:pStyle w:val="25"/>
            </w:pPr>
            <w:r>
              <w:t>审计台账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项目实施成本</w:t>
            </w:r>
          </w:p>
        </w:tc>
        <w:tc>
          <w:tcPr>
            <w:tcW w:w="2466" w:type="dxa"/>
            <w:vAlign w:val="center"/>
          </w:tcPr>
          <w:p>
            <w:pPr>
              <w:pStyle w:val="25"/>
            </w:pPr>
            <w:r>
              <w:t>开展上级安排的跟踪审计、专项审计等实际花销经费占项目经费的比率</w:t>
            </w:r>
          </w:p>
        </w:tc>
        <w:tc>
          <w:tcPr>
            <w:tcW w:w="2466" w:type="dxa"/>
            <w:vAlign w:val="center"/>
          </w:tcPr>
          <w:p>
            <w:pPr>
              <w:pStyle w:val="25"/>
            </w:pPr>
            <w:r>
              <w:t>≥80%</w:t>
            </w:r>
          </w:p>
        </w:tc>
        <w:tc>
          <w:tcPr>
            <w:tcW w:w="2466" w:type="dxa"/>
            <w:vAlign w:val="center"/>
          </w:tcPr>
          <w:p>
            <w:pPr>
              <w:pStyle w:val="25"/>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可持续影响指标</w:t>
            </w:r>
          </w:p>
        </w:tc>
        <w:tc>
          <w:tcPr>
            <w:tcW w:w="2466" w:type="dxa"/>
            <w:vAlign w:val="center"/>
          </w:tcPr>
          <w:p>
            <w:pPr>
              <w:pStyle w:val="25"/>
            </w:pPr>
            <w:r>
              <w:t>问题整改率</w:t>
            </w:r>
          </w:p>
        </w:tc>
        <w:tc>
          <w:tcPr>
            <w:tcW w:w="2466" w:type="dxa"/>
            <w:vAlign w:val="center"/>
          </w:tcPr>
          <w:p>
            <w:pPr>
              <w:pStyle w:val="25"/>
            </w:pPr>
            <w:r>
              <w:t>已整改问题数量占发现问题总数的比率</w:t>
            </w:r>
          </w:p>
        </w:tc>
        <w:tc>
          <w:tcPr>
            <w:tcW w:w="2466" w:type="dxa"/>
            <w:vAlign w:val="center"/>
          </w:tcPr>
          <w:p>
            <w:pPr>
              <w:pStyle w:val="25"/>
            </w:pPr>
            <w:r>
              <w:t>≥90%</w:t>
            </w:r>
          </w:p>
        </w:tc>
        <w:tc>
          <w:tcPr>
            <w:tcW w:w="2466" w:type="dxa"/>
            <w:vAlign w:val="center"/>
          </w:tcPr>
          <w:p>
            <w:pPr>
              <w:pStyle w:val="25"/>
            </w:pPr>
            <w:r>
              <w:t>审计整改台账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审计报告征求意见</w:t>
            </w:r>
          </w:p>
        </w:tc>
        <w:tc>
          <w:tcPr>
            <w:tcW w:w="2466" w:type="dxa"/>
            <w:vAlign w:val="center"/>
          </w:tcPr>
          <w:p>
            <w:pPr>
              <w:pStyle w:val="25"/>
            </w:pPr>
            <w:r>
              <w:t>征求被审计单位对审计报告的意见反馈情况</w:t>
            </w:r>
          </w:p>
        </w:tc>
        <w:tc>
          <w:tcPr>
            <w:tcW w:w="2466" w:type="dxa"/>
            <w:vAlign w:val="center"/>
          </w:tcPr>
          <w:p>
            <w:pPr>
              <w:pStyle w:val="25"/>
            </w:pPr>
            <w:r>
              <w:t>≥90%</w:t>
            </w:r>
          </w:p>
        </w:tc>
        <w:tc>
          <w:tcPr>
            <w:tcW w:w="2466" w:type="dxa"/>
            <w:vAlign w:val="center"/>
          </w:tcPr>
          <w:p>
            <w:pPr>
              <w:pStyle w:val="25"/>
            </w:pPr>
            <w:r>
              <w:t>征求意见稿</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4、政府投资项目跟踪审计、聘请专业参与国家建设项目审计业务费绩效目标表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1.聘请第三方机构和专业人员进行专项跟踪审计</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计划开展项目审计数量</w:t>
            </w:r>
          </w:p>
        </w:tc>
        <w:tc>
          <w:tcPr>
            <w:tcW w:w="2466" w:type="dxa"/>
            <w:vAlign w:val="center"/>
          </w:tcPr>
          <w:p>
            <w:pPr>
              <w:pStyle w:val="25"/>
            </w:pPr>
            <w:r>
              <w:t>计划委托第三方机构对国家建设项目进行审计的年初计划数</w:t>
            </w:r>
          </w:p>
        </w:tc>
        <w:tc>
          <w:tcPr>
            <w:tcW w:w="2466" w:type="dxa"/>
            <w:vAlign w:val="center"/>
          </w:tcPr>
          <w:p>
            <w:pPr>
              <w:pStyle w:val="25"/>
            </w:pPr>
            <w:r>
              <w:t>≥3个</w:t>
            </w:r>
          </w:p>
        </w:tc>
        <w:tc>
          <w:tcPr>
            <w:tcW w:w="2466" w:type="dxa"/>
            <w:vAlign w:val="center"/>
          </w:tcPr>
          <w:p>
            <w:pPr>
              <w:pStyle w:val="25"/>
            </w:pPr>
            <w:r>
              <w:t>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审计项目报告合格率</w:t>
            </w:r>
          </w:p>
        </w:tc>
        <w:tc>
          <w:tcPr>
            <w:tcW w:w="2466" w:type="dxa"/>
            <w:vAlign w:val="center"/>
          </w:tcPr>
          <w:p>
            <w:pPr>
              <w:pStyle w:val="25"/>
            </w:pPr>
            <w:r>
              <w:t>合格的审计报告占总数的比例</w:t>
            </w:r>
          </w:p>
        </w:tc>
        <w:tc>
          <w:tcPr>
            <w:tcW w:w="2466" w:type="dxa"/>
            <w:vAlign w:val="center"/>
          </w:tcPr>
          <w:p>
            <w:pPr>
              <w:pStyle w:val="25"/>
            </w:pPr>
            <w:r>
              <w:t>≥100%</w:t>
            </w:r>
          </w:p>
        </w:tc>
        <w:tc>
          <w:tcPr>
            <w:tcW w:w="2466" w:type="dxa"/>
            <w:vAlign w:val="center"/>
          </w:tcPr>
          <w:p>
            <w:pPr>
              <w:pStyle w:val="25"/>
            </w:pPr>
            <w:r>
              <w:t>审计台账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按时完成审计项目</w:t>
            </w:r>
          </w:p>
        </w:tc>
        <w:tc>
          <w:tcPr>
            <w:tcW w:w="2466" w:type="dxa"/>
            <w:vAlign w:val="center"/>
          </w:tcPr>
          <w:p>
            <w:pPr>
              <w:pStyle w:val="25"/>
            </w:pPr>
            <w:r>
              <w:t>按时完成审计项目</w:t>
            </w:r>
          </w:p>
        </w:tc>
        <w:tc>
          <w:tcPr>
            <w:tcW w:w="2466" w:type="dxa"/>
            <w:vAlign w:val="center"/>
          </w:tcPr>
          <w:p>
            <w:pPr>
              <w:pStyle w:val="25"/>
            </w:pPr>
            <w:r>
              <w:t>≥3份</w:t>
            </w:r>
          </w:p>
        </w:tc>
        <w:tc>
          <w:tcPr>
            <w:tcW w:w="2466" w:type="dxa"/>
            <w:vAlign w:val="center"/>
          </w:tcPr>
          <w:p>
            <w:pPr>
              <w:pStyle w:val="25"/>
            </w:pPr>
            <w:r>
              <w:t>审计台账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项目实施成本</w:t>
            </w:r>
          </w:p>
        </w:tc>
        <w:tc>
          <w:tcPr>
            <w:tcW w:w="2466" w:type="dxa"/>
            <w:vAlign w:val="center"/>
          </w:tcPr>
          <w:p>
            <w:pPr>
              <w:pStyle w:val="25"/>
            </w:pPr>
            <w:r>
              <w:t>聘请第三方实际花销经费占项目经费的比率</w:t>
            </w:r>
          </w:p>
        </w:tc>
        <w:tc>
          <w:tcPr>
            <w:tcW w:w="2466" w:type="dxa"/>
            <w:vAlign w:val="center"/>
          </w:tcPr>
          <w:p>
            <w:pPr>
              <w:pStyle w:val="25"/>
            </w:pPr>
            <w:r>
              <w:t>≥90%</w:t>
            </w:r>
          </w:p>
        </w:tc>
        <w:tc>
          <w:tcPr>
            <w:tcW w:w="2466" w:type="dxa"/>
            <w:vAlign w:val="center"/>
          </w:tcPr>
          <w:p>
            <w:pPr>
              <w:pStyle w:val="25"/>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可持续影响指标</w:t>
            </w:r>
          </w:p>
        </w:tc>
        <w:tc>
          <w:tcPr>
            <w:tcW w:w="2466" w:type="dxa"/>
            <w:vAlign w:val="center"/>
          </w:tcPr>
          <w:p>
            <w:pPr>
              <w:pStyle w:val="25"/>
            </w:pPr>
            <w:r>
              <w:t>问题整改率</w:t>
            </w:r>
          </w:p>
        </w:tc>
        <w:tc>
          <w:tcPr>
            <w:tcW w:w="2466" w:type="dxa"/>
            <w:vAlign w:val="center"/>
          </w:tcPr>
          <w:p>
            <w:pPr>
              <w:pStyle w:val="25"/>
            </w:pPr>
            <w:r>
              <w:t>已整改问题数量占发现问题总数的比率</w:t>
            </w:r>
          </w:p>
        </w:tc>
        <w:tc>
          <w:tcPr>
            <w:tcW w:w="2466" w:type="dxa"/>
            <w:vAlign w:val="center"/>
          </w:tcPr>
          <w:p>
            <w:pPr>
              <w:pStyle w:val="25"/>
            </w:pPr>
            <w:r>
              <w:t>≥90%</w:t>
            </w:r>
          </w:p>
        </w:tc>
        <w:tc>
          <w:tcPr>
            <w:tcW w:w="2466" w:type="dxa"/>
            <w:vAlign w:val="center"/>
          </w:tcPr>
          <w:p>
            <w:pPr>
              <w:pStyle w:val="25"/>
            </w:pPr>
            <w:r>
              <w:t>审计整改台账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审计建议采纳率</w:t>
            </w:r>
          </w:p>
        </w:tc>
        <w:tc>
          <w:tcPr>
            <w:tcW w:w="2466" w:type="dxa"/>
            <w:vAlign w:val="center"/>
          </w:tcPr>
          <w:p>
            <w:pPr>
              <w:pStyle w:val="25"/>
            </w:pPr>
            <w:r>
              <w:t>被采纳的审计建议占全部审计建议的比例</w:t>
            </w:r>
          </w:p>
        </w:tc>
        <w:tc>
          <w:tcPr>
            <w:tcW w:w="2466" w:type="dxa"/>
            <w:vAlign w:val="center"/>
          </w:tcPr>
          <w:p>
            <w:pPr>
              <w:pStyle w:val="25"/>
            </w:pPr>
            <w:r>
              <w:t>≥90%</w:t>
            </w:r>
          </w:p>
        </w:tc>
        <w:tc>
          <w:tcPr>
            <w:tcW w:w="2466" w:type="dxa"/>
            <w:vAlign w:val="center"/>
          </w:tcPr>
          <w:p>
            <w:pPr>
              <w:pStyle w:val="25"/>
            </w:pPr>
            <w:r>
              <w:t>征求意见稿</w:t>
            </w:r>
          </w:p>
        </w:tc>
      </w:tr>
    </w:tbl>
    <w:p>
      <w:pPr>
        <w:pStyle w:val="23"/>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12467"/>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2022年，石家庄市藁城区审计局安排政府采购预算0.00万元。具体内容见下表。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319石家庄市藁城区审计局</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11967"/>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石家庄市藁城区审计局（含所属单位）上年末固定资产金额为20.89万元（详见下表）。本年度拟购置固定资产总额为0.00万元，已按要求列入政府采购预算，详见政府采购预算表。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319石家庄市藁城区审计局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20.89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1、房屋（平方米）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4、其他固定资产</w:t>
            </w:r>
          </w:p>
        </w:tc>
        <w:tc>
          <w:tcPr>
            <w:tcW w:w="4933" w:type="dxa"/>
            <w:vAlign w:val="center"/>
          </w:tcPr>
          <w:p>
            <w:pPr>
              <w:pStyle w:val="11"/>
            </w:pPr>
            <w:r>
              <w:t>39</w:t>
            </w:r>
          </w:p>
        </w:tc>
        <w:tc>
          <w:tcPr>
            <w:tcW w:w="4933" w:type="dxa"/>
            <w:vAlign w:val="center"/>
          </w:tcPr>
          <w:p>
            <w:pPr>
              <w:pStyle w:val="13"/>
            </w:pPr>
            <w:r>
              <w:t>20.89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12258"/>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9811"/>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JlMjI0N2MzYmZmM2JhNjQ2NWYxYjg4MGQ4NzU5ZDQifQ=="/>
  </w:docVars>
  <w:rsids>
    <w:rsidRoot w:val="00000000"/>
    <w:rsid w:val="47570F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Normal_810acf2f-2ff4-4052-a61b-d02adf512cab"/>
    <w:qFormat/>
    <w:uiPriority w:val="0"/>
    <w:rPr>
      <w:rFonts w:ascii="Times New Roman" w:hAnsi="Times New Roman" w:eastAsia="Times New Roman" w:cstheme="minorBidi"/>
      <w:sz w:val="24"/>
      <w:szCs w:val="24"/>
      <w:lang w:val="en-US" w:eastAsia="uk-UA" w:bidi="ar-SA"/>
    </w:rPr>
  </w:style>
  <w:style w:type="paragraph" w:customStyle="1" w:styleId="24">
    <w:name w:val="单元格样式1_3c3cbe58-1abb-43c0-9eee-4a3dc7ee23a0"/>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5">
    <w:name w:val="单元格样式2_ab335229-44f8-478d-ab48-dd09bf4a1abe"/>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6">
    <w:name w:val="单元格样式3_2f6d52da-90e6-496a-a00d-47439d32e8f0"/>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2023-09-05T03:51:48Z</dcterms:created>
  <dc:creator>Administrator.PCOS-1805141152</dc:creator>
  <cp:lastModifiedBy>左右情缘</cp:lastModifiedBy>
  <dcterms:modified xsi:type="dcterms:W3CDTF">2023-09-05T03:59:20Z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94F7E88D2B39495398A5E93BEE8D66F0_12</vt:lpwstr>
  </property>
</Properties>
</file>