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审计局本级</w:t>
      </w:r>
      <w:r>
        <w:rPr>
          <w:rFonts w:ascii="黑体" w:hAnsi="黑体" w:eastAsia="黑体" w:cs="黑体"/>
          <w:b/>
          <w:color w:val="000000"/>
          <w:sz w:val="44"/>
        </w:rPr>
        <w:t>预算信息公开</w:t>
      </w:r>
    </w:p>
    <w:p>
      <w:pPr>
        <w:pStyle w:val="3"/>
        <w:tabs>
          <w:tab w:val="right" w:leader="dot" w:pos="14562"/>
        </w:tabs>
      </w:pP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一、石家庄市藁城区审计局本级收支预算</w:t>
      </w:r>
      <w:r>
        <w:tab/>
      </w:r>
      <w:r>
        <w:fldChar w:fldCharType="begin"/>
      </w:r>
      <w:r>
        <w:instrText xml:space="preserve">PAGEREF _Toc_4_4_0000000019 \h</w:instrText>
      </w:r>
      <w:r>
        <w:fldChar w:fldCharType="separate"/>
      </w:r>
      <w:r>
        <w:t>24</w:t>
      </w:r>
      <w:r>
        <w:fldChar w:fldCharType="end"/>
      </w:r>
      <w:r>
        <w:fldChar w:fldCharType="end"/>
      </w:r>
    </w:p>
    <w:p>
      <w:r>
        <w:fldChar w:fldCharType="end"/>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9515"/>
        </w:tabs>
        <w:bidi w:val="0"/>
        <w:jc w:val="left"/>
        <w:rPr>
          <w:rFonts w:hint="eastAsia" w:eastAsia="宋体"/>
          <w:lang w:val="en-US" w:eastAsia="zh-CN"/>
        </w:rPr>
        <w:sectPr>
          <w:pgSz w:w="16840" w:h="11900" w:orient="landscape"/>
          <w:pgMar w:top="1587" w:right="1134" w:bottom="1361" w:left="1134" w:header="720" w:footer="720" w:gutter="0"/>
          <w:pgNumType w:start="1"/>
          <w:cols w:space="720" w:num="1"/>
        </w:sectPr>
      </w:pPr>
      <w:r>
        <w:rPr>
          <w:rFonts w:hint="eastAsia" w:eastAsia="宋体"/>
          <w:lang w:val="en-US" w:eastAsia="zh-CN"/>
        </w:rPr>
        <w:tab/>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一、石家庄市藁城区审计局本级收支预算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319001石家庄市藁城区审计局本级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485.35</w:t>
            </w:r>
          </w:p>
        </w:tc>
        <w:tc>
          <w:tcPr>
            <w:tcW w:w="2959" w:type="dxa"/>
            <w:vAlign w:val="center"/>
          </w:tcPr>
          <w:p>
            <w:pPr>
              <w:pStyle w:val="14"/>
            </w:pPr>
            <w:r>
              <w:t>一、一般公共服务支出</w:t>
            </w:r>
          </w:p>
        </w:tc>
        <w:tc>
          <w:tcPr>
            <w:tcW w:w="2959" w:type="dxa"/>
            <w:vAlign w:val="center"/>
          </w:tcPr>
          <w:p>
            <w:pPr>
              <w:pStyle w:val="13"/>
            </w:pPr>
            <w:r>
              <w:t>485.35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485.35</w:t>
            </w:r>
          </w:p>
        </w:tc>
        <w:tc>
          <w:tcPr>
            <w:tcW w:w="2959" w:type="dxa"/>
            <w:vAlign w:val="center"/>
          </w:tcPr>
          <w:p>
            <w:pPr>
              <w:pStyle w:val="16"/>
            </w:pPr>
            <w:r>
              <w:t>本年支出合计</w:t>
            </w:r>
          </w:p>
        </w:tc>
        <w:tc>
          <w:tcPr>
            <w:tcW w:w="2959" w:type="dxa"/>
            <w:vAlign w:val="center"/>
          </w:tcPr>
          <w:p>
            <w:pPr>
              <w:pStyle w:val="17"/>
            </w:pPr>
            <w:r>
              <w:t>485.35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485.35</w:t>
            </w:r>
          </w:p>
        </w:tc>
        <w:tc>
          <w:tcPr>
            <w:tcW w:w="2959" w:type="dxa"/>
            <w:vAlign w:val="center"/>
          </w:tcPr>
          <w:p>
            <w:pPr>
              <w:pStyle w:val="16"/>
            </w:pPr>
            <w:r>
              <w:t>支出总计</w:t>
            </w:r>
          </w:p>
        </w:tc>
        <w:tc>
          <w:tcPr>
            <w:tcW w:w="2959" w:type="dxa"/>
            <w:vAlign w:val="center"/>
          </w:tcPr>
          <w:p>
            <w:pPr>
              <w:pStyle w:val="17"/>
            </w:pPr>
            <w:r>
              <w:t>485.35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319001石家庄市藁城区审计局本级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485.35</w:t>
            </w:r>
          </w:p>
        </w:tc>
        <w:tc>
          <w:tcPr>
            <w:tcW w:w="758" w:type="dxa"/>
            <w:vAlign w:val="center"/>
          </w:tcPr>
          <w:p>
            <w:pPr>
              <w:pStyle w:val="17"/>
            </w:pPr>
            <w:r>
              <w:t>485.35</w:t>
            </w:r>
          </w:p>
        </w:tc>
        <w:tc>
          <w:tcPr>
            <w:tcW w:w="758" w:type="dxa"/>
            <w:vAlign w:val="center"/>
          </w:tcPr>
          <w:p>
            <w:pPr>
              <w:pStyle w:val="17"/>
            </w:pPr>
            <w:r>
              <w:t>485.35</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485.35</w:t>
            </w:r>
          </w:p>
        </w:tc>
        <w:tc>
          <w:tcPr>
            <w:tcW w:w="758" w:type="dxa"/>
            <w:vAlign w:val="center"/>
          </w:tcPr>
          <w:p>
            <w:pPr>
              <w:pStyle w:val="13"/>
            </w:pPr>
            <w:r>
              <w:t>485.35</w:t>
            </w:r>
          </w:p>
        </w:tc>
        <w:tc>
          <w:tcPr>
            <w:tcW w:w="758" w:type="dxa"/>
            <w:vAlign w:val="center"/>
          </w:tcPr>
          <w:p>
            <w:pPr>
              <w:pStyle w:val="13"/>
            </w:pPr>
            <w:r>
              <w:t>485.35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20108</w:t>
            </w:r>
          </w:p>
        </w:tc>
        <w:tc>
          <w:tcPr>
            <w:tcW w:w="758" w:type="dxa"/>
            <w:vAlign w:val="center"/>
          </w:tcPr>
          <w:p>
            <w:pPr>
              <w:pStyle w:val="14"/>
            </w:pPr>
            <w:r>
              <w:t>审计事务</w:t>
            </w:r>
          </w:p>
        </w:tc>
        <w:tc>
          <w:tcPr>
            <w:tcW w:w="758" w:type="dxa"/>
            <w:vAlign w:val="center"/>
          </w:tcPr>
          <w:p>
            <w:pPr>
              <w:pStyle w:val="13"/>
            </w:pPr>
            <w:r>
              <w:t>485.35</w:t>
            </w:r>
          </w:p>
        </w:tc>
        <w:tc>
          <w:tcPr>
            <w:tcW w:w="758" w:type="dxa"/>
            <w:vAlign w:val="center"/>
          </w:tcPr>
          <w:p>
            <w:pPr>
              <w:pStyle w:val="13"/>
            </w:pPr>
            <w:r>
              <w:t>485.35</w:t>
            </w:r>
          </w:p>
        </w:tc>
        <w:tc>
          <w:tcPr>
            <w:tcW w:w="758" w:type="dxa"/>
            <w:vAlign w:val="center"/>
          </w:tcPr>
          <w:p>
            <w:pPr>
              <w:pStyle w:val="13"/>
            </w:pPr>
            <w:r>
              <w:t>485.35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2010801</w:t>
            </w:r>
          </w:p>
        </w:tc>
        <w:tc>
          <w:tcPr>
            <w:tcW w:w="758" w:type="dxa"/>
            <w:vAlign w:val="center"/>
          </w:tcPr>
          <w:p>
            <w:pPr>
              <w:pStyle w:val="14"/>
            </w:pPr>
            <w:r>
              <w:t>行政运行</w:t>
            </w:r>
          </w:p>
        </w:tc>
        <w:tc>
          <w:tcPr>
            <w:tcW w:w="758" w:type="dxa"/>
            <w:vAlign w:val="center"/>
          </w:tcPr>
          <w:p>
            <w:pPr>
              <w:pStyle w:val="13"/>
            </w:pPr>
            <w:r>
              <w:t>415.85</w:t>
            </w:r>
          </w:p>
        </w:tc>
        <w:tc>
          <w:tcPr>
            <w:tcW w:w="758" w:type="dxa"/>
            <w:vAlign w:val="center"/>
          </w:tcPr>
          <w:p>
            <w:pPr>
              <w:pStyle w:val="13"/>
            </w:pPr>
            <w:r>
              <w:t>415.85</w:t>
            </w:r>
          </w:p>
        </w:tc>
        <w:tc>
          <w:tcPr>
            <w:tcW w:w="758" w:type="dxa"/>
            <w:vAlign w:val="center"/>
          </w:tcPr>
          <w:p>
            <w:pPr>
              <w:pStyle w:val="13"/>
            </w:pPr>
            <w:r>
              <w:t>415.85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2010804</w:t>
            </w:r>
          </w:p>
        </w:tc>
        <w:tc>
          <w:tcPr>
            <w:tcW w:w="758" w:type="dxa"/>
            <w:vAlign w:val="center"/>
          </w:tcPr>
          <w:p>
            <w:pPr>
              <w:pStyle w:val="14"/>
            </w:pPr>
            <w:r>
              <w:t>审计业务</w:t>
            </w:r>
          </w:p>
        </w:tc>
        <w:tc>
          <w:tcPr>
            <w:tcW w:w="758" w:type="dxa"/>
            <w:vAlign w:val="center"/>
          </w:tcPr>
          <w:p>
            <w:pPr>
              <w:pStyle w:val="13"/>
            </w:pPr>
            <w:r>
              <w:t>59.50</w:t>
            </w:r>
          </w:p>
        </w:tc>
        <w:tc>
          <w:tcPr>
            <w:tcW w:w="758" w:type="dxa"/>
            <w:vAlign w:val="center"/>
          </w:tcPr>
          <w:p>
            <w:pPr>
              <w:pStyle w:val="13"/>
            </w:pPr>
            <w:r>
              <w:t>59.50</w:t>
            </w:r>
          </w:p>
        </w:tc>
        <w:tc>
          <w:tcPr>
            <w:tcW w:w="758" w:type="dxa"/>
            <w:vAlign w:val="center"/>
          </w:tcPr>
          <w:p>
            <w:pPr>
              <w:pStyle w:val="13"/>
            </w:pPr>
            <w:r>
              <w:t>59.50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2010806</w:t>
            </w:r>
          </w:p>
        </w:tc>
        <w:tc>
          <w:tcPr>
            <w:tcW w:w="758" w:type="dxa"/>
            <w:vAlign w:val="center"/>
          </w:tcPr>
          <w:p>
            <w:pPr>
              <w:pStyle w:val="14"/>
            </w:pPr>
            <w:r>
              <w:t>信息化建设</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319001石家庄市藁城区审计局本级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485.35</w:t>
            </w:r>
          </w:p>
        </w:tc>
        <w:tc>
          <w:tcPr>
            <w:tcW w:w="1095" w:type="dxa"/>
            <w:vAlign w:val="center"/>
          </w:tcPr>
          <w:p>
            <w:pPr>
              <w:pStyle w:val="17"/>
            </w:pPr>
            <w:r>
              <w:t>415.85</w:t>
            </w:r>
          </w:p>
        </w:tc>
        <w:tc>
          <w:tcPr>
            <w:tcW w:w="1095" w:type="dxa"/>
            <w:vAlign w:val="center"/>
          </w:tcPr>
          <w:p>
            <w:pPr>
              <w:pStyle w:val="17"/>
            </w:pPr>
            <w:r>
              <w:t>69.50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485.35</w:t>
            </w:r>
          </w:p>
        </w:tc>
        <w:tc>
          <w:tcPr>
            <w:tcW w:w="1095" w:type="dxa"/>
            <w:vAlign w:val="center"/>
          </w:tcPr>
          <w:p>
            <w:pPr>
              <w:pStyle w:val="13"/>
            </w:pPr>
            <w:r>
              <w:t>415.85</w:t>
            </w:r>
          </w:p>
        </w:tc>
        <w:tc>
          <w:tcPr>
            <w:tcW w:w="1095" w:type="dxa"/>
            <w:vAlign w:val="center"/>
          </w:tcPr>
          <w:p>
            <w:pPr>
              <w:pStyle w:val="13"/>
            </w:pPr>
            <w:r>
              <w:t>69.50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20108</w:t>
            </w:r>
          </w:p>
        </w:tc>
        <w:tc>
          <w:tcPr>
            <w:tcW w:w="1095" w:type="dxa"/>
            <w:vAlign w:val="center"/>
          </w:tcPr>
          <w:p>
            <w:pPr>
              <w:pStyle w:val="14"/>
            </w:pPr>
            <w:r>
              <w:t>审计事务</w:t>
            </w:r>
          </w:p>
        </w:tc>
        <w:tc>
          <w:tcPr>
            <w:tcW w:w="1095" w:type="dxa"/>
            <w:vAlign w:val="center"/>
          </w:tcPr>
          <w:p>
            <w:pPr>
              <w:pStyle w:val="13"/>
            </w:pPr>
            <w:r>
              <w:t>485.35</w:t>
            </w:r>
          </w:p>
        </w:tc>
        <w:tc>
          <w:tcPr>
            <w:tcW w:w="1095" w:type="dxa"/>
            <w:vAlign w:val="center"/>
          </w:tcPr>
          <w:p>
            <w:pPr>
              <w:pStyle w:val="13"/>
            </w:pPr>
            <w:r>
              <w:t>415.85</w:t>
            </w:r>
          </w:p>
        </w:tc>
        <w:tc>
          <w:tcPr>
            <w:tcW w:w="1095" w:type="dxa"/>
            <w:vAlign w:val="center"/>
          </w:tcPr>
          <w:p>
            <w:pPr>
              <w:pStyle w:val="13"/>
            </w:pPr>
            <w:r>
              <w:t>69.50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2010801</w:t>
            </w:r>
          </w:p>
        </w:tc>
        <w:tc>
          <w:tcPr>
            <w:tcW w:w="1095" w:type="dxa"/>
            <w:vAlign w:val="center"/>
          </w:tcPr>
          <w:p>
            <w:pPr>
              <w:pStyle w:val="14"/>
            </w:pPr>
            <w:r>
              <w:t>行政运行</w:t>
            </w:r>
          </w:p>
        </w:tc>
        <w:tc>
          <w:tcPr>
            <w:tcW w:w="1095" w:type="dxa"/>
            <w:vAlign w:val="center"/>
          </w:tcPr>
          <w:p>
            <w:pPr>
              <w:pStyle w:val="13"/>
            </w:pPr>
            <w:r>
              <w:t>415.85</w:t>
            </w:r>
          </w:p>
        </w:tc>
        <w:tc>
          <w:tcPr>
            <w:tcW w:w="1095" w:type="dxa"/>
            <w:vAlign w:val="center"/>
          </w:tcPr>
          <w:p>
            <w:pPr>
              <w:pStyle w:val="13"/>
            </w:pPr>
            <w:r>
              <w:t>415.85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2010804</w:t>
            </w:r>
          </w:p>
        </w:tc>
        <w:tc>
          <w:tcPr>
            <w:tcW w:w="1095" w:type="dxa"/>
            <w:vAlign w:val="center"/>
          </w:tcPr>
          <w:p>
            <w:pPr>
              <w:pStyle w:val="14"/>
            </w:pPr>
            <w:r>
              <w:t>审计业务</w:t>
            </w:r>
          </w:p>
        </w:tc>
        <w:tc>
          <w:tcPr>
            <w:tcW w:w="1095" w:type="dxa"/>
            <w:vAlign w:val="center"/>
          </w:tcPr>
          <w:p>
            <w:pPr>
              <w:pStyle w:val="13"/>
            </w:pPr>
            <w:r>
              <w:t>59.50</w:t>
            </w:r>
          </w:p>
        </w:tc>
        <w:tc>
          <w:tcPr>
            <w:tcW w:w="1095" w:type="dxa"/>
            <w:vAlign w:val="center"/>
          </w:tcPr>
          <w:p>
            <w:pPr>
              <w:pStyle w:val="13"/>
            </w:pPr>
          </w:p>
        </w:tc>
        <w:tc>
          <w:tcPr>
            <w:tcW w:w="1095" w:type="dxa"/>
            <w:vAlign w:val="center"/>
          </w:tcPr>
          <w:p>
            <w:pPr>
              <w:pStyle w:val="13"/>
            </w:pPr>
            <w:r>
              <w:t>59.50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2010806</w:t>
            </w:r>
          </w:p>
        </w:tc>
        <w:tc>
          <w:tcPr>
            <w:tcW w:w="1095" w:type="dxa"/>
            <w:vAlign w:val="center"/>
          </w:tcPr>
          <w:p>
            <w:pPr>
              <w:pStyle w:val="14"/>
            </w:pPr>
            <w:r>
              <w:t>信息化建设</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319001石家庄市藁城区审计局本级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485.35</w:t>
            </w:r>
          </w:p>
        </w:tc>
        <w:tc>
          <w:tcPr>
            <w:tcW w:w="1232" w:type="dxa"/>
            <w:vAlign w:val="center"/>
          </w:tcPr>
          <w:p>
            <w:pPr>
              <w:pStyle w:val="14"/>
            </w:pPr>
            <w:r>
              <w:t>一、一般公共服务支出</w:t>
            </w:r>
          </w:p>
        </w:tc>
        <w:tc>
          <w:tcPr>
            <w:tcW w:w="1232" w:type="dxa"/>
            <w:vAlign w:val="center"/>
          </w:tcPr>
          <w:p>
            <w:pPr>
              <w:pStyle w:val="13"/>
            </w:pPr>
            <w:r>
              <w:t>485.35</w:t>
            </w:r>
          </w:p>
        </w:tc>
        <w:tc>
          <w:tcPr>
            <w:tcW w:w="1232" w:type="dxa"/>
            <w:vAlign w:val="center"/>
          </w:tcPr>
          <w:p>
            <w:pPr>
              <w:pStyle w:val="13"/>
            </w:pPr>
            <w:r>
              <w:t>485.35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485.35</w:t>
            </w:r>
          </w:p>
        </w:tc>
        <w:tc>
          <w:tcPr>
            <w:tcW w:w="1232" w:type="dxa"/>
            <w:vAlign w:val="center"/>
          </w:tcPr>
          <w:p>
            <w:pPr>
              <w:pStyle w:val="16"/>
            </w:pPr>
            <w:r>
              <w:t>本年支出合计</w:t>
            </w:r>
          </w:p>
        </w:tc>
        <w:tc>
          <w:tcPr>
            <w:tcW w:w="1232" w:type="dxa"/>
            <w:vAlign w:val="center"/>
          </w:tcPr>
          <w:p>
            <w:pPr>
              <w:pStyle w:val="17"/>
            </w:pPr>
            <w:r>
              <w:t>485.35</w:t>
            </w:r>
          </w:p>
        </w:tc>
        <w:tc>
          <w:tcPr>
            <w:tcW w:w="1232" w:type="dxa"/>
            <w:vAlign w:val="center"/>
          </w:tcPr>
          <w:p>
            <w:pPr>
              <w:pStyle w:val="17"/>
            </w:pPr>
            <w:r>
              <w:t>485.35</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485.35</w:t>
            </w:r>
          </w:p>
        </w:tc>
        <w:tc>
          <w:tcPr>
            <w:tcW w:w="1232" w:type="dxa"/>
            <w:vAlign w:val="center"/>
          </w:tcPr>
          <w:p>
            <w:pPr>
              <w:pStyle w:val="16"/>
            </w:pPr>
            <w:r>
              <w:t>支出总计</w:t>
            </w:r>
          </w:p>
        </w:tc>
        <w:tc>
          <w:tcPr>
            <w:tcW w:w="1232" w:type="dxa"/>
            <w:vAlign w:val="center"/>
          </w:tcPr>
          <w:p>
            <w:pPr>
              <w:pStyle w:val="17"/>
            </w:pPr>
            <w:r>
              <w:t>485.35</w:t>
            </w:r>
          </w:p>
        </w:tc>
        <w:tc>
          <w:tcPr>
            <w:tcW w:w="1232" w:type="dxa"/>
            <w:vAlign w:val="center"/>
          </w:tcPr>
          <w:p>
            <w:pPr>
              <w:pStyle w:val="17"/>
            </w:pPr>
            <w:r>
              <w:t>485.35</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319001石家庄市藁城区审计局本级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485.35</w:t>
            </w:r>
          </w:p>
        </w:tc>
        <w:tc>
          <w:tcPr>
            <w:tcW w:w="1643" w:type="dxa"/>
            <w:vAlign w:val="center"/>
          </w:tcPr>
          <w:p>
            <w:pPr>
              <w:pStyle w:val="17"/>
            </w:pPr>
            <w:r>
              <w:t>415.85</w:t>
            </w:r>
          </w:p>
        </w:tc>
        <w:tc>
          <w:tcPr>
            <w:tcW w:w="1643" w:type="dxa"/>
            <w:vAlign w:val="center"/>
          </w:tcPr>
          <w:p>
            <w:pPr>
              <w:pStyle w:val="17"/>
            </w:pPr>
            <w:r>
              <w:t>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485.35</w:t>
            </w:r>
          </w:p>
        </w:tc>
        <w:tc>
          <w:tcPr>
            <w:tcW w:w="1643" w:type="dxa"/>
            <w:vAlign w:val="center"/>
          </w:tcPr>
          <w:p>
            <w:pPr>
              <w:pStyle w:val="13"/>
            </w:pPr>
            <w:r>
              <w:t>415.85</w:t>
            </w:r>
          </w:p>
        </w:tc>
        <w:tc>
          <w:tcPr>
            <w:tcW w:w="1643" w:type="dxa"/>
            <w:vAlign w:val="center"/>
          </w:tcPr>
          <w:p>
            <w:pPr>
              <w:pStyle w:val="13"/>
            </w:pPr>
            <w:r>
              <w:t>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20108</w:t>
            </w:r>
          </w:p>
        </w:tc>
        <w:tc>
          <w:tcPr>
            <w:tcW w:w="1643" w:type="dxa"/>
            <w:vAlign w:val="center"/>
          </w:tcPr>
          <w:p>
            <w:pPr>
              <w:pStyle w:val="14"/>
            </w:pPr>
            <w:r>
              <w:t>审计事务</w:t>
            </w:r>
          </w:p>
        </w:tc>
        <w:tc>
          <w:tcPr>
            <w:tcW w:w="1643" w:type="dxa"/>
            <w:vAlign w:val="center"/>
          </w:tcPr>
          <w:p>
            <w:pPr>
              <w:pStyle w:val="13"/>
            </w:pPr>
            <w:r>
              <w:t>485.35</w:t>
            </w:r>
          </w:p>
        </w:tc>
        <w:tc>
          <w:tcPr>
            <w:tcW w:w="1643" w:type="dxa"/>
            <w:vAlign w:val="center"/>
          </w:tcPr>
          <w:p>
            <w:pPr>
              <w:pStyle w:val="13"/>
            </w:pPr>
            <w:r>
              <w:t>415.85</w:t>
            </w:r>
          </w:p>
        </w:tc>
        <w:tc>
          <w:tcPr>
            <w:tcW w:w="1643" w:type="dxa"/>
            <w:vAlign w:val="center"/>
          </w:tcPr>
          <w:p>
            <w:pPr>
              <w:pStyle w:val="13"/>
            </w:pPr>
            <w:r>
              <w:t>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2010801</w:t>
            </w:r>
          </w:p>
        </w:tc>
        <w:tc>
          <w:tcPr>
            <w:tcW w:w="1643" w:type="dxa"/>
            <w:vAlign w:val="center"/>
          </w:tcPr>
          <w:p>
            <w:pPr>
              <w:pStyle w:val="14"/>
            </w:pPr>
            <w:r>
              <w:t>行政运行</w:t>
            </w:r>
          </w:p>
        </w:tc>
        <w:tc>
          <w:tcPr>
            <w:tcW w:w="1643" w:type="dxa"/>
            <w:vAlign w:val="center"/>
          </w:tcPr>
          <w:p>
            <w:pPr>
              <w:pStyle w:val="13"/>
            </w:pPr>
            <w:r>
              <w:t>415.85</w:t>
            </w:r>
          </w:p>
        </w:tc>
        <w:tc>
          <w:tcPr>
            <w:tcW w:w="1643" w:type="dxa"/>
            <w:vAlign w:val="center"/>
          </w:tcPr>
          <w:p>
            <w:pPr>
              <w:pStyle w:val="13"/>
            </w:pPr>
            <w:r>
              <w:t>415.85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2010804</w:t>
            </w:r>
          </w:p>
        </w:tc>
        <w:tc>
          <w:tcPr>
            <w:tcW w:w="1643" w:type="dxa"/>
            <w:vAlign w:val="center"/>
          </w:tcPr>
          <w:p>
            <w:pPr>
              <w:pStyle w:val="14"/>
            </w:pPr>
            <w:r>
              <w:t>审计业务</w:t>
            </w:r>
          </w:p>
        </w:tc>
        <w:tc>
          <w:tcPr>
            <w:tcW w:w="1643" w:type="dxa"/>
            <w:vAlign w:val="center"/>
          </w:tcPr>
          <w:p>
            <w:pPr>
              <w:pStyle w:val="13"/>
            </w:pPr>
            <w:r>
              <w:t>59.50</w:t>
            </w:r>
          </w:p>
        </w:tc>
        <w:tc>
          <w:tcPr>
            <w:tcW w:w="1643" w:type="dxa"/>
            <w:vAlign w:val="center"/>
          </w:tcPr>
          <w:p>
            <w:pPr>
              <w:pStyle w:val="13"/>
            </w:pPr>
          </w:p>
        </w:tc>
        <w:tc>
          <w:tcPr>
            <w:tcW w:w="1643" w:type="dxa"/>
            <w:vAlign w:val="center"/>
          </w:tcPr>
          <w:p>
            <w:pPr>
              <w:pStyle w:val="13"/>
            </w:pPr>
            <w:r>
              <w:t>59.50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2010806</w:t>
            </w:r>
          </w:p>
        </w:tc>
        <w:tc>
          <w:tcPr>
            <w:tcW w:w="1643" w:type="dxa"/>
            <w:vAlign w:val="center"/>
          </w:tcPr>
          <w:p>
            <w:pPr>
              <w:pStyle w:val="14"/>
            </w:pPr>
            <w:r>
              <w:t>信息化建设</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319001石家庄市藁城区审计局本级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415.85</w:t>
            </w:r>
          </w:p>
        </w:tc>
        <w:tc>
          <w:tcPr>
            <w:tcW w:w="1643" w:type="dxa"/>
            <w:vAlign w:val="center"/>
          </w:tcPr>
          <w:p>
            <w:pPr>
              <w:pStyle w:val="17"/>
            </w:pPr>
            <w:r>
              <w:t>376.76</w:t>
            </w:r>
          </w:p>
        </w:tc>
        <w:tc>
          <w:tcPr>
            <w:tcW w:w="1643" w:type="dxa"/>
            <w:vAlign w:val="center"/>
          </w:tcPr>
          <w:p>
            <w:pPr>
              <w:pStyle w:val="17"/>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375.84</w:t>
            </w:r>
          </w:p>
        </w:tc>
        <w:tc>
          <w:tcPr>
            <w:tcW w:w="1643" w:type="dxa"/>
            <w:vAlign w:val="center"/>
          </w:tcPr>
          <w:p>
            <w:pPr>
              <w:pStyle w:val="13"/>
            </w:pPr>
            <w:r>
              <w:t>375.84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88.32</w:t>
            </w:r>
          </w:p>
        </w:tc>
        <w:tc>
          <w:tcPr>
            <w:tcW w:w="1643" w:type="dxa"/>
            <w:vAlign w:val="center"/>
          </w:tcPr>
          <w:p>
            <w:pPr>
              <w:pStyle w:val="13"/>
            </w:pPr>
            <w:r>
              <w:t>88.32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158.69</w:t>
            </w:r>
          </w:p>
        </w:tc>
        <w:tc>
          <w:tcPr>
            <w:tcW w:w="1643" w:type="dxa"/>
            <w:vAlign w:val="center"/>
          </w:tcPr>
          <w:p>
            <w:pPr>
              <w:pStyle w:val="13"/>
            </w:pPr>
            <w:r>
              <w:t>158.69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7.36</w:t>
            </w:r>
          </w:p>
        </w:tc>
        <w:tc>
          <w:tcPr>
            <w:tcW w:w="1643" w:type="dxa"/>
            <w:vAlign w:val="center"/>
          </w:tcPr>
          <w:p>
            <w:pPr>
              <w:pStyle w:val="13"/>
            </w:pPr>
            <w:r>
              <w:t>7.36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33.54</w:t>
            </w:r>
          </w:p>
        </w:tc>
        <w:tc>
          <w:tcPr>
            <w:tcW w:w="1643" w:type="dxa"/>
            <w:vAlign w:val="center"/>
          </w:tcPr>
          <w:p>
            <w:pPr>
              <w:pStyle w:val="13"/>
            </w:pPr>
            <w:r>
              <w:t>33.54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17.61</w:t>
            </w:r>
          </w:p>
        </w:tc>
        <w:tc>
          <w:tcPr>
            <w:tcW w:w="1643" w:type="dxa"/>
            <w:vAlign w:val="center"/>
          </w:tcPr>
          <w:p>
            <w:pPr>
              <w:pStyle w:val="13"/>
            </w:pPr>
            <w:r>
              <w:t>17.61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13.62</w:t>
            </w:r>
          </w:p>
        </w:tc>
        <w:tc>
          <w:tcPr>
            <w:tcW w:w="1643" w:type="dxa"/>
            <w:vAlign w:val="center"/>
          </w:tcPr>
          <w:p>
            <w:pPr>
              <w:pStyle w:val="13"/>
            </w:pPr>
            <w:r>
              <w:t>13.62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28.92</w:t>
            </w:r>
          </w:p>
        </w:tc>
        <w:tc>
          <w:tcPr>
            <w:tcW w:w="1643" w:type="dxa"/>
            <w:vAlign w:val="center"/>
          </w:tcPr>
          <w:p>
            <w:pPr>
              <w:pStyle w:val="13"/>
            </w:pPr>
            <w:r>
              <w:t>28.92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27.79</w:t>
            </w:r>
          </w:p>
        </w:tc>
        <w:tc>
          <w:tcPr>
            <w:tcW w:w="1643" w:type="dxa"/>
            <w:vAlign w:val="center"/>
          </w:tcPr>
          <w:p>
            <w:pPr>
              <w:pStyle w:val="13"/>
            </w:pPr>
            <w:r>
              <w:t>27.79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39.10</w:t>
            </w:r>
          </w:p>
        </w:tc>
        <w:tc>
          <w:tcPr>
            <w:tcW w:w="1643" w:type="dxa"/>
            <w:vAlign w:val="center"/>
          </w:tcPr>
          <w:p>
            <w:pPr>
              <w:pStyle w:val="13"/>
            </w:pPr>
          </w:p>
        </w:tc>
        <w:tc>
          <w:tcPr>
            <w:tcW w:w="1643" w:type="dxa"/>
            <w:vAlign w:val="center"/>
          </w:tcPr>
          <w:p>
            <w:pPr>
              <w:pStyle w:val="13"/>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6.60</w:t>
            </w:r>
          </w:p>
        </w:tc>
        <w:tc>
          <w:tcPr>
            <w:tcW w:w="1643" w:type="dxa"/>
            <w:vAlign w:val="center"/>
          </w:tcPr>
          <w:p>
            <w:pPr>
              <w:pStyle w:val="13"/>
            </w:pPr>
          </w:p>
        </w:tc>
        <w:tc>
          <w:tcPr>
            <w:tcW w:w="1643" w:type="dxa"/>
            <w:vAlign w:val="center"/>
          </w:tcPr>
          <w:p>
            <w:pPr>
              <w:pStyle w:val="13"/>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11.40</w:t>
            </w:r>
          </w:p>
        </w:tc>
        <w:tc>
          <w:tcPr>
            <w:tcW w:w="1643" w:type="dxa"/>
            <w:vAlign w:val="center"/>
          </w:tcPr>
          <w:p>
            <w:pPr>
              <w:pStyle w:val="13"/>
            </w:pPr>
          </w:p>
        </w:tc>
        <w:tc>
          <w:tcPr>
            <w:tcW w:w="1643" w:type="dxa"/>
            <w:vAlign w:val="center"/>
          </w:tcPr>
          <w:p>
            <w:pPr>
              <w:pStyle w:val="13"/>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1.90</w:t>
            </w:r>
          </w:p>
        </w:tc>
        <w:tc>
          <w:tcPr>
            <w:tcW w:w="1643" w:type="dxa"/>
            <w:vAlign w:val="center"/>
          </w:tcPr>
          <w:p>
            <w:pPr>
              <w:pStyle w:val="13"/>
            </w:pPr>
          </w:p>
        </w:tc>
        <w:tc>
          <w:tcPr>
            <w:tcW w:w="1643" w:type="dxa"/>
            <w:vAlign w:val="center"/>
          </w:tcPr>
          <w:p>
            <w:pPr>
              <w:pStyle w:val="13"/>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2.21</w:t>
            </w:r>
          </w:p>
        </w:tc>
        <w:tc>
          <w:tcPr>
            <w:tcW w:w="1643" w:type="dxa"/>
            <w:vAlign w:val="center"/>
          </w:tcPr>
          <w:p>
            <w:pPr>
              <w:pStyle w:val="13"/>
            </w:pPr>
          </w:p>
        </w:tc>
        <w:tc>
          <w:tcPr>
            <w:tcW w:w="1643" w:type="dxa"/>
            <w:vAlign w:val="center"/>
          </w:tcPr>
          <w:p>
            <w:pPr>
              <w:pStyle w:val="13"/>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14.34</w:t>
            </w:r>
          </w:p>
        </w:tc>
        <w:tc>
          <w:tcPr>
            <w:tcW w:w="1643" w:type="dxa"/>
            <w:vAlign w:val="center"/>
          </w:tcPr>
          <w:p>
            <w:pPr>
              <w:pStyle w:val="13"/>
            </w:pPr>
          </w:p>
        </w:tc>
        <w:tc>
          <w:tcPr>
            <w:tcW w:w="1643" w:type="dxa"/>
            <w:vAlign w:val="center"/>
          </w:tcPr>
          <w:p>
            <w:pPr>
              <w:pStyle w:val="13"/>
            </w:pPr>
            <w:r>
              <w:t>14.34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2.65</w:t>
            </w:r>
          </w:p>
        </w:tc>
        <w:tc>
          <w:tcPr>
            <w:tcW w:w="1643" w:type="dxa"/>
            <w:vAlign w:val="center"/>
          </w:tcPr>
          <w:p>
            <w:pPr>
              <w:pStyle w:val="13"/>
            </w:pPr>
          </w:p>
        </w:tc>
        <w:tc>
          <w:tcPr>
            <w:tcW w:w="1643" w:type="dxa"/>
            <w:vAlign w:val="center"/>
          </w:tcPr>
          <w:p>
            <w:pPr>
              <w:pStyle w:val="13"/>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319001石家庄市藁城区审计局本级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319001石家庄市藁城区审计局本级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319001石家庄市藁城区审计局本级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石家庄市藁城区审计局本级2022年单位预算信息公开情况说明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按照《预算法》、《地方预决算公开操作规程》和《关于进一步推进预算公开工作的实施意见》规定，现将石家庄市藁城区审计局本级2022年单位预算公开如下：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pPr>
        <w:pStyle w:val="19"/>
      </w:pPr>
      <w:r>
        <w:t>（二）贯彻执行审计法律、法规和方针、政策和政府规章，拟订审计工作发展规划、专业领域审计工作规划，以及拟定年度审计计划并组织实施，对直接审计、调查和核查的事项依法进行审计评价，作出审计决定或提出审计建议。</w:t>
      </w:r>
    </w:p>
    <w:p>
      <w:pPr>
        <w:pStyle w:val="19"/>
      </w:pPr>
      <w:r>
        <w:t>（三）向中共石家庄市冀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pPr>
        <w:pStyle w:val="19"/>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w:t>
      </w:r>
    </w:p>
    <w:p>
      <w:pPr>
        <w:pStyle w:val="19"/>
      </w:pPr>
      <w:r>
        <w:t>财务收支；有关社会保障基金、社会捐赠资金和其他基金、资金的财务收支；上级授权审计的国际组织和外国政府援助、贷款项目的财务收支；法律法规规定的其他事项。</w:t>
      </w:r>
    </w:p>
    <w:p>
      <w:pPr>
        <w:pStyle w:val="19"/>
      </w:pPr>
      <w:r>
        <w:t>（五）按规定对区管党政主要领导干部及其他单位主要负责人实施经济责任审计和自然资源资产离任审计。</w:t>
      </w:r>
    </w:p>
    <w:p>
      <w:pPr>
        <w:pStyle w:val="19"/>
      </w:pPr>
      <w:r>
        <w:t>（六）组织实施对财经法律法规、规章、政策和宏观调控措施执行情况、财政预算管理及国有资产管理使用等与财政收支有关的特定事项进行专项审计调查。</w:t>
      </w:r>
    </w:p>
    <w:p>
      <w:pPr>
        <w:pStyle w:val="19"/>
      </w:pPr>
      <w:r>
        <w:t>（七）依法检查审计决定执行情况，督促整改审计查出的问题，依法办理被审计单位对审计决定提请行政复议、行政诉讼或区政府裁决中的有关事项；协助配合有关部门查处相关重大案件。</w:t>
      </w:r>
    </w:p>
    <w:p>
      <w:pPr>
        <w:pStyle w:val="19"/>
      </w:pPr>
      <w:r>
        <w:t>（八）指导和监督内部审计工作，核查社会审计机构对依法属于审计监督对象的单位出具的相关审计报告。</w:t>
      </w:r>
    </w:p>
    <w:p>
      <w:pPr>
        <w:pStyle w:val="19"/>
      </w:pPr>
      <w:r>
        <w:t>（九）会同区委机构编制委员会办公室，对党政机关及直属事业机构的机构设置、编制使用，以及有关机构编制规定的执行情况进行审计调查。</w:t>
      </w:r>
    </w:p>
    <w:p>
      <w:pPr>
        <w:pStyle w:val="19"/>
      </w:pPr>
      <w:r>
        <w:t>（十）组织开展审计领域的交流与合作，负责审计信息系统建设，指导和推广信息技术在审计领域的应用。</w:t>
      </w:r>
    </w:p>
    <w:p>
      <w:pPr>
        <w:pStyle w:val="19"/>
      </w:pPr>
      <w:r>
        <w:t>（十一）完成区委、区政府和上级审计机关交办的其他任务。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石家庄市藁城区审计局本级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485.35</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485.35</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485.35</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415.85</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376.76</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39.1</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69.5</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本级审计业务费</w:t>
      </w:r>
      <w:r>
        <w:rPr>
          <w:rFonts w:hint="eastAsia" w:eastAsia="仿宋" w:cs="Times New Roman"/>
          <w:sz w:val="32"/>
          <w:szCs w:val="32"/>
          <w:lang w:val="en-US" w:eastAsia="zh-CN"/>
        </w:rPr>
        <w:t>22.5</w:t>
      </w:r>
      <w:r>
        <w:rPr>
          <w:rFonts w:hint="eastAsia" w:ascii="Times New Roman" w:hAnsi="Times New Roman" w:eastAsia="仿宋" w:cs="Times New Roman"/>
          <w:sz w:val="32"/>
          <w:szCs w:val="32"/>
        </w:rPr>
        <w:t>万元，</w:t>
      </w:r>
      <w:r>
        <w:rPr>
          <w:rFonts w:hint="eastAsia" w:eastAsia="仿宋" w:cs="Times New Roman"/>
          <w:sz w:val="32"/>
          <w:szCs w:val="32"/>
          <w:lang w:eastAsia="zh-CN"/>
        </w:rPr>
        <w:t>审计署安排审计业务专项经费</w:t>
      </w:r>
      <w:r>
        <w:rPr>
          <w:rFonts w:hint="eastAsia" w:eastAsia="仿宋" w:cs="Times New Roman"/>
          <w:sz w:val="32"/>
          <w:szCs w:val="32"/>
          <w:lang w:val="en-US" w:eastAsia="zh-CN"/>
        </w:rPr>
        <w:t>14</w:t>
      </w:r>
      <w:r>
        <w:rPr>
          <w:rFonts w:hint="eastAsia" w:ascii="Times New Roman" w:hAnsi="Times New Roman" w:eastAsia="仿宋" w:cs="Times New Roman"/>
          <w:sz w:val="32"/>
          <w:szCs w:val="32"/>
        </w:rPr>
        <w:t>万元，</w:t>
      </w:r>
      <w:r>
        <w:rPr>
          <w:rFonts w:hint="eastAsia" w:eastAsia="仿宋" w:cs="Times New Roman"/>
          <w:sz w:val="32"/>
          <w:szCs w:val="32"/>
          <w:lang w:eastAsia="zh-CN"/>
        </w:rPr>
        <w:t>网络运行维护费</w:t>
      </w:r>
      <w:r>
        <w:rPr>
          <w:rFonts w:hint="eastAsia" w:eastAsia="仿宋" w:cs="Times New Roman"/>
          <w:sz w:val="32"/>
          <w:szCs w:val="32"/>
          <w:lang w:val="en-US" w:eastAsia="zh-CN"/>
        </w:rPr>
        <w:t>10</w:t>
      </w:r>
      <w:r>
        <w:rPr>
          <w:rFonts w:hint="eastAsia" w:ascii="Times New Roman" w:hAnsi="Times New Roman" w:eastAsia="仿宋" w:cs="Times New Roman"/>
          <w:sz w:val="32"/>
          <w:szCs w:val="32"/>
        </w:rPr>
        <w:t>万元，</w:t>
      </w:r>
      <w:r>
        <w:rPr>
          <w:rFonts w:hint="eastAsia" w:eastAsia="仿宋" w:cs="Times New Roman"/>
          <w:sz w:val="32"/>
          <w:szCs w:val="32"/>
          <w:lang w:eastAsia="zh-CN"/>
        </w:rPr>
        <w:t>政府投资项目跟踪审计、聘请专业机构参与国家建设项目审计业务费</w:t>
      </w:r>
      <w:r>
        <w:rPr>
          <w:rFonts w:hint="eastAsia" w:eastAsia="仿宋" w:cs="Times New Roman"/>
          <w:sz w:val="32"/>
          <w:szCs w:val="32"/>
          <w:lang w:val="en-US" w:eastAsia="zh-CN"/>
        </w:rPr>
        <w:t>23万元</w:t>
      </w:r>
      <w:r>
        <w:rPr>
          <w:rFonts w:hint="eastAsia" w:ascii="Times New Roman" w:hAnsi="Times New Roman" w:eastAsia="仿宋" w:cs="Times New Roman"/>
          <w:sz w:val="32"/>
          <w:szCs w:val="32"/>
        </w:rPr>
        <w:t>；其他支出0万元。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sz w:val="32"/>
          <w:szCs w:val="32"/>
          <w:lang w:val="en-US" w:eastAsia="zh-CN"/>
        </w:rPr>
        <w:t>485.35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60.01</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34.76</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25.25</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本级审计业务费、政府投资项目跟踪审计、聘请专业机构参与国家建设项目审计业务费</w:t>
      </w:r>
      <w:r>
        <w:rPr>
          <w:rFonts w:hint="eastAsia" w:ascii="Times New Roman" w:hAnsi="Times New Roman" w:eastAsia="仿宋" w:cs="Times New Roman"/>
          <w:sz w:val="32"/>
          <w:szCs w:val="32"/>
        </w:rPr>
        <w:t>；其他支出无增减变化。</w:t>
      </w:r>
    </w:p>
    <w:p>
      <w:pPr>
        <w:pStyle w:val="32"/>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39.1</w:t>
      </w:r>
      <w:r>
        <w:rPr>
          <w:rFonts w:hint="eastAsia" w:ascii="Times New Roman" w:hAnsi="Times New Roman" w:eastAsia="仿宋" w:cs="Times New Roman"/>
          <w:sz w:val="32"/>
          <w:szCs w:val="32"/>
        </w:rPr>
        <w:t>万元，主要用于保证机关正常运转的办公及印刷费、邮电费、差旅费、福利费、专用材料及一般设备购置费、日常维修费等支出。</w:t>
      </w:r>
    </w:p>
    <w:p>
      <w:pPr>
        <w:spacing w:line="460" w:lineRule="exact"/>
        <w:ind w:firstLine="640" w:firstLineChars="200"/>
        <w:rPr>
          <w:rFonts w:hint="eastAsia" w:ascii="Times New Roman" w:hAnsi="Times New Roman" w:eastAsia="仿宋" w:cs="Times New Roman"/>
          <w:sz w:val="32"/>
          <w:szCs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万元，其中：因公出国（境）费35.31万元；公务用车购置及运维费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1、审计业务费绩效目标表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1.通过财政、财务收支审计，维护国家经济秩序，促进廉政建设，保障国民经济的健康运行。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计划开展审计单位数量</w:t>
            </w:r>
          </w:p>
        </w:tc>
        <w:tc>
          <w:tcPr>
            <w:tcW w:w="2466" w:type="dxa"/>
            <w:vAlign w:val="center"/>
          </w:tcPr>
          <w:p>
            <w:pPr>
              <w:pStyle w:val="28"/>
            </w:pPr>
            <w:r>
              <w:t>开展本级预算执行审计、经济责任审计等</w:t>
            </w:r>
          </w:p>
        </w:tc>
        <w:tc>
          <w:tcPr>
            <w:tcW w:w="2466" w:type="dxa"/>
            <w:vAlign w:val="center"/>
          </w:tcPr>
          <w:p>
            <w:pPr>
              <w:pStyle w:val="28"/>
            </w:pPr>
            <w:r>
              <w:t>≥3个</w:t>
            </w:r>
          </w:p>
        </w:tc>
        <w:tc>
          <w:tcPr>
            <w:tcW w:w="2466" w:type="dxa"/>
            <w:vAlign w:val="center"/>
          </w:tcPr>
          <w:p>
            <w:pPr>
              <w:pStyle w:val="28"/>
            </w:pPr>
            <w:r>
              <w:t>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审计业务合格率</w:t>
            </w:r>
          </w:p>
        </w:tc>
        <w:tc>
          <w:tcPr>
            <w:tcW w:w="2466" w:type="dxa"/>
            <w:vAlign w:val="center"/>
          </w:tcPr>
          <w:p>
            <w:pPr>
              <w:pStyle w:val="28"/>
            </w:pPr>
            <w:r>
              <w:t>合格的审计报告占审计报告总数的比例</w:t>
            </w:r>
          </w:p>
        </w:tc>
        <w:tc>
          <w:tcPr>
            <w:tcW w:w="2466" w:type="dxa"/>
            <w:vAlign w:val="center"/>
          </w:tcPr>
          <w:p>
            <w:pPr>
              <w:pStyle w:val="28"/>
            </w:pPr>
            <w:r>
              <w:t>≥100%</w:t>
            </w:r>
          </w:p>
        </w:tc>
        <w:tc>
          <w:tcPr>
            <w:tcW w:w="2466" w:type="dxa"/>
            <w:vAlign w:val="center"/>
          </w:tcPr>
          <w:p>
            <w:pPr>
              <w:pStyle w:val="28"/>
            </w:pPr>
            <w:r>
              <w:t>审计台账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审计项目完成率</w:t>
            </w:r>
          </w:p>
        </w:tc>
        <w:tc>
          <w:tcPr>
            <w:tcW w:w="2466" w:type="dxa"/>
            <w:vAlign w:val="center"/>
          </w:tcPr>
          <w:p>
            <w:pPr>
              <w:pStyle w:val="28"/>
            </w:pPr>
            <w:r>
              <w:t>按时保质保量完成审计项目</w:t>
            </w:r>
          </w:p>
        </w:tc>
        <w:tc>
          <w:tcPr>
            <w:tcW w:w="2466" w:type="dxa"/>
            <w:vAlign w:val="center"/>
          </w:tcPr>
          <w:p>
            <w:pPr>
              <w:pStyle w:val="28"/>
            </w:pPr>
            <w:r>
              <w:t>≥3份</w:t>
            </w:r>
          </w:p>
        </w:tc>
        <w:tc>
          <w:tcPr>
            <w:tcW w:w="2466" w:type="dxa"/>
            <w:vAlign w:val="center"/>
          </w:tcPr>
          <w:p>
            <w:pPr>
              <w:pStyle w:val="28"/>
            </w:pPr>
            <w:r>
              <w:t>审计台账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项目实施成本</w:t>
            </w:r>
          </w:p>
        </w:tc>
        <w:tc>
          <w:tcPr>
            <w:tcW w:w="2466" w:type="dxa"/>
            <w:vAlign w:val="center"/>
          </w:tcPr>
          <w:p>
            <w:pPr>
              <w:pStyle w:val="28"/>
            </w:pPr>
            <w:r>
              <w:t>开展本级预算执行审计、经济责任审计等实际花销经费占项目经费的比率</w:t>
            </w:r>
          </w:p>
        </w:tc>
        <w:tc>
          <w:tcPr>
            <w:tcW w:w="2466" w:type="dxa"/>
            <w:vAlign w:val="center"/>
          </w:tcPr>
          <w:p>
            <w:pPr>
              <w:pStyle w:val="28"/>
            </w:pPr>
            <w:r>
              <w:t>≥80%</w:t>
            </w:r>
          </w:p>
        </w:tc>
        <w:tc>
          <w:tcPr>
            <w:tcW w:w="2466" w:type="dxa"/>
            <w:vAlign w:val="center"/>
          </w:tcPr>
          <w:p>
            <w:pPr>
              <w:pStyle w:val="28"/>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问题整改率</w:t>
            </w:r>
          </w:p>
        </w:tc>
        <w:tc>
          <w:tcPr>
            <w:tcW w:w="2466" w:type="dxa"/>
            <w:vAlign w:val="center"/>
          </w:tcPr>
          <w:p>
            <w:pPr>
              <w:pStyle w:val="28"/>
            </w:pPr>
            <w:r>
              <w:t>已整改问题数量占发现问题总数的比率</w:t>
            </w:r>
          </w:p>
        </w:tc>
        <w:tc>
          <w:tcPr>
            <w:tcW w:w="2466" w:type="dxa"/>
            <w:vAlign w:val="center"/>
          </w:tcPr>
          <w:p>
            <w:pPr>
              <w:pStyle w:val="28"/>
            </w:pPr>
            <w:r>
              <w:t>≥90%</w:t>
            </w:r>
          </w:p>
        </w:tc>
        <w:tc>
          <w:tcPr>
            <w:tcW w:w="2466" w:type="dxa"/>
            <w:vAlign w:val="center"/>
          </w:tcPr>
          <w:p>
            <w:pPr>
              <w:pStyle w:val="28"/>
            </w:pPr>
            <w:r>
              <w:t>审计整改台账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审计报告征求意见</w:t>
            </w:r>
          </w:p>
        </w:tc>
        <w:tc>
          <w:tcPr>
            <w:tcW w:w="2466" w:type="dxa"/>
            <w:vAlign w:val="center"/>
          </w:tcPr>
          <w:p>
            <w:pPr>
              <w:pStyle w:val="28"/>
            </w:pPr>
            <w:r>
              <w:t>征求被审计单位对审计报告的意见反馈情况</w:t>
            </w:r>
          </w:p>
        </w:tc>
        <w:tc>
          <w:tcPr>
            <w:tcW w:w="2466" w:type="dxa"/>
            <w:vAlign w:val="center"/>
          </w:tcPr>
          <w:p>
            <w:pPr>
              <w:pStyle w:val="28"/>
            </w:pPr>
            <w:r>
              <w:t>≥90%</w:t>
            </w:r>
          </w:p>
        </w:tc>
        <w:tc>
          <w:tcPr>
            <w:tcW w:w="2466" w:type="dxa"/>
            <w:vAlign w:val="center"/>
          </w:tcPr>
          <w:p>
            <w:pPr>
              <w:pStyle w:val="28"/>
            </w:pPr>
            <w:r>
              <w:t>征求意见稿</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2、网络运行维护费绩效目标表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1.通过网络建设，提高审计效率。维护国家财政经济秩序，促进廉政建设，保障国民经济健康发展。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办公自动化覆盖数</w:t>
            </w:r>
          </w:p>
        </w:tc>
        <w:tc>
          <w:tcPr>
            <w:tcW w:w="2466" w:type="dxa"/>
            <w:vAlign w:val="center"/>
          </w:tcPr>
          <w:p>
            <w:pPr>
              <w:pStyle w:val="28"/>
            </w:pPr>
            <w:r>
              <w:t>办公自动化实际数量</w:t>
            </w:r>
          </w:p>
        </w:tc>
        <w:tc>
          <w:tcPr>
            <w:tcW w:w="2466" w:type="dxa"/>
            <w:vAlign w:val="center"/>
          </w:tcPr>
          <w:p>
            <w:pPr>
              <w:pStyle w:val="28"/>
            </w:pPr>
            <w:r>
              <w:t>≥20个</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办公自动化覆盖率</w:t>
            </w:r>
          </w:p>
        </w:tc>
        <w:tc>
          <w:tcPr>
            <w:tcW w:w="2466" w:type="dxa"/>
            <w:vAlign w:val="center"/>
          </w:tcPr>
          <w:p>
            <w:pPr>
              <w:pStyle w:val="28"/>
            </w:pPr>
            <w:r>
              <w:t>办公自动化覆盖范围占应覆盖范围</w:t>
            </w:r>
          </w:p>
        </w:tc>
        <w:tc>
          <w:tcPr>
            <w:tcW w:w="2466" w:type="dxa"/>
            <w:vAlign w:val="center"/>
          </w:tcPr>
          <w:p>
            <w:pPr>
              <w:pStyle w:val="28"/>
            </w:pPr>
            <w:r>
              <w:t>≥90%</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业务处理及时性</w:t>
            </w:r>
          </w:p>
        </w:tc>
        <w:tc>
          <w:tcPr>
            <w:tcW w:w="2466" w:type="dxa"/>
            <w:vAlign w:val="center"/>
          </w:tcPr>
          <w:p>
            <w:pPr>
              <w:pStyle w:val="28"/>
            </w:pPr>
            <w:r>
              <w:t>及时处理业务数占总处理数的比率</w:t>
            </w:r>
          </w:p>
        </w:tc>
        <w:tc>
          <w:tcPr>
            <w:tcW w:w="2466" w:type="dxa"/>
            <w:vAlign w:val="center"/>
          </w:tcPr>
          <w:p>
            <w:pPr>
              <w:pStyle w:val="28"/>
            </w:pPr>
            <w:r>
              <w:t>≥80%</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项目实施成本</w:t>
            </w:r>
          </w:p>
        </w:tc>
        <w:tc>
          <w:tcPr>
            <w:tcW w:w="2466" w:type="dxa"/>
            <w:vAlign w:val="center"/>
          </w:tcPr>
          <w:p>
            <w:pPr>
              <w:pStyle w:val="28"/>
            </w:pPr>
            <w:r>
              <w:t>办公自动化实际花销经费占项目经费的比率</w:t>
            </w:r>
          </w:p>
        </w:tc>
        <w:tc>
          <w:tcPr>
            <w:tcW w:w="2466" w:type="dxa"/>
            <w:vAlign w:val="center"/>
          </w:tcPr>
          <w:p>
            <w:pPr>
              <w:pStyle w:val="28"/>
            </w:pPr>
            <w:r>
              <w:t>≥80%</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档案录入时间节省率</w:t>
            </w:r>
          </w:p>
        </w:tc>
        <w:tc>
          <w:tcPr>
            <w:tcW w:w="2466" w:type="dxa"/>
            <w:vAlign w:val="center"/>
          </w:tcPr>
          <w:p>
            <w:pPr>
              <w:pStyle w:val="28"/>
            </w:pPr>
            <w:r>
              <w:t>项目实施前后每份档案平均录入时间节省量与项目实施前每份档案平均录入时间的比率</w:t>
            </w:r>
          </w:p>
        </w:tc>
        <w:tc>
          <w:tcPr>
            <w:tcW w:w="2466" w:type="dxa"/>
            <w:vAlign w:val="center"/>
          </w:tcPr>
          <w:p>
            <w:pPr>
              <w:pStyle w:val="28"/>
            </w:pPr>
            <w:r>
              <w:t>≥20%</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业务人员满意度</w:t>
            </w:r>
          </w:p>
        </w:tc>
        <w:tc>
          <w:tcPr>
            <w:tcW w:w="2466" w:type="dxa"/>
            <w:vAlign w:val="center"/>
          </w:tcPr>
          <w:p>
            <w:pPr>
              <w:pStyle w:val="28"/>
            </w:pPr>
            <w:r>
              <w:t>通过调查，反映满意的用户数占调查数比例</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3、审计署安排审计业务专项经费绩效目标表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1.通过审计，维护国家财政经济秩序，促进廉政建设，保障国民经济健康发展。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审计业务完成率</w:t>
            </w:r>
          </w:p>
        </w:tc>
        <w:tc>
          <w:tcPr>
            <w:tcW w:w="2466" w:type="dxa"/>
            <w:vAlign w:val="center"/>
          </w:tcPr>
          <w:p>
            <w:pPr>
              <w:pStyle w:val="28"/>
            </w:pPr>
            <w:r>
              <w:t>审计业务完成数量</w:t>
            </w:r>
          </w:p>
        </w:tc>
        <w:tc>
          <w:tcPr>
            <w:tcW w:w="2466" w:type="dxa"/>
            <w:vAlign w:val="center"/>
          </w:tcPr>
          <w:p>
            <w:pPr>
              <w:pStyle w:val="28"/>
            </w:pPr>
            <w:r>
              <w:t>≥5个</w:t>
            </w:r>
          </w:p>
        </w:tc>
        <w:tc>
          <w:tcPr>
            <w:tcW w:w="2466" w:type="dxa"/>
            <w:vAlign w:val="center"/>
          </w:tcPr>
          <w:p>
            <w:pPr>
              <w:pStyle w:val="28"/>
            </w:pPr>
            <w:r>
              <w:t>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审计项目报告合格率</w:t>
            </w:r>
          </w:p>
        </w:tc>
        <w:tc>
          <w:tcPr>
            <w:tcW w:w="2466" w:type="dxa"/>
            <w:vAlign w:val="center"/>
          </w:tcPr>
          <w:p>
            <w:pPr>
              <w:pStyle w:val="28"/>
            </w:pPr>
            <w:r>
              <w:t>合格的审计报告占审计报告总数的比例</w:t>
            </w:r>
          </w:p>
        </w:tc>
        <w:tc>
          <w:tcPr>
            <w:tcW w:w="2466" w:type="dxa"/>
            <w:vAlign w:val="center"/>
          </w:tcPr>
          <w:p>
            <w:pPr>
              <w:pStyle w:val="28"/>
            </w:pPr>
            <w:r>
              <w:t>≥100%</w:t>
            </w:r>
          </w:p>
        </w:tc>
        <w:tc>
          <w:tcPr>
            <w:tcW w:w="2466" w:type="dxa"/>
            <w:vAlign w:val="center"/>
          </w:tcPr>
          <w:p>
            <w:pPr>
              <w:pStyle w:val="28"/>
            </w:pPr>
            <w:r>
              <w:t>审计台账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审计业务完成及时率</w:t>
            </w:r>
          </w:p>
        </w:tc>
        <w:tc>
          <w:tcPr>
            <w:tcW w:w="2466" w:type="dxa"/>
            <w:vAlign w:val="center"/>
          </w:tcPr>
          <w:p>
            <w:pPr>
              <w:pStyle w:val="28"/>
            </w:pPr>
            <w:r>
              <w:t>按时保质保量完成审计项目</w:t>
            </w:r>
          </w:p>
        </w:tc>
        <w:tc>
          <w:tcPr>
            <w:tcW w:w="2466" w:type="dxa"/>
            <w:vAlign w:val="center"/>
          </w:tcPr>
          <w:p>
            <w:pPr>
              <w:pStyle w:val="28"/>
            </w:pPr>
            <w:r>
              <w:t>≥5份</w:t>
            </w:r>
          </w:p>
        </w:tc>
        <w:tc>
          <w:tcPr>
            <w:tcW w:w="2466" w:type="dxa"/>
            <w:vAlign w:val="center"/>
          </w:tcPr>
          <w:p>
            <w:pPr>
              <w:pStyle w:val="28"/>
            </w:pPr>
            <w:r>
              <w:t>审计台账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项目实施成本</w:t>
            </w:r>
          </w:p>
        </w:tc>
        <w:tc>
          <w:tcPr>
            <w:tcW w:w="2466" w:type="dxa"/>
            <w:vAlign w:val="center"/>
          </w:tcPr>
          <w:p>
            <w:pPr>
              <w:pStyle w:val="28"/>
            </w:pPr>
            <w:r>
              <w:t>开展上级安排的跟踪审计、专项审计等实际花销经费占项目经费的比率</w:t>
            </w:r>
          </w:p>
        </w:tc>
        <w:tc>
          <w:tcPr>
            <w:tcW w:w="2466" w:type="dxa"/>
            <w:vAlign w:val="center"/>
          </w:tcPr>
          <w:p>
            <w:pPr>
              <w:pStyle w:val="28"/>
            </w:pPr>
            <w:r>
              <w:t>≥80%</w:t>
            </w:r>
          </w:p>
        </w:tc>
        <w:tc>
          <w:tcPr>
            <w:tcW w:w="2466" w:type="dxa"/>
            <w:vAlign w:val="center"/>
          </w:tcPr>
          <w:p>
            <w:pPr>
              <w:pStyle w:val="28"/>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问题整改率</w:t>
            </w:r>
          </w:p>
        </w:tc>
        <w:tc>
          <w:tcPr>
            <w:tcW w:w="2466" w:type="dxa"/>
            <w:vAlign w:val="center"/>
          </w:tcPr>
          <w:p>
            <w:pPr>
              <w:pStyle w:val="28"/>
            </w:pPr>
            <w:r>
              <w:t>已整改问题数量占发现问题总数的比率</w:t>
            </w:r>
          </w:p>
        </w:tc>
        <w:tc>
          <w:tcPr>
            <w:tcW w:w="2466" w:type="dxa"/>
            <w:vAlign w:val="center"/>
          </w:tcPr>
          <w:p>
            <w:pPr>
              <w:pStyle w:val="28"/>
            </w:pPr>
            <w:r>
              <w:t>≥90%</w:t>
            </w:r>
          </w:p>
        </w:tc>
        <w:tc>
          <w:tcPr>
            <w:tcW w:w="2466" w:type="dxa"/>
            <w:vAlign w:val="center"/>
          </w:tcPr>
          <w:p>
            <w:pPr>
              <w:pStyle w:val="28"/>
            </w:pPr>
            <w:r>
              <w:t>审计整改台账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审计报告征求意见</w:t>
            </w:r>
          </w:p>
        </w:tc>
        <w:tc>
          <w:tcPr>
            <w:tcW w:w="2466" w:type="dxa"/>
            <w:vAlign w:val="center"/>
          </w:tcPr>
          <w:p>
            <w:pPr>
              <w:pStyle w:val="28"/>
            </w:pPr>
            <w:r>
              <w:t>征求被审计单位对审计报告的意见反馈情况</w:t>
            </w:r>
          </w:p>
        </w:tc>
        <w:tc>
          <w:tcPr>
            <w:tcW w:w="2466" w:type="dxa"/>
            <w:vAlign w:val="center"/>
          </w:tcPr>
          <w:p>
            <w:pPr>
              <w:pStyle w:val="28"/>
            </w:pPr>
            <w:r>
              <w:t>≥90%</w:t>
            </w:r>
          </w:p>
        </w:tc>
        <w:tc>
          <w:tcPr>
            <w:tcW w:w="2466" w:type="dxa"/>
            <w:vAlign w:val="center"/>
          </w:tcPr>
          <w:p>
            <w:pPr>
              <w:pStyle w:val="28"/>
            </w:pPr>
            <w:r>
              <w:t>征求意见稿</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4、政府投资项目跟踪审计、聘请专业参与国家建设项目审计业务费绩效目标表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1.聘请第三方机构和专业人员进行专项跟踪审计</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计划开展项目审计数量</w:t>
            </w:r>
          </w:p>
        </w:tc>
        <w:tc>
          <w:tcPr>
            <w:tcW w:w="2466" w:type="dxa"/>
            <w:vAlign w:val="center"/>
          </w:tcPr>
          <w:p>
            <w:pPr>
              <w:pStyle w:val="28"/>
            </w:pPr>
            <w:r>
              <w:t>计划委托第三方机构对国家建设项目进行审计的年初计划数</w:t>
            </w:r>
          </w:p>
        </w:tc>
        <w:tc>
          <w:tcPr>
            <w:tcW w:w="2466" w:type="dxa"/>
            <w:vAlign w:val="center"/>
          </w:tcPr>
          <w:p>
            <w:pPr>
              <w:pStyle w:val="28"/>
            </w:pPr>
            <w:r>
              <w:t>≥3个</w:t>
            </w:r>
          </w:p>
        </w:tc>
        <w:tc>
          <w:tcPr>
            <w:tcW w:w="2466" w:type="dxa"/>
            <w:vAlign w:val="center"/>
          </w:tcPr>
          <w:p>
            <w:pPr>
              <w:pStyle w:val="28"/>
            </w:pPr>
            <w:r>
              <w:t>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审计项目报告合格率</w:t>
            </w:r>
          </w:p>
        </w:tc>
        <w:tc>
          <w:tcPr>
            <w:tcW w:w="2466" w:type="dxa"/>
            <w:vAlign w:val="center"/>
          </w:tcPr>
          <w:p>
            <w:pPr>
              <w:pStyle w:val="28"/>
            </w:pPr>
            <w:r>
              <w:t>合格的审计报告占总数的比例</w:t>
            </w:r>
          </w:p>
        </w:tc>
        <w:tc>
          <w:tcPr>
            <w:tcW w:w="2466" w:type="dxa"/>
            <w:vAlign w:val="center"/>
          </w:tcPr>
          <w:p>
            <w:pPr>
              <w:pStyle w:val="28"/>
            </w:pPr>
            <w:r>
              <w:t>≥100%</w:t>
            </w:r>
          </w:p>
        </w:tc>
        <w:tc>
          <w:tcPr>
            <w:tcW w:w="2466" w:type="dxa"/>
            <w:vAlign w:val="center"/>
          </w:tcPr>
          <w:p>
            <w:pPr>
              <w:pStyle w:val="28"/>
            </w:pPr>
            <w:r>
              <w:t>审计台账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按时完成审计项目</w:t>
            </w:r>
          </w:p>
        </w:tc>
        <w:tc>
          <w:tcPr>
            <w:tcW w:w="2466" w:type="dxa"/>
            <w:vAlign w:val="center"/>
          </w:tcPr>
          <w:p>
            <w:pPr>
              <w:pStyle w:val="28"/>
            </w:pPr>
            <w:r>
              <w:t>按时完成审计项目</w:t>
            </w:r>
          </w:p>
        </w:tc>
        <w:tc>
          <w:tcPr>
            <w:tcW w:w="2466" w:type="dxa"/>
            <w:vAlign w:val="center"/>
          </w:tcPr>
          <w:p>
            <w:pPr>
              <w:pStyle w:val="28"/>
            </w:pPr>
            <w:r>
              <w:t>≥3份</w:t>
            </w:r>
          </w:p>
        </w:tc>
        <w:tc>
          <w:tcPr>
            <w:tcW w:w="2466" w:type="dxa"/>
            <w:vAlign w:val="center"/>
          </w:tcPr>
          <w:p>
            <w:pPr>
              <w:pStyle w:val="28"/>
            </w:pPr>
            <w:r>
              <w:t>审计台账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项目实施成本</w:t>
            </w:r>
          </w:p>
        </w:tc>
        <w:tc>
          <w:tcPr>
            <w:tcW w:w="2466" w:type="dxa"/>
            <w:vAlign w:val="center"/>
          </w:tcPr>
          <w:p>
            <w:pPr>
              <w:pStyle w:val="28"/>
            </w:pPr>
            <w:r>
              <w:t>聘请第三方实际花销经费占项目经费的比率</w:t>
            </w:r>
          </w:p>
        </w:tc>
        <w:tc>
          <w:tcPr>
            <w:tcW w:w="2466" w:type="dxa"/>
            <w:vAlign w:val="center"/>
          </w:tcPr>
          <w:p>
            <w:pPr>
              <w:pStyle w:val="28"/>
            </w:pPr>
            <w:r>
              <w:t>≥90%</w:t>
            </w:r>
          </w:p>
        </w:tc>
        <w:tc>
          <w:tcPr>
            <w:tcW w:w="2466" w:type="dxa"/>
            <w:vAlign w:val="center"/>
          </w:tcPr>
          <w:p>
            <w:pPr>
              <w:pStyle w:val="28"/>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问题整改率</w:t>
            </w:r>
          </w:p>
        </w:tc>
        <w:tc>
          <w:tcPr>
            <w:tcW w:w="2466" w:type="dxa"/>
            <w:vAlign w:val="center"/>
          </w:tcPr>
          <w:p>
            <w:pPr>
              <w:pStyle w:val="28"/>
            </w:pPr>
            <w:r>
              <w:t>已整改问题数量占发现问题总数的比率</w:t>
            </w:r>
          </w:p>
        </w:tc>
        <w:tc>
          <w:tcPr>
            <w:tcW w:w="2466" w:type="dxa"/>
            <w:vAlign w:val="center"/>
          </w:tcPr>
          <w:p>
            <w:pPr>
              <w:pStyle w:val="28"/>
            </w:pPr>
            <w:r>
              <w:t>≥90%</w:t>
            </w:r>
          </w:p>
        </w:tc>
        <w:tc>
          <w:tcPr>
            <w:tcW w:w="2466" w:type="dxa"/>
            <w:vAlign w:val="center"/>
          </w:tcPr>
          <w:p>
            <w:pPr>
              <w:pStyle w:val="28"/>
            </w:pPr>
            <w:r>
              <w:t>审计整改台账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审计建议采纳率</w:t>
            </w:r>
          </w:p>
        </w:tc>
        <w:tc>
          <w:tcPr>
            <w:tcW w:w="2466" w:type="dxa"/>
            <w:vAlign w:val="center"/>
          </w:tcPr>
          <w:p>
            <w:pPr>
              <w:pStyle w:val="28"/>
            </w:pPr>
            <w:r>
              <w:t>被采纳的审计建议占全部审计建议的比例</w:t>
            </w:r>
          </w:p>
        </w:tc>
        <w:tc>
          <w:tcPr>
            <w:tcW w:w="2466" w:type="dxa"/>
            <w:vAlign w:val="center"/>
          </w:tcPr>
          <w:p>
            <w:pPr>
              <w:pStyle w:val="28"/>
            </w:pPr>
            <w:r>
              <w:t>≥90%</w:t>
            </w:r>
          </w:p>
        </w:tc>
        <w:tc>
          <w:tcPr>
            <w:tcW w:w="2466" w:type="dxa"/>
            <w:vAlign w:val="center"/>
          </w:tcPr>
          <w:p>
            <w:pPr>
              <w:pStyle w:val="28"/>
            </w:pPr>
            <w:r>
              <w:t>征求意见稿</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2022年，石家庄市藁城区审计局本级安排政府采购预算0.00万元。具体内容见下表。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319001石家庄市藁城区审计局本级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石家庄市藁城区审计局本级上年末固定资产金额为20.89万元（详见下表）。本年度拟购置固定资产总额为0.00万元，已按要求列入政府采购预算，详见政府采购预算表。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319001石家庄市藁城区审计局本级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20.89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39</w:t>
            </w:r>
          </w:p>
        </w:tc>
        <w:tc>
          <w:tcPr>
            <w:tcW w:w="4933" w:type="dxa"/>
            <w:vAlign w:val="center"/>
          </w:tcPr>
          <w:p>
            <w:pPr>
              <w:pStyle w:val="13"/>
            </w:pPr>
            <w:r>
              <w:t>20.89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mJlMjI0N2MzYmZmM2JhNjQ2NWYxYjg4MGQ4NzU5ZDQifQ=="/>
  </w:docVars>
  <w:rsids>
    <w:rsidRoot w:val="00000000"/>
    <w:rsid w:val="2AA1765E"/>
    <w:rsid w:val="2AD505FB"/>
    <w:rsid w:val="5379538F"/>
    <w:rsid w:val="5CF26453"/>
    <w:rsid w:val="5F304531"/>
    <w:rsid w:val="66FB5425"/>
    <w:rsid w:val="7EBB57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810acf2f-2ff4-4052-a61b-d02adf512cab"/>
    <w:qFormat/>
    <w:uiPriority w:val="0"/>
    <w:rPr>
      <w:rFonts w:ascii="Times New Roman" w:hAnsi="Times New Roman" w:eastAsia="Times New Roman" w:cstheme="minorBidi"/>
      <w:sz w:val="24"/>
      <w:szCs w:val="24"/>
      <w:lang w:val="en-US" w:eastAsia="uk-UA" w:bidi="ar-SA"/>
    </w:rPr>
  </w:style>
  <w:style w:type="paragraph" w:customStyle="1" w:styleId="27">
    <w:name w:val="单元格样式1_3c3cbe58-1abb-43c0-9eee-4a3dc7ee23a0"/>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ab335229-44f8-478d-ab48-dd09bf4a1abe"/>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2f6d52da-90e6-496a-a00d-47439d32e8f0"/>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2022-02-14T17:28:00Z</dcterms:created>
  <dcterms:modified xsi:type="dcterms:W3CDTF">2022-02-14T09:28:00Z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2022-02-14T17:27:52Z</dcterms:created>
  <dcterms:modified xsi:type="dcterms:W3CDTF">2022-02-14T09:27:51Z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2022-02-14T17:27:54Z</dcterms:created>
  <dcterms:modified xsi:type="dcterms:W3CDTF">2022-02-14T09:27:54Z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2022-02-14T17:27:58Z</dcterms:created>
  <dcterms:modified xsi:type="dcterms:W3CDTF">2022-02-14T09:27:58Z</dcterms:modified>
</cp:coreProperties>
</file>

<file path=customXml/itemProps1.xml><?xml version="1.0" encoding="utf-8"?>
<ds:datastoreItem xmlns:ds="http://schemas.openxmlformats.org/officeDocument/2006/customXml" ds:itemID="{06a725c0-1beb-423f-89be-f7bb9d1ec540}">
  <ds:schemaRefs/>
</ds:datastoreItem>
</file>

<file path=customXml/itemProps2.xml><?xml version="1.0" encoding="utf-8"?>
<ds:datastoreItem xmlns:ds="http://schemas.openxmlformats.org/officeDocument/2006/customXml" ds:itemID="{1e3d4318-0ff5-4518-a91f-ad41d445c930}">
  <ds:schemaRefs/>
</ds:datastoreItem>
</file>

<file path=customXml/itemProps3.xml><?xml version="1.0" encoding="utf-8"?>
<ds:datastoreItem xmlns:ds="http://schemas.openxmlformats.org/officeDocument/2006/customXml" ds:itemID="{257f8bee-cf10-4e09-9b9e-7ce383f496a5}">
  <ds:schemaRefs/>
</ds:datastoreItem>
</file>

<file path=customXml/itemProps4.xml><?xml version="1.0" encoding="utf-8"?>
<ds:datastoreItem xmlns:ds="http://schemas.openxmlformats.org/officeDocument/2006/customXml" ds:itemID="{1b43080f-a7ec-465e-af83-441410809d89}">
  <ds:schemaRefs/>
</ds:datastoreItem>
</file>

<file path=customXml/itemProps5.xml><?xml version="1.0" encoding="utf-8"?>
<ds:datastoreItem xmlns:ds="http://schemas.openxmlformats.org/officeDocument/2006/customXml" ds:itemID="{661ed781-46e0-4d2f-a25a-8ffc8511ce85}">
  <ds:schemaRefs/>
</ds:datastoreItem>
</file>

<file path=customXml/itemProps6.xml><?xml version="1.0" encoding="utf-8"?>
<ds:datastoreItem xmlns:ds="http://schemas.openxmlformats.org/officeDocument/2006/customXml" ds:itemID="{7c1f7125-3b5c-4478-a1e9-cc266c0e10d2}">
  <ds:schemaRefs/>
</ds:datastoreItem>
</file>

<file path=customXml/itemProps7.xml><?xml version="1.0" encoding="utf-8"?>
<ds:datastoreItem xmlns:ds="http://schemas.openxmlformats.org/officeDocument/2006/customXml" ds:itemID="{a84c88b4-cdde-4a2c-bfae-a112489f5489}">
  <ds:schemaRefs/>
</ds:datastoreItem>
</file>

<file path=customXml/itemProps8.xml><?xml version="1.0" encoding="utf-8"?>
<ds:datastoreItem xmlns:ds="http://schemas.openxmlformats.org/officeDocument/2006/customXml" ds:itemID="{8dc1313e-b165-4d6c-a713-6c878f40d316}">
  <ds:schemaRefs/>
</ds:datastoreItem>
</file>

<file path=docProps/app.xml><?xml version="1.0" encoding="utf-8"?>
<Properties xmlns="http://schemas.openxmlformats.org/officeDocument/2006/extended-properties" xmlns:vt="http://schemas.openxmlformats.org/officeDocument/2006/docPropsVTypes">
  <Pages>29</Pages>
  <Words>6555</Words>
  <Characters>7449</Characters>
  <TotalTime>83</TotalTime>
  <ScaleCrop>false</ScaleCrop>
  <LinksUpToDate>false</LinksUpToDate>
  <CharactersWithSpaces>7619</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2022-02-14T17:28:00Z</dcterms:created>
  <dc:creator>Administrator.PCOS-1805141152</dc:creator>
  <cp:lastModifiedBy>左右情缘</cp:lastModifiedBy>
  <dcterms:modified xsi:type="dcterms:W3CDTF">2023-09-05T05:26:45Z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EA74690D7B0D4C95816172A7664C240F_12</vt:lpwstr>
  </property>
</Properties>
</file>